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C70116" w14:textId="77777777" w:rsidR="004E3739" w:rsidRPr="004E2853" w:rsidRDefault="004E3739" w:rsidP="00F84A48">
      <w:pPr>
        <w:tabs>
          <w:tab w:val="left" w:pos="2959"/>
        </w:tabs>
        <w:spacing w:line="480" w:lineRule="auto"/>
        <w:jc w:val="center"/>
        <w:rPr>
          <w:rFonts w:ascii="Arial" w:hAnsi="Arial" w:cs="Arial"/>
          <w:b/>
          <w:bCs/>
          <w:color w:val="000000" w:themeColor="text1"/>
          <w:sz w:val="20"/>
          <w:szCs w:val="20"/>
        </w:rPr>
      </w:pPr>
      <w:r w:rsidRPr="004E2853">
        <w:rPr>
          <w:rFonts w:ascii="Arial" w:hAnsi="Arial" w:cs="Arial"/>
          <w:b/>
          <w:bCs/>
          <w:color w:val="000000" w:themeColor="text1"/>
          <w:sz w:val="20"/>
          <w:szCs w:val="20"/>
        </w:rPr>
        <w:t>Supplement</w:t>
      </w:r>
    </w:p>
    <w:p w14:paraId="6B8160A9" w14:textId="77777777" w:rsidR="004E3739" w:rsidRPr="004E2853" w:rsidRDefault="004E3739" w:rsidP="00F84A48">
      <w:pPr>
        <w:tabs>
          <w:tab w:val="left" w:pos="2959"/>
        </w:tabs>
        <w:spacing w:line="480" w:lineRule="auto"/>
        <w:rPr>
          <w:rFonts w:ascii="Arial" w:hAnsi="Arial" w:cs="Arial"/>
          <w:i/>
          <w:iCs/>
          <w:color w:val="000000" w:themeColor="text1"/>
          <w:sz w:val="20"/>
          <w:szCs w:val="20"/>
          <w:u w:val="single"/>
        </w:rPr>
      </w:pPr>
    </w:p>
    <w:p w14:paraId="06804C7D" w14:textId="77777777" w:rsidR="00F84A48" w:rsidRPr="004E2853" w:rsidRDefault="00F84A48" w:rsidP="00F84A48">
      <w:pPr>
        <w:tabs>
          <w:tab w:val="left" w:pos="2959"/>
        </w:tabs>
        <w:spacing w:line="480" w:lineRule="auto"/>
        <w:rPr>
          <w:rFonts w:ascii="Arial" w:hAnsi="Arial" w:cs="Arial"/>
          <w:b/>
          <w:bCs/>
          <w:color w:val="000000" w:themeColor="text1"/>
          <w:sz w:val="20"/>
          <w:szCs w:val="20"/>
          <w:u w:val="single"/>
        </w:rPr>
      </w:pPr>
    </w:p>
    <w:p w14:paraId="5D663206" w14:textId="27FBEB58" w:rsidR="004E3739" w:rsidRPr="004E2853" w:rsidRDefault="004E3739" w:rsidP="00F84A48">
      <w:pPr>
        <w:tabs>
          <w:tab w:val="left" w:pos="2959"/>
        </w:tabs>
        <w:spacing w:line="480" w:lineRule="auto"/>
        <w:rPr>
          <w:rFonts w:ascii="Arial" w:hAnsi="Arial" w:cs="Arial"/>
          <w:b/>
          <w:bCs/>
          <w:color w:val="000000" w:themeColor="text1"/>
          <w:sz w:val="20"/>
          <w:szCs w:val="20"/>
          <w:u w:val="single"/>
        </w:rPr>
      </w:pPr>
      <w:r w:rsidRPr="004E2853">
        <w:rPr>
          <w:rFonts w:ascii="Arial" w:hAnsi="Arial" w:cs="Arial"/>
          <w:b/>
          <w:bCs/>
          <w:color w:val="000000" w:themeColor="text1"/>
          <w:sz w:val="20"/>
          <w:szCs w:val="20"/>
          <w:u w:val="single"/>
        </w:rPr>
        <w:t>Supplemental Methods</w:t>
      </w:r>
    </w:p>
    <w:p w14:paraId="59EB03C1" w14:textId="77777777" w:rsidR="00F84A48" w:rsidRPr="004E2853" w:rsidRDefault="00F84A48" w:rsidP="00F84A48">
      <w:pPr>
        <w:tabs>
          <w:tab w:val="left" w:pos="2959"/>
        </w:tabs>
        <w:spacing w:line="480" w:lineRule="auto"/>
        <w:rPr>
          <w:rFonts w:ascii="Arial" w:hAnsi="Arial" w:cs="Arial"/>
          <w:i/>
          <w:iCs/>
          <w:color w:val="000000" w:themeColor="text1"/>
          <w:sz w:val="20"/>
          <w:szCs w:val="20"/>
          <w:u w:val="single"/>
        </w:rPr>
      </w:pPr>
    </w:p>
    <w:p w14:paraId="0F91150B" w14:textId="77777777" w:rsidR="004E3739" w:rsidRPr="004E2853" w:rsidRDefault="004E3739" w:rsidP="00F84A48">
      <w:pPr>
        <w:tabs>
          <w:tab w:val="left" w:pos="2959"/>
        </w:tabs>
        <w:spacing w:line="480" w:lineRule="auto"/>
        <w:rPr>
          <w:rFonts w:ascii="Arial" w:hAnsi="Arial" w:cs="Arial"/>
          <w:i/>
          <w:iCs/>
          <w:color w:val="000000" w:themeColor="text1"/>
          <w:sz w:val="20"/>
          <w:szCs w:val="20"/>
          <w:u w:val="single"/>
        </w:rPr>
      </w:pPr>
      <w:r w:rsidRPr="004E2853">
        <w:rPr>
          <w:rFonts w:ascii="Arial" w:hAnsi="Arial" w:cs="Arial"/>
          <w:i/>
          <w:iCs/>
          <w:color w:val="000000" w:themeColor="text1"/>
          <w:sz w:val="20"/>
          <w:szCs w:val="20"/>
          <w:u w:val="single"/>
        </w:rPr>
        <w:t>Imputation of WIC eligibility</w:t>
      </w:r>
    </w:p>
    <w:p w14:paraId="4BE1051C" w14:textId="271CC4E6" w:rsidR="004E3739" w:rsidRPr="004E2853" w:rsidRDefault="004E3739" w:rsidP="00F84A48">
      <w:pPr>
        <w:spacing w:line="480" w:lineRule="auto"/>
        <w:rPr>
          <w:rFonts w:ascii="Arial" w:hAnsi="Arial" w:cs="Arial"/>
          <w:color w:val="000000" w:themeColor="text1"/>
          <w:sz w:val="20"/>
          <w:szCs w:val="20"/>
        </w:rPr>
      </w:pPr>
      <w:r w:rsidRPr="004E2853">
        <w:rPr>
          <w:rFonts w:ascii="Arial" w:hAnsi="Arial" w:cs="Arial"/>
          <w:color w:val="000000" w:themeColor="text1"/>
          <w:sz w:val="20"/>
          <w:szCs w:val="20"/>
        </w:rPr>
        <w:t>To impute WIC eligibility, we used the US Census Bureau’s Current Population Survey (CPS) Annual Social and Economic Supplement data from 2003 to 2019, for states in our final sample. Within each survey year, we selected a sample of women having infants (i.e., children under age 1). Note that the CPS is collected in the spring but asks about income during the previous calendar year; it also does not ask about pregnancy, so this was a proxy for having given birth in the previous calendar year as those who have a 0-year</w:t>
      </w:r>
      <w:r w:rsidR="00B477E7" w:rsidRPr="004E2853">
        <w:rPr>
          <w:rFonts w:ascii="Arial" w:hAnsi="Arial" w:cs="Arial"/>
          <w:color w:val="000000" w:themeColor="text1"/>
          <w:sz w:val="20"/>
          <w:szCs w:val="20"/>
        </w:rPr>
        <w:t>-</w:t>
      </w:r>
      <w:r w:rsidRPr="004E2853">
        <w:rPr>
          <w:rFonts w:ascii="Arial" w:hAnsi="Arial" w:cs="Arial"/>
          <w:color w:val="000000" w:themeColor="text1"/>
          <w:sz w:val="20"/>
          <w:szCs w:val="20"/>
        </w:rPr>
        <w:t>old in March likely had an infant in the previous calendar year. Based on USDA criteria for WIC eligibility, a woman with an infant was considered WIC-eligible if her household income for the previous calendar year (when she was likely pregnant) was below 185% of the Federal Poverty Guideline based on private and public income for that year for her family,</w:t>
      </w:r>
      <w:r w:rsidRPr="004E2853">
        <w:rPr>
          <w:rFonts w:ascii="Arial" w:hAnsi="Arial" w:cs="Arial"/>
          <w:color w:val="000000" w:themeColor="text1"/>
          <w:sz w:val="20"/>
          <w:szCs w:val="20"/>
        </w:rPr>
        <w:fldChar w:fldCharType="begin"/>
      </w:r>
      <w:r w:rsidR="00860266">
        <w:rPr>
          <w:rFonts w:ascii="Arial" w:hAnsi="Arial" w:cs="Arial"/>
          <w:color w:val="000000" w:themeColor="text1"/>
          <w:sz w:val="20"/>
          <w:szCs w:val="20"/>
        </w:rPr>
        <w:instrText xml:space="preserve"> ADDIN EN.CITE &lt;EndNote&gt;&lt;Cite&gt;&lt;Author&gt;United States Department of Agriculture&lt;/Author&gt;&lt;RecNum&gt;475&lt;/RecNum&gt;&lt;DisplayText&gt;(United States Department of Agriculture)&lt;/DisplayText&gt;&lt;record&gt;&lt;rec-number&gt;475&lt;/rec-number&gt;&lt;foreign-keys&gt;&lt;key app="EN" db-id="zxswwdxf4wp52jev9aq50t5ft9wfzzv9xass" timestamp="1698781269"&gt;475&lt;/key&gt;&lt;/foreign-keys&gt;&lt;ref-type name="Web Page"&gt;12&lt;/ref-type&gt;&lt;contributors&gt;&lt;authors&gt;&lt;author&gt;United States Department of Agriculture,&lt;/author&gt;&lt;/authors&gt;&lt;/contributors&gt;&lt;titles&gt;&lt;title&gt;WIC Eligibility Requirements&lt;/title&gt;&lt;/titles&gt;&lt;volume&gt;2023&lt;/volume&gt;&lt;number&gt;Oct 31&lt;/number&gt;&lt;dates&gt;&lt;pub-dates&gt;&lt;date&gt;04/04/2023&lt;/date&gt;&lt;/pub-dates&gt;&lt;/dates&gt;&lt;urls&gt;&lt;related-urls&gt;&lt;url&gt;https://www.fns.usda.gov/wic/wic-eligibility-requirements&lt;/url&gt;&lt;/related-urls&gt;&lt;/urls&gt;&lt;/record&gt;&lt;/Cite&gt;&lt;/EndNote&gt;</w:instrText>
      </w:r>
      <w:r w:rsidRPr="004E2853">
        <w:rPr>
          <w:rFonts w:ascii="Arial" w:hAnsi="Arial" w:cs="Arial"/>
          <w:color w:val="000000" w:themeColor="text1"/>
          <w:sz w:val="20"/>
          <w:szCs w:val="20"/>
        </w:rPr>
        <w:fldChar w:fldCharType="separate"/>
      </w:r>
      <w:r w:rsidR="00860266">
        <w:rPr>
          <w:rFonts w:ascii="Arial" w:hAnsi="Arial" w:cs="Arial"/>
          <w:noProof/>
          <w:color w:val="000000" w:themeColor="text1"/>
          <w:sz w:val="20"/>
          <w:szCs w:val="20"/>
        </w:rPr>
        <w:t>(United States Department of Agriculture)</w:t>
      </w:r>
      <w:r w:rsidRPr="004E2853">
        <w:rPr>
          <w:rFonts w:ascii="Arial" w:hAnsi="Arial" w:cs="Arial"/>
          <w:color w:val="000000" w:themeColor="text1"/>
          <w:sz w:val="20"/>
          <w:szCs w:val="20"/>
        </w:rPr>
        <w:fldChar w:fldCharType="end"/>
      </w:r>
      <w:r w:rsidRPr="004E2853">
        <w:rPr>
          <w:rFonts w:ascii="Arial" w:hAnsi="Arial" w:cs="Arial"/>
          <w:color w:val="000000" w:themeColor="text1"/>
          <w:sz w:val="20"/>
          <w:szCs w:val="20"/>
        </w:rPr>
        <w:t xml:space="preserve"> or if she reported using Medicaid, the Supplemental Nutrition Assistance Program (SNAP), or Temporary Assistance to Needy Families (TANF), which provide adjunctive eligibility for WIC (</w:t>
      </w:r>
      <w:r w:rsidR="001B1E5A" w:rsidRPr="004E2853">
        <w:rPr>
          <w:rFonts w:ascii="Arial" w:hAnsi="Arial" w:cs="Arial"/>
          <w:color w:val="000000" w:themeColor="text1"/>
          <w:sz w:val="20"/>
          <w:szCs w:val="20"/>
        </w:rPr>
        <w:t xml:space="preserve">i.e., </w:t>
      </w:r>
      <w:r w:rsidRPr="004E2853">
        <w:rPr>
          <w:rFonts w:ascii="Arial" w:hAnsi="Arial" w:cs="Arial"/>
          <w:color w:val="000000" w:themeColor="text1"/>
          <w:sz w:val="20"/>
          <w:szCs w:val="20"/>
        </w:rPr>
        <w:t>one is WIC-eligible if one participates in these programs).</w:t>
      </w:r>
      <w:r w:rsidRPr="004E2853">
        <w:rPr>
          <w:rFonts w:ascii="Arial" w:hAnsi="Arial" w:cs="Arial"/>
          <w:color w:val="000000" w:themeColor="text1"/>
          <w:sz w:val="20"/>
          <w:szCs w:val="20"/>
        </w:rPr>
        <w:fldChar w:fldCharType="begin"/>
      </w:r>
      <w:r w:rsidR="00860266">
        <w:rPr>
          <w:rFonts w:ascii="Arial" w:hAnsi="Arial" w:cs="Arial"/>
          <w:color w:val="000000" w:themeColor="text1"/>
          <w:sz w:val="20"/>
          <w:szCs w:val="20"/>
        </w:rPr>
        <w:instrText xml:space="preserve"> ADDIN EN.CITE &lt;EndNote&gt;&lt;Cite&gt;&lt;Author&gt;Bitler&lt;/Author&gt;&lt;Year&gt;2019&lt;/Year&gt;&lt;RecNum&gt;394&lt;/RecNum&gt;&lt;DisplayText&gt;(Bitler &amp;amp; Seifoddini, 2019)&lt;/DisplayText&gt;&lt;record&gt;&lt;rec-number&gt;394&lt;/rec-number&gt;&lt;foreign-keys&gt;&lt;key app="EN" db-id="zxswwdxf4wp52jev9aq50t5ft9wfzzv9xass" timestamp="1684176027"&gt;394&lt;/key&gt;&lt;/foreign-keys&gt;&lt;ref-type name="Journal Article"&gt;17&lt;/ref-type&gt;&lt;contributors&gt;&lt;authors&gt;&lt;author&gt;Bitler, Marianne P&lt;/author&gt;&lt;author&gt;Seifoddini, Arian&lt;/author&gt;&lt;/authors&gt;&lt;/contributors&gt;&lt;titles&gt;&lt;title&gt;Health impacts of food assistance: evidence from the United States&lt;/title&gt;&lt;secondary-title&gt;Annual Review of Resource Economics&lt;/secondary-title&gt;&lt;/titles&gt;&lt;periodical&gt;&lt;full-title&gt;Annual Review of Resource Economics&lt;/full-title&gt;&lt;/periodical&gt;&lt;pages&gt;261-287&lt;/pages&gt;&lt;volume&gt;11&lt;/volume&gt;&lt;dates&gt;&lt;year&gt;2019&lt;/year&gt;&lt;/dates&gt;&lt;isbn&gt;1941-1340&lt;/isbn&gt;&lt;urls&gt;&lt;/urls&gt;&lt;/record&gt;&lt;/Cite&gt;&lt;/EndNote&gt;</w:instrText>
      </w:r>
      <w:r w:rsidRPr="004E2853">
        <w:rPr>
          <w:rFonts w:ascii="Arial" w:hAnsi="Arial" w:cs="Arial"/>
          <w:color w:val="000000" w:themeColor="text1"/>
          <w:sz w:val="20"/>
          <w:szCs w:val="20"/>
        </w:rPr>
        <w:fldChar w:fldCharType="separate"/>
      </w:r>
      <w:r w:rsidR="00860266">
        <w:rPr>
          <w:rFonts w:ascii="Arial" w:hAnsi="Arial" w:cs="Arial"/>
          <w:noProof/>
          <w:color w:val="000000" w:themeColor="text1"/>
          <w:sz w:val="20"/>
          <w:szCs w:val="20"/>
        </w:rPr>
        <w:t>(Bitler &amp; Seifoddini, 2019)</w:t>
      </w:r>
      <w:r w:rsidRPr="004E2853">
        <w:rPr>
          <w:rFonts w:ascii="Arial" w:hAnsi="Arial" w:cs="Arial"/>
          <w:color w:val="000000" w:themeColor="text1"/>
          <w:sz w:val="20"/>
          <w:szCs w:val="20"/>
        </w:rPr>
        <w:fldChar w:fldCharType="end"/>
      </w:r>
      <w:r w:rsidRPr="004E2853">
        <w:rPr>
          <w:rFonts w:ascii="Arial" w:hAnsi="Arial" w:cs="Arial"/>
          <w:color w:val="000000" w:themeColor="text1"/>
          <w:sz w:val="20"/>
          <w:szCs w:val="20"/>
        </w:rPr>
        <w:t xml:space="preserve">  We then employed a logistic regression model to create estimates to predict WIC eligibility in these CPS data, based on individual characteristics also available in the birth certificate data: age, race/ethnicity, education, marital status, nativity, and the number of coresident children (as a proxy for birth parity), interactions among these characteristics, as well as fixed effects (i.e., indicator variables) for state and year. Finally, these parameters obtained from the CPS were employed to predict WIC eligibility for women in the birth certificate data. A woman was categorized as WIC-eligible if her predicted probability of being WIC-eligible was greater than 0.5; otherwise, she was classified as WIC-ineligible. To gauge the accuracy of this predicted WIC eligibility, we compared it with the data from years when WIC participation during pregnancy was reported in the birth certificate data. About 70% of predicted WIC-eligible women self-reported using WIC, compared with 16% of predicted WIC-ineligible mothers. </w:t>
      </w:r>
    </w:p>
    <w:p w14:paraId="6ABA475A" w14:textId="77777777" w:rsidR="004E3739" w:rsidRPr="004E2853" w:rsidRDefault="004E3739" w:rsidP="00F84A48">
      <w:pPr>
        <w:tabs>
          <w:tab w:val="left" w:pos="2959"/>
        </w:tabs>
        <w:spacing w:line="480" w:lineRule="auto"/>
        <w:rPr>
          <w:rFonts w:ascii="Arial" w:hAnsi="Arial" w:cs="Arial"/>
          <w:i/>
          <w:iCs/>
          <w:color w:val="000000" w:themeColor="text1"/>
          <w:sz w:val="20"/>
          <w:szCs w:val="20"/>
          <w:u w:val="single"/>
        </w:rPr>
      </w:pPr>
    </w:p>
    <w:p w14:paraId="075024C3" w14:textId="77777777" w:rsidR="004E3739" w:rsidRPr="004E2853" w:rsidRDefault="004E3739" w:rsidP="00F84A48">
      <w:pPr>
        <w:tabs>
          <w:tab w:val="left" w:pos="2959"/>
        </w:tabs>
        <w:spacing w:line="480" w:lineRule="auto"/>
        <w:rPr>
          <w:rFonts w:ascii="Arial" w:hAnsi="Arial" w:cs="Arial"/>
          <w:i/>
          <w:iCs/>
          <w:color w:val="000000" w:themeColor="text1"/>
          <w:sz w:val="20"/>
          <w:szCs w:val="20"/>
          <w:u w:val="single"/>
        </w:rPr>
      </w:pPr>
      <w:r w:rsidRPr="004E2853">
        <w:rPr>
          <w:rFonts w:ascii="Arial" w:hAnsi="Arial" w:cs="Arial"/>
          <w:i/>
          <w:iCs/>
          <w:color w:val="000000" w:themeColor="text1"/>
          <w:sz w:val="20"/>
          <w:szCs w:val="20"/>
          <w:u w:val="single"/>
        </w:rPr>
        <w:t>DID assumptions</w:t>
      </w:r>
    </w:p>
    <w:p w14:paraId="289EF0E2" w14:textId="77777777" w:rsidR="004E3739" w:rsidRPr="004E2853" w:rsidRDefault="004E3739" w:rsidP="00F84A48">
      <w:pPr>
        <w:spacing w:line="480" w:lineRule="auto"/>
        <w:rPr>
          <w:rFonts w:ascii="Arial" w:hAnsi="Arial" w:cs="Arial"/>
          <w:color w:val="000000" w:themeColor="text1"/>
          <w:sz w:val="20"/>
          <w:szCs w:val="20"/>
        </w:rPr>
      </w:pPr>
      <w:r w:rsidRPr="004E2853">
        <w:rPr>
          <w:rFonts w:ascii="Arial" w:hAnsi="Arial" w:cs="Arial"/>
          <w:color w:val="000000" w:themeColor="text1"/>
          <w:sz w:val="20"/>
          <w:szCs w:val="20"/>
        </w:rPr>
        <w:t xml:space="preserve">DID analysis relies on several assumptions. One is that trends in outcomes would be the same for treatment and control groups in the absence of the intervention, known as the “parallel trends assumption”. Although this counterfactual scenario cannot be directly tested, assessing whether trends are parallel in treatment and control groups during the pre-intervention period provides an indication of the validity of the assumption (i.e., a necessary but insufficient condition). </w:t>
      </w:r>
    </w:p>
    <w:p w14:paraId="748BCFBC" w14:textId="77777777" w:rsidR="004E3739" w:rsidRPr="004E2853" w:rsidRDefault="004E3739" w:rsidP="00F84A48">
      <w:pPr>
        <w:spacing w:line="480" w:lineRule="auto"/>
        <w:ind w:firstLine="720"/>
        <w:rPr>
          <w:rFonts w:ascii="Arial" w:hAnsi="Arial" w:cs="Arial"/>
          <w:color w:val="000000" w:themeColor="text1"/>
          <w:sz w:val="20"/>
          <w:szCs w:val="20"/>
        </w:rPr>
      </w:pPr>
      <w:r w:rsidRPr="004E2853">
        <w:rPr>
          <w:rFonts w:ascii="Arial" w:hAnsi="Arial" w:cs="Arial"/>
          <w:color w:val="000000" w:themeColor="text1"/>
          <w:sz w:val="20"/>
          <w:szCs w:val="20"/>
        </w:rPr>
        <w:t xml:space="preserve">To do so, we first graphically compared the trends of each outcome for WIC-eligible and WIC-ineligible mothers over time. Figure 2 suggested parallel trends among WIC-eligible and WIC-ineligible mothers before the 2009 revision for each of the outcomes. </w:t>
      </w:r>
    </w:p>
    <w:p w14:paraId="40E1FB7D" w14:textId="0EF1BA4B" w:rsidR="004E3739" w:rsidRPr="004E2853" w:rsidRDefault="004E3739" w:rsidP="00F84A48">
      <w:pPr>
        <w:spacing w:line="480" w:lineRule="auto"/>
        <w:ind w:firstLine="720"/>
        <w:rPr>
          <w:rFonts w:ascii="Arial" w:hAnsi="Arial" w:cs="Arial"/>
          <w:color w:val="000000" w:themeColor="text1"/>
          <w:sz w:val="20"/>
          <w:szCs w:val="20"/>
        </w:rPr>
      </w:pPr>
      <w:r w:rsidRPr="004E2853">
        <w:rPr>
          <w:rFonts w:ascii="Arial" w:hAnsi="Arial" w:cs="Arial"/>
          <w:color w:val="000000" w:themeColor="text1"/>
          <w:sz w:val="20"/>
          <w:szCs w:val="20"/>
        </w:rPr>
        <w:t>We also tested the assumption quantitatively, by conducting event-study analyses; these involved regressing outcomes on the interaction of WIC eligibility with a set of leads and lags relative to the event time (e.g., -2, -1, 0, 1, 2 months from the end of 2009).</w:t>
      </w:r>
      <w:r w:rsidRPr="004E2853">
        <w:rPr>
          <w:rFonts w:ascii="Arial" w:hAnsi="Arial" w:cs="Arial"/>
          <w:color w:val="000000" w:themeColor="text1"/>
          <w:sz w:val="20"/>
          <w:szCs w:val="20"/>
        </w:rPr>
        <w:fldChar w:fldCharType="begin"/>
      </w:r>
      <w:r w:rsidR="00860266">
        <w:rPr>
          <w:rFonts w:ascii="Arial" w:hAnsi="Arial" w:cs="Arial"/>
          <w:color w:val="000000" w:themeColor="text1"/>
          <w:sz w:val="20"/>
          <w:szCs w:val="20"/>
        </w:rPr>
        <w:instrText xml:space="preserve"> ADDIN EN.CITE &lt;EndNote&gt;&lt;Cite&gt;&lt;Author&gt;Clarke&lt;/Author&gt;&lt;Year&gt;2021&lt;/Year&gt;&lt;RecNum&gt;256&lt;/RecNum&gt;&lt;DisplayText&gt;(Clarke &amp;amp; Tapia-Schythe, 2021; Miller, 2023)&lt;/DisplayText&gt;&lt;record&gt;&lt;rec-number&gt;256&lt;/rec-number&gt;&lt;foreign-keys&gt;&lt;key app="EN" db-id="zxswwdxf4wp52jev9aq50t5ft9wfzzv9xass" timestamp="1662944882"&gt;256&lt;/key&gt;&lt;/foreign-keys&gt;&lt;ref-type name="Journal Article"&gt;17&lt;/ref-type&gt;&lt;contributors&gt;&lt;authors&gt;&lt;author&gt;Clarke, Damian&lt;/author&gt;&lt;author&gt;Tapia-Schythe, Kathya&lt;/author&gt;&lt;/authors&gt;&lt;/contributors&gt;&lt;titles&gt;&lt;title&gt;Implementing the panel event study&lt;/title&gt;&lt;secondary-title&gt;The Stata Journal&lt;/secondary-title&gt;&lt;/titles&gt;&lt;periodical&gt;&lt;full-title&gt;The Stata Journal&lt;/full-title&gt;&lt;/periodical&gt;&lt;pages&gt;853-884&lt;/pages&gt;&lt;volume&gt;21&lt;/volume&gt;&lt;number&gt;4&lt;/number&gt;&lt;dates&gt;&lt;year&gt;2021&lt;/year&gt;&lt;/dates&gt;&lt;isbn&gt;1536-867X&lt;/isbn&gt;&lt;urls&gt;&lt;/urls&gt;&lt;/record&gt;&lt;/Cite&gt;&lt;Cite&gt;&lt;Author&gt;Miller&lt;/Author&gt;&lt;Year&gt;2023&lt;/Year&gt;&lt;RecNum&gt;397&lt;/RecNum&gt;&lt;record&gt;&lt;rec-number&gt;397&lt;/rec-number&gt;&lt;foreign-keys&gt;&lt;key app="EN" db-id="zxswwdxf4wp52jev9aq50t5ft9wfzzv9xass" timestamp="1684177420"&gt;397&lt;/key&gt;&lt;/foreign-keys&gt;&lt;ref-type name="Journal Article"&gt;17&lt;/ref-type&gt;&lt;contributors&gt;&lt;authors&gt;&lt;author&gt;Miller, Douglas L&lt;/author&gt;&lt;/authors&gt;&lt;/contributors&gt;&lt;titles&gt;&lt;title&gt;An Introductory Guide to Event Study Models&lt;/title&gt;&lt;secondary-title&gt;Journal of Economic Perspectives&lt;/secondary-title&gt;&lt;/titles&gt;&lt;periodical&gt;&lt;full-title&gt;Journal of Economic Perspectives&lt;/full-title&gt;&lt;/periodical&gt;&lt;pages&gt;203-230&lt;/pages&gt;&lt;volume&gt;37&lt;/volume&gt;&lt;number&gt;2&lt;/number&gt;&lt;dates&gt;&lt;year&gt;2023&lt;/year&gt;&lt;/dates&gt;&lt;isbn&gt;0895-3309&lt;/isbn&gt;&lt;urls&gt;&lt;/urls&gt;&lt;/record&gt;&lt;/Cite&gt;&lt;/EndNote&gt;</w:instrText>
      </w:r>
      <w:r w:rsidRPr="004E2853">
        <w:rPr>
          <w:rFonts w:ascii="Arial" w:hAnsi="Arial" w:cs="Arial"/>
          <w:color w:val="000000" w:themeColor="text1"/>
          <w:sz w:val="20"/>
          <w:szCs w:val="20"/>
        </w:rPr>
        <w:fldChar w:fldCharType="separate"/>
      </w:r>
      <w:r w:rsidR="00860266">
        <w:rPr>
          <w:rFonts w:ascii="Arial" w:hAnsi="Arial" w:cs="Arial"/>
          <w:noProof/>
          <w:color w:val="000000" w:themeColor="text1"/>
          <w:sz w:val="20"/>
          <w:szCs w:val="20"/>
        </w:rPr>
        <w:t>(Clarke &amp; Tapia-Schythe, 2021; Miller, 2023)</w:t>
      </w:r>
      <w:r w:rsidRPr="004E2853">
        <w:rPr>
          <w:rFonts w:ascii="Arial" w:hAnsi="Arial" w:cs="Arial"/>
          <w:color w:val="000000" w:themeColor="text1"/>
          <w:sz w:val="20"/>
          <w:szCs w:val="20"/>
        </w:rPr>
        <w:fldChar w:fldCharType="end"/>
      </w:r>
      <w:r w:rsidRPr="004E2853">
        <w:rPr>
          <w:rFonts w:ascii="Arial" w:hAnsi="Arial" w:cs="Arial"/>
          <w:color w:val="000000" w:themeColor="text1"/>
          <w:sz w:val="20"/>
          <w:szCs w:val="20"/>
        </w:rPr>
        <w:t xml:space="preserve"> By comparing outcomes in different periods with the baseline reference period, the coefficients on the leads and lags allow for estimation and visual presentation of the differential policy effect between WIC-eligible and WIC-ineligible mothers over time. Statistically insignificant coefficients of interaction terms with leads (i.e., the pre-treatment period) would suggest that the parallel trends assumption was satisfied. As shown in Figure S2, the estimated effects for some but not all pre-treatment periods were significantly different from zero for several outcomes, primarily birthweight </w:t>
      </w:r>
      <w:r w:rsidR="004D38DC" w:rsidRPr="004E2853">
        <w:rPr>
          <w:rFonts w:ascii="Arial" w:hAnsi="Arial" w:cs="Arial"/>
          <w:color w:val="000000" w:themeColor="text1"/>
          <w:sz w:val="20"/>
          <w:szCs w:val="20"/>
        </w:rPr>
        <w:t>and GWG</w:t>
      </w:r>
      <w:r w:rsidRPr="004E2853">
        <w:rPr>
          <w:rFonts w:ascii="Arial" w:hAnsi="Arial" w:cs="Arial"/>
          <w:color w:val="000000" w:themeColor="text1"/>
          <w:sz w:val="20"/>
          <w:szCs w:val="20"/>
        </w:rPr>
        <w:t xml:space="preserve">, indicating a potential violation of parallel trend assumption, although no consistent deviations were observed. The results should therefore be interpreted cautiously. We do note however, </w:t>
      </w:r>
      <w:r w:rsidR="000A519C" w:rsidRPr="004E2853">
        <w:rPr>
          <w:rFonts w:ascii="Arial" w:hAnsi="Arial" w:cs="Arial"/>
          <w:color w:val="000000" w:themeColor="text1"/>
          <w:sz w:val="20"/>
          <w:szCs w:val="20"/>
        </w:rPr>
        <w:t xml:space="preserve">the magnitude of these coefficients is small. For example, the largest estimated effect for birth weight in pre-treatment periods is 20 grams, equivalents to 0.6% of the baseline mean. Additionally, the estimated confidence intervals may be understated due to the fact that we are treating the observations as independent rather than clustering them by geographic locations. Individuals within geographic locations are likely to be more similar than individuals drawn at random. </w:t>
      </w:r>
      <w:r w:rsidR="004C2E14" w:rsidRPr="004E2853">
        <w:rPr>
          <w:rFonts w:ascii="Arial" w:hAnsi="Arial" w:cs="Arial"/>
          <w:color w:val="000000" w:themeColor="text1"/>
          <w:sz w:val="20"/>
          <w:szCs w:val="20"/>
        </w:rPr>
        <w:t>W</w:t>
      </w:r>
      <w:r w:rsidR="00B45C60" w:rsidRPr="004E2853">
        <w:rPr>
          <w:rFonts w:ascii="Arial" w:hAnsi="Arial" w:cs="Arial"/>
          <w:color w:val="000000" w:themeColor="text1"/>
          <w:sz w:val="20"/>
          <w:szCs w:val="20"/>
        </w:rPr>
        <w:t xml:space="preserve">e tested the sensitivity of our results by clustering standard errors by state, </w:t>
      </w:r>
      <w:r w:rsidR="003B6E6D" w:rsidRPr="004E2853">
        <w:rPr>
          <w:rFonts w:ascii="Arial" w:hAnsi="Arial" w:cs="Arial"/>
          <w:color w:val="000000" w:themeColor="text1"/>
          <w:sz w:val="20"/>
          <w:szCs w:val="20"/>
        </w:rPr>
        <w:t>even though this</w:t>
      </w:r>
      <w:r w:rsidR="00B45C60" w:rsidRPr="004E2853">
        <w:rPr>
          <w:rFonts w:ascii="Arial" w:hAnsi="Arial" w:cs="Arial"/>
          <w:color w:val="000000" w:themeColor="text1"/>
          <w:sz w:val="20"/>
          <w:szCs w:val="20"/>
        </w:rPr>
        <w:t xml:space="preserve"> is not standard practice as standard errors are </w:t>
      </w:r>
      <w:r w:rsidR="003B6E6D" w:rsidRPr="004E2853">
        <w:rPr>
          <w:rFonts w:ascii="Arial" w:hAnsi="Arial" w:cs="Arial"/>
          <w:color w:val="000000" w:themeColor="text1"/>
          <w:sz w:val="20"/>
          <w:szCs w:val="20"/>
        </w:rPr>
        <w:t>typically</w:t>
      </w:r>
      <w:r w:rsidR="00B45C60" w:rsidRPr="004E2853">
        <w:rPr>
          <w:rFonts w:ascii="Arial" w:hAnsi="Arial" w:cs="Arial"/>
          <w:color w:val="000000" w:themeColor="text1"/>
          <w:sz w:val="20"/>
          <w:szCs w:val="20"/>
        </w:rPr>
        <w:t xml:space="preserve"> clustered at the level of </w:t>
      </w:r>
      <w:r w:rsidR="00651888" w:rsidRPr="004E2853">
        <w:rPr>
          <w:rFonts w:ascii="Arial" w:hAnsi="Arial" w:cs="Arial"/>
          <w:color w:val="000000" w:themeColor="text1"/>
          <w:sz w:val="20"/>
          <w:szCs w:val="20"/>
        </w:rPr>
        <w:t xml:space="preserve">the </w:t>
      </w:r>
      <w:r w:rsidR="00B45C60" w:rsidRPr="004E2853">
        <w:rPr>
          <w:rFonts w:ascii="Arial" w:hAnsi="Arial" w:cs="Arial"/>
          <w:color w:val="000000" w:themeColor="text1"/>
          <w:sz w:val="20"/>
          <w:szCs w:val="20"/>
        </w:rPr>
        <w:t xml:space="preserve">treatment. </w:t>
      </w:r>
      <w:r w:rsidR="003B6E6D" w:rsidRPr="004E2853">
        <w:rPr>
          <w:rFonts w:ascii="Arial" w:hAnsi="Arial" w:cs="Arial"/>
          <w:color w:val="000000" w:themeColor="text1"/>
          <w:sz w:val="20"/>
          <w:szCs w:val="20"/>
        </w:rPr>
        <w:t xml:space="preserve">The </w:t>
      </w:r>
      <w:r w:rsidR="00B45C60" w:rsidRPr="004E2853">
        <w:rPr>
          <w:rFonts w:ascii="Arial" w:hAnsi="Arial" w:cs="Arial"/>
          <w:color w:val="000000" w:themeColor="text1"/>
          <w:sz w:val="20"/>
          <w:szCs w:val="20"/>
        </w:rPr>
        <w:t xml:space="preserve">results </w:t>
      </w:r>
      <w:r w:rsidR="00651888" w:rsidRPr="004E2853">
        <w:rPr>
          <w:rFonts w:ascii="Arial" w:hAnsi="Arial" w:cs="Arial"/>
          <w:color w:val="000000" w:themeColor="text1"/>
          <w:sz w:val="20"/>
          <w:szCs w:val="20"/>
        </w:rPr>
        <w:t>with clustering</w:t>
      </w:r>
      <w:r w:rsidR="00B45C60" w:rsidRPr="004E2853">
        <w:rPr>
          <w:rFonts w:ascii="Arial" w:hAnsi="Arial" w:cs="Arial"/>
          <w:color w:val="000000" w:themeColor="text1"/>
          <w:sz w:val="20"/>
          <w:szCs w:val="20"/>
        </w:rPr>
        <w:t xml:space="preserve"> </w:t>
      </w:r>
      <w:r w:rsidR="003B6E6D" w:rsidRPr="004E2853">
        <w:rPr>
          <w:rFonts w:ascii="Arial" w:hAnsi="Arial" w:cs="Arial"/>
          <w:color w:val="000000" w:themeColor="text1"/>
          <w:sz w:val="20"/>
          <w:szCs w:val="20"/>
        </w:rPr>
        <w:t xml:space="preserve">are reported </w:t>
      </w:r>
      <w:r w:rsidR="00B45C60" w:rsidRPr="004E2853">
        <w:rPr>
          <w:rFonts w:ascii="Arial" w:hAnsi="Arial" w:cs="Arial"/>
          <w:color w:val="000000" w:themeColor="text1"/>
          <w:sz w:val="20"/>
          <w:szCs w:val="20"/>
        </w:rPr>
        <w:t>in Figure S</w:t>
      </w:r>
      <w:r w:rsidR="003B6E6D" w:rsidRPr="004E2853">
        <w:rPr>
          <w:rFonts w:ascii="Arial" w:hAnsi="Arial" w:cs="Arial"/>
          <w:color w:val="000000" w:themeColor="text1"/>
          <w:sz w:val="20"/>
          <w:szCs w:val="20"/>
        </w:rPr>
        <w:t>3 and Table S</w:t>
      </w:r>
      <w:r w:rsidR="004B5274" w:rsidRPr="004E2853">
        <w:rPr>
          <w:rFonts w:ascii="Arial" w:hAnsi="Arial" w:cs="Arial"/>
          <w:color w:val="000000" w:themeColor="text1"/>
          <w:sz w:val="20"/>
          <w:szCs w:val="20"/>
        </w:rPr>
        <w:t>3</w:t>
      </w:r>
      <w:r w:rsidR="003B6E6D" w:rsidRPr="004E2853">
        <w:rPr>
          <w:rFonts w:ascii="Arial" w:hAnsi="Arial" w:cs="Arial"/>
          <w:color w:val="000000" w:themeColor="text1"/>
          <w:sz w:val="20"/>
          <w:szCs w:val="20"/>
        </w:rPr>
        <w:t>.</w:t>
      </w:r>
      <w:r w:rsidR="007561F3" w:rsidRPr="004E2853">
        <w:rPr>
          <w:rFonts w:ascii="Arial" w:hAnsi="Arial" w:cs="Arial"/>
          <w:color w:val="000000" w:themeColor="text1"/>
          <w:sz w:val="20"/>
          <w:szCs w:val="20"/>
        </w:rPr>
        <w:t xml:space="preserve"> Clustering by state reduced the parallel trends violation, as more </w:t>
      </w:r>
      <w:r w:rsidR="007561F3" w:rsidRPr="004E2853">
        <w:rPr>
          <w:rFonts w:ascii="Arial" w:hAnsi="Arial" w:cs="Arial"/>
          <w:color w:val="000000" w:themeColor="text1"/>
          <w:sz w:val="20"/>
          <w:szCs w:val="20"/>
        </w:rPr>
        <w:lastRenderedPageBreak/>
        <w:t>estimated coefficients for pre-treatment periods were insignificant for birthweight and GWG</w:t>
      </w:r>
      <w:r w:rsidR="00555A31" w:rsidRPr="004E2853">
        <w:rPr>
          <w:rFonts w:ascii="Arial" w:hAnsi="Arial" w:cs="Arial"/>
          <w:color w:val="000000" w:themeColor="text1"/>
          <w:sz w:val="20"/>
          <w:szCs w:val="20"/>
        </w:rPr>
        <w:t xml:space="preserve"> (Figure S3)</w:t>
      </w:r>
      <w:r w:rsidR="007561F3" w:rsidRPr="004E2853">
        <w:rPr>
          <w:rFonts w:ascii="Arial" w:hAnsi="Arial" w:cs="Arial"/>
          <w:color w:val="000000" w:themeColor="text1"/>
          <w:sz w:val="20"/>
          <w:szCs w:val="20"/>
        </w:rPr>
        <w:t>. However, the assumption is still violated to some exten</w:t>
      </w:r>
      <w:r w:rsidR="0003694C" w:rsidRPr="004E2853">
        <w:rPr>
          <w:rFonts w:ascii="Arial" w:hAnsi="Arial" w:cs="Arial"/>
          <w:color w:val="000000" w:themeColor="text1"/>
          <w:sz w:val="20"/>
          <w:szCs w:val="20"/>
        </w:rPr>
        <w:t>t</w:t>
      </w:r>
      <w:r w:rsidR="007561F3" w:rsidRPr="004E2853">
        <w:rPr>
          <w:rFonts w:ascii="Arial" w:hAnsi="Arial" w:cs="Arial"/>
          <w:color w:val="000000" w:themeColor="text1"/>
          <w:sz w:val="20"/>
          <w:szCs w:val="20"/>
        </w:rPr>
        <w:t xml:space="preserve">. Table S3 shows that our main result for birthweight remained </w:t>
      </w:r>
      <w:r w:rsidR="003B4FD5" w:rsidRPr="004E2853">
        <w:rPr>
          <w:rFonts w:ascii="Arial" w:hAnsi="Arial" w:cs="Arial"/>
          <w:color w:val="000000" w:themeColor="text1"/>
          <w:sz w:val="20"/>
          <w:szCs w:val="20"/>
        </w:rPr>
        <w:t>robust</w:t>
      </w:r>
      <w:r w:rsidR="00651888" w:rsidRPr="004E2853">
        <w:rPr>
          <w:rFonts w:ascii="Arial" w:hAnsi="Arial" w:cs="Arial"/>
          <w:color w:val="000000" w:themeColor="text1"/>
          <w:sz w:val="20"/>
          <w:szCs w:val="20"/>
        </w:rPr>
        <w:t xml:space="preserve"> to clustering</w:t>
      </w:r>
      <w:r w:rsidR="007561F3" w:rsidRPr="004E2853">
        <w:rPr>
          <w:rFonts w:ascii="Arial" w:hAnsi="Arial" w:cs="Arial"/>
          <w:color w:val="000000" w:themeColor="text1"/>
          <w:sz w:val="20"/>
          <w:szCs w:val="20"/>
        </w:rPr>
        <w:t xml:space="preserve">, </w:t>
      </w:r>
      <w:r w:rsidR="00305833" w:rsidRPr="004E2853">
        <w:rPr>
          <w:rFonts w:ascii="Arial" w:hAnsi="Arial" w:cs="Arial"/>
          <w:color w:val="000000" w:themeColor="text1"/>
          <w:sz w:val="20"/>
          <w:szCs w:val="20"/>
        </w:rPr>
        <w:t xml:space="preserve">while the </w:t>
      </w:r>
      <w:r w:rsidR="007561F3" w:rsidRPr="004E2853">
        <w:rPr>
          <w:rFonts w:ascii="Arial" w:hAnsi="Arial" w:cs="Arial"/>
          <w:color w:val="000000" w:themeColor="text1"/>
          <w:sz w:val="20"/>
          <w:szCs w:val="20"/>
        </w:rPr>
        <w:t>results for SGA and GWG were no longer significant.</w:t>
      </w:r>
      <w:r w:rsidR="006E1B7F">
        <w:rPr>
          <w:rFonts w:ascii="Arial" w:hAnsi="Arial" w:cs="Arial"/>
          <w:color w:val="000000" w:themeColor="text1"/>
          <w:sz w:val="20"/>
          <w:szCs w:val="20"/>
        </w:rPr>
        <w:t xml:space="preserve"> We additionally applied a recently developed method to test the sensitivity of our results to </w:t>
      </w:r>
      <w:r w:rsidR="00A524D0">
        <w:rPr>
          <w:rFonts w:ascii="Arial" w:hAnsi="Arial" w:cs="Arial"/>
          <w:color w:val="000000" w:themeColor="text1"/>
          <w:sz w:val="20"/>
          <w:szCs w:val="20"/>
        </w:rPr>
        <w:t>possible violations of the parallel trends assumption (i.e., the “HonestDiD” method described in the sensitivity test section below).</w:t>
      </w:r>
      <w:r w:rsidRPr="004E2853">
        <w:rPr>
          <w:rFonts w:ascii="Arial" w:hAnsi="Arial" w:cs="Arial"/>
          <w:color w:val="000000" w:themeColor="text1"/>
          <w:sz w:val="20"/>
          <w:szCs w:val="20"/>
        </w:rPr>
        <w:t>A second assumption is no differential compositional changes among the treatment and control group over time that might contribute to observed differences. We examined this assumption by running regressions with individual characteristics as the dependent variables in the models. All estimated coefficients are statistically significant, again likely due to the large sample size. This concern has been addressed by adjusting for those characteristics in our regression models to minimize the potential for confounding. In addition, D</w:t>
      </w:r>
      <w:r w:rsidR="00651888" w:rsidRPr="004E2853">
        <w:rPr>
          <w:rFonts w:ascii="Arial" w:hAnsi="Arial" w:cs="Arial"/>
          <w:color w:val="000000" w:themeColor="text1"/>
          <w:sz w:val="20"/>
          <w:szCs w:val="20"/>
        </w:rPr>
        <w:t>I</w:t>
      </w:r>
      <w:r w:rsidRPr="004E2853">
        <w:rPr>
          <w:rFonts w:ascii="Arial" w:hAnsi="Arial" w:cs="Arial"/>
          <w:color w:val="000000" w:themeColor="text1"/>
          <w:sz w:val="20"/>
          <w:szCs w:val="20"/>
        </w:rPr>
        <w:t>D analysis also relies on the assumption that no other policies changed at the same time as our policy of interest and there were no anticipation effects. To our knowledge, no other relevant WIC policies changing at the same time, and any policy changes about the Great Recession including changes in the maximum food stamp allotment were national and accounted for in our models using time fixed effects. We also note that in the main design, we are estimating the effects of the WIC revision, with treatment turning on at a single point in time. Thus, concerns raised about contamination of the estimate pre-trends or bias caused if there is heterogeneity in the effects of treatment by timing and cross-sectional unit of adoption are not relevant for the main analysis.</w:t>
      </w:r>
      <w:r w:rsidRPr="004E2853">
        <w:rPr>
          <w:rFonts w:ascii="Arial" w:hAnsi="Arial" w:cs="Arial"/>
          <w:color w:val="000000" w:themeColor="text1"/>
          <w:sz w:val="20"/>
          <w:szCs w:val="20"/>
        </w:rPr>
        <w:fldChar w:fldCharType="begin">
          <w:fldData xml:space="preserve">PEVuZE5vdGU+PENpdGU+PEF1dGhvcj5TdW48L0F1dGhvcj48WWVhcj4yMDIxPC9ZZWFyPjxSZWNO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</w:fldData>
        </w:fldChar>
      </w:r>
      <w:r w:rsidR="00860266">
        <w:rPr>
          <w:rFonts w:ascii="Arial" w:hAnsi="Arial" w:cs="Arial"/>
          <w:color w:val="000000" w:themeColor="text1"/>
          <w:sz w:val="20"/>
          <w:szCs w:val="20"/>
        </w:rPr>
        <w:instrText xml:space="preserve"> ADDIN EN.CITE </w:instrText>
      </w:r>
      <w:r w:rsidR="00860266">
        <w:rPr>
          <w:rFonts w:ascii="Arial" w:hAnsi="Arial" w:cs="Arial"/>
          <w:color w:val="000000" w:themeColor="text1"/>
          <w:sz w:val="20"/>
          <w:szCs w:val="20"/>
        </w:rPr>
        <w:fldChar w:fldCharType="begin">
          <w:fldData xml:space="preserve">PEVuZE5vdGU+PENpdGU+PEF1dGhvcj5TdW48L0F1dGhvcj48WWVhcj4yMDIxPC9ZZWFyPjxSZWNO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</w:fldData>
        </w:fldChar>
      </w:r>
      <w:r w:rsidR="00860266">
        <w:rPr>
          <w:rFonts w:ascii="Arial" w:hAnsi="Arial" w:cs="Arial"/>
          <w:color w:val="000000" w:themeColor="text1"/>
          <w:sz w:val="20"/>
          <w:szCs w:val="20"/>
        </w:rPr>
        <w:instrText xml:space="preserve"> ADDIN EN.CITE.DATA </w:instrText>
      </w:r>
      <w:r w:rsidR="00860266">
        <w:rPr>
          <w:rFonts w:ascii="Arial" w:hAnsi="Arial" w:cs="Arial"/>
          <w:color w:val="000000" w:themeColor="text1"/>
          <w:sz w:val="20"/>
          <w:szCs w:val="20"/>
        </w:rPr>
      </w:r>
      <w:r w:rsidR="00860266">
        <w:rPr>
          <w:rFonts w:ascii="Arial" w:hAnsi="Arial" w:cs="Arial"/>
          <w:color w:val="000000" w:themeColor="text1"/>
          <w:sz w:val="20"/>
          <w:szCs w:val="20"/>
        </w:rPr>
        <w:fldChar w:fldCharType="end"/>
      </w:r>
      <w:r w:rsidRPr="004E2853">
        <w:rPr>
          <w:rFonts w:ascii="Arial" w:hAnsi="Arial" w:cs="Arial"/>
          <w:color w:val="000000" w:themeColor="text1"/>
          <w:sz w:val="20"/>
          <w:szCs w:val="20"/>
        </w:rPr>
      </w:r>
      <w:r w:rsidRPr="004E2853">
        <w:rPr>
          <w:rFonts w:ascii="Arial" w:hAnsi="Arial" w:cs="Arial"/>
          <w:color w:val="000000" w:themeColor="text1"/>
          <w:sz w:val="20"/>
          <w:szCs w:val="20"/>
        </w:rPr>
        <w:fldChar w:fldCharType="separate"/>
      </w:r>
      <w:r w:rsidR="00860266">
        <w:rPr>
          <w:rFonts w:ascii="Arial" w:hAnsi="Arial" w:cs="Arial"/>
          <w:noProof/>
          <w:color w:val="000000" w:themeColor="text1"/>
          <w:sz w:val="20"/>
          <w:szCs w:val="20"/>
        </w:rPr>
        <w:t>(Callaway &amp; Sant’Anna, 2021; De Chaisemartin &amp; D’Haultfoeuille, 2020; Sun &amp; Abraham, 2021)</w:t>
      </w:r>
      <w:r w:rsidRPr="004E2853">
        <w:rPr>
          <w:rFonts w:ascii="Arial" w:hAnsi="Arial" w:cs="Arial"/>
          <w:color w:val="000000" w:themeColor="text1"/>
          <w:sz w:val="20"/>
          <w:szCs w:val="20"/>
        </w:rPr>
        <w:fldChar w:fldCharType="end"/>
      </w:r>
    </w:p>
    <w:p w14:paraId="3879B9AF" w14:textId="77777777" w:rsidR="004E3739" w:rsidRPr="004E2853" w:rsidRDefault="004E3739" w:rsidP="00F84A48">
      <w:pPr>
        <w:tabs>
          <w:tab w:val="left" w:pos="2959"/>
        </w:tabs>
        <w:spacing w:line="480" w:lineRule="auto"/>
        <w:rPr>
          <w:rFonts w:ascii="Arial" w:hAnsi="Arial" w:cs="Arial"/>
          <w:color w:val="000000" w:themeColor="text1"/>
          <w:sz w:val="20"/>
          <w:szCs w:val="20"/>
        </w:rPr>
      </w:pPr>
    </w:p>
    <w:p w14:paraId="30D54F28" w14:textId="77777777" w:rsidR="004E3739" w:rsidRPr="004E2853" w:rsidRDefault="004E3739" w:rsidP="00F84A48">
      <w:pPr>
        <w:tabs>
          <w:tab w:val="left" w:pos="2959"/>
        </w:tabs>
        <w:spacing w:line="480" w:lineRule="auto"/>
        <w:rPr>
          <w:rFonts w:ascii="Arial" w:hAnsi="Arial" w:cs="Arial"/>
          <w:i/>
          <w:iCs/>
          <w:color w:val="000000" w:themeColor="text1"/>
          <w:sz w:val="20"/>
          <w:szCs w:val="20"/>
          <w:u w:val="single"/>
        </w:rPr>
      </w:pPr>
      <w:r w:rsidRPr="004E2853">
        <w:rPr>
          <w:rFonts w:ascii="Arial" w:hAnsi="Arial" w:cs="Arial"/>
          <w:i/>
          <w:iCs/>
          <w:color w:val="000000" w:themeColor="text1"/>
          <w:sz w:val="20"/>
          <w:szCs w:val="20"/>
          <w:u w:val="single"/>
        </w:rPr>
        <w:t xml:space="preserve">Sensitivity tests </w:t>
      </w:r>
    </w:p>
    <w:p w14:paraId="29F085C7" w14:textId="4AB5E15B" w:rsidR="00D15930" w:rsidRDefault="004E3739" w:rsidP="00F84A48">
      <w:pPr>
        <w:tabs>
          <w:tab w:val="left" w:pos="2959"/>
        </w:tabs>
        <w:spacing w:line="480" w:lineRule="auto"/>
        <w:rPr>
          <w:rFonts w:ascii="Arial" w:hAnsi="Arial" w:cs="Arial"/>
          <w:color w:val="000000" w:themeColor="text1"/>
          <w:sz w:val="20"/>
          <w:szCs w:val="20"/>
        </w:rPr>
      </w:pPr>
      <w:r w:rsidRPr="004E2853">
        <w:rPr>
          <w:rFonts w:ascii="Arial" w:hAnsi="Arial" w:cs="Arial"/>
          <w:color w:val="000000" w:themeColor="text1"/>
          <w:sz w:val="20"/>
          <w:szCs w:val="20"/>
        </w:rPr>
        <w:t xml:space="preserve">First, we considered a higher threshold for the imputed cutoff of WIC eligibility, classifying women as WIC-eligible if the predicted probability of being eligible was greater than 0.8, and then running the same DID analysis. Second, we recoded the post-period to April 2009, using the cutoff date of the earliest adopting states to define exposure (New York and Delaware adopted the new package in January 2009, therefore second trimester started in April 2009). Third, we included different lengths of pre-treatment periods in the main model. </w:t>
      </w:r>
      <w:r w:rsidR="007F7260">
        <w:rPr>
          <w:rFonts w:ascii="Arial" w:hAnsi="Arial" w:cs="Arial"/>
          <w:color w:val="000000" w:themeColor="text1"/>
          <w:sz w:val="20"/>
          <w:szCs w:val="20"/>
        </w:rPr>
        <w:t xml:space="preserve">Specifically, </w:t>
      </w:r>
      <w:r w:rsidR="007F7260" w:rsidRPr="004E2853">
        <w:rPr>
          <w:rFonts w:ascii="Arial" w:hAnsi="Arial" w:cs="Arial"/>
          <w:color w:val="000000" w:themeColor="text1"/>
          <w:sz w:val="20"/>
          <w:szCs w:val="20"/>
        </w:rPr>
        <w:t xml:space="preserve">we ran the analogous analyses on two additional samples: (1) including mothers who lived in states that implemented the new birth certificate in or before 2007, which </w:t>
      </w:r>
      <w:r w:rsidR="007F7260" w:rsidRPr="004E2853">
        <w:rPr>
          <w:rFonts w:ascii="Arial" w:hAnsi="Arial" w:cs="Arial"/>
          <w:color w:val="000000" w:themeColor="text1"/>
          <w:sz w:val="20"/>
          <w:szCs w:val="20"/>
        </w:rPr>
        <w:lastRenderedPageBreak/>
        <w:t>allowed us to include one more year of pre-revision periods but reduced the number of states in the analysis to 24; and (2) including mothers who lived in states that implemented the new birth certificate in or before 2006, which allowed us to include two more year of pre-revision periods but reduced the number of states in the analysis to 18</w:t>
      </w:r>
      <w:r w:rsidR="00A62435">
        <w:rPr>
          <w:rFonts w:ascii="Arial" w:hAnsi="Arial" w:cs="Arial"/>
          <w:color w:val="000000" w:themeColor="text1"/>
          <w:sz w:val="20"/>
          <w:szCs w:val="20"/>
        </w:rPr>
        <w:t xml:space="preserve">. Finally, we </w:t>
      </w:r>
      <w:r w:rsidR="00A62435" w:rsidRPr="00B82EE0">
        <w:rPr>
          <w:rFonts w:ascii="Arial" w:hAnsi="Arial" w:cs="Arial"/>
          <w:color w:val="000000" w:themeColor="text1"/>
          <w:sz w:val="20"/>
          <w:szCs w:val="20"/>
        </w:rPr>
        <w:t>conducted HonestDiD</w:t>
      </w:r>
      <w:r w:rsidR="00A62435">
        <w:rPr>
          <w:rFonts w:ascii="Arial" w:hAnsi="Arial" w:cs="Arial"/>
          <w:color w:val="000000" w:themeColor="text1"/>
          <w:sz w:val="20"/>
          <w:szCs w:val="20"/>
        </w:rPr>
        <w:t xml:space="preserve"> analysis,</w:t>
      </w:r>
      <w:r w:rsidR="00A62435">
        <w:rPr>
          <w:rFonts w:ascii="Arial" w:hAnsi="Arial" w:cs="Arial"/>
          <w:color w:val="000000" w:themeColor="text1"/>
          <w:sz w:val="20"/>
          <w:szCs w:val="20"/>
        </w:rPr>
        <w:fldChar w:fldCharType="begin"/>
      </w:r>
      <w:r w:rsidR="00A62435">
        <w:rPr>
          <w:rFonts w:ascii="Arial" w:hAnsi="Arial" w:cs="Arial"/>
          <w:color w:val="000000" w:themeColor="text1"/>
          <w:sz w:val="20"/>
          <w:szCs w:val="20"/>
        </w:rPr>
        <w:instrText xml:space="preserve"> ADDIN EN.CITE &lt;EndNote&gt;&lt;Cite&gt;&lt;Author&gt;Rambachan&lt;/Author&gt;&lt;Year&gt;2023&lt;/Year&gt;&lt;RecNum&gt;420&lt;/RecNum&gt;&lt;DisplayText&gt;(Rambachan &amp;amp; Roth, 2023)&lt;/DisplayText&gt;&lt;record&gt;&lt;rec-number&gt;420&lt;/rec-number&gt;&lt;foreign-keys&gt;&lt;key app="EN" db-id="zxswwdxf4wp52jev9aq50t5ft9wfzzv9xass" timestamp="1688584025"&gt;420&lt;/key&gt;&lt;/foreign-keys&gt;&lt;ref-type name="Journal Article"&gt;17&lt;/ref-type&gt;&lt;contributors&gt;&lt;authors&gt;&lt;author&gt;Rambachan, Ashesh&lt;/author&gt;&lt;author&gt;Roth, Jonathan&lt;/author&gt;&lt;/authors&gt;&lt;/contributors&gt;&lt;titles&gt;&lt;title&gt;A more credible approach to parallel trends&lt;/title&gt;&lt;secondary-title&gt;Review of Economic Studies&lt;/secondary-title&gt;&lt;/titles&gt;&lt;periodical&gt;&lt;full-title&gt;Review of Economic Studies&lt;/full-title&gt;&lt;/periodical&gt;&lt;pages&gt;rdad018&lt;/pages&gt;&lt;dates&gt;&lt;year&gt;2023&lt;/year&gt;&lt;/dates&gt;&lt;isbn&gt;0034-6527&lt;/isbn&gt;&lt;urls&gt;&lt;/urls&gt;&lt;/record&gt;&lt;/Cite&gt;&lt;/EndNote&gt;</w:instrText>
      </w:r>
      <w:r w:rsidR="00A62435">
        <w:rPr>
          <w:rFonts w:ascii="Arial" w:hAnsi="Arial" w:cs="Arial"/>
          <w:color w:val="000000" w:themeColor="text1"/>
          <w:sz w:val="20"/>
          <w:szCs w:val="20"/>
        </w:rPr>
        <w:fldChar w:fldCharType="separate"/>
      </w:r>
      <w:r w:rsidR="00A62435">
        <w:rPr>
          <w:rFonts w:ascii="Arial" w:hAnsi="Arial" w:cs="Arial"/>
          <w:noProof/>
          <w:color w:val="000000" w:themeColor="text1"/>
          <w:sz w:val="20"/>
          <w:szCs w:val="20"/>
        </w:rPr>
        <w:t>(Rambachan &amp; Roth, 2023)</w:t>
      </w:r>
      <w:r w:rsidR="00A62435">
        <w:rPr>
          <w:rFonts w:ascii="Arial" w:hAnsi="Arial" w:cs="Arial"/>
          <w:color w:val="000000" w:themeColor="text1"/>
          <w:sz w:val="20"/>
          <w:szCs w:val="20"/>
        </w:rPr>
        <w:fldChar w:fldCharType="end"/>
      </w:r>
      <w:r w:rsidR="00A62435">
        <w:rPr>
          <w:rFonts w:ascii="Arial" w:hAnsi="Arial" w:cs="Arial"/>
          <w:color w:val="000000" w:themeColor="text1"/>
          <w:sz w:val="20"/>
          <w:szCs w:val="20"/>
        </w:rPr>
        <w:t xml:space="preserve"> a recently developed method </w:t>
      </w:r>
      <w:r w:rsidR="00A62435" w:rsidRPr="00A7019B">
        <w:rPr>
          <w:rFonts w:ascii="Arial" w:hAnsi="Arial" w:cs="Arial"/>
          <w:color w:val="000000" w:themeColor="text1"/>
          <w:sz w:val="20"/>
          <w:szCs w:val="20"/>
        </w:rPr>
        <w:t>for assessing the sensitivity of treatment effects to potential violations of the parallel trends assumption</w:t>
      </w:r>
      <w:r w:rsidR="00A62435" w:rsidRPr="00B82EE0">
        <w:rPr>
          <w:rFonts w:ascii="Arial" w:hAnsi="Arial" w:cs="Arial"/>
          <w:color w:val="000000" w:themeColor="text1"/>
          <w:sz w:val="20"/>
          <w:szCs w:val="20"/>
        </w:rPr>
        <w:t xml:space="preserve">. </w:t>
      </w:r>
      <w:r w:rsidR="00A62435">
        <w:rPr>
          <w:rFonts w:ascii="Arial" w:hAnsi="Arial" w:cs="Arial"/>
          <w:color w:val="000000" w:themeColor="text1"/>
          <w:sz w:val="20"/>
          <w:szCs w:val="20"/>
        </w:rPr>
        <w:t xml:space="preserve">The method imposes restrictions that bound the magnitude of post-treatment violations of parallel trends to be </w:t>
      </w:r>
      <m:oMath>
        <m:acc>
          <m:accPr>
            <m:chr m:val="̅"/>
            <m:ctrlPr>
              <w:rPr>
                <w:rFonts w:ascii="Cambria Math" w:hAnsi="Cambria Math" w:cs="Arial"/>
                <w:i/>
                <w:color w:val="000000" w:themeColor="text1"/>
                <w:sz w:val="20"/>
                <w:szCs w:val="20"/>
              </w:rPr>
            </m:ctrlPr>
          </m:accPr>
          <m:e>
            <m:r>
              <w:rPr>
                <w:rFonts w:ascii="Cambria Math" w:hAnsi="Cambria Math" w:cs="Arial"/>
                <w:color w:val="000000" w:themeColor="text1"/>
                <w:sz w:val="20"/>
                <w:szCs w:val="20"/>
              </w:rPr>
              <m:t>M</m:t>
            </m:r>
          </m:e>
        </m:acc>
      </m:oMath>
      <w:r w:rsidR="00A62435">
        <w:rPr>
          <w:rFonts w:ascii="Arial" w:hAnsi="Arial" w:cs="Arial"/>
          <w:color w:val="000000" w:themeColor="text1"/>
          <w:sz w:val="20"/>
          <w:szCs w:val="20"/>
        </w:rPr>
        <w:t xml:space="preserve"> times the maximum violation observed in the pre-treatment period. Sensitivity tests are then performed to a</w:t>
      </w:r>
      <w:r w:rsidR="00D15930">
        <w:rPr>
          <w:rFonts w:ascii="Arial" w:hAnsi="Arial" w:cs="Arial"/>
          <w:color w:val="000000" w:themeColor="text1"/>
          <w:sz w:val="20"/>
          <w:szCs w:val="20"/>
        </w:rPr>
        <w:t>ssess</w:t>
      </w:r>
      <w:r w:rsidR="00A62435">
        <w:rPr>
          <w:rFonts w:ascii="Arial" w:hAnsi="Arial" w:cs="Arial"/>
          <w:color w:val="000000" w:themeColor="text1"/>
          <w:sz w:val="20"/>
          <w:szCs w:val="20"/>
        </w:rPr>
        <w:t xml:space="preserve"> the robustness of</w:t>
      </w:r>
      <w:r w:rsidR="00D15930">
        <w:rPr>
          <w:rFonts w:ascii="Arial" w:hAnsi="Arial" w:cs="Arial"/>
          <w:color w:val="000000" w:themeColor="text1"/>
          <w:sz w:val="20"/>
          <w:szCs w:val="20"/>
        </w:rPr>
        <w:t xml:space="preserve"> the</w:t>
      </w:r>
      <w:r w:rsidR="00A62435">
        <w:rPr>
          <w:rFonts w:ascii="Arial" w:hAnsi="Arial" w:cs="Arial"/>
          <w:color w:val="000000" w:themeColor="text1"/>
          <w:sz w:val="20"/>
          <w:szCs w:val="20"/>
        </w:rPr>
        <w:t xml:space="preserve"> treatment effect across a range of</w:t>
      </w:r>
      <w:r w:rsidR="00D15930">
        <w:rPr>
          <w:rFonts w:ascii="Arial" w:hAnsi="Arial" w:cs="Arial"/>
          <w:color w:val="000000" w:themeColor="text1"/>
          <w:sz w:val="20"/>
          <w:szCs w:val="20"/>
        </w:rPr>
        <w:t xml:space="preserve"> values of</w:t>
      </w:r>
      <w:r w:rsidR="00A62435">
        <w:rPr>
          <w:rFonts w:ascii="Arial" w:hAnsi="Arial" w:cs="Arial"/>
          <w:color w:val="000000" w:themeColor="text1"/>
          <w:sz w:val="20"/>
          <w:szCs w:val="20"/>
        </w:rPr>
        <w:t xml:space="preserve"> </w:t>
      </w:r>
      <m:oMath>
        <m:acc>
          <m:accPr>
            <m:chr m:val="̅"/>
            <m:ctrlPr>
              <w:rPr>
                <w:rFonts w:ascii="Cambria Math" w:hAnsi="Cambria Math" w:cs="Arial"/>
                <w:i/>
                <w:color w:val="000000" w:themeColor="text1"/>
                <w:sz w:val="20"/>
                <w:szCs w:val="20"/>
              </w:rPr>
            </m:ctrlPr>
          </m:accPr>
          <m:e>
            <m:r>
              <w:rPr>
                <w:rFonts w:ascii="Cambria Math" w:hAnsi="Cambria Math" w:cs="Arial"/>
                <w:color w:val="000000" w:themeColor="text1"/>
                <w:sz w:val="20"/>
                <w:szCs w:val="20"/>
              </w:rPr>
              <m:t>M</m:t>
            </m:r>
          </m:e>
        </m:acc>
      </m:oMath>
      <w:r w:rsidR="00A62435">
        <w:rPr>
          <w:rFonts w:ascii="Arial" w:hAnsi="Arial" w:cs="Arial"/>
          <w:color w:val="000000" w:themeColor="text1"/>
          <w:sz w:val="20"/>
          <w:szCs w:val="20"/>
        </w:rPr>
        <w:t xml:space="preserve">. </w:t>
      </w:r>
      <w:r w:rsidR="00A62435" w:rsidRPr="00A7019B">
        <w:rPr>
          <w:rFonts w:ascii="Arial" w:hAnsi="Arial" w:cs="Arial"/>
          <w:color w:val="000000" w:themeColor="text1"/>
          <w:sz w:val="20"/>
          <w:szCs w:val="20"/>
        </w:rPr>
        <w:t>Conclusions can be drawn about the robustness of the result</w:t>
      </w:r>
      <w:r w:rsidR="00A62435">
        <w:rPr>
          <w:rFonts w:ascii="Arial" w:hAnsi="Arial" w:cs="Arial"/>
          <w:color w:val="000000" w:themeColor="text1"/>
          <w:sz w:val="20"/>
          <w:szCs w:val="20"/>
        </w:rPr>
        <w:t xml:space="preserve">, allowing for violations of parallel trends up to </w:t>
      </w:r>
      <m:oMath>
        <m:acc>
          <m:accPr>
            <m:chr m:val="̅"/>
            <m:ctrlPr>
              <w:rPr>
                <w:rFonts w:ascii="Cambria Math" w:hAnsi="Cambria Math" w:cs="Arial"/>
                <w:i/>
                <w:color w:val="000000" w:themeColor="text1"/>
                <w:sz w:val="20"/>
                <w:szCs w:val="20"/>
              </w:rPr>
            </m:ctrlPr>
          </m:accPr>
          <m:e>
            <m:r>
              <w:rPr>
                <w:rFonts w:ascii="Cambria Math" w:hAnsi="Cambria Math" w:cs="Arial"/>
                <w:color w:val="000000" w:themeColor="text1"/>
                <w:sz w:val="20"/>
                <w:szCs w:val="20"/>
              </w:rPr>
              <m:t>M</m:t>
            </m:r>
          </m:e>
        </m:acc>
      </m:oMath>
      <w:r w:rsidR="00A62435">
        <w:rPr>
          <w:rFonts w:ascii="Arial" w:hAnsi="Arial" w:cs="Arial"/>
          <w:color w:val="000000" w:themeColor="text1"/>
          <w:sz w:val="20"/>
          <w:szCs w:val="20"/>
        </w:rPr>
        <w:t xml:space="preserve"> times the maximum violation in the pre-treatment period</w:t>
      </w:r>
      <w:r w:rsidR="00D15930">
        <w:rPr>
          <w:rFonts w:ascii="Arial" w:hAnsi="Arial" w:cs="Arial"/>
          <w:color w:val="000000" w:themeColor="text1"/>
          <w:sz w:val="20"/>
          <w:szCs w:val="20"/>
        </w:rPr>
        <w:t xml:space="preserve"> (known as the “breakdown value”)</w:t>
      </w:r>
      <w:r w:rsidR="00A62435">
        <w:rPr>
          <w:rFonts w:ascii="Arial" w:hAnsi="Arial" w:cs="Arial"/>
          <w:color w:val="000000" w:themeColor="text1"/>
          <w:sz w:val="20"/>
          <w:szCs w:val="20"/>
        </w:rPr>
        <w:t xml:space="preserve">. </w:t>
      </w:r>
    </w:p>
    <w:p w14:paraId="70305890" w14:textId="6A847768" w:rsidR="00A62435" w:rsidRDefault="004E3739" w:rsidP="00F84A48">
      <w:pPr>
        <w:tabs>
          <w:tab w:val="left" w:pos="2959"/>
        </w:tabs>
        <w:spacing w:line="480" w:lineRule="auto"/>
        <w:rPr>
          <w:rFonts w:ascii="Arial" w:hAnsi="Arial" w:cs="Arial"/>
          <w:color w:val="000000" w:themeColor="text1"/>
          <w:sz w:val="20"/>
          <w:szCs w:val="20"/>
        </w:rPr>
      </w:pPr>
      <w:r w:rsidRPr="004E2853">
        <w:rPr>
          <w:rFonts w:ascii="Arial" w:hAnsi="Arial" w:cs="Arial"/>
          <w:color w:val="000000" w:themeColor="text1"/>
          <w:sz w:val="20"/>
          <w:szCs w:val="20"/>
        </w:rPr>
        <w:t xml:space="preserve"> </w:t>
      </w:r>
    </w:p>
    <w:p w14:paraId="0197E444" w14:textId="38934AE9" w:rsidR="004E3739" w:rsidRPr="004E2853" w:rsidRDefault="00A62435" w:rsidP="00F84A48">
      <w:pPr>
        <w:spacing w:line="480" w:lineRule="auto"/>
        <w:ind w:firstLine="720"/>
        <w:rPr>
          <w:rFonts w:ascii="Arial" w:hAnsi="Arial" w:cs="Arial"/>
          <w:color w:val="000000" w:themeColor="text1"/>
          <w:sz w:val="20"/>
          <w:szCs w:val="20"/>
        </w:rPr>
      </w:pPr>
      <w:r>
        <w:rPr>
          <w:rFonts w:ascii="Arial" w:hAnsi="Arial" w:cs="Arial"/>
          <w:color w:val="000000" w:themeColor="text1"/>
          <w:sz w:val="20"/>
          <w:szCs w:val="20"/>
        </w:rPr>
        <w:t xml:space="preserve">We additionally examined of an additional generalized DID analysis to leverage the staggered timing of adoption of the WIC food package across states. </w:t>
      </w:r>
      <w:r w:rsidR="004E3739" w:rsidRPr="004E2853">
        <w:rPr>
          <w:rFonts w:ascii="Arial" w:hAnsi="Arial" w:cs="Arial"/>
          <w:color w:val="000000" w:themeColor="text1"/>
          <w:sz w:val="20"/>
          <w:szCs w:val="20"/>
        </w:rPr>
        <w:t>The additional generalized DID model (or “Two-way fixed effects” model) was implemented by running the following regression among the predicted WIC-eligible women:</w:t>
      </w:r>
    </w:p>
    <w:p w14:paraId="3B1CA7EC" w14:textId="77777777" w:rsidR="004E3739" w:rsidRPr="004E2853" w:rsidRDefault="004E3739" w:rsidP="00F84A48">
      <w:pPr>
        <w:spacing w:line="480" w:lineRule="auto"/>
        <w:rPr>
          <w:rFonts w:ascii="Arial" w:hAnsi="Arial" w:cs="Arial"/>
          <w:iCs/>
          <w:color w:val="000000" w:themeColor="text1"/>
          <w:sz w:val="20"/>
          <w:szCs w:val="20"/>
        </w:rPr>
      </w:pPr>
    </w:p>
    <w:p w14:paraId="5562E171" w14:textId="77777777" w:rsidR="004E3739" w:rsidRPr="004E2853" w:rsidRDefault="00000000" w:rsidP="00F84A48">
      <w:pPr>
        <w:spacing w:line="480" w:lineRule="auto"/>
        <w:rPr>
          <w:rFonts w:ascii="Arial" w:hAnsi="Arial" w:cs="Arial"/>
          <w:iCs/>
          <w:color w:val="000000" w:themeColor="text1"/>
          <w:sz w:val="20"/>
          <w:szCs w:val="20"/>
        </w:rPr>
      </w:pPr>
      <m:oMathPara>
        <m:oMath>
          <m:sSub>
            <m:sSubPr>
              <m:ctrlPr>
                <w:rPr>
                  <w:rFonts w:ascii="Cambria Math" w:hAnsi="Cambria Math" w:cs="Arial"/>
                  <w:i/>
                  <w:iCs/>
                  <w:color w:val="000000" w:themeColor="text1"/>
                  <w:sz w:val="20"/>
                  <w:szCs w:val="20"/>
                </w:rPr>
              </m:ctrlPr>
            </m:sSubPr>
            <m:e>
              <m:r>
                <w:rPr>
                  <w:rFonts w:ascii="Cambria Math" w:hAnsi="Cambria Math" w:cs="Arial"/>
                  <w:color w:val="000000" w:themeColor="text1"/>
                  <w:sz w:val="20"/>
                  <w:szCs w:val="20"/>
                </w:rPr>
                <m:t>Y</m:t>
              </m:r>
            </m:e>
            <m:sub>
              <m:r>
                <w:rPr>
                  <w:rFonts w:ascii="Cambria Math" w:hAnsi="Cambria Math" w:cs="Arial"/>
                  <w:color w:val="000000" w:themeColor="text1"/>
                  <w:sz w:val="20"/>
                  <w:szCs w:val="20"/>
                </w:rPr>
                <m:t>ist</m:t>
              </m:r>
            </m:sub>
          </m:sSub>
          <m:r>
            <w:rPr>
              <w:rFonts w:ascii="Cambria Math" w:hAnsi="Cambria Math" w:cs="Arial"/>
              <w:color w:val="000000" w:themeColor="text1"/>
              <w:sz w:val="20"/>
              <w:szCs w:val="20"/>
            </w:rPr>
            <m:t>= </m:t>
          </m:r>
          <m:sSub>
            <m:sSubPr>
              <m:ctrlPr>
                <w:rPr>
                  <w:rFonts w:ascii="Cambria Math" w:hAnsi="Cambria Math" w:cs="Arial"/>
                  <w:i/>
                  <w:iCs/>
                  <w:color w:val="000000" w:themeColor="text1"/>
                  <w:sz w:val="20"/>
                  <w:szCs w:val="20"/>
                </w:rPr>
              </m:ctrlPr>
            </m:sSubPr>
            <m:e>
              <m:r>
                <m:rPr>
                  <m:nor/>
                </m:rPr>
                <w:rPr>
                  <w:rFonts w:ascii="Arial" w:hAnsi="Arial" w:cs="Arial"/>
                  <w:i/>
                  <w:color w:val="000000" w:themeColor="text1"/>
                  <w:sz w:val="20"/>
                  <w:szCs w:val="20"/>
                </w:rPr>
                <m:t>β</m:t>
              </m:r>
            </m:e>
            <m:sub>
              <m:r>
                <w:rPr>
                  <w:rFonts w:ascii="Cambria Math" w:hAnsi="Cambria Math" w:cs="Arial"/>
                  <w:color w:val="000000" w:themeColor="text1"/>
                  <w:sz w:val="20"/>
                  <w:szCs w:val="20"/>
                </w:rPr>
                <m:t>0</m:t>
              </m:r>
            </m:sub>
          </m:sSub>
          <m:r>
            <w:rPr>
              <w:rFonts w:ascii="Cambria Math" w:hAnsi="Cambria Math" w:cs="Arial"/>
              <w:color w:val="000000" w:themeColor="text1"/>
              <w:sz w:val="20"/>
              <w:szCs w:val="20"/>
            </w:rPr>
            <m:t>+</m:t>
          </m:r>
          <m:sSub>
            <m:sSubPr>
              <m:ctrlPr>
                <w:rPr>
                  <w:rFonts w:ascii="Cambria Math" w:hAnsi="Cambria Math" w:cs="Arial"/>
                  <w:i/>
                  <w:iCs/>
                  <w:color w:val="000000" w:themeColor="text1"/>
                  <w:sz w:val="20"/>
                  <w:szCs w:val="20"/>
                </w:rPr>
              </m:ctrlPr>
            </m:sSubPr>
            <m:e>
              <m:r>
                <m:rPr>
                  <m:nor/>
                </m:rPr>
                <w:rPr>
                  <w:rFonts w:ascii="Arial" w:hAnsi="Arial" w:cs="Arial"/>
                  <w:i/>
                  <w:color w:val="000000" w:themeColor="text1"/>
                  <w:sz w:val="20"/>
                  <w:szCs w:val="20"/>
                </w:rPr>
                <m:t>β</m:t>
              </m:r>
            </m:e>
            <m:sub>
              <m:r>
                <w:rPr>
                  <w:rFonts w:ascii="Cambria Math" w:hAnsi="Cambria Math" w:cs="Arial"/>
                  <w:color w:val="000000" w:themeColor="text1"/>
                  <w:sz w:val="20"/>
                  <w:szCs w:val="20"/>
                </w:rPr>
                <m:t>1</m:t>
              </m:r>
            </m:sub>
          </m:sSub>
          <m:sSub>
            <m:sSubPr>
              <m:ctrlPr>
                <w:rPr>
                  <w:rFonts w:ascii="Cambria Math" w:hAnsi="Cambria Math" w:cs="Arial"/>
                  <w:i/>
                  <w:iCs/>
                  <w:color w:val="000000" w:themeColor="text1"/>
                  <w:sz w:val="20"/>
                  <w:szCs w:val="20"/>
                </w:rPr>
              </m:ctrlPr>
            </m:sSubPr>
            <m:e>
              <m:r>
                <m:rPr>
                  <m:nor/>
                </m:rPr>
                <w:rPr>
                  <w:rFonts w:ascii="Arial" w:hAnsi="Arial" w:cs="Arial"/>
                  <w:i/>
                  <w:iCs/>
                  <w:color w:val="000000" w:themeColor="text1"/>
                  <w:sz w:val="20"/>
                  <w:szCs w:val="20"/>
                </w:rPr>
                <m:t>T</m:t>
              </m:r>
            </m:e>
            <m:sub>
              <m:r>
                <w:rPr>
                  <w:rFonts w:ascii="Cambria Math" w:hAnsi="Cambria Math" w:cs="Arial"/>
                  <w:color w:val="000000" w:themeColor="text1"/>
                  <w:sz w:val="20"/>
                  <w:szCs w:val="20"/>
                </w:rPr>
                <m:t>ijt</m:t>
              </m:r>
            </m:sub>
          </m:sSub>
          <m:r>
            <w:rPr>
              <w:rFonts w:ascii="Cambria Math" w:hAnsi="Cambria Math" w:cs="Arial"/>
              <w:color w:val="000000" w:themeColor="text1"/>
              <w:sz w:val="20"/>
              <w:szCs w:val="20"/>
            </w:rPr>
            <m:t>+</m:t>
          </m:r>
          <m:sSub>
            <m:sSubPr>
              <m:ctrlPr>
                <w:rPr>
                  <w:rFonts w:ascii="Cambria Math" w:hAnsi="Cambria Math" w:cs="Arial"/>
                  <w:i/>
                  <w:iCs/>
                  <w:color w:val="000000" w:themeColor="text1"/>
                  <w:sz w:val="20"/>
                  <w:szCs w:val="20"/>
                </w:rPr>
              </m:ctrlPr>
            </m:sSubPr>
            <m:e>
              <m:r>
                <m:rPr>
                  <m:nor/>
                </m:rPr>
                <w:rPr>
                  <w:rFonts w:ascii="Arial" w:hAnsi="Arial" w:cs="Arial"/>
                  <w:i/>
                  <w:color w:val="000000" w:themeColor="text1"/>
                  <w:sz w:val="20"/>
                  <w:szCs w:val="20"/>
                </w:rPr>
                <m:t>β</m:t>
              </m:r>
            </m:e>
            <m:sub>
              <m:r>
                <w:rPr>
                  <w:rFonts w:ascii="Cambria Math" w:hAnsi="Cambria Math" w:cs="Arial"/>
                  <w:color w:val="000000" w:themeColor="text1"/>
                  <w:sz w:val="20"/>
                  <w:szCs w:val="20"/>
                </w:rPr>
                <m:t>2</m:t>
              </m:r>
            </m:sub>
          </m:sSub>
          <m:sSub>
            <m:sSubPr>
              <m:ctrlPr>
                <w:rPr>
                  <w:rFonts w:ascii="Cambria Math" w:hAnsi="Cambria Math" w:cs="Arial"/>
                  <w:i/>
                  <w:iCs/>
                  <w:color w:val="000000" w:themeColor="text1"/>
                  <w:sz w:val="20"/>
                  <w:szCs w:val="20"/>
                </w:rPr>
              </m:ctrlPr>
            </m:sSubPr>
            <m:e>
              <m:r>
                <m:rPr>
                  <m:nor/>
                </m:rPr>
                <w:rPr>
                  <w:rFonts w:ascii="Arial" w:hAnsi="Arial" w:cs="Arial"/>
                  <w:i/>
                  <w:iCs/>
                  <w:color w:val="000000" w:themeColor="text1"/>
                  <w:sz w:val="20"/>
                  <w:szCs w:val="20"/>
                </w:rPr>
                <m:t>X</m:t>
              </m:r>
            </m:e>
            <m:sub>
              <m:r>
                <w:rPr>
                  <w:rFonts w:ascii="Cambria Math" w:hAnsi="Cambria Math" w:cs="Arial"/>
                  <w:color w:val="000000" w:themeColor="text1"/>
                  <w:sz w:val="20"/>
                  <w:szCs w:val="20"/>
                </w:rPr>
                <m:t>ist</m:t>
              </m:r>
            </m:sub>
          </m:sSub>
          <m:r>
            <w:rPr>
              <w:rFonts w:ascii="Cambria Math" w:hAnsi="Cambria Math" w:cs="Arial"/>
              <w:color w:val="000000" w:themeColor="text1"/>
              <w:sz w:val="20"/>
              <w:szCs w:val="20"/>
            </w:rPr>
            <m:t>+</m:t>
          </m:r>
          <m:sSub>
            <m:sSubPr>
              <m:ctrlPr>
                <w:rPr>
                  <w:rFonts w:ascii="Cambria Math" w:hAnsi="Cambria Math" w:cs="Arial"/>
                  <w:i/>
                  <w:iCs/>
                  <w:color w:val="000000" w:themeColor="text1"/>
                  <w:sz w:val="20"/>
                  <w:szCs w:val="20"/>
                </w:rPr>
              </m:ctrlPr>
            </m:sSubPr>
            <m:e>
              <m:r>
                <m:rPr>
                  <m:nor/>
                </m:rPr>
                <w:rPr>
                  <w:rFonts w:ascii="Arial" w:hAnsi="Arial" w:cs="Arial"/>
                  <w:i/>
                  <w:color w:val="000000" w:themeColor="text1"/>
                  <w:sz w:val="20"/>
                  <w:szCs w:val="20"/>
                </w:rPr>
                <m:t>β</m:t>
              </m:r>
            </m:e>
            <m:sub>
              <m:r>
                <w:rPr>
                  <w:rFonts w:ascii="Cambria Math" w:hAnsi="Cambria Math" w:cs="Arial"/>
                  <w:color w:val="000000" w:themeColor="text1"/>
                  <w:sz w:val="20"/>
                  <w:szCs w:val="20"/>
                </w:rPr>
                <m:t>3</m:t>
              </m:r>
            </m:sub>
          </m:sSub>
          <m:sSub>
            <m:sSubPr>
              <m:ctrlPr>
                <w:rPr>
                  <w:rFonts w:ascii="Cambria Math" w:hAnsi="Cambria Math" w:cs="Arial"/>
                  <w:i/>
                  <w:iCs/>
                  <w:color w:val="000000" w:themeColor="text1"/>
                  <w:sz w:val="20"/>
                  <w:szCs w:val="20"/>
                </w:rPr>
              </m:ctrlPr>
            </m:sSubPr>
            <m:e>
              <m:r>
                <m:rPr>
                  <m:nor/>
                </m:rPr>
                <w:rPr>
                  <w:rFonts w:ascii="Arial" w:hAnsi="Arial" w:cs="Arial"/>
                  <w:i/>
                  <w:iCs/>
                  <w:color w:val="000000" w:themeColor="text1"/>
                  <w:sz w:val="20"/>
                  <w:szCs w:val="20"/>
                </w:rPr>
                <m:t>Z</m:t>
              </m:r>
            </m:e>
            <m:sub>
              <m:r>
                <w:rPr>
                  <w:rFonts w:ascii="Cambria Math" w:hAnsi="Cambria Math" w:cs="Arial"/>
                  <w:color w:val="000000" w:themeColor="text1"/>
                  <w:sz w:val="20"/>
                  <w:szCs w:val="20"/>
                </w:rPr>
                <m:t>st</m:t>
              </m:r>
            </m:sub>
          </m:sSub>
          <m:r>
            <w:rPr>
              <w:rFonts w:ascii="Cambria Math" w:hAnsi="Cambria Math" w:cs="Arial"/>
              <w:color w:val="000000" w:themeColor="text1"/>
              <w:sz w:val="20"/>
              <w:szCs w:val="20"/>
            </w:rPr>
            <m:t>+</m:t>
          </m:r>
          <m:sSub>
            <m:sSubPr>
              <m:ctrlPr>
                <w:rPr>
                  <w:rFonts w:ascii="Cambria Math" w:hAnsi="Cambria Math" w:cs="Arial"/>
                  <w:i/>
                  <w:iCs/>
                  <w:color w:val="000000" w:themeColor="text1"/>
                  <w:sz w:val="20"/>
                  <w:szCs w:val="20"/>
                </w:rPr>
              </m:ctrlPr>
            </m:sSubPr>
            <m:e>
              <m:r>
                <m:rPr>
                  <m:nor/>
                </m:rPr>
                <w:rPr>
                  <w:rFonts w:ascii="Arial" w:hAnsi="Arial" w:cs="Arial"/>
                  <w:i/>
                  <w:color w:val="000000" w:themeColor="text1"/>
                  <w:sz w:val="20"/>
                  <w:szCs w:val="20"/>
                </w:rPr>
                <m:t>β</m:t>
              </m:r>
            </m:e>
            <m:sub>
              <m:r>
                <w:rPr>
                  <w:rFonts w:ascii="Cambria Math" w:hAnsi="Cambria Math" w:cs="Arial"/>
                  <w:color w:val="000000" w:themeColor="text1"/>
                  <w:sz w:val="20"/>
                  <w:szCs w:val="20"/>
                </w:rPr>
                <m:t>4</m:t>
              </m:r>
            </m:sub>
          </m:sSub>
          <m:sSub>
            <m:sSubPr>
              <m:ctrlPr>
                <w:rPr>
                  <w:rFonts w:ascii="Cambria Math" w:hAnsi="Cambria Math" w:cs="Arial"/>
                  <w:i/>
                  <w:iCs/>
                  <w:color w:val="000000" w:themeColor="text1"/>
                  <w:sz w:val="20"/>
                  <w:szCs w:val="20"/>
                </w:rPr>
              </m:ctrlPr>
            </m:sSubPr>
            <m:e>
              <m:r>
                <w:rPr>
                  <w:rFonts w:ascii="Cambria Math" w:hAnsi="Cambria Math" w:cs="Arial"/>
                  <w:color w:val="000000" w:themeColor="text1"/>
                  <w:sz w:val="20"/>
                  <w:szCs w:val="20"/>
                </w:rPr>
                <m:t>State</m:t>
              </m:r>
            </m:e>
            <m:sub>
              <m:r>
                <w:rPr>
                  <w:rFonts w:ascii="Cambria Math" w:hAnsi="Cambria Math" w:cs="Arial"/>
                  <w:color w:val="000000" w:themeColor="text1"/>
                  <w:sz w:val="20"/>
                  <w:szCs w:val="20"/>
                </w:rPr>
                <m:t>s</m:t>
              </m:r>
            </m:sub>
          </m:sSub>
          <m:r>
            <w:rPr>
              <w:rFonts w:ascii="Cambria Math" w:hAnsi="Cambria Math" w:cs="Arial"/>
              <w:color w:val="000000" w:themeColor="text1"/>
              <w:sz w:val="20"/>
              <w:szCs w:val="20"/>
            </w:rPr>
            <m:t>+</m:t>
          </m:r>
          <m:sSub>
            <m:sSubPr>
              <m:ctrlPr>
                <w:rPr>
                  <w:rFonts w:ascii="Cambria Math" w:hAnsi="Cambria Math" w:cs="Arial"/>
                  <w:i/>
                  <w:iCs/>
                  <w:color w:val="000000" w:themeColor="text1"/>
                  <w:sz w:val="20"/>
                  <w:szCs w:val="20"/>
                </w:rPr>
              </m:ctrlPr>
            </m:sSubPr>
            <m:e>
              <m:sSub>
                <m:sSubPr>
                  <m:ctrlPr>
                    <w:rPr>
                      <w:rFonts w:ascii="Cambria Math" w:hAnsi="Cambria Math" w:cs="Arial"/>
                      <w:i/>
                      <w:iCs/>
                      <w:color w:val="000000" w:themeColor="text1"/>
                      <w:sz w:val="20"/>
                      <w:szCs w:val="20"/>
                    </w:rPr>
                  </m:ctrlPr>
                </m:sSubPr>
                <m:e>
                  <m:r>
                    <m:rPr>
                      <m:nor/>
                    </m:rPr>
                    <w:rPr>
                      <w:rFonts w:ascii="Arial" w:hAnsi="Arial" w:cs="Arial"/>
                      <w:i/>
                      <w:color w:val="000000" w:themeColor="text1"/>
                      <w:sz w:val="20"/>
                      <w:szCs w:val="20"/>
                    </w:rPr>
                    <m:t>β</m:t>
                  </m:r>
                </m:e>
                <m:sub>
                  <m:r>
                    <w:rPr>
                      <w:rFonts w:ascii="Cambria Math" w:hAnsi="Cambria Math" w:cs="Arial"/>
                      <w:color w:val="000000" w:themeColor="text1"/>
                      <w:sz w:val="20"/>
                      <w:szCs w:val="20"/>
                    </w:rPr>
                    <m:t>5</m:t>
                  </m:r>
                </m:sub>
              </m:sSub>
              <m:sSub>
                <m:sSubPr>
                  <m:ctrlPr>
                    <w:rPr>
                      <w:rFonts w:ascii="Cambria Math" w:hAnsi="Cambria Math" w:cs="Arial"/>
                      <w:i/>
                      <w:iCs/>
                      <w:color w:val="000000" w:themeColor="text1"/>
                      <w:sz w:val="20"/>
                      <w:szCs w:val="20"/>
                    </w:rPr>
                  </m:ctrlPr>
                </m:sSubPr>
                <m:e>
                  <m:r>
                    <m:rPr>
                      <m:nor/>
                    </m:rPr>
                    <w:rPr>
                      <w:rFonts w:ascii="Arial" w:hAnsi="Arial" w:cs="Arial"/>
                      <w:i/>
                      <w:iCs/>
                      <w:color w:val="000000" w:themeColor="text1"/>
                      <w:sz w:val="20"/>
                      <w:szCs w:val="20"/>
                    </w:rPr>
                    <m:t>Time</m:t>
                  </m:r>
                </m:e>
                <m:sub>
                  <m:r>
                    <w:rPr>
                      <w:rFonts w:ascii="Cambria Math" w:hAnsi="Cambria Math" w:cs="Arial"/>
                      <w:color w:val="000000" w:themeColor="text1"/>
                      <w:sz w:val="20"/>
                      <w:szCs w:val="20"/>
                    </w:rPr>
                    <m:t>t</m:t>
                  </m:r>
                </m:sub>
              </m:sSub>
              <m:r>
                <w:rPr>
                  <w:rFonts w:ascii="Cambria Math" w:hAnsi="Cambria Math" w:cs="Arial"/>
                  <w:color w:val="000000" w:themeColor="text1"/>
                  <w:sz w:val="20"/>
                  <w:szCs w:val="20"/>
                </w:rPr>
                <m:t>+ε</m:t>
              </m:r>
            </m:e>
            <m:sub>
              <m:r>
                <w:rPr>
                  <w:rFonts w:ascii="Cambria Math" w:hAnsi="Cambria Math" w:cs="Arial"/>
                  <w:color w:val="000000" w:themeColor="text1"/>
                  <w:sz w:val="20"/>
                  <w:szCs w:val="20"/>
                </w:rPr>
                <m:t>ist</m:t>
              </m:r>
            </m:sub>
          </m:sSub>
        </m:oMath>
      </m:oMathPara>
    </w:p>
    <w:p w14:paraId="4D6F9B8B" w14:textId="77777777" w:rsidR="004E3739" w:rsidRPr="004E2853" w:rsidRDefault="004E3739" w:rsidP="00F84A48">
      <w:pPr>
        <w:spacing w:line="480" w:lineRule="auto"/>
        <w:rPr>
          <w:rFonts w:ascii="Arial" w:hAnsi="Arial" w:cs="Arial"/>
          <w:color w:val="000000" w:themeColor="text1"/>
          <w:sz w:val="20"/>
          <w:szCs w:val="20"/>
        </w:rPr>
      </w:pPr>
    </w:p>
    <w:p w14:paraId="4DAF0820" w14:textId="235490F9" w:rsidR="004E3739" w:rsidRPr="004E2853" w:rsidRDefault="00000000" w:rsidP="00F84A48">
      <w:pPr>
        <w:spacing w:line="480" w:lineRule="auto"/>
        <w:rPr>
          <w:rFonts w:ascii="Arial" w:hAnsi="Arial" w:cs="Arial"/>
          <w:color w:val="000000" w:themeColor="text1"/>
          <w:sz w:val="20"/>
          <w:szCs w:val="20"/>
        </w:rPr>
      </w:pPr>
      <m:oMath>
        <m:sSub>
          <m:sSubPr>
            <m:ctrlPr>
              <w:rPr>
                <w:rFonts w:ascii="Cambria Math" w:hAnsi="Cambria Math" w:cs="Arial"/>
                <w:i/>
                <w:color w:val="000000" w:themeColor="text1"/>
                <w:sz w:val="20"/>
                <w:szCs w:val="20"/>
              </w:rPr>
            </m:ctrlPr>
          </m:sSubPr>
          <m:e>
            <m:r>
              <w:rPr>
                <w:rFonts w:ascii="Cambria Math" w:hAnsi="Cambria Math" w:cs="Arial"/>
                <w:color w:val="000000" w:themeColor="text1"/>
                <w:sz w:val="20"/>
                <w:szCs w:val="20"/>
              </w:rPr>
              <m:t>Y</m:t>
            </m:r>
          </m:e>
          <m:sub>
            <m:r>
              <w:rPr>
                <w:rFonts w:ascii="Cambria Math" w:hAnsi="Cambria Math" w:cs="Arial"/>
                <w:color w:val="000000" w:themeColor="text1"/>
                <w:sz w:val="20"/>
                <w:szCs w:val="20"/>
              </w:rPr>
              <m:t>ist</m:t>
            </m:r>
          </m:sub>
        </m:sSub>
      </m:oMath>
      <w:r w:rsidR="004E3739" w:rsidRPr="004E2853">
        <w:rPr>
          <w:rFonts w:ascii="Arial" w:hAnsi="Arial" w:cs="Arial"/>
          <w:color w:val="000000" w:themeColor="text1"/>
          <w:sz w:val="20"/>
          <w:szCs w:val="20"/>
        </w:rPr>
        <w:t xml:space="preserve"> represents an outcome of interest, and </w:t>
      </w:r>
      <m:oMath>
        <m:sSub>
          <m:sSubPr>
            <m:ctrlPr>
              <w:rPr>
                <w:rFonts w:ascii="Cambria Math" w:hAnsi="Cambria Math" w:cs="Arial"/>
                <w:i/>
                <w:iCs/>
                <w:color w:val="000000" w:themeColor="text1"/>
                <w:sz w:val="20"/>
                <w:szCs w:val="20"/>
              </w:rPr>
            </m:ctrlPr>
          </m:sSubPr>
          <m:e>
            <m:r>
              <m:rPr>
                <m:nor/>
              </m:rPr>
              <w:rPr>
                <w:rFonts w:ascii="Arial" w:hAnsi="Arial" w:cs="Arial"/>
                <w:i/>
                <w:iCs/>
                <w:color w:val="000000" w:themeColor="text1"/>
                <w:sz w:val="20"/>
                <w:szCs w:val="20"/>
              </w:rPr>
              <m:t>T</m:t>
            </m:r>
          </m:e>
          <m:sub>
            <m:r>
              <w:rPr>
                <w:rFonts w:ascii="Cambria Math" w:hAnsi="Cambria Math" w:cs="Arial"/>
                <w:color w:val="000000" w:themeColor="text1"/>
                <w:sz w:val="20"/>
                <w:szCs w:val="20"/>
              </w:rPr>
              <m:t>ijt</m:t>
            </m:r>
          </m:sub>
        </m:sSub>
      </m:oMath>
      <w:r w:rsidR="004E3739" w:rsidRPr="004E2853">
        <w:rPr>
          <w:rFonts w:ascii="Arial" w:hAnsi="Arial" w:cs="Arial"/>
          <w:iCs/>
          <w:color w:val="000000" w:themeColor="text1"/>
          <w:sz w:val="20"/>
          <w:szCs w:val="20"/>
        </w:rPr>
        <w:t xml:space="preserve"> is </w:t>
      </w:r>
      <w:r w:rsidR="004E3739" w:rsidRPr="004E2853">
        <w:rPr>
          <w:rFonts w:ascii="Arial" w:hAnsi="Arial" w:cs="Arial"/>
          <w:color w:val="000000" w:themeColor="text1"/>
          <w:sz w:val="20"/>
          <w:szCs w:val="20"/>
        </w:rPr>
        <w:t>a dummy variable</w:t>
      </w:r>
      <w:r w:rsidR="004E3739" w:rsidRPr="004E2853">
        <w:rPr>
          <w:rFonts w:ascii="Arial" w:hAnsi="Arial" w:cs="Arial"/>
          <w:iCs/>
          <w:color w:val="000000" w:themeColor="text1"/>
          <w:sz w:val="20"/>
          <w:szCs w:val="20"/>
        </w:rPr>
        <w:t xml:space="preserve">, which </w:t>
      </w:r>
      <w:r w:rsidR="004E3739" w:rsidRPr="004E2853">
        <w:rPr>
          <w:rFonts w:ascii="Arial" w:hAnsi="Arial" w:cs="Arial"/>
          <w:color w:val="000000" w:themeColor="text1"/>
          <w:sz w:val="20"/>
          <w:szCs w:val="20"/>
        </w:rPr>
        <w:t>indicates whether the woman’s second trimester occurred after the month when her state implemented the new food package.</w:t>
      </w:r>
      <w:r w:rsidR="004E3739" w:rsidRPr="004E2853">
        <w:rPr>
          <w:rFonts w:ascii="Arial" w:hAnsi="Arial" w:cs="Arial"/>
          <w:iCs/>
          <w:color w:val="000000" w:themeColor="text1"/>
          <w:sz w:val="20"/>
          <w:szCs w:val="20"/>
        </w:rPr>
        <w:t xml:space="preserve"> </w:t>
      </w:r>
      <m:oMath>
        <m:sSub>
          <m:sSubPr>
            <m:ctrlPr>
              <w:rPr>
                <w:rFonts w:ascii="Cambria Math" w:hAnsi="Cambria Math" w:cs="Arial"/>
                <w:i/>
                <w:color w:val="000000" w:themeColor="text1"/>
                <w:sz w:val="20"/>
                <w:szCs w:val="20"/>
              </w:rPr>
            </m:ctrlPr>
          </m:sSubPr>
          <m:e>
            <m:r>
              <m:rPr>
                <m:nor/>
              </m:rPr>
              <w:rPr>
                <w:rFonts w:ascii="Arial" w:hAnsi="Arial" w:cs="Arial"/>
                <w:color w:val="000000" w:themeColor="text1"/>
                <w:sz w:val="20"/>
                <w:szCs w:val="20"/>
              </w:rPr>
              <m:t>X</m:t>
            </m:r>
          </m:e>
          <m:sub>
            <m:r>
              <w:rPr>
                <w:rFonts w:ascii="Cambria Math" w:hAnsi="Cambria Math" w:cs="Arial"/>
                <w:color w:val="000000" w:themeColor="text1"/>
                <w:sz w:val="20"/>
                <w:szCs w:val="20"/>
              </w:rPr>
              <m:t>ist</m:t>
            </m:r>
          </m:sub>
        </m:sSub>
      </m:oMath>
      <w:r w:rsidR="004E3739" w:rsidRPr="004E2853">
        <w:rPr>
          <w:rFonts w:ascii="Arial" w:hAnsi="Arial" w:cs="Arial"/>
          <w:color w:val="000000" w:themeColor="text1"/>
          <w:sz w:val="20"/>
          <w:szCs w:val="20"/>
        </w:rPr>
        <w:t xml:space="preserve"> represents individual-level covariates. </w:t>
      </w:r>
      <m:oMath>
        <m:sSub>
          <m:sSubPr>
            <m:ctrlPr>
              <w:rPr>
                <w:rFonts w:ascii="Cambria Math" w:hAnsi="Cambria Math" w:cs="Arial"/>
                <w:i/>
                <w:color w:val="000000" w:themeColor="text1"/>
                <w:sz w:val="20"/>
                <w:szCs w:val="20"/>
              </w:rPr>
            </m:ctrlPr>
          </m:sSubPr>
          <m:e>
            <m:r>
              <m:rPr>
                <m:nor/>
              </m:rPr>
              <w:rPr>
                <w:rFonts w:ascii="Arial" w:hAnsi="Arial" w:cs="Arial"/>
                <w:color w:val="000000" w:themeColor="text1"/>
                <w:sz w:val="20"/>
                <w:szCs w:val="20"/>
              </w:rPr>
              <m:t>Z</m:t>
            </m:r>
          </m:e>
          <m:sub>
            <m:r>
              <w:rPr>
                <w:rFonts w:ascii="Cambria Math" w:hAnsi="Cambria Math" w:cs="Arial"/>
                <w:color w:val="000000" w:themeColor="text1"/>
                <w:sz w:val="20"/>
                <w:szCs w:val="20"/>
              </w:rPr>
              <m:t>st</m:t>
            </m:r>
          </m:sub>
        </m:sSub>
      </m:oMath>
      <w:r w:rsidR="004E3739" w:rsidRPr="004E2853">
        <w:rPr>
          <w:rFonts w:ascii="Arial" w:hAnsi="Arial" w:cs="Arial"/>
          <w:color w:val="000000" w:themeColor="text1"/>
          <w:sz w:val="20"/>
          <w:szCs w:val="20"/>
        </w:rPr>
        <w:t xml:space="preserve"> represents time-variant state-level covariates.</w:t>
      </w:r>
      <w:r w:rsidR="004E3739" w:rsidRPr="004E2853">
        <w:rPr>
          <w:rFonts w:ascii="Arial" w:hAnsi="Arial" w:cs="Arial"/>
          <w:iCs/>
          <w:color w:val="000000" w:themeColor="text1"/>
          <w:sz w:val="20"/>
          <w:szCs w:val="20"/>
        </w:rPr>
        <w:t xml:space="preserve"> </w:t>
      </w:r>
      <m:oMath>
        <m:sSub>
          <m:sSubPr>
            <m:ctrlPr>
              <w:rPr>
                <w:rFonts w:ascii="Cambria Math" w:hAnsi="Cambria Math" w:cs="Arial"/>
                <w:i/>
                <w:color w:val="000000" w:themeColor="text1"/>
                <w:sz w:val="20"/>
                <w:szCs w:val="20"/>
              </w:rPr>
            </m:ctrlPr>
          </m:sSubPr>
          <m:e>
            <m:r>
              <w:rPr>
                <w:rFonts w:ascii="Cambria Math" w:hAnsi="Cambria Math" w:cs="Arial"/>
                <w:color w:val="000000" w:themeColor="text1"/>
                <w:sz w:val="20"/>
                <w:szCs w:val="20"/>
              </w:rPr>
              <m:t>Time</m:t>
            </m:r>
          </m:e>
          <m:sub>
            <m:r>
              <w:rPr>
                <w:rFonts w:ascii="Cambria Math" w:hAnsi="Cambria Math" w:cs="Arial"/>
                <w:color w:val="000000" w:themeColor="text1"/>
                <w:sz w:val="20"/>
                <w:szCs w:val="20"/>
              </w:rPr>
              <m:t>t</m:t>
            </m:r>
          </m:sub>
        </m:sSub>
      </m:oMath>
      <w:r w:rsidR="004E3739" w:rsidRPr="004E2853">
        <w:rPr>
          <w:rFonts w:ascii="Arial" w:hAnsi="Arial" w:cs="Arial"/>
          <w:color w:val="000000" w:themeColor="text1"/>
          <w:sz w:val="20"/>
          <w:szCs w:val="20"/>
        </w:rPr>
        <w:t xml:space="preserve"> represents indicator variables for the start of the second trimester (in month-year) and </w:t>
      </w:r>
      <m:oMath>
        <m:sSub>
          <m:sSubPr>
            <m:ctrlPr>
              <w:rPr>
                <w:rFonts w:ascii="Cambria Math" w:hAnsi="Cambria Math" w:cs="Arial"/>
                <w:i/>
                <w:color w:val="000000" w:themeColor="text1"/>
                <w:sz w:val="20"/>
                <w:szCs w:val="20"/>
              </w:rPr>
            </m:ctrlPr>
          </m:sSubPr>
          <m:e>
            <m:r>
              <m:rPr>
                <m:nor/>
              </m:rPr>
              <w:rPr>
                <w:rFonts w:ascii="Arial" w:hAnsi="Arial" w:cs="Arial"/>
                <w:color w:val="000000" w:themeColor="text1"/>
                <w:sz w:val="20"/>
                <w:szCs w:val="20"/>
              </w:rPr>
              <m:t>State</m:t>
            </m:r>
          </m:e>
          <m:sub>
            <m:r>
              <w:rPr>
                <w:rFonts w:ascii="Cambria Math" w:hAnsi="Cambria Math" w:cs="Arial"/>
                <w:color w:val="000000" w:themeColor="text1"/>
                <w:sz w:val="20"/>
                <w:szCs w:val="20"/>
              </w:rPr>
              <m:t>s</m:t>
            </m:r>
          </m:sub>
        </m:sSub>
      </m:oMath>
      <w:r w:rsidR="004E3739" w:rsidRPr="004E2853">
        <w:rPr>
          <w:rFonts w:ascii="Arial" w:hAnsi="Arial" w:cs="Arial"/>
          <w:color w:val="000000" w:themeColor="text1"/>
          <w:sz w:val="20"/>
          <w:szCs w:val="20"/>
        </w:rPr>
        <w:t xml:space="preserve"> represents fixed effects for each woman’s state of residence. Standard errors were clustered at the state level to account for correlated observations within a state. </w:t>
      </w:r>
      <m:oMath>
        <m:sSub>
          <m:sSubPr>
            <m:ctrlPr>
              <w:rPr>
                <w:rFonts w:ascii="Cambria Math" w:hAnsi="Cambria Math" w:cs="Arial"/>
                <w:i/>
                <w:iCs/>
                <w:color w:val="000000" w:themeColor="text1"/>
                <w:sz w:val="20"/>
                <w:szCs w:val="20"/>
              </w:rPr>
            </m:ctrlPr>
          </m:sSubPr>
          <m:e>
            <m:r>
              <m:rPr>
                <m:nor/>
              </m:rPr>
              <w:rPr>
                <w:rFonts w:ascii="Arial" w:hAnsi="Arial" w:cs="Arial"/>
                <w:i/>
                <w:color w:val="000000" w:themeColor="text1"/>
                <w:sz w:val="20"/>
                <w:szCs w:val="20"/>
              </w:rPr>
              <m:t>β</m:t>
            </m:r>
          </m:e>
          <m:sub>
            <m:r>
              <w:rPr>
                <w:rFonts w:ascii="Cambria Math" w:hAnsi="Cambria Math" w:cs="Arial"/>
                <w:color w:val="000000" w:themeColor="text1"/>
                <w:sz w:val="20"/>
                <w:szCs w:val="20"/>
              </w:rPr>
              <m:t>1</m:t>
            </m:r>
          </m:sub>
        </m:sSub>
      </m:oMath>
      <w:r w:rsidR="004E3739" w:rsidRPr="004E2853">
        <w:rPr>
          <w:rFonts w:ascii="Arial" w:hAnsi="Arial" w:cs="Arial"/>
          <w:color w:val="000000" w:themeColor="text1"/>
          <w:sz w:val="20"/>
          <w:szCs w:val="20"/>
        </w:rPr>
        <w:t xml:space="preserve"> is the coefficient of interest, which represents the change in outcome attributable to the implementation of the new food package. </w:t>
      </w:r>
    </w:p>
    <w:p w14:paraId="3E0783A7" w14:textId="0BF9BC69" w:rsidR="004E3739" w:rsidRPr="004E2853" w:rsidRDefault="004E3739" w:rsidP="00DF695B">
      <w:pPr>
        <w:spacing w:line="480" w:lineRule="auto"/>
        <w:rPr>
          <w:rFonts w:ascii="Arial" w:hAnsi="Arial" w:cs="Arial"/>
          <w:color w:val="000000" w:themeColor="text1"/>
          <w:sz w:val="20"/>
          <w:szCs w:val="20"/>
        </w:rPr>
      </w:pPr>
      <w:r w:rsidRPr="004E2853">
        <w:rPr>
          <w:rFonts w:ascii="Arial" w:hAnsi="Arial" w:cs="Arial"/>
          <w:color w:val="000000" w:themeColor="text1"/>
          <w:sz w:val="20"/>
          <w:szCs w:val="20"/>
        </w:rPr>
        <w:tab/>
      </w:r>
    </w:p>
    <w:p w14:paraId="41527B7A" w14:textId="77777777" w:rsidR="004E3739" w:rsidRPr="004E2853" w:rsidRDefault="004E3739" w:rsidP="00F84A48">
      <w:pPr>
        <w:spacing w:line="480" w:lineRule="auto"/>
        <w:rPr>
          <w:rFonts w:ascii="Arial" w:hAnsi="Arial" w:cs="Arial"/>
          <w:i/>
          <w:iCs/>
          <w:color w:val="000000" w:themeColor="text1"/>
          <w:sz w:val="20"/>
          <w:szCs w:val="20"/>
          <w:u w:val="single"/>
        </w:rPr>
      </w:pPr>
      <w:r w:rsidRPr="004E2853">
        <w:rPr>
          <w:rFonts w:ascii="Arial" w:hAnsi="Arial" w:cs="Arial"/>
          <w:i/>
          <w:iCs/>
          <w:color w:val="000000" w:themeColor="text1"/>
          <w:sz w:val="20"/>
          <w:szCs w:val="20"/>
          <w:u w:val="single"/>
        </w:rPr>
        <w:t>Results of sensitivity analyses</w:t>
      </w:r>
    </w:p>
    <w:p w14:paraId="1457E10C" w14:textId="09E22DC2" w:rsidR="004E3739" w:rsidRDefault="00E20DE4" w:rsidP="00F84A48">
      <w:pPr>
        <w:spacing w:line="480" w:lineRule="auto"/>
        <w:rPr>
          <w:rFonts w:ascii="Arial" w:hAnsi="Arial" w:cs="Arial"/>
          <w:color w:val="000000" w:themeColor="text1"/>
          <w:sz w:val="20"/>
          <w:szCs w:val="20"/>
        </w:rPr>
      </w:pPr>
      <w:r>
        <w:rPr>
          <w:rFonts w:ascii="Arial" w:hAnsi="Arial" w:cs="Arial"/>
          <w:color w:val="000000" w:themeColor="text1"/>
          <w:sz w:val="20"/>
          <w:szCs w:val="20"/>
        </w:rPr>
        <w:lastRenderedPageBreak/>
        <w:t>O</w:t>
      </w:r>
      <w:r w:rsidR="008D5F4C">
        <w:rPr>
          <w:rFonts w:ascii="Arial" w:hAnsi="Arial" w:cs="Arial"/>
          <w:color w:val="000000" w:themeColor="text1"/>
          <w:sz w:val="20"/>
          <w:szCs w:val="20"/>
        </w:rPr>
        <w:t xml:space="preserve">ur primary findings </w:t>
      </w:r>
      <w:r>
        <w:rPr>
          <w:rFonts w:ascii="Arial" w:hAnsi="Arial" w:cs="Arial"/>
          <w:color w:val="000000" w:themeColor="text1"/>
          <w:sz w:val="20"/>
          <w:szCs w:val="20"/>
        </w:rPr>
        <w:t>were robust</w:t>
      </w:r>
      <w:r w:rsidR="008D5F4C">
        <w:rPr>
          <w:rFonts w:ascii="Arial" w:hAnsi="Arial" w:cs="Arial"/>
          <w:color w:val="000000" w:themeColor="text1"/>
          <w:sz w:val="20"/>
          <w:szCs w:val="20"/>
        </w:rPr>
        <w:t xml:space="preserve"> </w:t>
      </w:r>
      <w:r>
        <w:rPr>
          <w:rFonts w:ascii="Arial" w:hAnsi="Arial" w:cs="Arial"/>
          <w:color w:val="000000" w:themeColor="text1"/>
          <w:sz w:val="20"/>
          <w:szCs w:val="20"/>
        </w:rPr>
        <w:t>to most of the sensitivity tests performed. First, t</w:t>
      </w:r>
      <w:r w:rsidR="004E3739" w:rsidRPr="004E2853">
        <w:rPr>
          <w:rFonts w:ascii="Arial" w:hAnsi="Arial" w:cs="Arial"/>
          <w:color w:val="000000" w:themeColor="text1"/>
          <w:sz w:val="20"/>
          <w:szCs w:val="20"/>
        </w:rPr>
        <w:t>he majority of primary findings remained consistent when using a higher cutoff for the predicted probability of predicted WIC eligibility, with the exception of GWG, which shows the revision was associated with a small increase in GWG (Supplemental Table S</w:t>
      </w:r>
      <w:r w:rsidR="004B5274" w:rsidRPr="004E2853">
        <w:rPr>
          <w:rFonts w:ascii="Arial" w:hAnsi="Arial" w:cs="Arial"/>
          <w:color w:val="000000" w:themeColor="text1"/>
          <w:sz w:val="20"/>
          <w:szCs w:val="20"/>
        </w:rPr>
        <w:t>4</w:t>
      </w:r>
      <w:r w:rsidR="004E3739" w:rsidRPr="004E2853">
        <w:rPr>
          <w:rFonts w:ascii="Arial" w:hAnsi="Arial" w:cs="Arial"/>
          <w:color w:val="000000" w:themeColor="text1"/>
          <w:sz w:val="20"/>
          <w:szCs w:val="20"/>
        </w:rPr>
        <w:t>). Second, the results remained robust when we recoded the post-period to begin in April 2009 (Supplemental Table S</w:t>
      </w:r>
      <w:r w:rsidR="004B5274" w:rsidRPr="004E2853">
        <w:rPr>
          <w:rFonts w:ascii="Arial" w:hAnsi="Arial" w:cs="Arial"/>
          <w:color w:val="000000" w:themeColor="text1"/>
          <w:sz w:val="20"/>
          <w:szCs w:val="20"/>
        </w:rPr>
        <w:t>5</w:t>
      </w:r>
      <w:r w:rsidR="004E3739" w:rsidRPr="004E2853">
        <w:rPr>
          <w:rFonts w:ascii="Arial" w:hAnsi="Arial" w:cs="Arial"/>
          <w:color w:val="000000" w:themeColor="text1"/>
          <w:sz w:val="20"/>
          <w:szCs w:val="20"/>
        </w:rPr>
        <w:t>). Third, results using different lengths of pre-treatment periods showed consistent effects on birthweight, SGA, and AGA for infants and GWG for women in line with our primary results (Supplemental Table S</w:t>
      </w:r>
      <w:r w:rsidR="004B5274" w:rsidRPr="004E2853">
        <w:rPr>
          <w:rFonts w:ascii="Arial" w:hAnsi="Arial" w:cs="Arial"/>
          <w:color w:val="000000" w:themeColor="text1"/>
          <w:sz w:val="20"/>
          <w:szCs w:val="20"/>
        </w:rPr>
        <w:t>6</w:t>
      </w:r>
      <w:r w:rsidR="004E3739" w:rsidRPr="004E2853">
        <w:rPr>
          <w:rFonts w:ascii="Arial" w:hAnsi="Arial" w:cs="Arial"/>
          <w:color w:val="000000" w:themeColor="text1"/>
          <w:sz w:val="20"/>
          <w:szCs w:val="20"/>
        </w:rPr>
        <w:t xml:space="preserve">). </w:t>
      </w:r>
      <w:r w:rsidR="007A6A90">
        <w:rPr>
          <w:rFonts w:ascii="Arial" w:hAnsi="Arial" w:cs="Arial"/>
          <w:color w:val="000000" w:themeColor="text1"/>
          <w:sz w:val="20"/>
          <w:szCs w:val="20"/>
        </w:rPr>
        <w:t xml:space="preserve">However, </w:t>
      </w:r>
      <w:r w:rsidR="003F7646" w:rsidRPr="003F7646">
        <w:rPr>
          <w:rFonts w:ascii="Arial" w:hAnsi="Arial" w:cs="Arial"/>
          <w:color w:val="000000" w:themeColor="text1"/>
          <w:sz w:val="20"/>
          <w:szCs w:val="20"/>
        </w:rPr>
        <w:t xml:space="preserve">the HonestDiD analysis indicated that our results </w:t>
      </w:r>
      <w:r w:rsidR="003F7646">
        <w:rPr>
          <w:rFonts w:ascii="Arial" w:hAnsi="Arial" w:cs="Arial"/>
          <w:color w:val="000000" w:themeColor="text1"/>
          <w:sz w:val="20"/>
          <w:szCs w:val="20"/>
        </w:rPr>
        <w:t>might be</w:t>
      </w:r>
      <w:r w:rsidR="003F7646" w:rsidRPr="003F7646">
        <w:rPr>
          <w:rFonts w:ascii="Arial" w:hAnsi="Arial" w:cs="Arial"/>
          <w:color w:val="000000" w:themeColor="text1"/>
          <w:sz w:val="20"/>
          <w:szCs w:val="20"/>
        </w:rPr>
        <w:t xml:space="preserve"> sensitive to potential violations of the parallel trends assumption</w:t>
      </w:r>
      <w:r w:rsidR="007A6A90">
        <w:rPr>
          <w:rFonts w:ascii="Arial" w:hAnsi="Arial" w:cs="Arial"/>
          <w:color w:val="000000" w:themeColor="text1"/>
          <w:sz w:val="20"/>
          <w:szCs w:val="20"/>
        </w:rPr>
        <w:t xml:space="preserve">. Specifically, </w:t>
      </w:r>
      <w:r w:rsidR="000A194C">
        <w:rPr>
          <w:rFonts w:ascii="Arial" w:hAnsi="Arial" w:cs="Arial"/>
          <w:color w:val="000000" w:themeColor="text1"/>
          <w:sz w:val="20"/>
          <w:szCs w:val="20"/>
        </w:rPr>
        <w:t>the “breakdown value” for GWG was only a</w:t>
      </w:r>
      <w:r w:rsidR="003F7646">
        <w:rPr>
          <w:rFonts w:ascii="Arial" w:hAnsi="Arial" w:cs="Arial"/>
          <w:color w:val="000000" w:themeColor="text1"/>
          <w:sz w:val="20"/>
          <w:szCs w:val="20"/>
        </w:rPr>
        <w:t xml:space="preserve">pproximately </w:t>
      </w:r>
      <w:r w:rsidR="000A194C">
        <w:rPr>
          <w:rFonts w:ascii="Arial" w:hAnsi="Arial" w:cs="Arial"/>
          <w:color w:val="000000" w:themeColor="text1"/>
          <w:sz w:val="20"/>
          <w:szCs w:val="20"/>
        </w:rPr>
        <w:t xml:space="preserve">0.04, meaning that the significant result is robust </w:t>
      </w:r>
      <w:r w:rsidR="003F7646">
        <w:rPr>
          <w:rFonts w:ascii="Arial" w:hAnsi="Arial" w:cs="Arial"/>
          <w:color w:val="000000" w:themeColor="text1"/>
          <w:sz w:val="20"/>
          <w:szCs w:val="20"/>
        </w:rPr>
        <w:t>when only</w:t>
      </w:r>
      <w:r w:rsidR="000A194C">
        <w:rPr>
          <w:rFonts w:ascii="Arial" w:hAnsi="Arial" w:cs="Arial"/>
          <w:color w:val="000000" w:themeColor="text1"/>
          <w:sz w:val="20"/>
          <w:szCs w:val="20"/>
        </w:rPr>
        <w:t xml:space="preserve"> allowing for violations of parallel trends up to 0.04 times the maximum violation in the pre-treatment period</w:t>
      </w:r>
      <w:r w:rsidR="00CE618F">
        <w:rPr>
          <w:rFonts w:ascii="Arial" w:hAnsi="Arial" w:cs="Arial"/>
          <w:color w:val="000000" w:themeColor="text1"/>
          <w:sz w:val="20"/>
          <w:szCs w:val="20"/>
        </w:rPr>
        <w:t xml:space="preserve"> (Supplemental Figure </w:t>
      </w:r>
      <w:r w:rsidR="00F21BED">
        <w:rPr>
          <w:rFonts w:ascii="Arial" w:hAnsi="Arial" w:cs="Arial"/>
          <w:color w:val="000000" w:themeColor="text1"/>
          <w:sz w:val="20"/>
          <w:szCs w:val="20"/>
        </w:rPr>
        <w:t>S4</w:t>
      </w:r>
      <w:r w:rsidR="00CE618F">
        <w:rPr>
          <w:rFonts w:ascii="Arial" w:hAnsi="Arial" w:cs="Arial"/>
          <w:color w:val="000000" w:themeColor="text1"/>
          <w:sz w:val="20"/>
          <w:szCs w:val="20"/>
        </w:rPr>
        <w:t>)</w:t>
      </w:r>
      <w:r w:rsidR="000A194C">
        <w:rPr>
          <w:rFonts w:ascii="Arial" w:hAnsi="Arial" w:cs="Arial"/>
          <w:color w:val="000000" w:themeColor="text1"/>
          <w:sz w:val="20"/>
          <w:szCs w:val="20"/>
        </w:rPr>
        <w:t xml:space="preserve">. </w:t>
      </w:r>
      <w:r w:rsidR="00CE618F">
        <w:rPr>
          <w:rFonts w:ascii="Arial" w:hAnsi="Arial" w:cs="Arial"/>
          <w:color w:val="000000" w:themeColor="text1"/>
          <w:sz w:val="20"/>
          <w:szCs w:val="20"/>
        </w:rPr>
        <w:t xml:space="preserve">Of note, the </w:t>
      </w:r>
      <w:r w:rsidR="0075700F">
        <w:rPr>
          <w:rFonts w:ascii="Arial" w:hAnsi="Arial" w:cs="Arial"/>
          <w:color w:val="000000" w:themeColor="text1"/>
          <w:sz w:val="20"/>
          <w:szCs w:val="20"/>
        </w:rPr>
        <w:t xml:space="preserve">HonestDiD method </w:t>
      </w:r>
      <w:r w:rsidR="003F7646">
        <w:rPr>
          <w:rFonts w:ascii="Arial" w:hAnsi="Arial" w:cs="Arial"/>
          <w:color w:val="000000" w:themeColor="text1"/>
          <w:sz w:val="20"/>
          <w:szCs w:val="20"/>
        </w:rPr>
        <w:t>tests</w:t>
      </w:r>
      <w:r w:rsidR="0075700F">
        <w:rPr>
          <w:rFonts w:ascii="Arial" w:hAnsi="Arial" w:cs="Arial"/>
          <w:color w:val="000000" w:themeColor="text1"/>
          <w:sz w:val="20"/>
          <w:szCs w:val="20"/>
        </w:rPr>
        <w:t xml:space="preserve"> the sensitivity of event study estimate</w:t>
      </w:r>
      <w:r w:rsidR="00215732">
        <w:rPr>
          <w:rFonts w:ascii="Arial" w:hAnsi="Arial" w:cs="Arial"/>
          <w:color w:val="000000" w:themeColor="text1"/>
          <w:sz w:val="20"/>
          <w:szCs w:val="20"/>
        </w:rPr>
        <w:t>s</w:t>
      </w:r>
      <w:r w:rsidR="0075700F">
        <w:rPr>
          <w:rFonts w:ascii="Arial" w:hAnsi="Arial" w:cs="Arial"/>
          <w:color w:val="000000" w:themeColor="text1"/>
          <w:sz w:val="20"/>
          <w:szCs w:val="20"/>
        </w:rPr>
        <w:t xml:space="preserve"> (</w:t>
      </w:r>
      <w:r w:rsidR="00215732">
        <w:rPr>
          <w:rFonts w:ascii="Arial" w:hAnsi="Arial" w:cs="Arial"/>
          <w:color w:val="000000" w:themeColor="text1"/>
          <w:sz w:val="20"/>
          <w:szCs w:val="20"/>
        </w:rPr>
        <w:t>e.g</w:t>
      </w:r>
      <w:r w:rsidR="0075700F">
        <w:rPr>
          <w:rFonts w:ascii="Arial" w:hAnsi="Arial" w:cs="Arial"/>
          <w:color w:val="000000" w:themeColor="text1"/>
          <w:sz w:val="20"/>
          <w:szCs w:val="20"/>
        </w:rPr>
        <w:t xml:space="preserve">., average </w:t>
      </w:r>
      <w:r w:rsidR="003F7646">
        <w:rPr>
          <w:rFonts w:ascii="Arial" w:hAnsi="Arial" w:cs="Arial"/>
          <w:color w:val="000000" w:themeColor="text1"/>
          <w:sz w:val="20"/>
          <w:szCs w:val="20"/>
        </w:rPr>
        <w:t xml:space="preserve">of </w:t>
      </w:r>
      <w:r w:rsidR="0075700F">
        <w:rPr>
          <w:rFonts w:ascii="Arial" w:hAnsi="Arial" w:cs="Arial"/>
          <w:color w:val="000000" w:themeColor="text1"/>
          <w:sz w:val="20"/>
          <w:szCs w:val="20"/>
        </w:rPr>
        <w:t xml:space="preserve">post-treatment </w:t>
      </w:r>
      <w:r w:rsidR="003F7646">
        <w:rPr>
          <w:rFonts w:ascii="Arial" w:hAnsi="Arial" w:cs="Arial"/>
          <w:color w:val="000000" w:themeColor="text1"/>
          <w:sz w:val="20"/>
          <w:szCs w:val="20"/>
        </w:rPr>
        <w:t>coefficients</w:t>
      </w:r>
      <w:r w:rsidR="0075700F">
        <w:rPr>
          <w:rFonts w:ascii="Arial" w:hAnsi="Arial" w:cs="Arial"/>
          <w:color w:val="000000" w:themeColor="text1"/>
          <w:sz w:val="20"/>
          <w:szCs w:val="20"/>
        </w:rPr>
        <w:t xml:space="preserve">), which do not </w:t>
      </w:r>
      <w:r w:rsidR="003F7646">
        <w:rPr>
          <w:rFonts w:ascii="Arial" w:hAnsi="Arial" w:cs="Arial"/>
          <w:color w:val="000000" w:themeColor="text1"/>
          <w:sz w:val="20"/>
          <w:szCs w:val="20"/>
        </w:rPr>
        <w:t>exactly</w:t>
      </w:r>
      <w:r w:rsidR="0075700F">
        <w:rPr>
          <w:rFonts w:ascii="Arial" w:hAnsi="Arial" w:cs="Arial"/>
          <w:color w:val="000000" w:themeColor="text1"/>
          <w:sz w:val="20"/>
          <w:szCs w:val="20"/>
        </w:rPr>
        <w:t xml:space="preserve"> correspond to the simple DiD results reported in the main manuscript. For example, </w:t>
      </w:r>
      <w:r w:rsidR="00215732">
        <w:rPr>
          <w:rFonts w:ascii="Arial" w:hAnsi="Arial" w:cs="Arial"/>
          <w:color w:val="000000" w:themeColor="text1"/>
          <w:sz w:val="20"/>
          <w:szCs w:val="20"/>
        </w:rPr>
        <w:t>our primary findings</w:t>
      </w:r>
      <w:r w:rsidR="003F7646">
        <w:rPr>
          <w:rFonts w:ascii="Arial" w:hAnsi="Arial" w:cs="Arial"/>
          <w:color w:val="000000" w:themeColor="text1"/>
          <w:sz w:val="20"/>
          <w:szCs w:val="20"/>
        </w:rPr>
        <w:t xml:space="preserve"> on</w:t>
      </w:r>
      <w:r w:rsidR="00215732">
        <w:rPr>
          <w:rFonts w:ascii="Arial" w:hAnsi="Arial" w:cs="Arial"/>
          <w:color w:val="000000" w:themeColor="text1"/>
          <w:sz w:val="20"/>
          <w:szCs w:val="20"/>
        </w:rPr>
        <w:t xml:space="preserve"> birthweight and SGA were no longer significant when </w:t>
      </w:r>
      <w:r w:rsidR="003F7646">
        <w:rPr>
          <w:rFonts w:ascii="Arial" w:hAnsi="Arial" w:cs="Arial"/>
          <w:color w:val="000000" w:themeColor="text1"/>
          <w:sz w:val="20"/>
          <w:szCs w:val="20"/>
        </w:rPr>
        <w:t xml:space="preserve">aggregating </w:t>
      </w:r>
      <w:r w:rsidR="00215732">
        <w:rPr>
          <w:rFonts w:ascii="Arial" w:hAnsi="Arial" w:cs="Arial"/>
          <w:color w:val="000000" w:themeColor="text1"/>
          <w:sz w:val="20"/>
          <w:szCs w:val="20"/>
        </w:rPr>
        <w:t xml:space="preserve">the event study estimates. </w:t>
      </w:r>
      <w:r w:rsidR="003F7646">
        <w:rPr>
          <w:rFonts w:ascii="Arial" w:hAnsi="Arial" w:cs="Arial"/>
          <w:color w:val="000000" w:themeColor="text1"/>
          <w:sz w:val="20"/>
          <w:szCs w:val="20"/>
        </w:rPr>
        <w:t>Because of</w:t>
      </w:r>
      <w:r w:rsidR="00215732">
        <w:rPr>
          <w:rFonts w:ascii="Arial" w:hAnsi="Arial" w:cs="Arial"/>
          <w:color w:val="000000" w:themeColor="text1"/>
          <w:sz w:val="20"/>
          <w:szCs w:val="20"/>
        </w:rPr>
        <w:t xml:space="preserve"> this discrepancy, </w:t>
      </w:r>
      <w:r w:rsidR="00C527F5" w:rsidRPr="00C527F5">
        <w:rPr>
          <w:rFonts w:ascii="Arial" w:hAnsi="Arial" w:cs="Arial"/>
          <w:color w:val="000000" w:themeColor="text1"/>
          <w:sz w:val="20"/>
          <w:szCs w:val="20"/>
        </w:rPr>
        <w:t>the HonestDiD results are not directly comparable to our main analysis. Nevertheless, our main results should be interpreted with caution, as emphasized in the main manuscript.</w:t>
      </w:r>
      <w:r w:rsidR="00C527F5">
        <w:rPr>
          <w:rFonts w:ascii="Arial" w:hAnsi="Arial" w:cs="Arial"/>
          <w:color w:val="000000" w:themeColor="text1"/>
          <w:sz w:val="20"/>
          <w:szCs w:val="20"/>
        </w:rPr>
        <w:t xml:space="preserve"> </w:t>
      </w:r>
      <w:r w:rsidR="004E3739" w:rsidRPr="004E2853">
        <w:rPr>
          <w:rFonts w:ascii="Arial" w:hAnsi="Arial" w:cs="Arial"/>
          <w:color w:val="000000" w:themeColor="text1"/>
          <w:sz w:val="20"/>
          <w:szCs w:val="20"/>
        </w:rPr>
        <w:t xml:space="preserve">Finally, generalized DID analyses were not implemented eventually as we detected </w:t>
      </w:r>
      <w:r w:rsidR="00B4014A">
        <w:rPr>
          <w:rFonts w:ascii="Arial" w:hAnsi="Arial" w:cs="Arial"/>
          <w:color w:val="000000" w:themeColor="text1"/>
          <w:sz w:val="20"/>
          <w:szCs w:val="20"/>
        </w:rPr>
        <w:t xml:space="preserve">clear </w:t>
      </w:r>
      <w:r w:rsidR="004E3739" w:rsidRPr="004E2853">
        <w:rPr>
          <w:rFonts w:ascii="Arial" w:hAnsi="Arial" w:cs="Arial"/>
          <w:color w:val="000000" w:themeColor="text1"/>
          <w:sz w:val="20"/>
          <w:szCs w:val="20"/>
        </w:rPr>
        <w:t>violations of parallel trends assumption for all outcomes</w:t>
      </w:r>
      <w:r w:rsidR="00F21BED">
        <w:rPr>
          <w:rFonts w:ascii="Arial" w:hAnsi="Arial" w:cs="Arial"/>
          <w:color w:val="000000" w:themeColor="text1"/>
          <w:sz w:val="20"/>
          <w:szCs w:val="20"/>
        </w:rPr>
        <w:t xml:space="preserve"> (Supplemental Figure S5)</w:t>
      </w:r>
      <w:r w:rsidR="004E3739" w:rsidRPr="004E2853">
        <w:rPr>
          <w:rFonts w:ascii="Arial" w:hAnsi="Arial" w:cs="Arial"/>
          <w:color w:val="000000" w:themeColor="text1"/>
          <w:sz w:val="20"/>
          <w:szCs w:val="20"/>
        </w:rPr>
        <w:t xml:space="preserve">. </w:t>
      </w:r>
    </w:p>
    <w:p w14:paraId="470E615F" w14:textId="77777777" w:rsidR="00C527F5" w:rsidRDefault="00C527F5" w:rsidP="00F84A48">
      <w:pPr>
        <w:tabs>
          <w:tab w:val="left" w:pos="2959"/>
        </w:tabs>
        <w:spacing w:line="480" w:lineRule="auto"/>
      </w:pPr>
    </w:p>
    <w:p w14:paraId="5119BBE3" w14:textId="2CDD7641" w:rsidR="004E3739" w:rsidRPr="004E2853" w:rsidRDefault="004E3739" w:rsidP="00F84A48">
      <w:pPr>
        <w:tabs>
          <w:tab w:val="left" w:pos="2959"/>
        </w:tabs>
        <w:spacing w:line="480" w:lineRule="auto"/>
        <w:rPr>
          <w:rFonts w:ascii="Arial" w:hAnsi="Arial" w:cs="Arial"/>
          <w:i/>
          <w:iCs/>
          <w:color w:val="000000" w:themeColor="text1"/>
          <w:sz w:val="20"/>
          <w:szCs w:val="20"/>
          <w:u w:val="single"/>
        </w:rPr>
      </w:pPr>
      <w:r w:rsidRPr="004E2853">
        <w:rPr>
          <w:rFonts w:ascii="Arial" w:hAnsi="Arial" w:cs="Arial"/>
          <w:i/>
          <w:iCs/>
          <w:color w:val="000000" w:themeColor="text1"/>
          <w:sz w:val="20"/>
          <w:szCs w:val="20"/>
          <w:u w:val="single"/>
        </w:rPr>
        <w:t>Examining the mechanism: effects on WIC participation</w:t>
      </w:r>
    </w:p>
    <w:p w14:paraId="6349C463" w14:textId="77777777" w:rsidR="004E3739" w:rsidRPr="004E2853" w:rsidRDefault="004E3739" w:rsidP="00F84A48">
      <w:pPr>
        <w:spacing w:line="480" w:lineRule="auto"/>
        <w:rPr>
          <w:rFonts w:ascii="Arial" w:hAnsi="Arial" w:cs="Arial"/>
          <w:color w:val="000000" w:themeColor="text1"/>
          <w:sz w:val="20"/>
          <w:szCs w:val="20"/>
        </w:rPr>
      </w:pPr>
      <w:r w:rsidRPr="004E2853">
        <w:rPr>
          <w:rFonts w:ascii="Arial" w:hAnsi="Arial" w:cs="Arial"/>
          <w:color w:val="000000" w:themeColor="text1"/>
          <w:sz w:val="20"/>
          <w:szCs w:val="20"/>
        </w:rPr>
        <w:t xml:space="preserve">We also explored participation in WIC by pregnant women in order to understand if the new package’s availability increased participation in the program, akin to a “first stage” analysis. </w:t>
      </w:r>
    </w:p>
    <w:p w14:paraId="1FFFEA66" w14:textId="77777777" w:rsidR="004E3739" w:rsidRPr="004E2853" w:rsidRDefault="004E3739" w:rsidP="00F84A48">
      <w:pPr>
        <w:spacing w:line="480" w:lineRule="auto"/>
        <w:ind w:firstLine="720"/>
        <w:rPr>
          <w:rFonts w:ascii="Arial" w:hAnsi="Arial" w:cs="Arial"/>
          <w:color w:val="000000" w:themeColor="text1"/>
          <w:sz w:val="20"/>
          <w:szCs w:val="20"/>
        </w:rPr>
      </w:pPr>
      <w:r w:rsidRPr="004E2853">
        <w:rPr>
          <w:rFonts w:ascii="Arial" w:hAnsi="Arial" w:cs="Arial"/>
          <w:color w:val="000000" w:themeColor="text1"/>
          <w:sz w:val="20"/>
          <w:szCs w:val="20"/>
        </w:rPr>
        <w:t xml:space="preserve">We used administrative data on the monthly count of pregnant women WIC participants generously provided by the USDA Food and Nutrition Service, the federal agency responsible for administering the nation’s domestic nutrition assistance programs. Since we only had aggregate WIC participation for pregnant women by state and time (i.e., month-year), we leveraged the geographical and temporal variation in the adoption of the new package to investigate the effect of the WIC revision on overall WIC participation among pregnant women. In this context, the exposure is the adoption status of </w:t>
      </w:r>
      <w:r w:rsidRPr="004E2853">
        <w:rPr>
          <w:rFonts w:ascii="Arial" w:hAnsi="Arial" w:cs="Arial"/>
          <w:color w:val="000000" w:themeColor="text1"/>
          <w:sz w:val="20"/>
          <w:szCs w:val="20"/>
        </w:rPr>
        <w:lastRenderedPageBreak/>
        <w:t>the new package given a particular state and time, rather than predicted eligibility used in the main analysis.</w:t>
      </w:r>
    </w:p>
    <w:p w14:paraId="37D01C21" w14:textId="77777777" w:rsidR="004E3739" w:rsidRPr="004E2853" w:rsidRDefault="004E3739" w:rsidP="00F84A48">
      <w:pPr>
        <w:spacing w:line="480" w:lineRule="auto"/>
        <w:ind w:firstLine="720"/>
        <w:rPr>
          <w:rFonts w:ascii="Arial" w:hAnsi="Arial" w:cs="Arial"/>
          <w:color w:val="000000" w:themeColor="text1"/>
          <w:sz w:val="20"/>
          <w:szCs w:val="20"/>
        </w:rPr>
      </w:pPr>
      <w:r w:rsidRPr="004E2853">
        <w:rPr>
          <w:rFonts w:ascii="Arial" w:hAnsi="Arial" w:cs="Arial"/>
          <w:color w:val="000000" w:themeColor="text1"/>
          <w:sz w:val="20"/>
          <w:szCs w:val="20"/>
        </w:rPr>
        <w:t xml:space="preserve">Our key dependent variable—WIC participation rate of pregnant women—was calculated as the ratio of the number of pregnant women participating in WIC to the number of total births (by month-year and state), where the number of births was total births in the past 6 months (including this month). The denominator was the number of births instead of the number of pregnant women, because there were not easily available estimates for the number of pregnant women by state and year-month. This ratio is a rough measure of the participation rate of pregnant women (considering the small shares of miscarriages and stillbirths and multiple births). The key independent variable was the implementation of the new package in a given state, month, and year. Control variables were state and month-by-year fixed effects, as well as time-varying state covariates that were included in the main analysis. </w:t>
      </w:r>
    </w:p>
    <w:p w14:paraId="45D3E5FF" w14:textId="069E7B0C" w:rsidR="004E3739" w:rsidRPr="004E2853" w:rsidRDefault="004E3739" w:rsidP="00F84A48">
      <w:pPr>
        <w:spacing w:line="480" w:lineRule="auto"/>
        <w:ind w:firstLine="720"/>
        <w:rPr>
          <w:rFonts w:ascii="Arial" w:hAnsi="Arial" w:cs="Arial"/>
          <w:color w:val="000000" w:themeColor="text1"/>
          <w:sz w:val="20"/>
          <w:szCs w:val="20"/>
        </w:rPr>
        <w:sectPr w:rsidR="004E3739" w:rsidRPr="004E2853" w:rsidSect="004E2853">
          <w:footerReference w:type="even" r:id="rId7"/>
          <w:footerReference w:type="default" r:id="rId8"/>
          <w:pgSz w:w="12240" w:h="15840"/>
          <w:pgMar w:top="1440" w:right="1440" w:bottom="1440" w:left="1440" w:header="720" w:footer="720" w:gutter="0"/>
          <w:cols w:space="720"/>
          <w:docGrid w:linePitch="360"/>
        </w:sectPr>
      </w:pPr>
      <w:r w:rsidRPr="004E2853">
        <w:rPr>
          <w:rFonts w:ascii="Arial" w:hAnsi="Arial" w:cs="Arial"/>
          <w:color w:val="000000" w:themeColor="text1"/>
          <w:sz w:val="20"/>
          <w:szCs w:val="20"/>
        </w:rPr>
        <w:t>Analytic samples were restricted to the same states and years as in the main analysis. Each observation represents a state-year-month cell, the regressions were weighted by the number of births, and standard error clustering was implemented at the state level to account for correlated observations within state. Results were shown in Table S</w:t>
      </w:r>
      <w:r w:rsidR="004B5274" w:rsidRPr="004E2853">
        <w:rPr>
          <w:rFonts w:ascii="Arial" w:hAnsi="Arial" w:cs="Arial"/>
          <w:color w:val="000000" w:themeColor="text1"/>
          <w:sz w:val="20"/>
          <w:szCs w:val="20"/>
        </w:rPr>
        <w:t>7</w:t>
      </w:r>
      <w:r w:rsidRPr="004E2853">
        <w:rPr>
          <w:rFonts w:ascii="Arial" w:hAnsi="Arial" w:cs="Arial"/>
          <w:color w:val="000000" w:themeColor="text1"/>
          <w:sz w:val="20"/>
          <w:szCs w:val="20"/>
        </w:rPr>
        <w:t xml:space="preserve">, with the key coefficient multiplied by 100. Overall, adoption of the new package was not associated with a statistically significant increase in participation by pregnant women, and the point estimates are quite small.  </w:t>
      </w:r>
    </w:p>
    <w:p w14:paraId="6D2B3077" w14:textId="77777777" w:rsidR="004E3739" w:rsidRPr="004E2853" w:rsidRDefault="004E3739" w:rsidP="004E3739">
      <w:pPr>
        <w:tabs>
          <w:tab w:val="left" w:pos="2959"/>
        </w:tabs>
        <w:rPr>
          <w:rFonts w:ascii="Arial" w:hAnsi="Arial" w:cs="Arial"/>
          <w:b/>
          <w:bCs/>
          <w:color w:val="000000" w:themeColor="text1"/>
          <w:sz w:val="20"/>
          <w:szCs w:val="20"/>
        </w:rPr>
      </w:pPr>
      <w:r w:rsidRPr="004E2853">
        <w:rPr>
          <w:rFonts w:ascii="Arial" w:hAnsi="Arial" w:cs="Arial"/>
          <w:b/>
          <w:bCs/>
          <w:color w:val="000000" w:themeColor="text1"/>
          <w:sz w:val="20"/>
          <w:szCs w:val="20"/>
        </w:rPr>
        <w:lastRenderedPageBreak/>
        <w:t>Supplemental Figures and Tables</w:t>
      </w:r>
    </w:p>
    <w:p w14:paraId="2CEF345A" w14:textId="77777777" w:rsidR="004E3739" w:rsidRPr="004E2853" w:rsidRDefault="004E3739" w:rsidP="004E3739">
      <w:pPr>
        <w:tabs>
          <w:tab w:val="left" w:pos="2959"/>
        </w:tabs>
        <w:rPr>
          <w:rFonts w:ascii="Arial" w:hAnsi="Arial" w:cs="Arial"/>
          <w:color w:val="000000" w:themeColor="text1"/>
          <w:sz w:val="20"/>
          <w:szCs w:val="20"/>
        </w:rPr>
      </w:pPr>
    </w:p>
    <w:p w14:paraId="6FB8228E" w14:textId="77777777" w:rsidR="004E3739" w:rsidRPr="004E2853" w:rsidRDefault="004E3739" w:rsidP="004E3739">
      <w:pPr>
        <w:tabs>
          <w:tab w:val="left" w:pos="2959"/>
        </w:tabs>
        <w:rPr>
          <w:rFonts w:ascii="Arial" w:hAnsi="Arial" w:cs="Arial"/>
          <w:b/>
          <w:bCs/>
          <w:color w:val="000000" w:themeColor="text1"/>
          <w:sz w:val="20"/>
          <w:szCs w:val="20"/>
        </w:rPr>
      </w:pPr>
    </w:p>
    <w:p w14:paraId="061294D4" w14:textId="77777777" w:rsidR="004E3739" w:rsidRPr="004E2853" w:rsidRDefault="004E3739" w:rsidP="004E3739">
      <w:pPr>
        <w:tabs>
          <w:tab w:val="left" w:pos="2959"/>
        </w:tabs>
        <w:rPr>
          <w:rFonts w:ascii="Arial" w:hAnsi="Arial" w:cs="Arial"/>
          <w:color w:val="000000" w:themeColor="text1"/>
          <w:sz w:val="20"/>
          <w:szCs w:val="20"/>
        </w:rPr>
      </w:pPr>
      <w:r w:rsidRPr="004E2853">
        <w:rPr>
          <w:rFonts w:ascii="Arial" w:hAnsi="Arial" w:cs="Arial"/>
          <w:color w:val="000000" w:themeColor="text1"/>
          <w:sz w:val="20"/>
          <w:szCs w:val="20"/>
        </w:rPr>
        <w:t xml:space="preserve">           Figure S1. Sample selection flowchart</w:t>
      </w:r>
    </w:p>
    <w:p w14:paraId="11E44A95" w14:textId="77777777" w:rsidR="004E3739" w:rsidRPr="004E2853" w:rsidRDefault="004E3739" w:rsidP="004E3739">
      <w:pPr>
        <w:tabs>
          <w:tab w:val="left" w:pos="2959"/>
        </w:tabs>
        <w:jc w:val="center"/>
        <w:rPr>
          <w:rFonts w:ascii="Arial" w:hAnsi="Arial" w:cs="Arial"/>
          <w:color w:val="000000" w:themeColor="text1"/>
          <w:sz w:val="20"/>
          <w:szCs w:val="20"/>
        </w:rPr>
      </w:pPr>
    </w:p>
    <w:p w14:paraId="7E0DE721" w14:textId="466C5872" w:rsidR="004E3739" w:rsidRPr="004E2853" w:rsidRDefault="00416173" w:rsidP="004E3739">
      <w:pPr>
        <w:tabs>
          <w:tab w:val="left" w:pos="2959"/>
        </w:tabs>
        <w:rPr>
          <w:rFonts w:ascii="Arial" w:hAnsi="Arial" w:cs="Arial"/>
          <w:color w:val="000000" w:themeColor="text1"/>
          <w:sz w:val="20"/>
          <w:szCs w:val="20"/>
        </w:rPr>
      </w:pPr>
      <w:r w:rsidRPr="004E2853">
        <w:rPr>
          <w:rFonts w:ascii="Arial" w:hAnsi="Arial" w:cs="Arial"/>
          <w:noProof/>
          <w:color w:val="000000" w:themeColor="text1"/>
          <w:sz w:val="20"/>
          <w:szCs w:val="20"/>
        </w:rPr>
        <w:drawing>
          <wp:anchor distT="0" distB="0" distL="114300" distR="114300" simplePos="0" relativeHeight="251661312" behindDoc="0" locked="0" layoutInCell="1" allowOverlap="1" wp14:anchorId="4401FB94" wp14:editId="494E748A">
            <wp:simplePos x="0" y="0"/>
            <wp:positionH relativeFrom="column">
              <wp:posOffset>3776134</wp:posOffset>
            </wp:positionH>
            <wp:positionV relativeFrom="paragraph">
              <wp:posOffset>2930314</wp:posOffset>
            </wp:positionV>
            <wp:extent cx="2506133" cy="3124200"/>
            <wp:effectExtent l="0" t="0" r="8890" b="12700"/>
            <wp:wrapNone/>
            <wp:docPr id="796254409"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page">
              <wp14:pctWidth>0</wp14:pctWidth>
            </wp14:sizeRelH>
            <wp14:sizeRelV relativeFrom="page">
              <wp14:pctHeight>0</wp14:pctHeight>
            </wp14:sizeRelV>
          </wp:anchor>
        </w:drawing>
      </w:r>
      <w:r w:rsidRPr="004E2853">
        <w:rPr>
          <w:rFonts w:ascii="Arial" w:hAnsi="Arial" w:cs="Arial"/>
          <w:noProof/>
          <w:color w:val="000000" w:themeColor="text1"/>
          <w:sz w:val="20"/>
          <w:szCs w:val="20"/>
        </w:rPr>
        <mc:AlternateContent>
          <mc:Choice Requires="wps">
            <w:drawing>
              <wp:anchor distT="0" distB="0" distL="114300" distR="114300" simplePos="0" relativeHeight="251659264" behindDoc="0" locked="0" layoutInCell="1" allowOverlap="1" wp14:anchorId="1BDC7F57" wp14:editId="067A0A99">
                <wp:simplePos x="0" y="0"/>
                <wp:positionH relativeFrom="column">
                  <wp:posOffset>1859068</wp:posOffset>
                </wp:positionH>
                <wp:positionV relativeFrom="paragraph">
                  <wp:posOffset>3215428</wp:posOffset>
                </wp:positionV>
                <wp:extent cx="1683945" cy="0"/>
                <wp:effectExtent l="0" t="63500" r="0" b="76200"/>
                <wp:wrapNone/>
                <wp:docPr id="415282777" name="Straight Arrow Connector 1"/>
                <wp:cNvGraphicFramePr/>
                <a:graphic xmlns:a="http://schemas.openxmlformats.org/drawingml/2006/main">
                  <a:graphicData uri="http://schemas.microsoft.com/office/word/2010/wordprocessingShape">
                    <wps:wsp>
                      <wps:cNvCnPr/>
                      <wps:spPr>
                        <a:xfrm>
                          <a:off x="0" y="0"/>
                          <a:ext cx="168394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71343173" id="_x0000_t32" coordsize="21600,21600" o:spt="32" o:oned="t" path="m,l21600,21600e" filled="f">
                <v:path arrowok="t" fillok="f" o:connecttype="none"/>
                <o:lock v:ext="edit" shapetype="t"/>
              </v:shapetype>
              <v:shape id="Straight Arrow Connector 1" o:spid="_x0000_s1026" type="#_x0000_t32" style="position:absolute;margin-left:146.4pt;margin-top:253.2pt;width:132.6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" strokecolor="black [3200]" strokeweight=".5pt">
                <v:stroke endarrow="block" joinstyle="miter"/>
              </v:shape>
            </w:pict>
          </mc:Fallback>
        </mc:AlternateContent>
      </w:r>
      <w:r w:rsidR="004E3739" w:rsidRPr="004E2853">
        <w:rPr>
          <w:rFonts w:ascii="Arial" w:hAnsi="Arial" w:cs="Arial"/>
          <w:noProof/>
          <w:color w:val="000000" w:themeColor="text1"/>
          <w:sz w:val="20"/>
          <w:szCs w:val="20"/>
        </w:rPr>
        <w:drawing>
          <wp:inline distT="0" distB="0" distL="0" distR="0" wp14:anchorId="31E9E553" wp14:editId="1EAC8329">
            <wp:extent cx="2785533" cy="4648200"/>
            <wp:effectExtent l="0" t="0" r="21590" b="12700"/>
            <wp:docPr id="1848019715"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7668D53F" w14:textId="77777777" w:rsidR="004E3739" w:rsidRPr="004E2853" w:rsidRDefault="004E3739" w:rsidP="004E3739">
      <w:pPr>
        <w:tabs>
          <w:tab w:val="left" w:pos="2959"/>
        </w:tabs>
        <w:rPr>
          <w:rFonts w:ascii="Arial" w:hAnsi="Arial" w:cs="Arial"/>
          <w:color w:val="000000" w:themeColor="text1"/>
          <w:sz w:val="20"/>
          <w:szCs w:val="20"/>
        </w:rPr>
      </w:pPr>
    </w:p>
    <w:p w14:paraId="2EC9C042" w14:textId="77777777" w:rsidR="004E3739" w:rsidRPr="004E2853" w:rsidRDefault="004E3739" w:rsidP="004E3739">
      <w:pPr>
        <w:tabs>
          <w:tab w:val="left" w:pos="2959"/>
        </w:tabs>
        <w:rPr>
          <w:rFonts w:ascii="Arial" w:hAnsi="Arial" w:cs="Arial"/>
          <w:color w:val="000000" w:themeColor="text1"/>
          <w:sz w:val="20"/>
          <w:szCs w:val="20"/>
        </w:rPr>
      </w:pPr>
    </w:p>
    <w:p w14:paraId="0CE16CE3" w14:textId="77777777" w:rsidR="004E3739" w:rsidRPr="004E2853" w:rsidRDefault="004E3739" w:rsidP="004E3739">
      <w:pPr>
        <w:tabs>
          <w:tab w:val="left" w:pos="2959"/>
        </w:tabs>
        <w:rPr>
          <w:rFonts w:ascii="Arial" w:hAnsi="Arial" w:cs="Arial"/>
          <w:color w:val="000000" w:themeColor="text1"/>
          <w:sz w:val="20"/>
          <w:szCs w:val="20"/>
        </w:rPr>
        <w:sectPr w:rsidR="004E3739" w:rsidRPr="004E2853" w:rsidSect="004E3739">
          <w:pgSz w:w="12240" w:h="15840"/>
          <w:pgMar w:top="1440" w:right="1440" w:bottom="1440" w:left="1440" w:header="720" w:footer="720" w:gutter="0"/>
          <w:cols w:space="720"/>
          <w:docGrid w:linePitch="360"/>
        </w:sectPr>
      </w:pPr>
    </w:p>
    <w:p w14:paraId="3F1AE9D3" w14:textId="7FAA5A6C" w:rsidR="004E3739" w:rsidRPr="004E2853" w:rsidRDefault="004E3739" w:rsidP="004E3739">
      <w:pPr>
        <w:tabs>
          <w:tab w:val="left" w:pos="2959"/>
        </w:tabs>
        <w:rPr>
          <w:rFonts w:ascii="Arial" w:hAnsi="Arial" w:cs="Arial"/>
          <w:color w:val="000000" w:themeColor="text1"/>
          <w:sz w:val="20"/>
          <w:szCs w:val="20"/>
        </w:rPr>
      </w:pPr>
      <w:r w:rsidRPr="004E2853">
        <w:rPr>
          <w:rFonts w:ascii="Arial" w:hAnsi="Arial" w:cs="Arial"/>
          <w:color w:val="000000" w:themeColor="text1"/>
          <w:sz w:val="20"/>
          <w:szCs w:val="20"/>
        </w:rPr>
        <w:lastRenderedPageBreak/>
        <w:t>Figure S2. Quantitative examination of the parallel trends assumption (event study analyses) for the standard DID design</w:t>
      </w:r>
      <w:r w:rsidR="00A35765" w:rsidRPr="004E2853">
        <w:rPr>
          <w:rFonts w:ascii="Arial" w:hAnsi="Arial" w:cs="Arial"/>
          <w:color w:val="000000" w:themeColor="text1"/>
          <w:sz w:val="20"/>
          <w:szCs w:val="20"/>
        </w:rPr>
        <w:t xml:space="preserve"> </w:t>
      </w:r>
    </w:p>
    <w:p w14:paraId="068927AF" w14:textId="77777777" w:rsidR="004E3739" w:rsidRPr="004E2853" w:rsidRDefault="004E3739" w:rsidP="004E3739">
      <w:pPr>
        <w:tabs>
          <w:tab w:val="left" w:pos="2959"/>
        </w:tabs>
        <w:rPr>
          <w:rFonts w:ascii="Arial" w:hAnsi="Arial" w:cs="Arial"/>
          <w:color w:val="000000" w:themeColor="text1"/>
          <w:sz w:val="20"/>
          <w:szCs w:val="20"/>
        </w:rPr>
      </w:pPr>
    </w:p>
    <w:p w14:paraId="56C42ADB" w14:textId="77777777" w:rsidR="004E3739" w:rsidRPr="004E2853" w:rsidRDefault="004E3739" w:rsidP="004E3739">
      <w:pPr>
        <w:tabs>
          <w:tab w:val="left" w:pos="2959"/>
        </w:tabs>
        <w:rPr>
          <w:rFonts w:ascii="Arial" w:hAnsi="Arial" w:cs="Arial"/>
          <w:color w:val="000000" w:themeColor="text1"/>
          <w:sz w:val="20"/>
          <w:szCs w:val="20"/>
        </w:rPr>
      </w:pPr>
      <w:r w:rsidRPr="004E2853">
        <w:rPr>
          <w:rFonts w:ascii="Arial" w:hAnsi="Arial" w:cs="Arial"/>
          <w:noProof/>
          <w:color w:val="000000" w:themeColor="text1"/>
          <w:sz w:val="20"/>
          <w:szCs w:val="20"/>
        </w:rPr>
        <w:drawing>
          <wp:inline distT="0" distB="0" distL="0" distR="0" wp14:anchorId="6E447010" wp14:editId="528C0D06">
            <wp:extent cx="5943600" cy="3566160"/>
            <wp:effectExtent l="0" t="0" r="0" b="2540"/>
            <wp:docPr id="311131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131216" name=""/>
                    <pic:cNvPicPr/>
                  </pic:nvPicPr>
                  <pic:blipFill>
                    <a:blip r:embed="rId19"/>
                    <a:stretch>
                      <a:fillRect/>
                    </a:stretch>
                  </pic:blipFill>
                  <pic:spPr>
                    <a:xfrm>
                      <a:off x="0" y="0"/>
                      <a:ext cx="5943600" cy="3566160"/>
                    </a:xfrm>
                    <a:prstGeom prst="rect">
                      <a:avLst/>
                    </a:prstGeom>
                  </pic:spPr>
                </pic:pic>
              </a:graphicData>
            </a:graphic>
          </wp:inline>
        </w:drawing>
      </w:r>
    </w:p>
    <w:p w14:paraId="3EACFBEF" w14:textId="77777777" w:rsidR="004E3739" w:rsidRPr="004E2853" w:rsidRDefault="004E3739" w:rsidP="004E3739">
      <w:pPr>
        <w:tabs>
          <w:tab w:val="left" w:pos="2959"/>
        </w:tabs>
        <w:rPr>
          <w:rFonts w:ascii="Arial" w:hAnsi="Arial" w:cs="Arial"/>
          <w:color w:val="000000" w:themeColor="text1"/>
          <w:sz w:val="20"/>
          <w:szCs w:val="20"/>
        </w:rPr>
      </w:pPr>
    </w:p>
    <w:p w14:paraId="0D49DAA4" w14:textId="77777777" w:rsidR="004E3739" w:rsidRPr="004E2853" w:rsidRDefault="004E3739" w:rsidP="004E3739">
      <w:pPr>
        <w:tabs>
          <w:tab w:val="left" w:pos="2959"/>
        </w:tabs>
        <w:rPr>
          <w:rFonts w:ascii="Arial" w:hAnsi="Arial" w:cs="Arial"/>
          <w:color w:val="000000" w:themeColor="text1"/>
          <w:sz w:val="16"/>
          <w:szCs w:val="16"/>
        </w:rPr>
      </w:pPr>
      <w:r w:rsidRPr="004E2853">
        <w:rPr>
          <w:rFonts w:ascii="Arial" w:hAnsi="Arial" w:cs="Arial"/>
          <w:color w:val="000000" w:themeColor="text1"/>
          <w:sz w:val="16"/>
          <w:szCs w:val="16"/>
        </w:rPr>
        <w:t>Abbreviations: SNAP: Supplemental Nutrition Assistance Program; TANF: Temporary Assistance for Needy Families; EITC: Earned Income Tax Credit</w:t>
      </w:r>
    </w:p>
    <w:p w14:paraId="65557EBF" w14:textId="1C9A2B0C" w:rsidR="004E3739" w:rsidRPr="004E2853" w:rsidRDefault="004E3739" w:rsidP="004E3739">
      <w:pPr>
        <w:tabs>
          <w:tab w:val="left" w:pos="2959"/>
        </w:tabs>
        <w:rPr>
          <w:rFonts w:ascii="Arial" w:hAnsi="Arial" w:cs="Arial"/>
          <w:color w:val="000000" w:themeColor="text1"/>
          <w:sz w:val="16"/>
          <w:szCs w:val="16"/>
        </w:rPr>
      </w:pPr>
      <w:r w:rsidRPr="004E2853">
        <w:rPr>
          <w:rFonts w:ascii="Arial" w:hAnsi="Arial" w:cs="Arial"/>
          <w:color w:val="000000" w:themeColor="text1"/>
          <w:sz w:val="16"/>
          <w:szCs w:val="16"/>
        </w:rPr>
        <w:t>Note: Data were drawn from 2008-2012 US birth certificates (N = 11,855,417 women in 27 states). WIC eligibility was imputed using self-reported demographics. Coefficients for binary outcomes were multiplied by 100 and therefore represent a change in percentage points. Binary outcomes include small/large/appropriate for gestational age, and gestational diabetes. All models include individual characteristics (mother's age, race/ethnicity, nativity, education, marital status, and parity), state characteristics (birth rate, unemployment rate, % SNAP/capita, % TANF/capita, EITC rate, and Medicaid income eligibility threshold), and fixed effects for the month when a woman’s second trimester started</w:t>
      </w:r>
      <w:r w:rsidR="00DB1F95">
        <w:rPr>
          <w:rFonts w:ascii="Arial" w:hAnsi="Arial" w:cs="Arial"/>
          <w:color w:val="000000" w:themeColor="text1"/>
          <w:sz w:val="16"/>
          <w:szCs w:val="16"/>
        </w:rPr>
        <w:t xml:space="preserve"> and state</w:t>
      </w:r>
      <w:r w:rsidRPr="004E2853">
        <w:rPr>
          <w:rFonts w:ascii="Arial" w:hAnsi="Arial" w:cs="Arial"/>
          <w:color w:val="000000" w:themeColor="text1"/>
          <w:sz w:val="16"/>
          <w:szCs w:val="16"/>
        </w:rPr>
        <w:t>. Robust standard errors were used to address possible heteroskedasticity. Dashed vertical lines represent the baseline event time, i.e., one month before the policy change.</w:t>
      </w:r>
    </w:p>
    <w:p w14:paraId="1BEC55EE" w14:textId="77777777" w:rsidR="004E3739" w:rsidRPr="004E2853" w:rsidRDefault="004E3739" w:rsidP="004E3739">
      <w:pPr>
        <w:tabs>
          <w:tab w:val="left" w:pos="2959"/>
        </w:tabs>
        <w:rPr>
          <w:rFonts w:ascii="Arial" w:hAnsi="Arial" w:cs="Arial"/>
          <w:color w:val="000000" w:themeColor="text1"/>
          <w:sz w:val="20"/>
          <w:szCs w:val="20"/>
        </w:rPr>
      </w:pPr>
    </w:p>
    <w:p w14:paraId="653D3AEE" w14:textId="77777777" w:rsidR="001646FE" w:rsidRPr="004E2853" w:rsidRDefault="001646FE" w:rsidP="004E3739">
      <w:pPr>
        <w:tabs>
          <w:tab w:val="left" w:pos="2959"/>
        </w:tabs>
        <w:rPr>
          <w:rFonts w:ascii="Arial" w:hAnsi="Arial" w:cs="Arial"/>
          <w:color w:val="000000" w:themeColor="text1"/>
          <w:sz w:val="20"/>
          <w:szCs w:val="20"/>
        </w:rPr>
        <w:sectPr w:rsidR="001646FE" w:rsidRPr="004E2853" w:rsidSect="004E3739">
          <w:pgSz w:w="12240" w:h="15840"/>
          <w:pgMar w:top="1440" w:right="1440" w:bottom="1440" w:left="1440" w:header="720" w:footer="720" w:gutter="0"/>
          <w:cols w:space="720"/>
          <w:docGrid w:linePitch="360"/>
        </w:sectPr>
      </w:pPr>
    </w:p>
    <w:p w14:paraId="09DDD342" w14:textId="3345E438" w:rsidR="001646FE" w:rsidRPr="004E2853" w:rsidRDefault="001646FE" w:rsidP="001646FE">
      <w:pPr>
        <w:tabs>
          <w:tab w:val="left" w:pos="2959"/>
        </w:tabs>
        <w:rPr>
          <w:rFonts w:ascii="Arial" w:hAnsi="Arial" w:cs="Arial"/>
          <w:color w:val="000000" w:themeColor="text1"/>
          <w:sz w:val="20"/>
          <w:szCs w:val="20"/>
        </w:rPr>
      </w:pPr>
      <w:r w:rsidRPr="004E2853">
        <w:rPr>
          <w:rFonts w:ascii="Arial" w:hAnsi="Arial" w:cs="Arial"/>
          <w:color w:val="000000" w:themeColor="text1"/>
          <w:sz w:val="20"/>
          <w:szCs w:val="20"/>
        </w:rPr>
        <w:lastRenderedPageBreak/>
        <w:t>Figure S3. Quantitative examination of the parallel trends assumption (event study analyses) for the standard DID design (with standard errors clustered by state)</w:t>
      </w:r>
    </w:p>
    <w:p w14:paraId="50E204C5" w14:textId="77777777" w:rsidR="001646FE" w:rsidRPr="004E2853" w:rsidRDefault="001646FE" w:rsidP="004E3739">
      <w:pPr>
        <w:tabs>
          <w:tab w:val="left" w:pos="2959"/>
        </w:tabs>
        <w:rPr>
          <w:rFonts w:ascii="Arial" w:hAnsi="Arial" w:cs="Arial"/>
          <w:color w:val="000000" w:themeColor="text1"/>
          <w:sz w:val="20"/>
          <w:szCs w:val="20"/>
        </w:rPr>
      </w:pPr>
    </w:p>
    <w:p w14:paraId="54A95E8E" w14:textId="22C73FA9" w:rsidR="004E3739" w:rsidRPr="004E2853" w:rsidRDefault="001646FE" w:rsidP="004E3739">
      <w:pPr>
        <w:tabs>
          <w:tab w:val="left" w:pos="2959"/>
        </w:tabs>
        <w:rPr>
          <w:rFonts w:ascii="Arial" w:hAnsi="Arial" w:cs="Arial"/>
          <w:color w:val="000000" w:themeColor="text1"/>
          <w:sz w:val="20"/>
          <w:szCs w:val="20"/>
        </w:rPr>
      </w:pPr>
      <w:r w:rsidRPr="004E2853">
        <w:rPr>
          <w:rFonts w:ascii="Arial" w:hAnsi="Arial" w:cs="Arial"/>
          <w:noProof/>
          <w:color w:val="000000" w:themeColor="text1"/>
          <w:sz w:val="20"/>
          <w:szCs w:val="20"/>
          <w14:ligatures w14:val="standardContextual"/>
        </w:rPr>
        <w:drawing>
          <wp:inline distT="0" distB="0" distL="0" distR="0" wp14:anchorId="0164EBD7" wp14:editId="4731D281">
            <wp:extent cx="5943600" cy="3504565"/>
            <wp:effectExtent l="0" t="0" r="0" b="635"/>
            <wp:docPr id="637734505" name="Picture 2" descr="A group of graphing of different stages of gestational 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734505" name="Picture 2" descr="A group of graphing of different stages of gestational age&#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3504565"/>
                    </a:xfrm>
                    <a:prstGeom prst="rect">
                      <a:avLst/>
                    </a:prstGeom>
                  </pic:spPr>
                </pic:pic>
              </a:graphicData>
            </a:graphic>
          </wp:inline>
        </w:drawing>
      </w:r>
    </w:p>
    <w:p w14:paraId="009D584A" w14:textId="77777777" w:rsidR="004E3739" w:rsidRPr="004E2853" w:rsidRDefault="004E3739" w:rsidP="004E3739">
      <w:pPr>
        <w:tabs>
          <w:tab w:val="left" w:pos="2959"/>
        </w:tabs>
        <w:rPr>
          <w:rFonts w:ascii="Arial" w:hAnsi="Arial" w:cs="Arial"/>
          <w:color w:val="000000" w:themeColor="text1"/>
          <w:sz w:val="20"/>
          <w:szCs w:val="20"/>
        </w:rPr>
      </w:pPr>
    </w:p>
    <w:p w14:paraId="2F50B52C" w14:textId="77777777" w:rsidR="004E3739" w:rsidRPr="004E2853" w:rsidRDefault="004E3739" w:rsidP="004E3739">
      <w:pPr>
        <w:tabs>
          <w:tab w:val="left" w:pos="2959"/>
        </w:tabs>
        <w:rPr>
          <w:rFonts w:ascii="Arial" w:hAnsi="Arial" w:cs="Arial"/>
          <w:color w:val="000000" w:themeColor="text1"/>
          <w:sz w:val="20"/>
          <w:szCs w:val="20"/>
        </w:rPr>
      </w:pPr>
    </w:p>
    <w:p w14:paraId="6C10FFD5" w14:textId="77777777" w:rsidR="001646FE" w:rsidRPr="004E2853" w:rsidRDefault="001646FE" w:rsidP="001646FE">
      <w:pPr>
        <w:tabs>
          <w:tab w:val="left" w:pos="2959"/>
        </w:tabs>
        <w:rPr>
          <w:rFonts w:ascii="Arial" w:hAnsi="Arial" w:cs="Arial"/>
          <w:color w:val="000000" w:themeColor="text1"/>
          <w:sz w:val="16"/>
          <w:szCs w:val="16"/>
        </w:rPr>
      </w:pPr>
      <w:r w:rsidRPr="004E2853">
        <w:rPr>
          <w:rFonts w:ascii="Arial" w:hAnsi="Arial" w:cs="Arial"/>
          <w:color w:val="000000" w:themeColor="text1"/>
          <w:sz w:val="16"/>
          <w:szCs w:val="16"/>
        </w:rPr>
        <w:t>Abbreviations: SNAP: Supplemental Nutrition Assistance Program; TANF: Temporary Assistance for Needy Families; EITC: Earned Income Tax Credit</w:t>
      </w:r>
    </w:p>
    <w:p w14:paraId="63336EE2" w14:textId="547676F1" w:rsidR="001646FE" w:rsidRPr="004E2853" w:rsidRDefault="001646FE" w:rsidP="001646FE">
      <w:pPr>
        <w:tabs>
          <w:tab w:val="left" w:pos="2959"/>
        </w:tabs>
        <w:rPr>
          <w:rFonts w:ascii="Arial" w:hAnsi="Arial" w:cs="Arial"/>
          <w:color w:val="000000" w:themeColor="text1"/>
          <w:sz w:val="16"/>
          <w:szCs w:val="16"/>
        </w:rPr>
      </w:pPr>
      <w:r w:rsidRPr="004E2853">
        <w:rPr>
          <w:rFonts w:ascii="Arial" w:hAnsi="Arial" w:cs="Arial"/>
          <w:color w:val="000000" w:themeColor="text1"/>
          <w:sz w:val="16"/>
          <w:szCs w:val="16"/>
        </w:rPr>
        <w:t>Note: Data were drawn from 2008-2012 US birth certificates (N = 11,855,417 women in 27 states). WIC eligibility was imputed using self-reported demographics. Coefficients for binary outcomes were multiplied by 100 and therefore represent a change in percentage points. Binary outcomes include small/large/appropriate for gestational age, and gestational diabetes. All models include individual characteristics (mother's age, race/ethnicity, nativity, education, marital status, and parity), state characteristics (birth rate, unemployment rate, % SNAP/capita, % TANF/capita, EITC rate, and Medicaid income eligibility threshold), and fixed effects for the month when a woman’s second trimester started</w:t>
      </w:r>
      <w:r w:rsidR="00DB1F95">
        <w:rPr>
          <w:rFonts w:ascii="Arial" w:hAnsi="Arial" w:cs="Arial"/>
          <w:color w:val="000000" w:themeColor="text1"/>
          <w:sz w:val="16"/>
          <w:szCs w:val="16"/>
        </w:rPr>
        <w:t xml:space="preserve"> and state</w:t>
      </w:r>
      <w:r w:rsidRPr="004E2853">
        <w:rPr>
          <w:rFonts w:ascii="Arial" w:hAnsi="Arial" w:cs="Arial"/>
          <w:color w:val="000000" w:themeColor="text1"/>
          <w:sz w:val="16"/>
          <w:szCs w:val="16"/>
        </w:rPr>
        <w:t>. Dashed vertical lines represent the baseline event time, i.e., one month before the policy change.</w:t>
      </w:r>
    </w:p>
    <w:p w14:paraId="46432BDB" w14:textId="77777777" w:rsidR="004E3739" w:rsidRPr="004E2853" w:rsidRDefault="004E3739" w:rsidP="004E3739">
      <w:pPr>
        <w:tabs>
          <w:tab w:val="left" w:pos="2959"/>
        </w:tabs>
        <w:rPr>
          <w:rFonts w:ascii="Arial" w:hAnsi="Arial" w:cs="Arial"/>
          <w:color w:val="000000" w:themeColor="text1"/>
          <w:sz w:val="20"/>
          <w:szCs w:val="20"/>
        </w:rPr>
        <w:sectPr w:rsidR="004E3739" w:rsidRPr="004E2853" w:rsidSect="004E3739">
          <w:pgSz w:w="12240" w:h="15840"/>
          <w:pgMar w:top="1440" w:right="1440" w:bottom="1440" w:left="1440" w:header="720" w:footer="720" w:gutter="0"/>
          <w:cols w:space="720"/>
          <w:docGrid w:linePitch="360"/>
        </w:sectPr>
      </w:pPr>
    </w:p>
    <w:p w14:paraId="73D2E8CD" w14:textId="77777777" w:rsidR="00743EE1" w:rsidRDefault="00743EE1" w:rsidP="004E3739">
      <w:pPr>
        <w:tabs>
          <w:tab w:val="left" w:pos="2959"/>
        </w:tabs>
        <w:rPr>
          <w:rFonts w:ascii="Arial" w:hAnsi="Arial" w:cs="Arial"/>
          <w:color w:val="000000" w:themeColor="text1"/>
          <w:sz w:val="20"/>
          <w:szCs w:val="20"/>
        </w:rPr>
      </w:pPr>
    </w:p>
    <w:p w14:paraId="75DFF4CF" w14:textId="79FE4A3E" w:rsidR="00743EE1" w:rsidRDefault="00743EE1" w:rsidP="004E3739">
      <w:pPr>
        <w:tabs>
          <w:tab w:val="left" w:pos="2959"/>
        </w:tabs>
        <w:rPr>
          <w:rFonts w:ascii="Arial" w:hAnsi="Arial" w:cs="Arial"/>
          <w:color w:val="000000" w:themeColor="text1"/>
          <w:sz w:val="20"/>
          <w:szCs w:val="20"/>
        </w:rPr>
      </w:pPr>
      <w:r>
        <w:rPr>
          <w:rFonts w:ascii="Arial" w:hAnsi="Arial" w:cs="Arial"/>
          <w:color w:val="000000" w:themeColor="text1"/>
          <w:sz w:val="20"/>
          <w:szCs w:val="20"/>
        </w:rPr>
        <w:t>Figure S4.</w:t>
      </w:r>
      <w:r w:rsidR="0071553C" w:rsidRPr="0071553C">
        <w:t xml:space="preserve"> </w:t>
      </w:r>
      <w:r w:rsidR="0071553C" w:rsidRPr="0071553C">
        <w:rPr>
          <w:rFonts w:ascii="Arial" w:hAnsi="Arial" w:cs="Arial"/>
          <w:color w:val="000000" w:themeColor="text1"/>
          <w:sz w:val="20"/>
          <w:szCs w:val="20"/>
        </w:rPr>
        <w:t xml:space="preserve">Sensitivity Analysis </w:t>
      </w:r>
      <w:r w:rsidR="00A94B85">
        <w:rPr>
          <w:rFonts w:ascii="Arial" w:hAnsi="Arial" w:cs="Arial"/>
          <w:color w:val="000000" w:themeColor="text1"/>
          <w:sz w:val="20"/>
          <w:szCs w:val="20"/>
        </w:rPr>
        <w:t>for</w:t>
      </w:r>
      <w:r w:rsidR="0071553C">
        <w:rPr>
          <w:rFonts w:ascii="Arial" w:hAnsi="Arial" w:cs="Arial"/>
          <w:color w:val="000000" w:themeColor="text1"/>
          <w:sz w:val="20"/>
          <w:szCs w:val="20"/>
        </w:rPr>
        <w:t xml:space="preserve"> potential violations of the parallel trends assumption (“HonestDiD”)</w:t>
      </w:r>
    </w:p>
    <w:p w14:paraId="75C2F3BC" w14:textId="77777777" w:rsidR="00743EE1" w:rsidRDefault="00743EE1" w:rsidP="004E3739">
      <w:pPr>
        <w:tabs>
          <w:tab w:val="left" w:pos="2959"/>
        </w:tabs>
        <w:rPr>
          <w:rFonts w:ascii="Arial" w:hAnsi="Arial" w:cs="Arial"/>
          <w:color w:val="000000" w:themeColor="text1"/>
          <w:sz w:val="20"/>
          <w:szCs w:val="20"/>
        </w:rPr>
      </w:pPr>
    </w:p>
    <w:p w14:paraId="2D20A032" w14:textId="77777777" w:rsidR="00743EE1" w:rsidRDefault="00743EE1" w:rsidP="004E3739">
      <w:pPr>
        <w:tabs>
          <w:tab w:val="left" w:pos="2959"/>
        </w:tabs>
        <w:rPr>
          <w:rFonts w:ascii="Arial" w:hAnsi="Arial" w:cs="Arial"/>
          <w:color w:val="000000" w:themeColor="text1"/>
          <w:sz w:val="20"/>
          <w:szCs w:val="20"/>
        </w:rPr>
      </w:pPr>
      <w:r>
        <w:rPr>
          <w:rFonts w:ascii="Arial" w:hAnsi="Arial" w:cs="Arial"/>
          <w:noProof/>
          <w:color w:val="000000" w:themeColor="text1"/>
          <w:sz w:val="20"/>
          <w:szCs w:val="20"/>
          <w14:ligatures w14:val="standardContextual"/>
        </w:rPr>
        <w:drawing>
          <wp:inline distT="0" distB="0" distL="0" distR="0" wp14:anchorId="685C9812" wp14:editId="36F19CBB">
            <wp:extent cx="5943600" cy="3492500"/>
            <wp:effectExtent l="0" t="0" r="0" b="0"/>
            <wp:docPr id="11935503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550345" name="Picture 119355034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3492500"/>
                    </a:xfrm>
                    <a:prstGeom prst="rect">
                      <a:avLst/>
                    </a:prstGeom>
                  </pic:spPr>
                </pic:pic>
              </a:graphicData>
            </a:graphic>
          </wp:inline>
        </w:drawing>
      </w:r>
    </w:p>
    <w:p w14:paraId="5B17CFA3" w14:textId="77777777" w:rsidR="00DB1F95" w:rsidRDefault="00DB1F95" w:rsidP="004E3739">
      <w:pPr>
        <w:tabs>
          <w:tab w:val="left" w:pos="2959"/>
        </w:tabs>
        <w:rPr>
          <w:rFonts w:ascii="Arial" w:hAnsi="Arial" w:cs="Arial"/>
          <w:color w:val="000000" w:themeColor="text1"/>
          <w:sz w:val="20"/>
          <w:szCs w:val="20"/>
        </w:rPr>
      </w:pPr>
    </w:p>
    <w:p w14:paraId="2E98C01F" w14:textId="77777777" w:rsidR="00DB1F95" w:rsidRPr="004E2853" w:rsidRDefault="00DB1F95" w:rsidP="00DB1F95">
      <w:pPr>
        <w:tabs>
          <w:tab w:val="left" w:pos="2959"/>
        </w:tabs>
        <w:rPr>
          <w:rFonts w:ascii="Arial" w:hAnsi="Arial" w:cs="Arial"/>
          <w:color w:val="000000" w:themeColor="text1"/>
          <w:sz w:val="16"/>
          <w:szCs w:val="16"/>
        </w:rPr>
      </w:pPr>
      <w:r w:rsidRPr="004E2853">
        <w:rPr>
          <w:rFonts w:ascii="Arial" w:hAnsi="Arial" w:cs="Arial"/>
          <w:color w:val="000000" w:themeColor="text1"/>
          <w:sz w:val="16"/>
          <w:szCs w:val="16"/>
        </w:rPr>
        <w:t>Abbreviations: SNAP: Supplemental Nutrition Assistance Program; TANF: Temporary Assistance for Needy Families; EITC: Earned Income Tax Credit</w:t>
      </w:r>
    </w:p>
    <w:p w14:paraId="350F3091" w14:textId="4EF33286" w:rsidR="00DB1F95" w:rsidRPr="004E2853" w:rsidRDefault="00DB1F95" w:rsidP="00DB1F95">
      <w:pPr>
        <w:tabs>
          <w:tab w:val="left" w:pos="2959"/>
        </w:tabs>
        <w:rPr>
          <w:rFonts w:ascii="Arial" w:hAnsi="Arial" w:cs="Arial"/>
          <w:color w:val="000000" w:themeColor="text1"/>
          <w:sz w:val="16"/>
          <w:szCs w:val="16"/>
        </w:rPr>
      </w:pPr>
      <w:r w:rsidRPr="004E2853">
        <w:rPr>
          <w:rFonts w:ascii="Arial" w:hAnsi="Arial" w:cs="Arial"/>
          <w:color w:val="000000" w:themeColor="text1"/>
          <w:sz w:val="16"/>
          <w:szCs w:val="16"/>
        </w:rPr>
        <w:t>Note: Data were drawn from 2008-2012 US birth certificates (N = 11,855,417 women in 27 states). WIC eligibility was imputed using self-reported demographics. Coefficients for binary outcomes were multiplied by 100 and therefore represent a change in percentage points. Binary outcomes include small/large/appropriate for gestational age, and gestational diabetes. All models include individual characteristics (mother's age, race/ethnicity, nativity, education, marital status, and parity), state characteristics (birth rate, unemployment rate, % SNAP/capita, % TANF/capita, EITC rate, and Medicaid income eligibility threshold), and fixed effects for the month when a woman’s second trimester started</w:t>
      </w:r>
      <w:r>
        <w:rPr>
          <w:rFonts w:ascii="Arial" w:hAnsi="Arial" w:cs="Arial"/>
          <w:color w:val="000000" w:themeColor="text1"/>
          <w:sz w:val="16"/>
          <w:szCs w:val="16"/>
        </w:rPr>
        <w:t xml:space="preserve"> and state</w:t>
      </w:r>
      <w:r w:rsidRPr="004E2853">
        <w:rPr>
          <w:rFonts w:ascii="Arial" w:hAnsi="Arial" w:cs="Arial"/>
          <w:color w:val="000000" w:themeColor="text1"/>
          <w:sz w:val="16"/>
          <w:szCs w:val="16"/>
        </w:rPr>
        <w:t>. Robust standard errors were used to address possible heteroskedasticity. Dashed vertical lines represent the baseline event time, i.e., one month before the policy change.</w:t>
      </w:r>
    </w:p>
    <w:p w14:paraId="02384ACA" w14:textId="1EB6DD82" w:rsidR="00DB1F95" w:rsidRDefault="00DB1F95" w:rsidP="004E3739">
      <w:pPr>
        <w:tabs>
          <w:tab w:val="left" w:pos="2959"/>
        </w:tabs>
        <w:rPr>
          <w:rFonts w:ascii="Arial" w:hAnsi="Arial" w:cs="Arial"/>
          <w:color w:val="000000" w:themeColor="text1"/>
          <w:sz w:val="20"/>
          <w:szCs w:val="20"/>
        </w:rPr>
        <w:sectPr w:rsidR="00DB1F95" w:rsidSect="004E3739">
          <w:pgSz w:w="12240" w:h="15840"/>
          <w:pgMar w:top="1440" w:right="1440" w:bottom="1440" w:left="1440" w:header="720" w:footer="720" w:gutter="0"/>
          <w:cols w:space="720"/>
          <w:docGrid w:linePitch="360"/>
        </w:sectPr>
      </w:pPr>
    </w:p>
    <w:p w14:paraId="19F651DB" w14:textId="5EEA410C" w:rsidR="004E3739" w:rsidRPr="004E2853" w:rsidRDefault="004E3739" w:rsidP="004E3739">
      <w:pPr>
        <w:tabs>
          <w:tab w:val="left" w:pos="2959"/>
        </w:tabs>
        <w:rPr>
          <w:rFonts w:ascii="Arial" w:hAnsi="Arial" w:cs="Arial"/>
          <w:color w:val="000000" w:themeColor="text1"/>
          <w:sz w:val="20"/>
          <w:szCs w:val="20"/>
        </w:rPr>
      </w:pPr>
      <w:r w:rsidRPr="004E2853">
        <w:rPr>
          <w:rFonts w:ascii="Arial" w:hAnsi="Arial" w:cs="Arial"/>
          <w:color w:val="000000" w:themeColor="text1"/>
          <w:sz w:val="20"/>
          <w:szCs w:val="20"/>
        </w:rPr>
        <w:lastRenderedPageBreak/>
        <w:t>Figure S</w:t>
      </w:r>
      <w:r w:rsidR="00743EE1">
        <w:rPr>
          <w:rFonts w:ascii="Arial" w:hAnsi="Arial" w:cs="Arial"/>
          <w:color w:val="000000" w:themeColor="text1"/>
          <w:sz w:val="20"/>
          <w:szCs w:val="20"/>
        </w:rPr>
        <w:t>5</w:t>
      </w:r>
      <w:r w:rsidRPr="004E2853">
        <w:rPr>
          <w:rFonts w:ascii="Arial" w:hAnsi="Arial" w:cs="Arial"/>
          <w:color w:val="000000" w:themeColor="text1"/>
          <w:sz w:val="20"/>
          <w:szCs w:val="20"/>
        </w:rPr>
        <w:t>. Quantitative examination of the parallel trends assumption (event study analyses) for the staggered DID design</w:t>
      </w:r>
    </w:p>
    <w:p w14:paraId="19AEFFE6" w14:textId="77777777" w:rsidR="004E3739" w:rsidRPr="004E2853" w:rsidRDefault="004E3739" w:rsidP="004E3739">
      <w:pPr>
        <w:tabs>
          <w:tab w:val="left" w:pos="2959"/>
        </w:tabs>
        <w:rPr>
          <w:rFonts w:ascii="Arial" w:hAnsi="Arial" w:cs="Arial"/>
          <w:color w:val="000000" w:themeColor="text1"/>
          <w:sz w:val="20"/>
          <w:szCs w:val="20"/>
        </w:rPr>
      </w:pPr>
    </w:p>
    <w:p w14:paraId="699BDD04" w14:textId="71AC3D8C" w:rsidR="004E3739" w:rsidRPr="004E2853" w:rsidRDefault="00E73EEF" w:rsidP="004E3739">
      <w:pPr>
        <w:tabs>
          <w:tab w:val="left" w:pos="2959"/>
        </w:tabs>
        <w:rPr>
          <w:rFonts w:ascii="Arial" w:hAnsi="Arial" w:cs="Arial"/>
          <w:color w:val="000000" w:themeColor="text1"/>
          <w:sz w:val="20"/>
          <w:szCs w:val="20"/>
        </w:rPr>
      </w:pPr>
      <w:r w:rsidRPr="004E2853">
        <w:rPr>
          <w:rFonts w:ascii="Arial" w:hAnsi="Arial" w:cs="Arial"/>
          <w:noProof/>
          <w:color w:val="000000" w:themeColor="text1"/>
          <w:sz w:val="20"/>
          <w:szCs w:val="20"/>
        </w:rPr>
        <w:drawing>
          <wp:inline distT="0" distB="0" distL="0" distR="0" wp14:anchorId="77C2245C" wp14:editId="635C214E">
            <wp:extent cx="6126480" cy="3675888"/>
            <wp:effectExtent l="0" t="0" r="0" b="0"/>
            <wp:docPr id="1127333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333366" name=""/>
                    <pic:cNvPicPr/>
                  </pic:nvPicPr>
                  <pic:blipFill>
                    <a:blip r:embed="rId22"/>
                    <a:stretch>
                      <a:fillRect/>
                    </a:stretch>
                  </pic:blipFill>
                  <pic:spPr>
                    <a:xfrm>
                      <a:off x="0" y="0"/>
                      <a:ext cx="6154759" cy="3692855"/>
                    </a:xfrm>
                    <a:prstGeom prst="rect">
                      <a:avLst/>
                    </a:prstGeom>
                  </pic:spPr>
                </pic:pic>
              </a:graphicData>
            </a:graphic>
          </wp:inline>
        </w:drawing>
      </w:r>
    </w:p>
    <w:p w14:paraId="1B7AC0B7" w14:textId="77777777" w:rsidR="004E3739" w:rsidRPr="004E2853" w:rsidRDefault="004E3739" w:rsidP="004E3739">
      <w:pPr>
        <w:tabs>
          <w:tab w:val="left" w:pos="2959"/>
        </w:tabs>
        <w:rPr>
          <w:rFonts w:ascii="Arial" w:hAnsi="Arial" w:cs="Arial"/>
          <w:color w:val="000000" w:themeColor="text1"/>
          <w:sz w:val="20"/>
          <w:szCs w:val="20"/>
        </w:rPr>
      </w:pPr>
    </w:p>
    <w:p w14:paraId="4F3FF349" w14:textId="77777777" w:rsidR="004E3739" w:rsidRPr="004E2853" w:rsidRDefault="004E3739" w:rsidP="004E3739">
      <w:pPr>
        <w:tabs>
          <w:tab w:val="left" w:pos="2959"/>
        </w:tabs>
        <w:rPr>
          <w:rFonts w:ascii="Arial" w:hAnsi="Arial" w:cs="Arial"/>
          <w:color w:val="000000" w:themeColor="text1"/>
          <w:sz w:val="16"/>
          <w:szCs w:val="16"/>
        </w:rPr>
      </w:pPr>
      <w:r w:rsidRPr="004E2853">
        <w:rPr>
          <w:rFonts w:ascii="Arial" w:hAnsi="Arial" w:cs="Arial"/>
          <w:color w:val="000000" w:themeColor="text1"/>
          <w:sz w:val="16"/>
          <w:szCs w:val="16"/>
        </w:rPr>
        <w:t>Abbreviations: SNAP: Supplemental Nutrition Assistance Program; TANF: Temporary Assistance for Needy Families; EITC: Earned Income Tax Credit</w:t>
      </w:r>
    </w:p>
    <w:p w14:paraId="63652A4F" w14:textId="12A531B7" w:rsidR="004E3739" w:rsidRPr="004E2853" w:rsidRDefault="004E3739" w:rsidP="004E3739">
      <w:pPr>
        <w:tabs>
          <w:tab w:val="left" w:pos="2959"/>
        </w:tabs>
        <w:rPr>
          <w:rFonts w:ascii="Arial" w:hAnsi="Arial" w:cs="Arial"/>
          <w:color w:val="000000" w:themeColor="text1"/>
          <w:sz w:val="16"/>
          <w:szCs w:val="16"/>
        </w:rPr>
      </w:pPr>
      <w:r w:rsidRPr="004E2853">
        <w:rPr>
          <w:rFonts w:ascii="Arial" w:hAnsi="Arial" w:cs="Arial"/>
          <w:color w:val="000000" w:themeColor="text1"/>
          <w:sz w:val="16"/>
          <w:szCs w:val="16"/>
        </w:rPr>
        <w:t>Note: Data were drawn from 2008-2012 US birth certificates (N = 11,855,417 women in 27 states). WIC eligibility was imputed using self-reported demographics.  Sample was further limited to predicted WIC eligible women and a balanced panel for 12 months within the policy change. Coefficients for binary outcomes were multiplied by 100 and therefore represent a change in percentage points. Binary variables include small/large/appropriate for gestational age and gestational diabetes mellitus. All models include individual characteristics (mother's age, race/ethnicity, nativity, education, marital status, and parity), state characteristics (birth rate, unemployment rate, % SNAP/capita, % TANF/capita, EITC rate, and Medicaid income eligibility threshold), and fixed effects for the month when a woman’s second trimester started</w:t>
      </w:r>
      <w:r w:rsidR="00DB1F95">
        <w:rPr>
          <w:rFonts w:ascii="Arial" w:hAnsi="Arial" w:cs="Arial"/>
          <w:color w:val="000000" w:themeColor="text1"/>
          <w:sz w:val="16"/>
          <w:szCs w:val="16"/>
        </w:rPr>
        <w:t xml:space="preserve"> and state</w:t>
      </w:r>
      <w:r w:rsidRPr="004E2853">
        <w:rPr>
          <w:rFonts w:ascii="Arial" w:hAnsi="Arial" w:cs="Arial"/>
          <w:color w:val="000000" w:themeColor="text1"/>
          <w:sz w:val="16"/>
          <w:szCs w:val="16"/>
        </w:rPr>
        <w:t>. Robust standard errors were used to address possible heteroskedasticity. Dashed vertical lines represent the baseline event time, i.e., one month before the policy change.</w:t>
      </w:r>
    </w:p>
    <w:p w14:paraId="3B14FD07" w14:textId="77777777" w:rsidR="004E3739" w:rsidRPr="004E2853" w:rsidRDefault="004E3739" w:rsidP="004E3739">
      <w:pPr>
        <w:tabs>
          <w:tab w:val="left" w:pos="2959"/>
        </w:tabs>
        <w:rPr>
          <w:rFonts w:ascii="Arial" w:hAnsi="Arial" w:cs="Arial"/>
          <w:color w:val="000000" w:themeColor="text1"/>
          <w:sz w:val="20"/>
          <w:szCs w:val="20"/>
        </w:rPr>
        <w:sectPr w:rsidR="004E3739" w:rsidRPr="004E2853" w:rsidSect="004E3739">
          <w:pgSz w:w="12240" w:h="15840"/>
          <w:pgMar w:top="1440" w:right="1440" w:bottom="1440" w:left="1440" w:header="720" w:footer="720" w:gutter="0"/>
          <w:cols w:space="720"/>
          <w:docGrid w:linePitch="360"/>
        </w:sectPr>
      </w:pPr>
    </w:p>
    <w:p w14:paraId="2F3BD7B3" w14:textId="77777777" w:rsidR="004E3739" w:rsidRPr="004E2853" w:rsidRDefault="004E3739" w:rsidP="004E3739">
      <w:pPr>
        <w:rPr>
          <w:rFonts w:ascii="Arial" w:hAnsi="Arial" w:cs="Arial"/>
          <w:color w:val="000000" w:themeColor="text1"/>
          <w:sz w:val="20"/>
          <w:szCs w:val="20"/>
        </w:rPr>
      </w:pPr>
      <w:r w:rsidRPr="004E2853">
        <w:rPr>
          <w:rFonts w:ascii="Arial" w:hAnsi="Arial" w:cs="Arial"/>
          <w:color w:val="000000" w:themeColor="text1"/>
          <w:sz w:val="20"/>
          <w:szCs w:val="20"/>
        </w:rPr>
        <w:lastRenderedPageBreak/>
        <w:t>Table S1. States implementing the revised birth certificate, between 2003 and 2016</w:t>
      </w:r>
    </w:p>
    <w:tbl>
      <w:tblPr>
        <w:tblStyle w:val="TableGrid"/>
        <w:tblW w:w="0" w:type="auto"/>
        <w:tblLook w:val="04A0" w:firstRow="1" w:lastRow="0" w:firstColumn="1" w:lastColumn="0" w:noHBand="0" w:noVBand="1"/>
      </w:tblPr>
      <w:tblGrid>
        <w:gridCol w:w="1435"/>
        <w:gridCol w:w="3239"/>
      </w:tblGrid>
      <w:tr w:rsidR="004E3739" w:rsidRPr="004E2853" w14:paraId="70399F05" w14:textId="77777777" w:rsidTr="00F16A9E">
        <w:tc>
          <w:tcPr>
            <w:tcW w:w="1435" w:type="dxa"/>
          </w:tcPr>
          <w:p w14:paraId="25CEC5EC" w14:textId="77777777" w:rsidR="004E3739" w:rsidRPr="004E2853" w:rsidRDefault="004E3739" w:rsidP="00F16A9E">
            <w:pPr>
              <w:rPr>
                <w:rFonts w:ascii="Arial" w:hAnsi="Arial" w:cs="Arial"/>
                <w:b/>
                <w:bCs/>
                <w:color w:val="000000" w:themeColor="text1"/>
                <w:sz w:val="20"/>
                <w:szCs w:val="20"/>
              </w:rPr>
            </w:pPr>
            <w:r w:rsidRPr="004E2853">
              <w:rPr>
                <w:rFonts w:ascii="Arial" w:hAnsi="Arial" w:cs="Arial"/>
                <w:b/>
                <w:bCs/>
                <w:color w:val="000000" w:themeColor="text1"/>
                <w:sz w:val="20"/>
                <w:szCs w:val="20"/>
              </w:rPr>
              <w:t>Year</w:t>
            </w:r>
          </w:p>
        </w:tc>
        <w:tc>
          <w:tcPr>
            <w:tcW w:w="3239" w:type="dxa"/>
          </w:tcPr>
          <w:p w14:paraId="088BA4B0" w14:textId="77777777" w:rsidR="004E3739" w:rsidRPr="004E2853" w:rsidRDefault="004E3739" w:rsidP="00F16A9E">
            <w:pPr>
              <w:rPr>
                <w:rFonts w:ascii="Arial" w:hAnsi="Arial" w:cs="Arial"/>
                <w:b/>
                <w:bCs/>
                <w:color w:val="000000" w:themeColor="text1"/>
                <w:sz w:val="20"/>
                <w:szCs w:val="20"/>
              </w:rPr>
            </w:pPr>
            <w:r w:rsidRPr="004E2853">
              <w:rPr>
                <w:rFonts w:ascii="Arial" w:hAnsi="Arial" w:cs="Arial"/>
                <w:b/>
                <w:bCs/>
                <w:color w:val="000000" w:themeColor="text1"/>
                <w:sz w:val="20"/>
                <w:szCs w:val="20"/>
              </w:rPr>
              <w:t>States</w:t>
            </w:r>
          </w:p>
        </w:tc>
      </w:tr>
      <w:tr w:rsidR="004E3739" w:rsidRPr="004E2853" w14:paraId="1518F9C8" w14:textId="77777777" w:rsidTr="00F16A9E">
        <w:tc>
          <w:tcPr>
            <w:tcW w:w="1435" w:type="dxa"/>
          </w:tcPr>
          <w:p w14:paraId="6D966DA9"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2003</w:t>
            </w:r>
          </w:p>
        </w:tc>
        <w:tc>
          <w:tcPr>
            <w:tcW w:w="3239" w:type="dxa"/>
          </w:tcPr>
          <w:p w14:paraId="3EF9ED7F"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PA, WA</w:t>
            </w:r>
          </w:p>
        </w:tc>
      </w:tr>
      <w:tr w:rsidR="004E3739" w:rsidRPr="004E2853" w14:paraId="23066F51" w14:textId="77777777" w:rsidTr="00F16A9E">
        <w:tc>
          <w:tcPr>
            <w:tcW w:w="1435" w:type="dxa"/>
          </w:tcPr>
          <w:p w14:paraId="7A331C8F"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2004</w:t>
            </w:r>
          </w:p>
        </w:tc>
        <w:tc>
          <w:tcPr>
            <w:tcW w:w="3239" w:type="dxa"/>
          </w:tcPr>
          <w:p w14:paraId="15DB8EEA"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FL, ID, KY, NH, NY, SC, TN</w:t>
            </w:r>
          </w:p>
        </w:tc>
      </w:tr>
      <w:tr w:rsidR="004E3739" w:rsidRPr="004E2853" w14:paraId="7510F863" w14:textId="77777777" w:rsidTr="00F16A9E">
        <w:tc>
          <w:tcPr>
            <w:tcW w:w="1435" w:type="dxa"/>
          </w:tcPr>
          <w:p w14:paraId="48E934C4"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2005</w:t>
            </w:r>
          </w:p>
        </w:tc>
        <w:tc>
          <w:tcPr>
            <w:tcW w:w="3239" w:type="dxa"/>
          </w:tcPr>
          <w:p w14:paraId="359A21D7"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KS, NE, TX, UT, VT</w:t>
            </w:r>
          </w:p>
        </w:tc>
      </w:tr>
      <w:tr w:rsidR="004E3739" w:rsidRPr="004E2853" w14:paraId="3BEE292A" w14:textId="77777777" w:rsidTr="00F16A9E">
        <w:tc>
          <w:tcPr>
            <w:tcW w:w="1435" w:type="dxa"/>
          </w:tcPr>
          <w:p w14:paraId="2715F284"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2006</w:t>
            </w:r>
          </w:p>
        </w:tc>
        <w:tc>
          <w:tcPr>
            <w:tcW w:w="3239" w:type="dxa"/>
          </w:tcPr>
          <w:p w14:paraId="100571DF"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CA, DE, OH, SD, WY</w:t>
            </w:r>
          </w:p>
        </w:tc>
      </w:tr>
      <w:tr w:rsidR="004E3739" w:rsidRPr="004E2853" w14:paraId="619706C1" w14:textId="77777777" w:rsidTr="00F16A9E">
        <w:tc>
          <w:tcPr>
            <w:tcW w:w="1435" w:type="dxa"/>
          </w:tcPr>
          <w:p w14:paraId="3AAE1017"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2007</w:t>
            </w:r>
          </w:p>
        </w:tc>
        <w:tc>
          <w:tcPr>
            <w:tcW w:w="3239" w:type="dxa"/>
          </w:tcPr>
          <w:p w14:paraId="42AC2868"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CO, GA, IN, IA, MI</w:t>
            </w:r>
          </w:p>
        </w:tc>
      </w:tr>
      <w:tr w:rsidR="004E3739" w:rsidRPr="004E2853" w14:paraId="55D892BD" w14:textId="77777777" w:rsidTr="00F16A9E">
        <w:tc>
          <w:tcPr>
            <w:tcW w:w="1435" w:type="dxa"/>
          </w:tcPr>
          <w:p w14:paraId="79EB064E"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2008</w:t>
            </w:r>
          </w:p>
        </w:tc>
        <w:tc>
          <w:tcPr>
            <w:tcW w:w="3239" w:type="dxa"/>
          </w:tcPr>
          <w:p w14:paraId="485DE9A1"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NV, NM, MT, OR</w:t>
            </w:r>
          </w:p>
        </w:tc>
      </w:tr>
      <w:tr w:rsidR="004E3739" w:rsidRPr="004E2853" w14:paraId="58095640" w14:textId="77777777" w:rsidTr="00F16A9E">
        <w:tc>
          <w:tcPr>
            <w:tcW w:w="1435" w:type="dxa"/>
          </w:tcPr>
          <w:p w14:paraId="708240E9"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2009</w:t>
            </w:r>
          </w:p>
        </w:tc>
        <w:tc>
          <w:tcPr>
            <w:tcW w:w="3239" w:type="dxa"/>
          </w:tcPr>
          <w:p w14:paraId="50012C32"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DC, ND, OK, UT</w:t>
            </w:r>
          </w:p>
        </w:tc>
      </w:tr>
      <w:tr w:rsidR="004E3739" w:rsidRPr="004E2853" w14:paraId="03C10DC8" w14:textId="77777777" w:rsidTr="00F16A9E">
        <w:tc>
          <w:tcPr>
            <w:tcW w:w="1435" w:type="dxa"/>
          </w:tcPr>
          <w:p w14:paraId="793EB827"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2010</w:t>
            </w:r>
          </w:p>
        </w:tc>
        <w:tc>
          <w:tcPr>
            <w:tcW w:w="3239" w:type="dxa"/>
          </w:tcPr>
          <w:p w14:paraId="762BA760"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IL, LA, MD, MO, NC</w:t>
            </w:r>
          </w:p>
        </w:tc>
      </w:tr>
      <w:tr w:rsidR="004E3739" w:rsidRPr="004E2853" w14:paraId="27834B12" w14:textId="77777777" w:rsidTr="00F16A9E">
        <w:tc>
          <w:tcPr>
            <w:tcW w:w="1435" w:type="dxa"/>
          </w:tcPr>
          <w:p w14:paraId="203A6788"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2011</w:t>
            </w:r>
          </w:p>
        </w:tc>
        <w:tc>
          <w:tcPr>
            <w:tcW w:w="3239" w:type="dxa"/>
          </w:tcPr>
          <w:p w14:paraId="7BA296E2"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MA, MN, WI</w:t>
            </w:r>
          </w:p>
        </w:tc>
      </w:tr>
      <w:tr w:rsidR="004E3739" w:rsidRPr="004E2853" w14:paraId="6FDB5460" w14:textId="77777777" w:rsidTr="00F16A9E">
        <w:tc>
          <w:tcPr>
            <w:tcW w:w="1435" w:type="dxa"/>
          </w:tcPr>
          <w:p w14:paraId="72E3CBD3"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2012</w:t>
            </w:r>
          </w:p>
        </w:tc>
        <w:tc>
          <w:tcPr>
            <w:tcW w:w="3239" w:type="dxa"/>
          </w:tcPr>
          <w:p w14:paraId="280F5923"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VA</w:t>
            </w:r>
          </w:p>
        </w:tc>
      </w:tr>
      <w:tr w:rsidR="004E3739" w:rsidRPr="004E2853" w14:paraId="12F3CAFD" w14:textId="77777777" w:rsidTr="00F16A9E">
        <w:tc>
          <w:tcPr>
            <w:tcW w:w="1435" w:type="dxa"/>
          </w:tcPr>
          <w:p w14:paraId="4C40DDB6"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2013</w:t>
            </w:r>
          </w:p>
        </w:tc>
        <w:tc>
          <w:tcPr>
            <w:tcW w:w="3239" w:type="dxa"/>
          </w:tcPr>
          <w:p w14:paraId="6F866C40"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AK, ME, MS</w:t>
            </w:r>
          </w:p>
        </w:tc>
      </w:tr>
      <w:tr w:rsidR="004E3739" w:rsidRPr="004E2853" w14:paraId="529C69BC" w14:textId="77777777" w:rsidTr="00F16A9E">
        <w:tc>
          <w:tcPr>
            <w:tcW w:w="1435" w:type="dxa"/>
          </w:tcPr>
          <w:p w14:paraId="2DBF0994"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2014</w:t>
            </w:r>
          </w:p>
        </w:tc>
        <w:tc>
          <w:tcPr>
            <w:tcW w:w="3239" w:type="dxa"/>
          </w:tcPr>
          <w:p w14:paraId="14DF390D"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AL, AZ, AR, HI, NJ, RI, WV</w:t>
            </w:r>
          </w:p>
        </w:tc>
      </w:tr>
      <w:tr w:rsidR="004E3739" w:rsidRPr="004E2853" w14:paraId="2958A2EF" w14:textId="77777777" w:rsidTr="00F16A9E">
        <w:tc>
          <w:tcPr>
            <w:tcW w:w="1435" w:type="dxa"/>
          </w:tcPr>
          <w:p w14:paraId="55912C1C"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2015</w:t>
            </w:r>
          </w:p>
        </w:tc>
        <w:tc>
          <w:tcPr>
            <w:tcW w:w="3239" w:type="dxa"/>
          </w:tcPr>
          <w:p w14:paraId="3D560DB5" w14:textId="77777777" w:rsidR="004E3739" w:rsidRPr="004E2853" w:rsidRDefault="004E3739" w:rsidP="00F16A9E">
            <w:pPr>
              <w:rPr>
                <w:rFonts w:ascii="Arial" w:hAnsi="Arial" w:cs="Arial"/>
                <w:color w:val="000000" w:themeColor="text1"/>
                <w:sz w:val="20"/>
                <w:szCs w:val="20"/>
              </w:rPr>
            </w:pPr>
          </w:p>
        </w:tc>
      </w:tr>
      <w:tr w:rsidR="004E3739" w:rsidRPr="004E2853" w14:paraId="1269FE32" w14:textId="77777777" w:rsidTr="00F16A9E">
        <w:tc>
          <w:tcPr>
            <w:tcW w:w="1435" w:type="dxa"/>
          </w:tcPr>
          <w:p w14:paraId="486F7DEB"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2016</w:t>
            </w:r>
          </w:p>
        </w:tc>
        <w:tc>
          <w:tcPr>
            <w:tcW w:w="3239" w:type="dxa"/>
          </w:tcPr>
          <w:p w14:paraId="783E8B11"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CT</w:t>
            </w:r>
          </w:p>
        </w:tc>
      </w:tr>
    </w:tbl>
    <w:p w14:paraId="074970C0" w14:textId="77777777" w:rsidR="004E3739" w:rsidRPr="004E2853" w:rsidRDefault="004E3739" w:rsidP="004E3739">
      <w:pPr>
        <w:rPr>
          <w:rFonts w:ascii="Arial" w:hAnsi="Arial" w:cs="Arial"/>
          <w:color w:val="000000" w:themeColor="text1"/>
          <w:sz w:val="20"/>
          <w:szCs w:val="20"/>
        </w:rPr>
      </w:pPr>
      <w:r w:rsidRPr="004E2853">
        <w:rPr>
          <w:rFonts w:ascii="Arial" w:hAnsi="Arial" w:cs="Arial"/>
          <w:color w:val="000000" w:themeColor="text1"/>
          <w:sz w:val="16"/>
          <w:szCs w:val="16"/>
        </w:rPr>
        <w:t>Note: Most states implemented the revised birth certificate as of January 1</w:t>
      </w:r>
      <w:r w:rsidRPr="004E2853">
        <w:rPr>
          <w:rFonts w:ascii="Arial" w:hAnsi="Arial" w:cs="Arial"/>
          <w:color w:val="000000" w:themeColor="text1"/>
          <w:sz w:val="16"/>
          <w:szCs w:val="16"/>
          <w:vertAlign w:val="superscript"/>
        </w:rPr>
        <w:t>st</w:t>
      </w:r>
      <w:r w:rsidRPr="004E2853">
        <w:rPr>
          <w:rFonts w:ascii="Arial" w:hAnsi="Arial" w:cs="Arial"/>
          <w:color w:val="000000" w:themeColor="text1"/>
          <w:sz w:val="16"/>
          <w:szCs w:val="16"/>
        </w:rPr>
        <w:t xml:space="preserve"> of a given year. New York City implemented the revised birth certificate in 2008 separately from the rest of New York state</w:t>
      </w:r>
      <w:r w:rsidRPr="004E2853">
        <w:rPr>
          <w:rFonts w:ascii="Arial" w:hAnsi="Arial" w:cs="Arial"/>
          <w:color w:val="000000" w:themeColor="text1"/>
          <w:sz w:val="20"/>
          <w:szCs w:val="20"/>
        </w:rPr>
        <w:t>.</w:t>
      </w:r>
    </w:p>
    <w:p w14:paraId="27772C26" w14:textId="77777777" w:rsidR="004E3739" w:rsidRPr="004E2853" w:rsidRDefault="004E3739" w:rsidP="004E3739">
      <w:pPr>
        <w:rPr>
          <w:rFonts w:ascii="Arial" w:hAnsi="Arial" w:cs="Arial"/>
          <w:color w:val="000000" w:themeColor="text1"/>
          <w:sz w:val="20"/>
          <w:szCs w:val="20"/>
        </w:rPr>
      </w:pPr>
    </w:p>
    <w:p w14:paraId="21E582B3" w14:textId="77777777" w:rsidR="004E3739" w:rsidRPr="004E2853" w:rsidRDefault="004E3739" w:rsidP="004E3739">
      <w:pPr>
        <w:rPr>
          <w:rFonts w:ascii="Arial" w:hAnsi="Arial" w:cs="Arial"/>
          <w:color w:val="000000" w:themeColor="text1"/>
          <w:sz w:val="20"/>
          <w:szCs w:val="20"/>
        </w:rPr>
      </w:pPr>
    </w:p>
    <w:p w14:paraId="7CD3DF25" w14:textId="77777777" w:rsidR="004E3739" w:rsidRPr="004E2853" w:rsidRDefault="004E3739" w:rsidP="004E3739">
      <w:pPr>
        <w:rPr>
          <w:rFonts w:ascii="Arial" w:hAnsi="Arial" w:cs="Arial"/>
          <w:color w:val="000000" w:themeColor="text1"/>
          <w:sz w:val="20"/>
          <w:szCs w:val="20"/>
        </w:rPr>
      </w:pPr>
    </w:p>
    <w:p w14:paraId="672491A4" w14:textId="77777777" w:rsidR="004E3739" w:rsidRPr="004E2853" w:rsidRDefault="004E3739" w:rsidP="004E3739">
      <w:pPr>
        <w:rPr>
          <w:rFonts w:ascii="Arial" w:hAnsi="Arial" w:cs="Arial"/>
          <w:color w:val="000000" w:themeColor="text1"/>
          <w:sz w:val="20"/>
          <w:szCs w:val="20"/>
        </w:rPr>
      </w:pPr>
      <w:r w:rsidRPr="004E2853">
        <w:rPr>
          <w:rFonts w:ascii="Arial" w:hAnsi="Arial" w:cs="Arial"/>
          <w:color w:val="000000" w:themeColor="text1"/>
          <w:sz w:val="20"/>
          <w:szCs w:val="20"/>
        </w:rPr>
        <w:t>Table S2. States implementing WIC revision in 2009</w:t>
      </w:r>
    </w:p>
    <w:tbl>
      <w:tblPr>
        <w:tblStyle w:val="TableGrid"/>
        <w:tblW w:w="0" w:type="auto"/>
        <w:tblLook w:val="04A0" w:firstRow="1" w:lastRow="0" w:firstColumn="1" w:lastColumn="0" w:noHBand="0" w:noVBand="1"/>
      </w:tblPr>
      <w:tblGrid>
        <w:gridCol w:w="2875"/>
        <w:gridCol w:w="3150"/>
      </w:tblGrid>
      <w:tr w:rsidR="004E3739" w:rsidRPr="004E2853" w14:paraId="2986DED4" w14:textId="77777777" w:rsidTr="00F16A9E">
        <w:tc>
          <w:tcPr>
            <w:tcW w:w="2875" w:type="dxa"/>
          </w:tcPr>
          <w:p w14:paraId="00F41C85" w14:textId="77777777" w:rsidR="004E3739" w:rsidRPr="004E2853" w:rsidRDefault="004E3739" w:rsidP="00F16A9E">
            <w:pPr>
              <w:rPr>
                <w:rFonts w:ascii="Arial" w:hAnsi="Arial" w:cs="Arial"/>
                <w:b/>
                <w:bCs/>
                <w:color w:val="000000" w:themeColor="text1"/>
                <w:sz w:val="20"/>
                <w:szCs w:val="20"/>
              </w:rPr>
            </w:pPr>
            <w:r w:rsidRPr="004E2853">
              <w:rPr>
                <w:rFonts w:ascii="Arial" w:hAnsi="Arial" w:cs="Arial"/>
                <w:b/>
                <w:bCs/>
                <w:color w:val="000000" w:themeColor="text1"/>
                <w:sz w:val="20"/>
                <w:szCs w:val="20"/>
              </w:rPr>
              <w:t>Month</w:t>
            </w:r>
          </w:p>
        </w:tc>
        <w:tc>
          <w:tcPr>
            <w:tcW w:w="3150" w:type="dxa"/>
          </w:tcPr>
          <w:p w14:paraId="2FF6C8EC" w14:textId="77777777" w:rsidR="004E3739" w:rsidRPr="004E2853" w:rsidRDefault="004E3739" w:rsidP="00F16A9E">
            <w:pPr>
              <w:rPr>
                <w:rFonts w:ascii="Arial" w:hAnsi="Arial" w:cs="Arial"/>
                <w:b/>
                <w:bCs/>
                <w:color w:val="000000" w:themeColor="text1"/>
                <w:sz w:val="20"/>
                <w:szCs w:val="20"/>
              </w:rPr>
            </w:pPr>
            <w:r w:rsidRPr="004E2853">
              <w:rPr>
                <w:rFonts w:ascii="Arial" w:hAnsi="Arial" w:cs="Arial"/>
                <w:b/>
                <w:bCs/>
                <w:color w:val="000000" w:themeColor="text1"/>
                <w:sz w:val="20"/>
                <w:szCs w:val="20"/>
              </w:rPr>
              <w:t>States</w:t>
            </w:r>
          </w:p>
        </w:tc>
      </w:tr>
      <w:tr w:rsidR="004E3739" w:rsidRPr="004E2853" w14:paraId="2CE0CDB3" w14:textId="77777777" w:rsidTr="00F16A9E">
        <w:tc>
          <w:tcPr>
            <w:tcW w:w="2875" w:type="dxa"/>
          </w:tcPr>
          <w:p w14:paraId="361F28DF"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January</w:t>
            </w:r>
          </w:p>
        </w:tc>
        <w:tc>
          <w:tcPr>
            <w:tcW w:w="3150" w:type="dxa"/>
          </w:tcPr>
          <w:p w14:paraId="646FB788"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NY, DE</w:t>
            </w:r>
          </w:p>
        </w:tc>
      </w:tr>
      <w:tr w:rsidR="004E3739" w:rsidRPr="004E2853" w14:paraId="772D124B" w14:textId="77777777" w:rsidTr="00F16A9E">
        <w:tc>
          <w:tcPr>
            <w:tcW w:w="2875" w:type="dxa"/>
          </w:tcPr>
          <w:p w14:paraId="47401814"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February</w:t>
            </w:r>
          </w:p>
        </w:tc>
        <w:tc>
          <w:tcPr>
            <w:tcW w:w="3150" w:type="dxa"/>
          </w:tcPr>
          <w:p w14:paraId="00E89F1F" w14:textId="77777777" w:rsidR="004E3739" w:rsidRPr="004E2853" w:rsidRDefault="004E3739" w:rsidP="00F16A9E">
            <w:pPr>
              <w:rPr>
                <w:rFonts w:ascii="Arial" w:hAnsi="Arial" w:cs="Arial"/>
                <w:color w:val="000000" w:themeColor="text1"/>
                <w:sz w:val="20"/>
                <w:szCs w:val="20"/>
              </w:rPr>
            </w:pPr>
          </w:p>
        </w:tc>
      </w:tr>
      <w:tr w:rsidR="004E3739" w:rsidRPr="004E2853" w14:paraId="02ACA0D5" w14:textId="77777777" w:rsidTr="00F16A9E">
        <w:tc>
          <w:tcPr>
            <w:tcW w:w="2875" w:type="dxa"/>
          </w:tcPr>
          <w:p w14:paraId="1723C3A2"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March</w:t>
            </w:r>
          </w:p>
        </w:tc>
        <w:tc>
          <w:tcPr>
            <w:tcW w:w="3150" w:type="dxa"/>
          </w:tcPr>
          <w:p w14:paraId="5214CA95" w14:textId="77777777" w:rsidR="004E3739" w:rsidRPr="004E2853" w:rsidRDefault="004E3739" w:rsidP="00F16A9E">
            <w:pPr>
              <w:rPr>
                <w:rFonts w:ascii="Arial" w:hAnsi="Arial" w:cs="Arial"/>
                <w:color w:val="000000" w:themeColor="text1"/>
                <w:sz w:val="20"/>
                <w:szCs w:val="20"/>
              </w:rPr>
            </w:pPr>
          </w:p>
        </w:tc>
      </w:tr>
      <w:tr w:rsidR="004E3739" w:rsidRPr="004E2853" w14:paraId="63806011" w14:textId="77777777" w:rsidTr="00F16A9E">
        <w:tc>
          <w:tcPr>
            <w:tcW w:w="2875" w:type="dxa"/>
          </w:tcPr>
          <w:p w14:paraId="33A2B1AB"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April</w:t>
            </w:r>
          </w:p>
        </w:tc>
        <w:tc>
          <w:tcPr>
            <w:tcW w:w="3150" w:type="dxa"/>
          </w:tcPr>
          <w:p w14:paraId="0386C000" w14:textId="77777777" w:rsidR="004E3739" w:rsidRPr="004E2853" w:rsidRDefault="004E3739" w:rsidP="00F16A9E">
            <w:pPr>
              <w:rPr>
                <w:rFonts w:ascii="Arial" w:hAnsi="Arial" w:cs="Arial"/>
                <w:color w:val="000000" w:themeColor="text1"/>
                <w:sz w:val="20"/>
                <w:szCs w:val="20"/>
              </w:rPr>
            </w:pPr>
          </w:p>
        </w:tc>
      </w:tr>
      <w:tr w:rsidR="004E3739" w:rsidRPr="004E2853" w14:paraId="313FA878" w14:textId="77777777" w:rsidTr="00F16A9E">
        <w:tc>
          <w:tcPr>
            <w:tcW w:w="2875" w:type="dxa"/>
          </w:tcPr>
          <w:p w14:paraId="4EF2627D"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May</w:t>
            </w:r>
          </w:p>
        </w:tc>
        <w:tc>
          <w:tcPr>
            <w:tcW w:w="3150" w:type="dxa"/>
          </w:tcPr>
          <w:p w14:paraId="43B927FB"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KY, SC</w:t>
            </w:r>
          </w:p>
        </w:tc>
      </w:tr>
      <w:tr w:rsidR="004E3739" w:rsidRPr="004E2853" w14:paraId="7195073A" w14:textId="77777777" w:rsidTr="00F16A9E">
        <w:tc>
          <w:tcPr>
            <w:tcW w:w="2875" w:type="dxa"/>
          </w:tcPr>
          <w:p w14:paraId="722EC6BA"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June</w:t>
            </w:r>
          </w:p>
        </w:tc>
        <w:tc>
          <w:tcPr>
            <w:tcW w:w="3150" w:type="dxa"/>
          </w:tcPr>
          <w:p w14:paraId="078AC430"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CO</w:t>
            </w:r>
          </w:p>
        </w:tc>
      </w:tr>
      <w:tr w:rsidR="004E3739" w:rsidRPr="004E2853" w14:paraId="00175823" w14:textId="77777777" w:rsidTr="00F16A9E">
        <w:tc>
          <w:tcPr>
            <w:tcW w:w="2875" w:type="dxa"/>
          </w:tcPr>
          <w:p w14:paraId="7D433932"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July</w:t>
            </w:r>
          </w:p>
        </w:tc>
        <w:tc>
          <w:tcPr>
            <w:tcW w:w="3150" w:type="dxa"/>
          </w:tcPr>
          <w:p w14:paraId="16F6408E"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UT</w:t>
            </w:r>
          </w:p>
        </w:tc>
      </w:tr>
      <w:tr w:rsidR="004E3739" w:rsidRPr="004E2853" w14:paraId="6A9F7F3D" w14:textId="77777777" w:rsidTr="00F16A9E">
        <w:tc>
          <w:tcPr>
            <w:tcW w:w="2875" w:type="dxa"/>
          </w:tcPr>
          <w:p w14:paraId="1A9CF44F"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August</w:t>
            </w:r>
          </w:p>
        </w:tc>
        <w:tc>
          <w:tcPr>
            <w:tcW w:w="3150" w:type="dxa"/>
          </w:tcPr>
          <w:p w14:paraId="12553A05"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IL, KS, MI, OK, OR, WT</w:t>
            </w:r>
          </w:p>
        </w:tc>
      </w:tr>
      <w:tr w:rsidR="004E3739" w:rsidRPr="004E2853" w14:paraId="01EB69BA" w14:textId="77777777" w:rsidTr="00F16A9E">
        <w:tc>
          <w:tcPr>
            <w:tcW w:w="2875" w:type="dxa"/>
          </w:tcPr>
          <w:p w14:paraId="03E1425D"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September</w:t>
            </w:r>
          </w:p>
        </w:tc>
        <w:tc>
          <w:tcPr>
            <w:tcW w:w="3150" w:type="dxa"/>
          </w:tcPr>
          <w:p w14:paraId="73BBAD11"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MN, SD</w:t>
            </w:r>
          </w:p>
        </w:tc>
      </w:tr>
      <w:tr w:rsidR="004E3739" w:rsidRPr="004E2853" w14:paraId="0F7DAB27" w14:textId="77777777" w:rsidTr="00F16A9E">
        <w:tc>
          <w:tcPr>
            <w:tcW w:w="2875" w:type="dxa"/>
          </w:tcPr>
          <w:p w14:paraId="3F43C47C"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October</w:t>
            </w:r>
          </w:p>
        </w:tc>
        <w:tc>
          <w:tcPr>
            <w:tcW w:w="3150" w:type="dxa"/>
          </w:tcPr>
          <w:p w14:paraId="25D5A091"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All others</w:t>
            </w:r>
          </w:p>
        </w:tc>
      </w:tr>
      <w:tr w:rsidR="004E3739" w:rsidRPr="004E2853" w14:paraId="3531B8D5" w14:textId="77777777" w:rsidTr="00F16A9E">
        <w:tc>
          <w:tcPr>
            <w:tcW w:w="2875" w:type="dxa"/>
          </w:tcPr>
          <w:p w14:paraId="631BADCA"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November</w:t>
            </w:r>
          </w:p>
        </w:tc>
        <w:tc>
          <w:tcPr>
            <w:tcW w:w="3150" w:type="dxa"/>
          </w:tcPr>
          <w:p w14:paraId="37E7082F" w14:textId="77777777" w:rsidR="004E3739" w:rsidRPr="004E2853" w:rsidRDefault="004E3739" w:rsidP="00F16A9E">
            <w:pPr>
              <w:rPr>
                <w:rFonts w:ascii="Arial" w:hAnsi="Arial" w:cs="Arial"/>
                <w:color w:val="000000" w:themeColor="text1"/>
                <w:sz w:val="20"/>
                <w:szCs w:val="20"/>
              </w:rPr>
            </w:pPr>
          </w:p>
        </w:tc>
      </w:tr>
      <w:tr w:rsidR="004E3739" w:rsidRPr="004E2853" w14:paraId="313715D5" w14:textId="77777777" w:rsidTr="00F16A9E">
        <w:tc>
          <w:tcPr>
            <w:tcW w:w="2875" w:type="dxa"/>
          </w:tcPr>
          <w:p w14:paraId="4F8CA157"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December</w:t>
            </w:r>
          </w:p>
        </w:tc>
        <w:tc>
          <w:tcPr>
            <w:tcW w:w="3150" w:type="dxa"/>
          </w:tcPr>
          <w:p w14:paraId="611657E7"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MT</w:t>
            </w:r>
          </w:p>
        </w:tc>
      </w:tr>
    </w:tbl>
    <w:p w14:paraId="294D48D9" w14:textId="20EFF652" w:rsidR="004E3739" w:rsidRPr="004E2853" w:rsidRDefault="004E3739" w:rsidP="004E3739">
      <w:pPr>
        <w:tabs>
          <w:tab w:val="left" w:pos="2959"/>
        </w:tabs>
        <w:rPr>
          <w:rFonts w:ascii="Arial" w:hAnsi="Arial" w:cs="Arial"/>
          <w:color w:val="000000" w:themeColor="text1"/>
          <w:sz w:val="16"/>
          <w:szCs w:val="16"/>
        </w:rPr>
      </w:pPr>
      <w:r w:rsidRPr="004E2853">
        <w:rPr>
          <w:rFonts w:ascii="Arial" w:hAnsi="Arial" w:cs="Arial"/>
          <w:color w:val="000000" w:themeColor="text1"/>
          <w:sz w:val="16"/>
          <w:szCs w:val="16"/>
        </w:rPr>
        <w:t xml:space="preserve">Note: The above summary was obtained from Oh et al., (2016). </w:t>
      </w:r>
    </w:p>
    <w:p w14:paraId="14F076B7" w14:textId="77777777" w:rsidR="004E3739" w:rsidRPr="004E2853" w:rsidRDefault="004E3739" w:rsidP="004E3739">
      <w:pPr>
        <w:tabs>
          <w:tab w:val="left" w:pos="2959"/>
        </w:tabs>
        <w:rPr>
          <w:rFonts w:ascii="Arial" w:hAnsi="Arial" w:cs="Arial"/>
          <w:color w:val="000000" w:themeColor="text1"/>
          <w:sz w:val="20"/>
          <w:szCs w:val="20"/>
        </w:rPr>
      </w:pPr>
    </w:p>
    <w:p w14:paraId="680701B3" w14:textId="77777777" w:rsidR="004E3739" w:rsidRPr="004E2853" w:rsidRDefault="004E3739" w:rsidP="004E3739">
      <w:pPr>
        <w:rPr>
          <w:rFonts w:ascii="Arial" w:hAnsi="Arial" w:cs="Arial"/>
          <w:color w:val="000000" w:themeColor="text1"/>
          <w:sz w:val="20"/>
          <w:szCs w:val="20"/>
        </w:rPr>
      </w:pPr>
    </w:p>
    <w:p w14:paraId="6FD92B35" w14:textId="77777777" w:rsidR="004E3739" w:rsidRPr="004E2853" w:rsidRDefault="004E3739" w:rsidP="004E3739">
      <w:pPr>
        <w:rPr>
          <w:rFonts w:ascii="Arial" w:hAnsi="Arial" w:cs="Arial"/>
          <w:color w:val="000000" w:themeColor="text1"/>
          <w:sz w:val="20"/>
          <w:szCs w:val="20"/>
        </w:rPr>
      </w:pPr>
    </w:p>
    <w:p w14:paraId="4871BC47" w14:textId="77777777" w:rsidR="007343C9" w:rsidRPr="004E2853" w:rsidRDefault="007343C9" w:rsidP="004E3739">
      <w:pPr>
        <w:rPr>
          <w:rFonts w:ascii="Arial" w:hAnsi="Arial" w:cs="Arial"/>
          <w:color w:val="000000" w:themeColor="text1"/>
          <w:sz w:val="20"/>
          <w:szCs w:val="20"/>
        </w:rPr>
        <w:sectPr w:rsidR="007343C9" w:rsidRPr="004E2853" w:rsidSect="004E3739">
          <w:pgSz w:w="12240" w:h="15840"/>
          <w:pgMar w:top="1440" w:right="1440" w:bottom="1440" w:left="1440" w:header="720" w:footer="720" w:gutter="0"/>
          <w:cols w:space="720"/>
          <w:docGrid w:linePitch="360"/>
        </w:sectPr>
      </w:pPr>
    </w:p>
    <w:tbl>
      <w:tblPr>
        <w:tblW w:w="14002" w:type="dxa"/>
        <w:tblInd w:w="-360" w:type="dxa"/>
        <w:tblCellMar>
          <w:top w:w="15" w:type="dxa"/>
        </w:tblCellMar>
        <w:tblLook w:val="04A0" w:firstRow="1" w:lastRow="0" w:firstColumn="1" w:lastColumn="0" w:noHBand="0" w:noVBand="1"/>
      </w:tblPr>
      <w:tblGrid>
        <w:gridCol w:w="2740"/>
        <w:gridCol w:w="1840"/>
        <w:gridCol w:w="1840"/>
        <w:gridCol w:w="1840"/>
        <w:gridCol w:w="1840"/>
        <w:gridCol w:w="1840"/>
        <w:gridCol w:w="1840"/>
        <w:gridCol w:w="222"/>
      </w:tblGrid>
      <w:tr w:rsidR="007343C9" w:rsidRPr="004E2853" w14:paraId="0B5744F7" w14:textId="77777777" w:rsidTr="007343C9">
        <w:trPr>
          <w:gridAfter w:val="1"/>
          <w:wAfter w:w="222" w:type="dxa"/>
          <w:trHeight w:val="320"/>
        </w:trPr>
        <w:tc>
          <w:tcPr>
            <w:tcW w:w="13780" w:type="dxa"/>
            <w:gridSpan w:val="7"/>
            <w:tcBorders>
              <w:top w:val="nil"/>
              <w:left w:val="nil"/>
              <w:bottom w:val="single" w:sz="4" w:space="0" w:color="auto"/>
              <w:right w:val="nil"/>
            </w:tcBorders>
            <w:shd w:val="clear" w:color="auto" w:fill="auto"/>
            <w:noWrap/>
            <w:vAlign w:val="center"/>
            <w:hideMark/>
          </w:tcPr>
          <w:p w14:paraId="250D53DE" w14:textId="60FB2515" w:rsidR="007343C9" w:rsidRPr="004E2853" w:rsidRDefault="007343C9">
            <w:pPr>
              <w:rPr>
                <w:rFonts w:ascii="Calibri" w:hAnsi="Calibri" w:cs="Calibri"/>
                <w:color w:val="000000"/>
                <w:sz w:val="20"/>
                <w:szCs w:val="20"/>
              </w:rPr>
            </w:pPr>
            <w:r w:rsidRPr="004E2853">
              <w:rPr>
                <w:rFonts w:ascii="Calibri" w:hAnsi="Calibri" w:cs="Calibri"/>
                <w:color w:val="000000"/>
                <w:sz w:val="20"/>
                <w:szCs w:val="20"/>
              </w:rPr>
              <w:lastRenderedPageBreak/>
              <w:t>Table S3. Association of Revised WIC Food Package with Infant and Maternal Health (with standard errors clustered by state)</w:t>
            </w:r>
          </w:p>
        </w:tc>
      </w:tr>
      <w:tr w:rsidR="007343C9" w:rsidRPr="004E2853" w14:paraId="5A1D5EC4" w14:textId="77777777" w:rsidTr="007343C9">
        <w:trPr>
          <w:gridAfter w:val="1"/>
          <w:wAfter w:w="222" w:type="dxa"/>
          <w:trHeight w:val="1020"/>
        </w:trPr>
        <w:tc>
          <w:tcPr>
            <w:tcW w:w="2740" w:type="dxa"/>
            <w:tcBorders>
              <w:top w:val="nil"/>
              <w:left w:val="nil"/>
              <w:bottom w:val="nil"/>
              <w:right w:val="nil"/>
            </w:tcBorders>
            <w:shd w:val="clear" w:color="auto" w:fill="auto"/>
            <w:vAlign w:val="center"/>
            <w:hideMark/>
          </w:tcPr>
          <w:p w14:paraId="2DFD7EFD" w14:textId="77777777" w:rsidR="007343C9" w:rsidRPr="004E2853" w:rsidRDefault="007343C9">
            <w:pPr>
              <w:rPr>
                <w:rFonts w:ascii="Calibri" w:hAnsi="Calibri" w:cs="Calibri"/>
                <w:color w:val="000000"/>
                <w:sz w:val="20"/>
                <w:szCs w:val="20"/>
              </w:rPr>
            </w:pPr>
          </w:p>
        </w:tc>
        <w:tc>
          <w:tcPr>
            <w:tcW w:w="1840" w:type="dxa"/>
            <w:tcBorders>
              <w:top w:val="nil"/>
              <w:left w:val="nil"/>
              <w:bottom w:val="single" w:sz="4" w:space="0" w:color="auto"/>
              <w:right w:val="nil"/>
            </w:tcBorders>
            <w:shd w:val="clear" w:color="auto" w:fill="auto"/>
            <w:vAlign w:val="center"/>
            <w:hideMark/>
          </w:tcPr>
          <w:p w14:paraId="70FD7FC8" w14:textId="77777777" w:rsidR="007343C9" w:rsidRPr="004E2853" w:rsidRDefault="007343C9">
            <w:pPr>
              <w:jc w:val="center"/>
              <w:rPr>
                <w:rFonts w:ascii="Calibri" w:hAnsi="Calibri" w:cs="Calibri"/>
                <w:color w:val="000000"/>
                <w:sz w:val="20"/>
                <w:szCs w:val="20"/>
              </w:rPr>
            </w:pPr>
            <w:r w:rsidRPr="004E2853">
              <w:rPr>
                <w:rFonts w:ascii="Calibri" w:hAnsi="Calibri" w:cs="Calibri"/>
                <w:color w:val="000000"/>
                <w:sz w:val="20"/>
                <w:szCs w:val="20"/>
              </w:rPr>
              <w:t>Birthweight (grams)</w:t>
            </w:r>
          </w:p>
        </w:tc>
        <w:tc>
          <w:tcPr>
            <w:tcW w:w="1840" w:type="dxa"/>
            <w:tcBorders>
              <w:top w:val="nil"/>
              <w:left w:val="nil"/>
              <w:bottom w:val="single" w:sz="4" w:space="0" w:color="auto"/>
              <w:right w:val="nil"/>
            </w:tcBorders>
            <w:shd w:val="clear" w:color="auto" w:fill="auto"/>
            <w:vAlign w:val="center"/>
            <w:hideMark/>
          </w:tcPr>
          <w:p w14:paraId="481C0D9F" w14:textId="77777777" w:rsidR="007343C9" w:rsidRPr="004E2853" w:rsidRDefault="007343C9">
            <w:pPr>
              <w:jc w:val="center"/>
              <w:rPr>
                <w:rFonts w:ascii="Calibri" w:hAnsi="Calibri" w:cs="Calibri"/>
                <w:color w:val="000000"/>
                <w:sz w:val="20"/>
                <w:szCs w:val="20"/>
              </w:rPr>
            </w:pPr>
            <w:r w:rsidRPr="004E2853">
              <w:rPr>
                <w:rFonts w:ascii="Calibri" w:hAnsi="Calibri" w:cs="Calibri"/>
                <w:color w:val="000000"/>
                <w:sz w:val="20"/>
                <w:szCs w:val="20"/>
              </w:rPr>
              <w:t>Small for gestational age</w:t>
            </w:r>
          </w:p>
        </w:tc>
        <w:tc>
          <w:tcPr>
            <w:tcW w:w="1840" w:type="dxa"/>
            <w:tcBorders>
              <w:top w:val="nil"/>
              <w:left w:val="nil"/>
              <w:bottom w:val="single" w:sz="4" w:space="0" w:color="auto"/>
              <w:right w:val="nil"/>
            </w:tcBorders>
            <w:shd w:val="clear" w:color="auto" w:fill="auto"/>
            <w:vAlign w:val="center"/>
            <w:hideMark/>
          </w:tcPr>
          <w:p w14:paraId="7743713D" w14:textId="77777777" w:rsidR="007343C9" w:rsidRPr="004E2853" w:rsidRDefault="007343C9">
            <w:pPr>
              <w:jc w:val="center"/>
              <w:rPr>
                <w:rFonts w:ascii="Calibri" w:hAnsi="Calibri" w:cs="Calibri"/>
                <w:color w:val="000000"/>
                <w:sz w:val="20"/>
                <w:szCs w:val="20"/>
              </w:rPr>
            </w:pPr>
            <w:r w:rsidRPr="004E2853">
              <w:rPr>
                <w:rFonts w:ascii="Calibri" w:hAnsi="Calibri" w:cs="Calibri"/>
                <w:color w:val="000000"/>
                <w:sz w:val="20"/>
                <w:szCs w:val="20"/>
              </w:rPr>
              <w:t>Large for gestational age</w:t>
            </w:r>
          </w:p>
        </w:tc>
        <w:tc>
          <w:tcPr>
            <w:tcW w:w="1840" w:type="dxa"/>
            <w:tcBorders>
              <w:top w:val="nil"/>
              <w:left w:val="nil"/>
              <w:bottom w:val="single" w:sz="4" w:space="0" w:color="auto"/>
              <w:right w:val="nil"/>
            </w:tcBorders>
            <w:shd w:val="clear" w:color="auto" w:fill="auto"/>
            <w:vAlign w:val="center"/>
            <w:hideMark/>
          </w:tcPr>
          <w:p w14:paraId="715C2140" w14:textId="77777777" w:rsidR="007343C9" w:rsidRPr="004E2853" w:rsidRDefault="007343C9">
            <w:pPr>
              <w:jc w:val="center"/>
              <w:rPr>
                <w:rFonts w:ascii="Calibri" w:hAnsi="Calibri" w:cs="Calibri"/>
                <w:color w:val="000000"/>
                <w:sz w:val="20"/>
                <w:szCs w:val="20"/>
              </w:rPr>
            </w:pPr>
            <w:r w:rsidRPr="004E2853">
              <w:rPr>
                <w:rFonts w:ascii="Calibri" w:hAnsi="Calibri" w:cs="Calibri"/>
                <w:color w:val="000000"/>
                <w:sz w:val="20"/>
                <w:szCs w:val="20"/>
              </w:rPr>
              <w:t>Appropriate for gestational age</w:t>
            </w:r>
          </w:p>
        </w:tc>
        <w:tc>
          <w:tcPr>
            <w:tcW w:w="1840" w:type="dxa"/>
            <w:tcBorders>
              <w:top w:val="nil"/>
              <w:left w:val="nil"/>
              <w:bottom w:val="single" w:sz="4" w:space="0" w:color="auto"/>
              <w:right w:val="nil"/>
            </w:tcBorders>
            <w:shd w:val="clear" w:color="auto" w:fill="auto"/>
            <w:vAlign w:val="center"/>
            <w:hideMark/>
          </w:tcPr>
          <w:p w14:paraId="76748A42" w14:textId="77777777" w:rsidR="007343C9" w:rsidRPr="004E2853" w:rsidRDefault="007343C9">
            <w:pPr>
              <w:jc w:val="center"/>
              <w:rPr>
                <w:rFonts w:ascii="Calibri" w:hAnsi="Calibri" w:cs="Calibri"/>
                <w:color w:val="000000"/>
                <w:sz w:val="20"/>
                <w:szCs w:val="20"/>
              </w:rPr>
            </w:pPr>
            <w:r w:rsidRPr="004E2853">
              <w:rPr>
                <w:rFonts w:ascii="Calibri" w:hAnsi="Calibri" w:cs="Calibri"/>
                <w:color w:val="000000"/>
                <w:sz w:val="20"/>
                <w:szCs w:val="20"/>
              </w:rPr>
              <w:t>Gestational diabetes mellitus</w:t>
            </w:r>
          </w:p>
        </w:tc>
        <w:tc>
          <w:tcPr>
            <w:tcW w:w="1840" w:type="dxa"/>
            <w:tcBorders>
              <w:top w:val="nil"/>
              <w:left w:val="nil"/>
              <w:bottom w:val="single" w:sz="4" w:space="0" w:color="auto"/>
              <w:right w:val="nil"/>
            </w:tcBorders>
            <w:shd w:val="clear" w:color="auto" w:fill="auto"/>
            <w:vAlign w:val="center"/>
            <w:hideMark/>
          </w:tcPr>
          <w:p w14:paraId="6FE90979" w14:textId="77777777" w:rsidR="007343C9" w:rsidRPr="004E2853" w:rsidRDefault="007343C9">
            <w:pPr>
              <w:jc w:val="center"/>
              <w:rPr>
                <w:rFonts w:ascii="Calibri" w:hAnsi="Calibri" w:cs="Calibri"/>
                <w:color w:val="000000"/>
                <w:sz w:val="20"/>
                <w:szCs w:val="20"/>
              </w:rPr>
            </w:pPr>
            <w:r w:rsidRPr="004E2853">
              <w:rPr>
                <w:rFonts w:ascii="Calibri" w:hAnsi="Calibri" w:cs="Calibri"/>
                <w:color w:val="000000"/>
                <w:sz w:val="20"/>
                <w:szCs w:val="20"/>
              </w:rPr>
              <w:t>Gestational weight gain (pounds)</w:t>
            </w:r>
          </w:p>
        </w:tc>
      </w:tr>
      <w:tr w:rsidR="007343C9" w:rsidRPr="004E2853" w14:paraId="24E17DD5" w14:textId="77777777" w:rsidTr="007343C9">
        <w:trPr>
          <w:gridAfter w:val="1"/>
          <w:wAfter w:w="222" w:type="dxa"/>
          <w:trHeight w:val="340"/>
        </w:trPr>
        <w:tc>
          <w:tcPr>
            <w:tcW w:w="2740" w:type="dxa"/>
            <w:vMerge w:val="restart"/>
            <w:tcBorders>
              <w:top w:val="nil"/>
              <w:left w:val="nil"/>
              <w:bottom w:val="single" w:sz="8" w:space="0" w:color="000000"/>
              <w:right w:val="nil"/>
            </w:tcBorders>
            <w:shd w:val="clear" w:color="auto" w:fill="auto"/>
            <w:vAlign w:val="center"/>
            <w:hideMark/>
          </w:tcPr>
          <w:p w14:paraId="33C97020" w14:textId="77777777" w:rsidR="007343C9" w:rsidRPr="004E2853" w:rsidRDefault="007343C9">
            <w:pPr>
              <w:rPr>
                <w:rFonts w:ascii="Calibri" w:hAnsi="Calibri" w:cs="Calibri"/>
                <w:color w:val="000000"/>
                <w:sz w:val="20"/>
                <w:szCs w:val="20"/>
              </w:rPr>
            </w:pPr>
            <w:r w:rsidRPr="004E2853">
              <w:rPr>
                <w:rFonts w:ascii="Calibri" w:hAnsi="Calibri" w:cs="Calibri"/>
                <w:color w:val="000000"/>
                <w:sz w:val="20"/>
                <w:szCs w:val="20"/>
              </w:rPr>
              <w:t>WIC-eligible*Post-2009</w:t>
            </w:r>
          </w:p>
        </w:tc>
        <w:tc>
          <w:tcPr>
            <w:tcW w:w="1840" w:type="dxa"/>
            <w:tcBorders>
              <w:top w:val="nil"/>
              <w:left w:val="nil"/>
              <w:bottom w:val="nil"/>
              <w:right w:val="nil"/>
            </w:tcBorders>
            <w:shd w:val="clear" w:color="auto" w:fill="auto"/>
            <w:vAlign w:val="center"/>
            <w:hideMark/>
          </w:tcPr>
          <w:p w14:paraId="51DF5D2E" w14:textId="77777777" w:rsidR="007343C9" w:rsidRPr="004E2853" w:rsidRDefault="007343C9">
            <w:pPr>
              <w:jc w:val="center"/>
              <w:rPr>
                <w:rFonts w:ascii="Calibri" w:hAnsi="Calibri" w:cs="Calibri"/>
                <w:color w:val="000000"/>
                <w:sz w:val="20"/>
                <w:szCs w:val="20"/>
              </w:rPr>
            </w:pPr>
            <w:r w:rsidRPr="004E2853">
              <w:rPr>
                <w:rFonts w:ascii="Calibri" w:hAnsi="Calibri" w:cs="Calibri"/>
                <w:color w:val="000000"/>
                <w:sz w:val="20"/>
                <w:szCs w:val="20"/>
              </w:rPr>
              <w:t>-3.521***</w:t>
            </w:r>
          </w:p>
        </w:tc>
        <w:tc>
          <w:tcPr>
            <w:tcW w:w="1840" w:type="dxa"/>
            <w:tcBorders>
              <w:top w:val="nil"/>
              <w:left w:val="nil"/>
              <w:bottom w:val="nil"/>
              <w:right w:val="nil"/>
            </w:tcBorders>
            <w:shd w:val="clear" w:color="auto" w:fill="auto"/>
            <w:vAlign w:val="center"/>
            <w:hideMark/>
          </w:tcPr>
          <w:p w14:paraId="01069A96" w14:textId="77777777" w:rsidR="007343C9" w:rsidRPr="004E2853" w:rsidRDefault="007343C9">
            <w:pPr>
              <w:jc w:val="center"/>
              <w:rPr>
                <w:rFonts w:ascii="Calibri" w:hAnsi="Calibri" w:cs="Calibri"/>
                <w:color w:val="000000"/>
                <w:sz w:val="20"/>
                <w:szCs w:val="20"/>
              </w:rPr>
            </w:pPr>
            <w:r w:rsidRPr="004E2853">
              <w:rPr>
                <w:rFonts w:ascii="Calibri" w:hAnsi="Calibri" w:cs="Calibri"/>
                <w:color w:val="000000"/>
                <w:sz w:val="20"/>
                <w:szCs w:val="20"/>
              </w:rPr>
              <w:t>-0.081</w:t>
            </w:r>
          </w:p>
        </w:tc>
        <w:tc>
          <w:tcPr>
            <w:tcW w:w="1840" w:type="dxa"/>
            <w:tcBorders>
              <w:top w:val="nil"/>
              <w:left w:val="nil"/>
              <w:bottom w:val="nil"/>
              <w:right w:val="nil"/>
            </w:tcBorders>
            <w:shd w:val="clear" w:color="auto" w:fill="auto"/>
            <w:vAlign w:val="center"/>
            <w:hideMark/>
          </w:tcPr>
          <w:p w14:paraId="75651D0B" w14:textId="77777777" w:rsidR="007343C9" w:rsidRPr="004E2853" w:rsidRDefault="007343C9">
            <w:pPr>
              <w:jc w:val="center"/>
              <w:rPr>
                <w:rFonts w:ascii="Calibri" w:hAnsi="Calibri" w:cs="Calibri"/>
                <w:color w:val="000000"/>
                <w:sz w:val="20"/>
                <w:szCs w:val="20"/>
              </w:rPr>
            </w:pPr>
            <w:r w:rsidRPr="004E2853">
              <w:rPr>
                <w:rFonts w:ascii="Calibri" w:hAnsi="Calibri" w:cs="Calibri"/>
                <w:color w:val="000000"/>
                <w:sz w:val="20"/>
                <w:szCs w:val="20"/>
              </w:rPr>
              <w:t>-0.004</w:t>
            </w:r>
          </w:p>
        </w:tc>
        <w:tc>
          <w:tcPr>
            <w:tcW w:w="1840" w:type="dxa"/>
            <w:tcBorders>
              <w:top w:val="nil"/>
              <w:left w:val="nil"/>
              <w:bottom w:val="nil"/>
              <w:right w:val="nil"/>
            </w:tcBorders>
            <w:shd w:val="clear" w:color="auto" w:fill="auto"/>
            <w:vAlign w:val="center"/>
            <w:hideMark/>
          </w:tcPr>
          <w:p w14:paraId="431823D0" w14:textId="77777777" w:rsidR="007343C9" w:rsidRPr="004E2853" w:rsidRDefault="007343C9">
            <w:pPr>
              <w:jc w:val="center"/>
              <w:rPr>
                <w:rFonts w:ascii="Calibri" w:hAnsi="Calibri" w:cs="Calibri"/>
                <w:color w:val="000000"/>
                <w:sz w:val="20"/>
                <w:szCs w:val="20"/>
              </w:rPr>
            </w:pPr>
            <w:r w:rsidRPr="004E2853">
              <w:rPr>
                <w:rFonts w:ascii="Calibri" w:hAnsi="Calibri" w:cs="Calibri"/>
                <w:color w:val="000000"/>
                <w:sz w:val="20"/>
                <w:szCs w:val="20"/>
              </w:rPr>
              <w:t>0.085</w:t>
            </w:r>
          </w:p>
        </w:tc>
        <w:tc>
          <w:tcPr>
            <w:tcW w:w="1840" w:type="dxa"/>
            <w:tcBorders>
              <w:top w:val="nil"/>
              <w:left w:val="nil"/>
              <w:bottom w:val="nil"/>
              <w:right w:val="nil"/>
            </w:tcBorders>
            <w:shd w:val="clear" w:color="auto" w:fill="auto"/>
            <w:vAlign w:val="center"/>
            <w:hideMark/>
          </w:tcPr>
          <w:p w14:paraId="1022A879" w14:textId="77777777" w:rsidR="007343C9" w:rsidRPr="004E2853" w:rsidRDefault="007343C9">
            <w:pPr>
              <w:jc w:val="center"/>
              <w:rPr>
                <w:rFonts w:ascii="Calibri" w:hAnsi="Calibri" w:cs="Calibri"/>
                <w:color w:val="000000"/>
                <w:sz w:val="20"/>
                <w:szCs w:val="20"/>
              </w:rPr>
            </w:pPr>
            <w:r w:rsidRPr="004E2853">
              <w:rPr>
                <w:rFonts w:ascii="Calibri" w:hAnsi="Calibri" w:cs="Calibri"/>
                <w:color w:val="000000"/>
                <w:sz w:val="20"/>
                <w:szCs w:val="20"/>
              </w:rPr>
              <w:t>0.032</w:t>
            </w:r>
          </w:p>
        </w:tc>
        <w:tc>
          <w:tcPr>
            <w:tcW w:w="1840" w:type="dxa"/>
            <w:tcBorders>
              <w:top w:val="nil"/>
              <w:left w:val="nil"/>
              <w:bottom w:val="nil"/>
              <w:right w:val="nil"/>
            </w:tcBorders>
            <w:shd w:val="clear" w:color="auto" w:fill="auto"/>
            <w:vAlign w:val="center"/>
            <w:hideMark/>
          </w:tcPr>
          <w:p w14:paraId="1CA5EF7E" w14:textId="77777777" w:rsidR="007343C9" w:rsidRPr="004E2853" w:rsidRDefault="007343C9">
            <w:pPr>
              <w:jc w:val="center"/>
              <w:rPr>
                <w:rFonts w:ascii="Calibri" w:hAnsi="Calibri" w:cs="Calibri"/>
                <w:color w:val="000000"/>
                <w:sz w:val="20"/>
                <w:szCs w:val="20"/>
              </w:rPr>
            </w:pPr>
            <w:r w:rsidRPr="004E2853">
              <w:rPr>
                <w:rFonts w:ascii="Calibri" w:hAnsi="Calibri" w:cs="Calibri"/>
                <w:color w:val="000000"/>
                <w:sz w:val="20"/>
                <w:szCs w:val="20"/>
              </w:rPr>
              <w:t>-0.053</w:t>
            </w:r>
          </w:p>
        </w:tc>
      </w:tr>
      <w:tr w:rsidR="007343C9" w:rsidRPr="004E2853" w14:paraId="7EEC1D5A" w14:textId="77777777" w:rsidTr="007343C9">
        <w:trPr>
          <w:gridAfter w:val="1"/>
          <w:wAfter w:w="222" w:type="dxa"/>
          <w:trHeight w:val="360"/>
        </w:trPr>
        <w:tc>
          <w:tcPr>
            <w:tcW w:w="2740" w:type="dxa"/>
            <w:vMerge/>
            <w:tcBorders>
              <w:top w:val="nil"/>
              <w:left w:val="nil"/>
              <w:bottom w:val="single" w:sz="8" w:space="0" w:color="000000"/>
              <w:right w:val="nil"/>
            </w:tcBorders>
            <w:vAlign w:val="center"/>
            <w:hideMark/>
          </w:tcPr>
          <w:p w14:paraId="79A50BAC" w14:textId="77777777" w:rsidR="007343C9" w:rsidRPr="004E2853" w:rsidRDefault="007343C9">
            <w:pPr>
              <w:rPr>
                <w:rFonts w:ascii="Calibri" w:hAnsi="Calibri" w:cs="Calibri"/>
                <w:color w:val="000000"/>
                <w:sz w:val="20"/>
                <w:szCs w:val="20"/>
              </w:rPr>
            </w:pPr>
          </w:p>
        </w:tc>
        <w:tc>
          <w:tcPr>
            <w:tcW w:w="1840" w:type="dxa"/>
            <w:tcBorders>
              <w:top w:val="nil"/>
              <w:left w:val="nil"/>
              <w:bottom w:val="single" w:sz="8" w:space="0" w:color="auto"/>
              <w:right w:val="nil"/>
            </w:tcBorders>
            <w:shd w:val="clear" w:color="auto" w:fill="auto"/>
            <w:vAlign w:val="center"/>
            <w:hideMark/>
          </w:tcPr>
          <w:p w14:paraId="4BBDC7A2" w14:textId="77777777" w:rsidR="007343C9" w:rsidRPr="004E2853" w:rsidRDefault="007343C9">
            <w:pPr>
              <w:jc w:val="center"/>
              <w:rPr>
                <w:rFonts w:ascii="Calibri" w:hAnsi="Calibri" w:cs="Calibri"/>
                <w:color w:val="000000"/>
                <w:sz w:val="20"/>
                <w:szCs w:val="20"/>
              </w:rPr>
            </w:pPr>
            <w:r w:rsidRPr="004E2853">
              <w:rPr>
                <w:rFonts w:ascii="Calibri" w:hAnsi="Calibri" w:cs="Calibri"/>
                <w:color w:val="000000"/>
                <w:sz w:val="20"/>
                <w:szCs w:val="20"/>
              </w:rPr>
              <w:t>[-5.288,-1.754]</w:t>
            </w:r>
          </w:p>
        </w:tc>
        <w:tc>
          <w:tcPr>
            <w:tcW w:w="1840" w:type="dxa"/>
            <w:tcBorders>
              <w:top w:val="nil"/>
              <w:left w:val="nil"/>
              <w:bottom w:val="single" w:sz="8" w:space="0" w:color="auto"/>
              <w:right w:val="nil"/>
            </w:tcBorders>
            <w:shd w:val="clear" w:color="auto" w:fill="auto"/>
            <w:vAlign w:val="center"/>
            <w:hideMark/>
          </w:tcPr>
          <w:p w14:paraId="4AA07F52" w14:textId="77777777" w:rsidR="007343C9" w:rsidRPr="004E2853" w:rsidRDefault="007343C9">
            <w:pPr>
              <w:jc w:val="center"/>
              <w:rPr>
                <w:rFonts w:ascii="Calibri" w:hAnsi="Calibri" w:cs="Calibri"/>
                <w:color w:val="000000"/>
                <w:sz w:val="20"/>
                <w:szCs w:val="20"/>
              </w:rPr>
            </w:pPr>
            <w:r w:rsidRPr="004E2853">
              <w:rPr>
                <w:rFonts w:ascii="Calibri" w:hAnsi="Calibri" w:cs="Calibri"/>
                <w:color w:val="000000"/>
                <w:sz w:val="20"/>
                <w:szCs w:val="20"/>
              </w:rPr>
              <w:t>[-0.182,0.020]</w:t>
            </w:r>
          </w:p>
        </w:tc>
        <w:tc>
          <w:tcPr>
            <w:tcW w:w="1840" w:type="dxa"/>
            <w:tcBorders>
              <w:top w:val="nil"/>
              <w:left w:val="nil"/>
              <w:bottom w:val="single" w:sz="8" w:space="0" w:color="auto"/>
              <w:right w:val="nil"/>
            </w:tcBorders>
            <w:shd w:val="clear" w:color="auto" w:fill="auto"/>
            <w:vAlign w:val="center"/>
            <w:hideMark/>
          </w:tcPr>
          <w:p w14:paraId="0A415518" w14:textId="77777777" w:rsidR="007343C9" w:rsidRPr="004E2853" w:rsidRDefault="007343C9">
            <w:pPr>
              <w:jc w:val="center"/>
              <w:rPr>
                <w:rFonts w:ascii="Calibri" w:hAnsi="Calibri" w:cs="Calibri"/>
                <w:color w:val="000000"/>
                <w:sz w:val="20"/>
                <w:szCs w:val="20"/>
              </w:rPr>
            </w:pPr>
            <w:r w:rsidRPr="004E2853">
              <w:rPr>
                <w:rFonts w:ascii="Calibri" w:hAnsi="Calibri" w:cs="Calibri"/>
                <w:color w:val="000000"/>
                <w:sz w:val="20"/>
                <w:szCs w:val="20"/>
              </w:rPr>
              <w:t>[-0.088,0.081]</w:t>
            </w:r>
          </w:p>
        </w:tc>
        <w:tc>
          <w:tcPr>
            <w:tcW w:w="1840" w:type="dxa"/>
            <w:tcBorders>
              <w:top w:val="nil"/>
              <w:left w:val="nil"/>
              <w:bottom w:val="single" w:sz="8" w:space="0" w:color="auto"/>
              <w:right w:val="nil"/>
            </w:tcBorders>
            <w:shd w:val="clear" w:color="auto" w:fill="auto"/>
            <w:vAlign w:val="center"/>
            <w:hideMark/>
          </w:tcPr>
          <w:p w14:paraId="076A2734" w14:textId="77777777" w:rsidR="007343C9" w:rsidRPr="004E2853" w:rsidRDefault="007343C9">
            <w:pPr>
              <w:jc w:val="center"/>
              <w:rPr>
                <w:rFonts w:ascii="Calibri" w:hAnsi="Calibri" w:cs="Calibri"/>
                <w:color w:val="000000"/>
                <w:sz w:val="20"/>
                <w:szCs w:val="20"/>
              </w:rPr>
            </w:pPr>
            <w:r w:rsidRPr="004E2853">
              <w:rPr>
                <w:rFonts w:ascii="Calibri" w:hAnsi="Calibri" w:cs="Calibri"/>
                <w:color w:val="000000"/>
                <w:sz w:val="20"/>
                <w:szCs w:val="20"/>
              </w:rPr>
              <w:t>[-0.024,0.193]</w:t>
            </w:r>
          </w:p>
        </w:tc>
        <w:tc>
          <w:tcPr>
            <w:tcW w:w="1840" w:type="dxa"/>
            <w:tcBorders>
              <w:top w:val="nil"/>
              <w:left w:val="nil"/>
              <w:bottom w:val="single" w:sz="8" w:space="0" w:color="auto"/>
              <w:right w:val="nil"/>
            </w:tcBorders>
            <w:shd w:val="clear" w:color="auto" w:fill="auto"/>
            <w:vAlign w:val="center"/>
            <w:hideMark/>
          </w:tcPr>
          <w:p w14:paraId="0E6EB32F" w14:textId="77777777" w:rsidR="007343C9" w:rsidRPr="004E2853" w:rsidRDefault="007343C9">
            <w:pPr>
              <w:jc w:val="center"/>
              <w:rPr>
                <w:rFonts w:ascii="Calibri" w:hAnsi="Calibri" w:cs="Calibri"/>
                <w:color w:val="000000"/>
                <w:sz w:val="20"/>
                <w:szCs w:val="20"/>
              </w:rPr>
            </w:pPr>
            <w:r w:rsidRPr="004E2853">
              <w:rPr>
                <w:rFonts w:ascii="Calibri" w:hAnsi="Calibri" w:cs="Calibri"/>
                <w:color w:val="000000"/>
                <w:sz w:val="20"/>
                <w:szCs w:val="20"/>
              </w:rPr>
              <w:t>[-0.083,0.147]</w:t>
            </w:r>
          </w:p>
        </w:tc>
        <w:tc>
          <w:tcPr>
            <w:tcW w:w="1840" w:type="dxa"/>
            <w:tcBorders>
              <w:top w:val="nil"/>
              <w:left w:val="nil"/>
              <w:bottom w:val="single" w:sz="8" w:space="0" w:color="auto"/>
              <w:right w:val="nil"/>
            </w:tcBorders>
            <w:shd w:val="clear" w:color="auto" w:fill="auto"/>
            <w:vAlign w:val="center"/>
            <w:hideMark/>
          </w:tcPr>
          <w:p w14:paraId="47DCDBE1" w14:textId="77777777" w:rsidR="007343C9" w:rsidRPr="004E2853" w:rsidRDefault="007343C9">
            <w:pPr>
              <w:jc w:val="center"/>
              <w:rPr>
                <w:rFonts w:ascii="Calibri" w:hAnsi="Calibri" w:cs="Calibri"/>
                <w:color w:val="000000"/>
                <w:sz w:val="20"/>
                <w:szCs w:val="20"/>
              </w:rPr>
            </w:pPr>
            <w:r w:rsidRPr="004E2853">
              <w:rPr>
                <w:rFonts w:ascii="Calibri" w:hAnsi="Calibri" w:cs="Calibri"/>
                <w:color w:val="000000"/>
                <w:sz w:val="20"/>
                <w:szCs w:val="20"/>
              </w:rPr>
              <w:t>[-0.168,0.061]</w:t>
            </w:r>
          </w:p>
        </w:tc>
      </w:tr>
      <w:tr w:rsidR="007343C9" w:rsidRPr="004E2853" w14:paraId="2C37F717" w14:textId="77777777" w:rsidTr="007343C9">
        <w:trPr>
          <w:gridAfter w:val="1"/>
          <w:wAfter w:w="222" w:type="dxa"/>
          <w:trHeight w:val="340"/>
        </w:trPr>
        <w:tc>
          <w:tcPr>
            <w:tcW w:w="2740" w:type="dxa"/>
            <w:tcBorders>
              <w:top w:val="nil"/>
              <w:left w:val="nil"/>
              <w:bottom w:val="nil"/>
              <w:right w:val="nil"/>
            </w:tcBorders>
            <w:shd w:val="clear" w:color="auto" w:fill="auto"/>
            <w:vAlign w:val="center"/>
            <w:hideMark/>
          </w:tcPr>
          <w:p w14:paraId="432F0500" w14:textId="77777777" w:rsidR="007343C9" w:rsidRPr="004E2853" w:rsidRDefault="007343C9">
            <w:pPr>
              <w:rPr>
                <w:rFonts w:ascii="Calibri" w:hAnsi="Calibri" w:cs="Calibri"/>
                <w:color w:val="000000"/>
                <w:sz w:val="20"/>
                <w:szCs w:val="20"/>
              </w:rPr>
            </w:pPr>
            <w:r w:rsidRPr="004E2853">
              <w:rPr>
                <w:rFonts w:ascii="Calibri" w:hAnsi="Calibri" w:cs="Calibri"/>
                <w:color w:val="000000"/>
                <w:sz w:val="20"/>
                <w:szCs w:val="20"/>
              </w:rPr>
              <w:t>N</w:t>
            </w:r>
          </w:p>
        </w:tc>
        <w:tc>
          <w:tcPr>
            <w:tcW w:w="1840" w:type="dxa"/>
            <w:tcBorders>
              <w:top w:val="nil"/>
              <w:left w:val="nil"/>
              <w:bottom w:val="nil"/>
              <w:right w:val="nil"/>
            </w:tcBorders>
            <w:shd w:val="clear" w:color="auto" w:fill="auto"/>
            <w:vAlign w:val="center"/>
            <w:hideMark/>
          </w:tcPr>
          <w:p w14:paraId="7DDF9BDA" w14:textId="77777777" w:rsidR="007343C9" w:rsidRPr="004E2853" w:rsidRDefault="007343C9">
            <w:pPr>
              <w:jc w:val="center"/>
              <w:rPr>
                <w:rFonts w:ascii="Calibri" w:hAnsi="Calibri" w:cs="Calibri"/>
                <w:color w:val="000000"/>
                <w:sz w:val="20"/>
                <w:szCs w:val="20"/>
              </w:rPr>
            </w:pPr>
            <w:r w:rsidRPr="004E2853">
              <w:rPr>
                <w:rFonts w:ascii="Calibri" w:hAnsi="Calibri" w:cs="Calibri"/>
                <w:color w:val="000000"/>
                <w:sz w:val="20"/>
                <w:szCs w:val="20"/>
              </w:rPr>
              <w:t>11,855,417</w:t>
            </w:r>
          </w:p>
        </w:tc>
        <w:tc>
          <w:tcPr>
            <w:tcW w:w="1840" w:type="dxa"/>
            <w:tcBorders>
              <w:top w:val="nil"/>
              <w:left w:val="nil"/>
              <w:bottom w:val="nil"/>
              <w:right w:val="nil"/>
            </w:tcBorders>
            <w:shd w:val="clear" w:color="auto" w:fill="auto"/>
            <w:vAlign w:val="center"/>
            <w:hideMark/>
          </w:tcPr>
          <w:p w14:paraId="066AE5A5" w14:textId="77777777" w:rsidR="007343C9" w:rsidRPr="004E2853" w:rsidRDefault="007343C9">
            <w:pPr>
              <w:jc w:val="center"/>
              <w:rPr>
                <w:rFonts w:ascii="Calibri" w:hAnsi="Calibri" w:cs="Calibri"/>
                <w:color w:val="000000"/>
                <w:sz w:val="20"/>
                <w:szCs w:val="20"/>
              </w:rPr>
            </w:pPr>
            <w:r w:rsidRPr="004E2853">
              <w:rPr>
                <w:rFonts w:ascii="Calibri" w:hAnsi="Calibri" w:cs="Calibri"/>
                <w:color w:val="000000"/>
                <w:sz w:val="20"/>
                <w:szCs w:val="20"/>
              </w:rPr>
              <w:t>11,855,417</w:t>
            </w:r>
          </w:p>
        </w:tc>
        <w:tc>
          <w:tcPr>
            <w:tcW w:w="1840" w:type="dxa"/>
            <w:tcBorders>
              <w:top w:val="nil"/>
              <w:left w:val="nil"/>
              <w:bottom w:val="nil"/>
              <w:right w:val="nil"/>
            </w:tcBorders>
            <w:shd w:val="clear" w:color="auto" w:fill="auto"/>
            <w:vAlign w:val="center"/>
            <w:hideMark/>
          </w:tcPr>
          <w:p w14:paraId="4DF8B0B3" w14:textId="77777777" w:rsidR="007343C9" w:rsidRPr="004E2853" w:rsidRDefault="007343C9">
            <w:pPr>
              <w:jc w:val="center"/>
              <w:rPr>
                <w:rFonts w:ascii="Calibri" w:hAnsi="Calibri" w:cs="Calibri"/>
                <w:color w:val="000000"/>
                <w:sz w:val="20"/>
                <w:szCs w:val="20"/>
              </w:rPr>
            </w:pPr>
            <w:r w:rsidRPr="004E2853">
              <w:rPr>
                <w:rFonts w:ascii="Calibri" w:hAnsi="Calibri" w:cs="Calibri"/>
                <w:color w:val="000000"/>
                <w:sz w:val="20"/>
                <w:szCs w:val="20"/>
              </w:rPr>
              <w:t>11,855,417</w:t>
            </w:r>
          </w:p>
        </w:tc>
        <w:tc>
          <w:tcPr>
            <w:tcW w:w="1840" w:type="dxa"/>
            <w:tcBorders>
              <w:top w:val="nil"/>
              <w:left w:val="nil"/>
              <w:bottom w:val="nil"/>
              <w:right w:val="nil"/>
            </w:tcBorders>
            <w:shd w:val="clear" w:color="auto" w:fill="auto"/>
            <w:vAlign w:val="center"/>
            <w:hideMark/>
          </w:tcPr>
          <w:p w14:paraId="589FA0FC" w14:textId="77777777" w:rsidR="007343C9" w:rsidRPr="004E2853" w:rsidRDefault="007343C9">
            <w:pPr>
              <w:jc w:val="center"/>
              <w:rPr>
                <w:rFonts w:ascii="Calibri" w:hAnsi="Calibri" w:cs="Calibri"/>
                <w:color w:val="000000"/>
                <w:sz w:val="20"/>
                <w:szCs w:val="20"/>
              </w:rPr>
            </w:pPr>
            <w:r w:rsidRPr="004E2853">
              <w:rPr>
                <w:rFonts w:ascii="Calibri" w:hAnsi="Calibri" w:cs="Calibri"/>
                <w:color w:val="000000"/>
                <w:sz w:val="20"/>
                <w:szCs w:val="20"/>
              </w:rPr>
              <w:t>11,855,417</w:t>
            </w:r>
          </w:p>
        </w:tc>
        <w:tc>
          <w:tcPr>
            <w:tcW w:w="1840" w:type="dxa"/>
            <w:tcBorders>
              <w:top w:val="nil"/>
              <w:left w:val="nil"/>
              <w:bottom w:val="nil"/>
              <w:right w:val="nil"/>
            </w:tcBorders>
            <w:shd w:val="clear" w:color="auto" w:fill="auto"/>
            <w:vAlign w:val="center"/>
            <w:hideMark/>
          </w:tcPr>
          <w:p w14:paraId="7EEFDB34" w14:textId="77777777" w:rsidR="007343C9" w:rsidRPr="004E2853" w:rsidRDefault="007343C9">
            <w:pPr>
              <w:jc w:val="center"/>
              <w:rPr>
                <w:rFonts w:ascii="Calibri" w:hAnsi="Calibri" w:cs="Calibri"/>
                <w:color w:val="000000"/>
                <w:sz w:val="20"/>
                <w:szCs w:val="20"/>
              </w:rPr>
            </w:pPr>
            <w:r w:rsidRPr="004E2853">
              <w:rPr>
                <w:rFonts w:ascii="Calibri" w:hAnsi="Calibri" w:cs="Calibri"/>
                <w:color w:val="000000"/>
                <w:sz w:val="20"/>
                <w:szCs w:val="20"/>
              </w:rPr>
              <w:t>11,824,402</w:t>
            </w:r>
          </w:p>
        </w:tc>
        <w:tc>
          <w:tcPr>
            <w:tcW w:w="1840" w:type="dxa"/>
            <w:tcBorders>
              <w:top w:val="nil"/>
              <w:left w:val="nil"/>
              <w:bottom w:val="nil"/>
              <w:right w:val="nil"/>
            </w:tcBorders>
            <w:shd w:val="clear" w:color="auto" w:fill="auto"/>
            <w:vAlign w:val="center"/>
            <w:hideMark/>
          </w:tcPr>
          <w:p w14:paraId="52B95D2A" w14:textId="77777777" w:rsidR="007343C9" w:rsidRPr="004E2853" w:rsidRDefault="007343C9">
            <w:pPr>
              <w:jc w:val="center"/>
              <w:rPr>
                <w:rFonts w:ascii="Calibri" w:hAnsi="Calibri" w:cs="Calibri"/>
                <w:color w:val="000000"/>
                <w:sz w:val="20"/>
                <w:szCs w:val="20"/>
              </w:rPr>
            </w:pPr>
            <w:r w:rsidRPr="004E2853">
              <w:rPr>
                <w:rFonts w:ascii="Calibri" w:hAnsi="Calibri" w:cs="Calibri"/>
                <w:color w:val="000000"/>
                <w:sz w:val="20"/>
                <w:szCs w:val="20"/>
              </w:rPr>
              <w:t>11,246,710</w:t>
            </w:r>
          </w:p>
        </w:tc>
      </w:tr>
      <w:tr w:rsidR="007343C9" w:rsidRPr="004E2853" w14:paraId="5E08DE8D" w14:textId="77777777" w:rsidTr="007343C9">
        <w:trPr>
          <w:gridAfter w:val="1"/>
          <w:wAfter w:w="222" w:type="dxa"/>
          <w:trHeight w:val="360"/>
        </w:trPr>
        <w:tc>
          <w:tcPr>
            <w:tcW w:w="2740" w:type="dxa"/>
            <w:tcBorders>
              <w:top w:val="nil"/>
              <w:left w:val="nil"/>
              <w:bottom w:val="single" w:sz="8" w:space="0" w:color="auto"/>
              <w:right w:val="nil"/>
            </w:tcBorders>
            <w:shd w:val="clear" w:color="auto" w:fill="auto"/>
            <w:vAlign w:val="center"/>
            <w:hideMark/>
          </w:tcPr>
          <w:p w14:paraId="7A0EF73B" w14:textId="77777777" w:rsidR="007343C9" w:rsidRPr="004E2853" w:rsidRDefault="007343C9">
            <w:pPr>
              <w:rPr>
                <w:rFonts w:ascii="Calibri" w:hAnsi="Calibri" w:cs="Calibri"/>
                <w:color w:val="000000"/>
                <w:sz w:val="20"/>
                <w:szCs w:val="20"/>
              </w:rPr>
            </w:pPr>
            <w:r w:rsidRPr="004E2853">
              <w:rPr>
                <w:rFonts w:ascii="Calibri" w:hAnsi="Calibri" w:cs="Calibri"/>
                <w:color w:val="000000"/>
                <w:sz w:val="20"/>
                <w:szCs w:val="20"/>
              </w:rPr>
              <w:t>Baseline mean or %</w:t>
            </w:r>
          </w:p>
        </w:tc>
        <w:tc>
          <w:tcPr>
            <w:tcW w:w="1840" w:type="dxa"/>
            <w:tcBorders>
              <w:top w:val="nil"/>
              <w:left w:val="nil"/>
              <w:bottom w:val="single" w:sz="8" w:space="0" w:color="auto"/>
              <w:right w:val="nil"/>
            </w:tcBorders>
            <w:shd w:val="clear" w:color="auto" w:fill="auto"/>
            <w:vAlign w:val="center"/>
            <w:hideMark/>
          </w:tcPr>
          <w:p w14:paraId="2B2F9662" w14:textId="77777777" w:rsidR="007343C9" w:rsidRPr="004E2853" w:rsidRDefault="007343C9">
            <w:pPr>
              <w:jc w:val="center"/>
              <w:rPr>
                <w:rFonts w:ascii="Calibri" w:hAnsi="Calibri" w:cs="Calibri"/>
                <w:color w:val="000000"/>
                <w:sz w:val="20"/>
                <w:szCs w:val="20"/>
              </w:rPr>
            </w:pPr>
            <w:r w:rsidRPr="004E2853">
              <w:rPr>
                <w:rFonts w:ascii="Calibri" w:hAnsi="Calibri" w:cs="Calibri"/>
                <w:color w:val="000000"/>
                <w:sz w:val="20"/>
                <w:szCs w:val="20"/>
              </w:rPr>
              <w:t>3,248</w:t>
            </w:r>
          </w:p>
        </w:tc>
        <w:tc>
          <w:tcPr>
            <w:tcW w:w="1840" w:type="dxa"/>
            <w:tcBorders>
              <w:top w:val="nil"/>
              <w:left w:val="nil"/>
              <w:bottom w:val="single" w:sz="8" w:space="0" w:color="auto"/>
              <w:right w:val="nil"/>
            </w:tcBorders>
            <w:shd w:val="clear" w:color="auto" w:fill="auto"/>
            <w:vAlign w:val="center"/>
            <w:hideMark/>
          </w:tcPr>
          <w:p w14:paraId="5BA9027E" w14:textId="77777777" w:rsidR="007343C9" w:rsidRPr="004E2853" w:rsidRDefault="007343C9">
            <w:pPr>
              <w:jc w:val="center"/>
              <w:rPr>
                <w:rFonts w:ascii="Calibri" w:hAnsi="Calibri" w:cs="Calibri"/>
                <w:color w:val="000000"/>
                <w:sz w:val="20"/>
                <w:szCs w:val="20"/>
              </w:rPr>
            </w:pPr>
            <w:r w:rsidRPr="004E2853">
              <w:rPr>
                <w:rFonts w:ascii="Calibri" w:hAnsi="Calibri" w:cs="Calibri"/>
                <w:color w:val="000000"/>
                <w:sz w:val="20"/>
                <w:szCs w:val="20"/>
              </w:rPr>
              <w:t>12.0</w:t>
            </w:r>
          </w:p>
        </w:tc>
        <w:tc>
          <w:tcPr>
            <w:tcW w:w="1840" w:type="dxa"/>
            <w:tcBorders>
              <w:top w:val="nil"/>
              <w:left w:val="nil"/>
              <w:bottom w:val="single" w:sz="8" w:space="0" w:color="auto"/>
              <w:right w:val="nil"/>
            </w:tcBorders>
            <w:shd w:val="clear" w:color="auto" w:fill="auto"/>
            <w:vAlign w:val="center"/>
            <w:hideMark/>
          </w:tcPr>
          <w:p w14:paraId="7DD19441" w14:textId="77777777" w:rsidR="007343C9" w:rsidRPr="004E2853" w:rsidRDefault="007343C9">
            <w:pPr>
              <w:jc w:val="center"/>
              <w:rPr>
                <w:rFonts w:ascii="Calibri" w:hAnsi="Calibri" w:cs="Calibri"/>
                <w:color w:val="000000"/>
                <w:sz w:val="20"/>
                <w:szCs w:val="20"/>
              </w:rPr>
            </w:pPr>
            <w:r w:rsidRPr="004E2853">
              <w:rPr>
                <w:rFonts w:ascii="Calibri" w:hAnsi="Calibri" w:cs="Calibri"/>
                <w:color w:val="000000"/>
                <w:sz w:val="20"/>
                <w:szCs w:val="20"/>
              </w:rPr>
              <w:t>9.6</w:t>
            </w:r>
          </w:p>
        </w:tc>
        <w:tc>
          <w:tcPr>
            <w:tcW w:w="1840" w:type="dxa"/>
            <w:tcBorders>
              <w:top w:val="nil"/>
              <w:left w:val="nil"/>
              <w:bottom w:val="single" w:sz="8" w:space="0" w:color="auto"/>
              <w:right w:val="nil"/>
            </w:tcBorders>
            <w:shd w:val="clear" w:color="auto" w:fill="auto"/>
            <w:vAlign w:val="center"/>
            <w:hideMark/>
          </w:tcPr>
          <w:p w14:paraId="6C3184CF" w14:textId="77777777" w:rsidR="007343C9" w:rsidRPr="004E2853" w:rsidRDefault="007343C9">
            <w:pPr>
              <w:jc w:val="center"/>
              <w:rPr>
                <w:rFonts w:ascii="Calibri" w:hAnsi="Calibri" w:cs="Calibri"/>
                <w:color w:val="000000"/>
                <w:sz w:val="20"/>
                <w:szCs w:val="20"/>
              </w:rPr>
            </w:pPr>
            <w:r w:rsidRPr="004E2853">
              <w:rPr>
                <w:rFonts w:ascii="Calibri" w:hAnsi="Calibri" w:cs="Calibri"/>
                <w:color w:val="000000"/>
                <w:sz w:val="20"/>
                <w:szCs w:val="20"/>
              </w:rPr>
              <w:t>78.4</w:t>
            </w:r>
          </w:p>
        </w:tc>
        <w:tc>
          <w:tcPr>
            <w:tcW w:w="1840" w:type="dxa"/>
            <w:tcBorders>
              <w:top w:val="nil"/>
              <w:left w:val="nil"/>
              <w:bottom w:val="single" w:sz="8" w:space="0" w:color="auto"/>
              <w:right w:val="nil"/>
            </w:tcBorders>
            <w:shd w:val="clear" w:color="auto" w:fill="auto"/>
            <w:vAlign w:val="center"/>
            <w:hideMark/>
          </w:tcPr>
          <w:p w14:paraId="42C0FB80" w14:textId="77777777" w:rsidR="007343C9" w:rsidRPr="004E2853" w:rsidRDefault="007343C9">
            <w:pPr>
              <w:jc w:val="center"/>
              <w:rPr>
                <w:rFonts w:ascii="Calibri" w:hAnsi="Calibri" w:cs="Calibri"/>
                <w:color w:val="000000"/>
                <w:sz w:val="20"/>
                <w:szCs w:val="20"/>
              </w:rPr>
            </w:pPr>
            <w:r w:rsidRPr="004E2853">
              <w:rPr>
                <w:rFonts w:ascii="Calibri" w:hAnsi="Calibri" w:cs="Calibri"/>
                <w:color w:val="000000"/>
                <w:sz w:val="20"/>
                <w:szCs w:val="20"/>
              </w:rPr>
              <w:t>3.8</w:t>
            </w:r>
          </w:p>
        </w:tc>
        <w:tc>
          <w:tcPr>
            <w:tcW w:w="1840" w:type="dxa"/>
            <w:tcBorders>
              <w:top w:val="nil"/>
              <w:left w:val="nil"/>
              <w:bottom w:val="single" w:sz="8" w:space="0" w:color="auto"/>
              <w:right w:val="nil"/>
            </w:tcBorders>
            <w:shd w:val="clear" w:color="auto" w:fill="auto"/>
            <w:vAlign w:val="center"/>
            <w:hideMark/>
          </w:tcPr>
          <w:p w14:paraId="007D328C" w14:textId="77777777" w:rsidR="007343C9" w:rsidRPr="004E2853" w:rsidRDefault="007343C9">
            <w:pPr>
              <w:jc w:val="center"/>
              <w:rPr>
                <w:rFonts w:ascii="Calibri" w:hAnsi="Calibri" w:cs="Calibri"/>
                <w:color w:val="000000"/>
                <w:sz w:val="20"/>
                <w:szCs w:val="20"/>
              </w:rPr>
            </w:pPr>
            <w:r w:rsidRPr="004E2853">
              <w:rPr>
                <w:rFonts w:ascii="Calibri" w:hAnsi="Calibri" w:cs="Calibri"/>
                <w:color w:val="000000"/>
                <w:sz w:val="20"/>
                <w:szCs w:val="20"/>
              </w:rPr>
              <w:t>29.7</w:t>
            </w:r>
          </w:p>
        </w:tc>
      </w:tr>
      <w:tr w:rsidR="007343C9" w:rsidRPr="004E2853" w14:paraId="5501ECCA" w14:textId="77777777" w:rsidTr="007343C9">
        <w:trPr>
          <w:gridAfter w:val="1"/>
          <w:wAfter w:w="222" w:type="dxa"/>
          <w:trHeight w:val="320"/>
        </w:trPr>
        <w:tc>
          <w:tcPr>
            <w:tcW w:w="6420" w:type="dxa"/>
            <w:gridSpan w:val="3"/>
            <w:tcBorders>
              <w:top w:val="nil"/>
              <w:left w:val="nil"/>
              <w:bottom w:val="nil"/>
              <w:right w:val="nil"/>
            </w:tcBorders>
            <w:shd w:val="clear" w:color="auto" w:fill="auto"/>
            <w:noWrap/>
            <w:vAlign w:val="center"/>
            <w:hideMark/>
          </w:tcPr>
          <w:p w14:paraId="154EC22F" w14:textId="77777777" w:rsidR="007343C9" w:rsidRPr="004E2853" w:rsidRDefault="007343C9">
            <w:pPr>
              <w:rPr>
                <w:rFonts w:ascii="Calibri" w:hAnsi="Calibri" w:cs="Calibri"/>
                <w:color w:val="000000"/>
                <w:sz w:val="16"/>
                <w:szCs w:val="16"/>
              </w:rPr>
            </w:pPr>
            <w:r w:rsidRPr="004E2853">
              <w:rPr>
                <w:rFonts w:ascii="Calibri" w:hAnsi="Calibri" w:cs="Calibri"/>
                <w:color w:val="000000"/>
                <w:sz w:val="16"/>
                <w:szCs w:val="16"/>
              </w:rPr>
              <w:t>95% confidence intervals in brackets. * p &lt; 0.05, ** p &lt; 0.01, *** p &lt; 0.001</w:t>
            </w:r>
          </w:p>
        </w:tc>
        <w:tc>
          <w:tcPr>
            <w:tcW w:w="1840" w:type="dxa"/>
            <w:tcBorders>
              <w:top w:val="nil"/>
              <w:left w:val="nil"/>
              <w:bottom w:val="nil"/>
              <w:right w:val="nil"/>
            </w:tcBorders>
            <w:shd w:val="clear" w:color="auto" w:fill="auto"/>
            <w:noWrap/>
            <w:vAlign w:val="bottom"/>
            <w:hideMark/>
          </w:tcPr>
          <w:p w14:paraId="097C46CA" w14:textId="77777777" w:rsidR="007343C9" w:rsidRPr="004E2853" w:rsidRDefault="007343C9">
            <w:pPr>
              <w:rPr>
                <w:rFonts w:ascii="Calibri" w:hAnsi="Calibri" w:cs="Calibri"/>
                <w:color w:val="000000"/>
                <w:sz w:val="16"/>
                <w:szCs w:val="16"/>
              </w:rPr>
            </w:pPr>
          </w:p>
        </w:tc>
        <w:tc>
          <w:tcPr>
            <w:tcW w:w="1840" w:type="dxa"/>
            <w:tcBorders>
              <w:top w:val="nil"/>
              <w:left w:val="nil"/>
              <w:bottom w:val="nil"/>
              <w:right w:val="nil"/>
            </w:tcBorders>
            <w:shd w:val="clear" w:color="auto" w:fill="auto"/>
            <w:noWrap/>
            <w:vAlign w:val="bottom"/>
            <w:hideMark/>
          </w:tcPr>
          <w:p w14:paraId="7FB47252" w14:textId="77777777" w:rsidR="007343C9" w:rsidRPr="004E2853" w:rsidRDefault="007343C9">
            <w:pPr>
              <w:rPr>
                <w:sz w:val="16"/>
                <w:szCs w:val="16"/>
              </w:rPr>
            </w:pPr>
          </w:p>
        </w:tc>
        <w:tc>
          <w:tcPr>
            <w:tcW w:w="1840" w:type="dxa"/>
            <w:tcBorders>
              <w:top w:val="nil"/>
              <w:left w:val="nil"/>
              <w:bottom w:val="nil"/>
              <w:right w:val="nil"/>
            </w:tcBorders>
            <w:shd w:val="clear" w:color="auto" w:fill="auto"/>
            <w:noWrap/>
            <w:vAlign w:val="bottom"/>
            <w:hideMark/>
          </w:tcPr>
          <w:p w14:paraId="4892A3CF" w14:textId="77777777" w:rsidR="007343C9" w:rsidRPr="004E2853" w:rsidRDefault="007343C9">
            <w:pPr>
              <w:rPr>
                <w:sz w:val="16"/>
                <w:szCs w:val="16"/>
              </w:rPr>
            </w:pPr>
          </w:p>
        </w:tc>
        <w:tc>
          <w:tcPr>
            <w:tcW w:w="1840" w:type="dxa"/>
            <w:tcBorders>
              <w:top w:val="nil"/>
              <w:left w:val="nil"/>
              <w:bottom w:val="nil"/>
              <w:right w:val="nil"/>
            </w:tcBorders>
            <w:shd w:val="clear" w:color="auto" w:fill="auto"/>
            <w:noWrap/>
            <w:vAlign w:val="bottom"/>
            <w:hideMark/>
          </w:tcPr>
          <w:p w14:paraId="3CA304F5" w14:textId="77777777" w:rsidR="007343C9" w:rsidRPr="004E2853" w:rsidRDefault="007343C9">
            <w:pPr>
              <w:rPr>
                <w:sz w:val="16"/>
                <w:szCs w:val="16"/>
              </w:rPr>
            </w:pPr>
          </w:p>
        </w:tc>
      </w:tr>
      <w:tr w:rsidR="007343C9" w:rsidRPr="004E2853" w14:paraId="20DB0B91" w14:textId="77777777" w:rsidTr="007343C9">
        <w:trPr>
          <w:gridAfter w:val="1"/>
          <w:wAfter w:w="222" w:type="dxa"/>
          <w:trHeight w:val="480"/>
        </w:trPr>
        <w:tc>
          <w:tcPr>
            <w:tcW w:w="13780" w:type="dxa"/>
            <w:gridSpan w:val="7"/>
            <w:vMerge w:val="restart"/>
            <w:tcBorders>
              <w:top w:val="nil"/>
              <w:left w:val="nil"/>
              <w:bottom w:val="nil"/>
              <w:right w:val="nil"/>
            </w:tcBorders>
            <w:shd w:val="clear" w:color="auto" w:fill="auto"/>
            <w:hideMark/>
          </w:tcPr>
          <w:p w14:paraId="45E5EDA7" w14:textId="2CC77309" w:rsidR="007343C9" w:rsidRPr="004E2853" w:rsidRDefault="007343C9">
            <w:pPr>
              <w:rPr>
                <w:rFonts w:ascii="Calibri" w:hAnsi="Calibri" w:cs="Calibri"/>
                <w:color w:val="000000"/>
                <w:sz w:val="16"/>
                <w:szCs w:val="16"/>
              </w:rPr>
            </w:pPr>
            <w:r w:rsidRPr="004E2853">
              <w:rPr>
                <w:rFonts w:ascii="Calibri" w:hAnsi="Calibri" w:cs="Calibri"/>
                <w:color w:val="000000"/>
                <w:sz w:val="16"/>
                <w:szCs w:val="16"/>
              </w:rPr>
              <w:t>Notes: Data were drawn from 2008-2012 US birth certificates (N = 11,855,417 women in 27 states). WIC eligibility was imputed using self-reported demographics. Coefficients for binary outcomes were multiplied by 100 and therefore represent a change in percentage points. All models include individual characteristics (mother's age, race/ethnicity, nativity, education, marital status, and parity), state characteristics (birth rate, unemployment rate, % SNAP/capita, % AFDC/capita, EITC rate, and Medicaid income eligibility threshold), and fixed effects for time (year-month)</w:t>
            </w:r>
            <w:r w:rsidR="00E67E76">
              <w:rPr>
                <w:rFonts w:ascii="Calibri" w:hAnsi="Calibri" w:cs="Calibri"/>
                <w:color w:val="000000"/>
                <w:sz w:val="16"/>
                <w:szCs w:val="16"/>
              </w:rPr>
              <w:t xml:space="preserve"> </w:t>
            </w:r>
            <w:r w:rsidR="00E67E76">
              <w:rPr>
                <w:rFonts w:ascii="Arial" w:hAnsi="Arial" w:cs="Arial"/>
                <w:color w:val="000000" w:themeColor="text1"/>
                <w:sz w:val="16"/>
                <w:szCs w:val="16"/>
              </w:rPr>
              <w:t>and state</w:t>
            </w:r>
            <w:r w:rsidRPr="004E2853">
              <w:rPr>
                <w:rFonts w:ascii="Calibri" w:hAnsi="Calibri" w:cs="Calibri"/>
                <w:color w:val="000000"/>
                <w:sz w:val="16"/>
                <w:szCs w:val="16"/>
              </w:rPr>
              <w:t>. Baseline mean or % represents mean or % of outcomes among WIC-eligible mothers before the 2009 WIC revision.</w:t>
            </w:r>
          </w:p>
        </w:tc>
      </w:tr>
      <w:tr w:rsidR="007343C9" w:rsidRPr="004E2853" w14:paraId="665F2C01" w14:textId="77777777" w:rsidTr="007343C9">
        <w:trPr>
          <w:trHeight w:val="300"/>
        </w:trPr>
        <w:tc>
          <w:tcPr>
            <w:tcW w:w="13780" w:type="dxa"/>
            <w:gridSpan w:val="7"/>
            <w:vMerge/>
            <w:tcBorders>
              <w:top w:val="nil"/>
              <w:left w:val="nil"/>
              <w:bottom w:val="nil"/>
              <w:right w:val="nil"/>
            </w:tcBorders>
            <w:vAlign w:val="center"/>
            <w:hideMark/>
          </w:tcPr>
          <w:p w14:paraId="0E5782BC" w14:textId="77777777" w:rsidR="007343C9" w:rsidRPr="004E2853" w:rsidRDefault="007343C9">
            <w:pPr>
              <w:rPr>
                <w:rFonts w:ascii="Calibri" w:hAnsi="Calibri" w:cs="Calibri"/>
                <w:color w:val="000000"/>
                <w:sz w:val="20"/>
                <w:szCs w:val="20"/>
              </w:rPr>
            </w:pPr>
          </w:p>
        </w:tc>
        <w:tc>
          <w:tcPr>
            <w:tcW w:w="222" w:type="dxa"/>
            <w:tcBorders>
              <w:top w:val="nil"/>
              <w:left w:val="nil"/>
              <w:bottom w:val="nil"/>
              <w:right w:val="nil"/>
            </w:tcBorders>
            <w:shd w:val="clear" w:color="auto" w:fill="auto"/>
            <w:noWrap/>
            <w:vAlign w:val="bottom"/>
            <w:hideMark/>
          </w:tcPr>
          <w:p w14:paraId="4E3F1D98" w14:textId="77777777" w:rsidR="007343C9" w:rsidRPr="004E2853" w:rsidRDefault="007343C9">
            <w:pPr>
              <w:rPr>
                <w:rFonts w:ascii="Calibri" w:hAnsi="Calibri" w:cs="Calibri"/>
                <w:color w:val="000000"/>
                <w:sz w:val="20"/>
                <w:szCs w:val="20"/>
              </w:rPr>
            </w:pPr>
          </w:p>
        </w:tc>
      </w:tr>
      <w:tr w:rsidR="007343C9" w:rsidRPr="004E2853" w14:paraId="6301EB3D" w14:textId="77777777" w:rsidTr="007343C9">
        <w:trPr>
          <w:trHeight w:val="300"/>
        </w:trPr>
        <w:tc>
          <w:tcPr>
            <w:tcW w:w="13780" w:type="dxa"/>
            <w:gridSpan w:val="7"/>
            <w:vMerge/>
            <w:tcBorders>
              <w:top w:val="nil"/>
              <w:left w:val="nil"/>
              <w:bottom w:val="nil"/>
              <w:right w:val="nil"/>
            </w:tcBorders>
            <w:vAlign w:val="center"/>
            <w:hideMark/>
          </w:tcPr>
          <w:p w14:paraId="6C280FC2" w14:textId="77777777" w:rsidR="007343C9" w:rsidRPr="004E2853" w:rsidRDefault="007343C9">
            <w:pPr>
              <w:rPr>
                <w:rFonts w:ascii="Calibri" w:hAnsi="Calibri" w:cs="Calibri"/>
                <w:color w:val="000000"/>
                <w:sz w:val="20"/>
                <w:szCs w:val="20"/>
              </w:rPr>
            </w:pPr>
          </w:p>
        </w:tc>
        <w:tc>
          <w:tcPr>
            <w:tcW w:w="222" w:type="dxa"/>
            <w:tcBorders>
              <w:top w:val="nil"/>
              <w:left w:val="nil"/>
              <w:bottom w:val="nil"/>
              <w:right w:val="nil"/>
            </w:tcBorders>
            <w:shd w:val="clear" w:color="auto" w:fill="auto"/>
            <w:noWrap/>
            <w:vAlign w:val="bottom"/>
            <w:hideMark/>
          </w:tcPr>
          <w:p w14:paraId="57F166CF" w14:textId="77777777" w:rsidR="007343C9" w:rsidRPr="004E2853" w:rsidRDefault="007343C9">
            <w:pPr>
              <w:rPr>
                <w:sz w:val="20"/>
                <w:szCs w:val="20"/>
              </w:rPr>
            </w:pPr>
          </w:p>
        </w:tc>
      </w:tr>
      <w:tr w:rsidR="007343C9" w:rsidRPr="004E2853" w14:paraId="4E7D27EE" w14:textId="77777777" w:rsidTr="007343C9">
        <w:trPr>
          <w:trHeight w:val="320"/>
        </w:trPr>
        <w:tc>
          <w:tcPr>
            <w:tcW w:w="13780" w:type="dxa"/>
            <w:gridSpan w:val="7"/>
            <w:vMerge/>
            <w:tcBorders>
              <w:top w:val="nil"/>
              <w:left w:val="nil"/>
              <w:bottom w:val="nil"/>
              <w:right w:val="nil"/>
            </w:tcBorders>
            <w:vAlign w:val="center"/>
            <w:hideMark/>
          </w:tcPr>
          <w:p w14:paraId="5BAA6D68" w14:textId="77777777" w:rsidR="007343C9" w:rsidRPr="004E2853" w:rsidRDefault="007343C9">
            <w:pPr>
              <w:rPr>
                <w:rFonts w:ascii="Calibri" w:hAnsi="Calibri" w:cs="Calibri"/>
                <w:color w:val="000000"/>
                <w:sz w:val="20"/>
                <w:szCs w:val="20"/>
              </w:rPr>
            </w:pPr>
          </w:p>
        </w:tc>
        <w:tc>
          <w:tcPr>
            <w:tcW w:w="222" w:type="dxa"/>
            <w:tcBorders>
              <w:top w:val="nil"/>
              <w:left w:val="nil"/>
              <w:bottom w:val="nil"/>
              <w:right w:val="nil"/>
            </w:tcBorders>
            <w:shd w:val="clear" w:color="auto" w:fill="auto"/>
            <w:noWrap/>
            <w:vAlign w:val="bottom"/>
            <w:hideMark/>
          </w:tcPr>
          <w:p w14:paraId="34341E5A" w14:textId="77777777" w:rsidR="007343C9" w:rsidRPr="004E2853" w:rsidRDefault="007343C9">
            <w:pPr>
              <w:rPr>
                <w:sz w:val="20"/>
                <w:szCs w:val="20"/>
              </w:rPr>
            </w:pPr>
          </w:p>
        </w:tc>
      </w:tr>
      <w:tr w:rsidR="007343C9" w:rsidRPr="004E2853" w14:paraId="7BDB4A83" w14:textId="77777777" w:rsidTr="007343C9">
        <w:trPr>
          <w:trHeight w:val="300"/>
        </w:trPr>
        <w:tc>
          <w:tcPr>
            <w:tcW w:w="13780" w:type="dxa"/>
            <w:gridSpan w:val="7"/>
            <w:vMerge/>
            <w:tcBorders>
              <w:top w:val="nil"/>
              <w:left w:val="nil"/>
              <w:bottom w:val="nil"/>
              <w:right w:val="nil"/>
            </w:tcBorders>
            <w:vAlign w:val="center"/>
            <w:hideMark/>
          </w:tcPr>
          <w:p w14:paraId="3271A902" w14:textId="77777777" w:rsidR="007343C9" w:rsidRPr="004E2853" w:rsidRDefault="007343C9">
            <w:pPr>
              <w:rPr>
                <w:rFonts w:ascii="Calibri" w:hAnsi="Calibri" w:cs="Calibri"/>
                <w:color w:val="000000"/>
                <w:sz w:val="20"/>
                <w:szCs w:val="20"/>
              </w:rPr>
            </w:pPr>
          </w:p>
        </w:tc>
        <w:tc>
          <w:tcPr>
            <w:tcW w:w="222" w:type="dxa"/>
            <w:tcBorders>
              <w:top w:val="nil"/>
              <w:left w:val="nil"/>
              <w:bottom w:val="nil"/>
              <w:right w:val="nil"/>
            </w:tcBorders>
            <w:shd w:val="clear" w:color="auto" w:fill="auto"/>
            <w:noWrap/>
            <w:vAlign w:val="bottom"/>
            <w:hideMark/>
          </w:tcPr>
          <w:p w14:paraId="4D6D7982" w14:textId="77777777" w:rsidR="007343C9" w:rsidRPr="004E2853" w:rsidRDefault="007343C9">
            <w:pPr>
              <w:rPr>
                <w:sz w:val="20"/>
                <w:szCs w:val="20"/>
              </w:rPr>
            </w:pPr>
          </w:p>
        </w:tc>
      </w:tr>
      <w:tr w:rsidR="007343C9" w:rsidRPr="004E2853" w14:paraId="7F1FD725" w14:textId="77777777" w:rsidTr="007343C9">
        <w:trPr>
          <w:trHeight w:val="300"/>
        </w:trPr>
        <w:tc>
          <w:tcPr>
            <w:tcW w:w="13780" w:type="dxa"/>
            <w:gridSpan w:val="7"/>
            <w:vMerge/>
            <w:tcBorders>
              <w:top w:val="nil"/>
              <w:left w:val="nil"/>
              <w:bottom w:val="nil"/>
              <w:right w:val="nil"/>
            </w:tcBorders>
            <w:vAlign w:val="center"/>
            <w:hideMark/>
          </w:tcPr>
          <w:p w14:paraId="26C67F13" w14:textId="77777777" w:rsidR="007343C9" w:rsidRPr="004E2853" w:rsidRDefault="007343C9">
            <w:pPr>
              <w:rPr>
                <w:rFonts w:ascii="Calibri" w:hAnsi="Calibri" w:cs="Calibri"/>
                <w:color w:val="000000"/>
                <w:sz w:val="20"/>
                <w:szCs w:val="20"/>
              </w:rPr>
            </w:pPr>
          </w:p>
        </w:tc>
        <w:tc>
          <w:tcPr>
            <w:tcW w:w="222" w:type="dxa"/>
            <w:tcBorders>
              <w:top w:val="nil"/>
              <w:left w:val="nil"/>
              <w:bottom w:val="nil"/>
              <w:right w:val="nil"/>
            </w:tcBorders>
            <w:shd w:val="clear" w:color="auto" w:fill="auto"/>
            <w:noWrap/>
            <w:vAlign w:val="bottom"/>
            <w:hideMark/>
          </w:tcPr>
          <w:p w14:paraId="2805BC91" w14:textId="77777777" w:rsidR="007343C9" w:rsidRPr="004E2853" w:rsidRDefault="007343C9">
            <w:pPr>
              <w:rPr>
                <w:sz w:val="20"/>
                <w:szCs w:val="20"/>
              </w:rPr>
            </w:pPr>
          </w:p>
        </w:tc>
      </w:tr>
      <w:tr w:rsidR="007343C9" w:rsidRPr="004E2853" w14:paraId="59BF74B4" w14:textId="77777777" w:rsidTr="007343C9">
        <w:trPr>
          <w:trHeight w:val="300"/>
        </w:trPr>
        <w:tc>
          <w:tcPr>
            <w:tcW w:w="13780" w:type="dxa"/>
            <w:gridSpan w:val="7"/>
            <w:vMerge/>
            <w:tcBorders>
              <w:top w:val="nil"/>
              <w:left w:val="nil"/>
              <w:bottom w:val="nil"/>
              <w:right w:val="nil"/>
            </w:tcBorders>
            <w:vAlign w:val="center"/>
            <w:hideMark/>
          </w:tcPr>
          <w:p w14:paraId="038DA9CB" w14:textId="77777777" w:rsidR="007343C9" w:rsidRPr="004E2853" w:rsidRDefault="007343C9">
            <w:pPr>
              <w:rPr>
                <w:rFonts w:ascii="Calibri" w:hAnsi="Calibri" w:cs="Calibri"/>
                <w:color w:val="000000"/>
                <w:sz w:val="20"/>
                <w:szCs w:val="20"/>
              </w:rPr>
            </w:pPr>
          </w:p>
        </w:tc>
        <w:tc>
          <w:tcPr>
            <w:tcW w:w="222" w:type="dxa"/>
            <w:tcBorders>
              <w:top w:val="nil"/>
              <w:left w:val="nil"/>
              <w:bottom w:val="nil"/>
              <w:right w:val="nil"/>
            </w:tcBorders>
            <w:shd w:val="clear" w:color="auto" w:fill="auto"/>
            <w:noWrap/>
            <w:vAlign w:val="bottom"/>
            <w:hideMark/>
          </w:tcPr>
          <w:p w14:paraId="6CB79441" w14:textId="77777777" w:rsidR="007343C9" w:rsidRPr="004E2853" w:rsidRDefault="007343C9">
            <w:pPr>
              <w:rPr>
                <w:sz w:val="20"/>
                <w:szCs w:val="20"/>
              </w:rPr>
            </w:pPr>
          </w:p>
        </w:tc>
      </w:tr>
    </w:tbl>
    <w:p w14:paraId="795B81C4" w14:textId="77777777" w:rsidR="004E3739" w:rsidRPr="004E2853" w:rsidRDefault="004E3739" w:rsidP="004E3739">
      <w:pPr>
        <w:rPr>
          <w:rFonts w:ascii="Arial" w:hAnsi="Arial" w:cs="Arial"/>
          <w:color w:val="000000" w:themeColor="text1"/>
          <w:sz w:val="20"/>
          <w:szCs w:val="20"/>
        </w:rPr>
        <w:sectPr w:rsidR="004E3739" w:rsidRPr="004E2853" w:rsidSect="007343C9">
          <w:pgSz w:w="15840" w:h="12240" w:orient="landscape"/>
          <w:pgMar w:top="1440" w:right="1440" w:bottom="1440" w:left="1440" w:header="720" w:footer="720" w:gutter="0"/>
          <w:cols w:space="720"/>
          <w:docGrid w:linePitch="360"/>
        </w:sectPr>
      </w:pPr>
    </w:p>
    <w:tbl>
      <w:tblPr>
        <w:tblW w:w="13476" w:type="dxa"/>
        <w:tblInd w:w="-90" w:type="dxa"/>
        <w:tblLayout w:type="fixed"/>
        <w:tblCellMar>
          <w:top w:w="15" w:type="dxa"/>
        </w:tblCellMar>
        <w:tblLook w:val="04A0" w:firstRow="1" w:lastRow="0" w:firstColumn="1" w:lastColumn="0" w:noHBand="0" w:noVBand="1"/>
      </w:tblPr>
      <w:tblGrid>
        <w:gridCol w:w="2738"/>
        <w:gridCol w:w="1852"/>
        <w:gridCol w:w="1710"/>
        <w:gridCol w:w="1710"/>
        <w:gridCol w:w="1710"/>
        <w:gridCol w:w="1710"/>
        <w:gridCol w:w="1620"/>
        <w:gridCol w:w="190"/>
        <w:gridCol w:w="236"/>
      </w:tblGrid>
      <w:tr w:rsidR="004E3739" w:rsidRPr="004E2853" w14:paraId="5AC4271D" w14:textId="77777777" w:rsidTr="00901497">
        <w:trPr>
          <w:gridAfter w:val="1"/>
          <w:wAfter w:w="236" w:type="dxa"/>
          <w:trHeight w:val="320"/>
        </w:trPr>
        <w:tc>
          <w:tcPr>
            <w:tcW w:w="13240" w:type="dxa"/>
            <w:gridSpan w:val="8"/>
            <w:tcBorders>
              <w:top w:val="nil"/>
              <w:left w:val="nil"/>
              <w:bottom w:val="single" w:sz="4" w:space="0" w:color="auto"/>
              <w:right w:val="nil"/>
            </w:tcBorders>
            <w:shd w:val="clear" w:color="auto" w:fill="auto"/>
            <w:noWrap/>
            <w:vAlign w:val="center"/>
            <w:hideMark/>
          </w:tcPr>
          <w:p w14:paraId="468E4399" w14:textId="7A3DFDC8"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lastRenderedPageBreak/>
              <w:t>Table S</w:t>
            </w:r>
            <w:r w:rsidR="007343C9" w:rsidRPr="004E2853">
              <w:rPr>
                <w:rFonts w:ascii="Arial" w:hAnsi="Arial" w:cs="Arial"/>
                <w:color w:val="000000" w:themeColor="text1"/>
                <w:sz w:val="20"/>
                <w:szCs w:val="20"/>
              </w:rPr>
              <w:t>4</w:t>
            </w:r>
            <w:r w:rsidRPr="004E2853">
              <w:rPr>
                <w:rFonts w:ascii="Arial" w:hAnsi="Arial" w:cs="Arial"/>
                <w:color w:val="000000" w:themeColor="text1"/>
                <w:sz w:val="20"/>
                <w:szCs w:val="20"/>
              </w:rPr>
              <w:t>. Association of Revised WIC Food Package with Infant and Maternal Health, sensitivity test using alternative WIC eligibility threshold</w:t>
            </w:r>
          </w:p>
        </w:tc>
      </w:tr>
      <w:tr w:rsidR="004E3739" w:rsidRPr="004E2853" w14:paraId="31FD7719" w14:textId="77777777" w:rsidTr="00901497">
        <w:trPr>
          <w:gridAfter w:val="2"/>
          <w:wAfter w:w="426" w:type="dxa"/>
          <w:trHeight w:val="1020"/>
        </w:trPr>
        <w:tc>
          <w:tcPr>
            <w:tcW w:w="2738" w:type="dxa"/>
            <w:tcBorders>
              <w:top w:val="nil"/>
              <w:left w:val="nil"/>
              <w:bottom w:val="nil"/>
              <w:right w:val="nil"/>
            </w:tcBorders>
            <w:shd w:val="clear" w:color="auto" w:fill="auto"/>
            <w:vAlign w:val="center"/>
            <w:hideMark/>
          </w:tcPr>
          <w:p w14:paraId="321D57E8" w14:textId="77777777" w:rsidR="004E3739" w:rsidRPr="004E2853" w:rsidRDefault="004E3739" w:rsidP="00F16A9E">
            <w:pPr>
              <w:rPr>
                <w:rFonts w:ascii="Arial" w:hAnsi="Arial" w:cs="Arial"/>
                <w:color w:val="000000" w:themeColor="text1"/>
                <w:sz w:val="20"/>
                <w:szCs w:val="20"/>
              </w:rPr>
            </w:pPr>
          </w:p>
        </w:tc>
        <w:tc>
          <w:tcPr>
            <w:tcW w:w="1852" w:type="dxa"/>
            <w:tcBorders>
              <w:top w:val="nil"/>
              <w:left w:val="nil"/>
              <w:bottom w:val="nil"/>
              <w:right w:val="nil"/>
            </w:tcBorders>
            <w:shd w:val="clear" w:color="auto" w:fill="auto"/>
            <w:vAlign w:val="center"/>
            <w:hideMark/>
          </w:tcPr>
          <w:p w14:paraId="2AC226FD"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themeColor="text1"/>
                <w:sz w:val="20"/>
                <w:szCs w:val="20"/>
              </w:rPr>
              <w:t>Birth weight (1000 grams)</w:t>
            </w:r>
          </w:p>
        </w:tc>
        <w:tc>
          <w:tcPr>
            <w:tcW w:w="1710" w:type="dxa"/>
            <w:tcBorders>
              <w:top w:val="nil"/>
              <w:left w:val="nil"/>
              <w:bottom w:val="nil"/>
              <w:right w:val="nil"/>
            </w:tcBorders>
            <w:shd w:val="clear" w:color="auto" w:fill="auto"/>
            <w:vAlign w:val="center"/>
            <w:hideMark/>
          </w:tcPr>
          <w:p w14:paraId="755E8B3A"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themeColor="text1"/>
                <w:sz w:val="20"/>
                <w:szCs w:val="20"/>
              </w:rPr>
              <w:t>Small for gestational age</w:t>
            </w:r>
          </w:p>
        </w:tc>
        <w:tc>
          <w:tcPr>
            <w:tcW w:w="1710" w:type="dxa"/>
            <w:tcBorders>
              <w:top w:val="nil"/>
              <w:left w:val="nil"/>
              <w:bottom w:val="nil"/>
              <w:right w:val="nil"/>
            </w:tcBorders>
            <w:shd w:val="clear" w:color="auto" w:fill="auto"/>
            <w:vAlign w:val="center"/>
            <w:hideMark/>
          </w:tcPr>
          <w:p w14:paraId="47102FAC"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themeColor="text1"/>
                <w:sz w:val="20"/>
                <w:szCs w:val="20"/>
              </w:rPr>
              <w:t>Large for gestational age</w:t>
            </w:r>
          </w:p>
        </w:tc>
        <w:tc>
          <w:tcPr>
            <w:tcW w:w="1710" w:type="dxa"/>
            <w:tcBorders>
              <w:top w:val="nil"/>
              <w:left w:val="nil"/>
              <w:bottom w:val="nil"/>
              <w:right w:val="nil"/>
            </w:tcBorders>
            <w:shd w:val="clear" w:color="auto" w:fill="auto"/>
            <w:vAlign w:val="center"/>
            <w:hideMark/>
          </w:tcPr>
          <w:p w14:paraId="5301C036"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themeColor="text1"/>
                <w:sz w:val="20"/>
                <w:szCs w:val="20"/>
              </w:rPr>
              <w:t>Appropriate for gestational age</w:t>
            </w:r>
          </w:p>
        </w:tc>
        <w:tc>
          <w:tcPr>
            <w:tcW w:w="1710" w:type="dxa"/>
            <w:tcBorders>
              <w:top w:val="nil"/>
              <w:left w:val="nil"/>
              <w:bottom w:val="nil"/>
              <w:right w:val="nil"/>
            </w:tcBorders>
            <w:shd w:val="clear" w:color="auto" w:fill="auto"/>
            <w:vAlign w:val="center"/>
            <w:hideMark/>
          </w:tcPr>
          <w:p w14:paraId="0537B296"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themeColor="text1"/>
                <w:sz w:val="20"/>
                <w:szCs w:val="20"/>
              </w:rPr>
              <w:t>Gestational diabetes mellitus</w:t>
            </w:r>
          </w:p>
        </w:tc>
        <w:tc>
          <w:tcPr>
            <w:tcW w:w="1620" w:type="dxa"/>
            <w:tcBorders>
              <w:top w:val="nil"/>
              <w:left w:val="nil"/>
              <w:bottom w:val="nil"/>
              <w:right w:val="nil"/>
            </w:tcBorders>
            <w:shd w:val="clear" w:color="auto" w:fill="auto"/>
            <w:vAlign w:val="center"/>
            <w:hideMark/>
          </w:tcPr>
          <w:p w14:paraId="44CAC53C"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themeColor="text1"/>
                <w:sz w:val="20"/>
                <w:szCs w:val="20"/>
              </w:rPr>
              <w:t>Gestational weight gain (pound)</w:t>
            </w:r>
          </w:p>
        </w:tc>
      </w:tr>
      <w:tr w:rsidR="004E3739" w:rsidRPr="004E2853" w14:paraId="2A6759FE" w14:textId="77777777" w:rsidTr="00901497">
        <w:trPr>
          <w:gridAfter w:val="2"/>
          <w:wAfter w:w="426" w:type="dxa"/>
          <w:trHeight w:val="400"/>
        </w:trPr>
        <w:tc>
          <w:tcPr>
            <w:tcW w:w="2738" w:type="dxa"/>
            <w:vMerge w:val="restart"/>
            <w:tcBorders>
              <w:top w:val="nil"/>
              <w:left w:val="nil"/>
              <w:bottom w:val="single" w:sz="8" w:space="0" w:color="000000"/>
              <w:right w:val="nil"/>
            </w:tcBorders>
            <w:shd w:val="clear" w:color="auto" w:fill="auto"/>
            <w:vAlign w:val="center"/>
            <w:hideMark/>
          </w:tcPr>
          <w:p w14:paraId="63CECDED"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WIC-eligible*Post-2009</w:t>
            </w:r>
          </w:p>
        </w:tc>
        <w:tc>
          <w:tcPr>
            <w:tcW w:w="1852" w:type="dxa"/>
            <w:tcBorders>
              <w:top w:val="nil"/>
              <w:left w:val="nil"/>
              <w:bottom w:val="nil"/>
              <w:right w:val="nil"/>
            </w:tcBorders>
            <w:shd w:val="clear" w:color="auto" w:fill="auto"/>
            <w:vAlign w:val="center"/>
            <w:hideMark/>
          </w:tcPr>
          <w:p w14:paraId="0FBEE0C1"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-3.017***</w:t>
            </w:r>
          </w:p>
        </w:tc>
        <w:tc>
          <w:tcPr>
            <w:tcW w:w="1710" w:type="dxa"/>
            <w:tcBorders>
              <w:top w:val="nil"/>
              <w:left w:val="nil"/>
              <w:bottom w:val="nil"/>
              <w:right w:val="nil"/>
            </w:tcBorders>
            <w:shd w:val="clear" w:color="auto" w:fill="auto"/>
            <w:vAlign w:val="center"/>
            <w:hideMark/>
          </w:tcPr>
          <w:p w14:paraId="28C115EB"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-0.072</w:t>
            </w:r>
          </w:p>
        </w:tc>
        <w:tc>
          <w:tcPr>
            <w:tcW w:w="1710" w:type="dxa"/>
            <w:tcBorders>
              <w:top w:val="nil"/>
              <w:left w:val="nil"/>
              <w:bottom w:val="nil"/>
              <w:right w:val="nil"/>
            </w:tcBorders>
            <w:shd w:val="clear" w:color="auto" w:fill="auto"/>
            <w:vAlign w:val="center"/>
            <w:hideMark/>
          </w:tcPr>
          <w:p w14:paraId="1272AEFE"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-0.065</w:t>
            </w:r>
          </w:p>
        </w:tc>
        <w:tc>
          <w:tcPr>
            <w:tcW w:w="1710" w:type="dxa"/>
            <w:tcBorders>
              <w:top w:val="nil"/>
              <w:left w:val="nil"/>
              <w:bottom w:val="nil"/>
              <w:right w:val="nil"/>
            </w:tcBorders>
            <w:shd w:val="clear" w:color="auto" w:fill="auto"/>
            <w:vAlign w:val="center"/>
            <w:hideMark/>
          </w:tcPr>
          <w:p w14:paraId="54AFF8D9"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0.138**</w:t>
            </w:r>
          </w:p>
        </w:tc>
        <w:tc>
          <w:tcPr>
            <w:tcW w:w="1710" w:type="dxa"/>
            <w:tcBorders>
              <w:top w:val="nil"/>
              <w:left w:val="nil"/>
              <w:bottom w:val="nil"/>
              <w:right w:val="nil"/>
            </w:tcBorders>
            <w:shd w:val="clear" w:color="auto" w:fill="auto"/>
            <w:vAlign w:val="center"/>
            <w:hideMark/>
          </w:tcPr>
          <w:p w14:paraId="7DEA8DF8"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0.042</w:t>
            </w:r>
          </w:p>
        </w:tc>
        <w:tc>
          <w:tcPr>
            <w:tcW w:w="1620" w:type="dxa"/>
            <w:tcBorders>
              <w:top w:val="nil"/>
              <w:left w:val="nil"/>
              <w:bottom w:val="nil"/>
              <w:right w:val="nil"/>
            </w:tcBorders>
            <w:shd w:val="clear" w:color="auto" w:fill="auto"/>
            <w:vAlign w:val="center"/>
            <w:hideMark/>
          </w:tcPr>
          <w:p w14:paraId="2A556DF0"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0.054**</w:t>
            </w:r>
          </w:p>
        </w:tc>
      </w:tr>
      <w:tr w:rsidR="004E3739" w:rsidRPr="004E2853" w14:paraId="359D924C" w14:textId="77777777" w:rsidTr="00901497">
        <w:trPr>
          <w:gridAfter w:val="2"/>
          <w:wAfter w:w="426" w:type="dxa"/>
          <w:trHeight w:val="360"/>
        </w:trPr>
        <w:tc>
          <w:tcPr>
            <w:tcW w:w="2738" w:type="dxa"/>
            <w:vMerge/>
            <w:tcBorders>
              <w:top w:val="nil"/>
              <w:left w:val="nil"/>
              <w:bottom w:val="single" w:sz="8" w:space="0" w:color="000000"/>
              <w:right w:val="nil"/>
            </w:tcBorders>
            <w:vAlign w:val="center"/>
            <w:hideMark/>
          </w:tcPr>
          <w:p w14:paraId="59F43BE4" w14:textId="77777777" w:rsidR="004E3739" w:rsidRPr="004E2853" w:rsidRDefault="004E3739" w:rsidP="00F16A9E">
            <w:pPr>
              <w:rPr>
                <w:rFonts w:ascii="Arial" w:hAnsi="Arial" w:cs="Arial"/>
                <w:color w:val="000000" w:themeColor="text1"/>
                <w:sz w:val="20"/>
                <w:szCs w:val="20"/>
              </w:rPr>
            </w:pPr>
          </w:p>
        </w:tc>
        <w:tc>
          <w:tcPr>
            <w:tcW w:w="1852" w:type="dxa"/>
            <w:tcBorders>
              <w:top w:val="nil"/>
              <w:left w:val="nil"/>
              <w:bottom w:val="single" w:sz="8" w:space="0" w:color="auto"/>
              <w:right w:val="nil"/>
            </w:tcBorders>
            <w:shd w:val="clear" w:color="auto" w:fill="auto"/>
            <w:vAlign w:val="center"/>
            <w:hideMark/>
          </w:tcPr>
          <w:p w14:paraId="09AA72C6"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[-4.302,-1.733]</w:t>
            </w:r>
          </w:p>
        </w:tc>
        <w:tc>
          <w:tcPr>
            <w:tcW w:w="1710" w:type="dxa"/>
            <w:tcBorders>
              <w:top w:val="nil"/>
              <w:left w:val="nil"/>
              <w:bottom w:val="single" w:sz="8" w:space="0" w:color="auto"/>
              <w:right w:val="nil"/>
            </w:tcBorders>
            <w:shd w:val="clear" w:color="auto" w:fill="auto"/>
            <w:vAlign w:val="center"/>
            <w:hideMark/>
          </w:tcPr>
          <w:p w14:paraId="6B01BA58"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[-0.147,0.002]</w:t>
            </w:r>
          </w:p>
        </w:tc>
        <w:tc>
          <w:tcPr>
            <w:tcW w:w="1710" w:type="dxa"/>
            <w:tcBorders>
              <w:top w:val="nil"/>
              <w:left w:val="nil"/>
              <w:bottom w:val="single" w:sz="8" w:space="0" w:color="auto"/>
              <w:right w:val="nil"/>
            </w:tcBorders>
            <w:shd w:val="clear" w:color="auto" w:fill="auto"/>
            <w:vAlign w:val="center"/>
            <w:hideMark/>
          </w:tcPr>
          <w:p w14:paraId="3C56A673"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[-0.140,0.009]</w:t>
            </w:r>
          </w:p>
        </w:tc>
        <w:tc>
          <w:tcPr>
            <w:tcW w:w="1710" w:type="dxa"/>
            <w:tcBorders>
              <w:top w:val="nil"/>
              <w:left w:val="nil"/>
              <w:bottom w:val="single" w:sz="8" w:space="0" w:color="auto"/>
              <w:right w:val="nil"/>
            </w:tcBorders>
            <w:shd w:val="clear" w:color="auto" w:fill="auto"/>
            <w:vAlign w:val="center"/>
            <w:hideMark/>
          </w:tcPr>
          <w:p w14:paraId="633C5394"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[0.038,0.237]</w:t>
            </w:r>
          </w:p>
        </w:tc>
        <w:tc>
          <w:tcPr>
            <w:tcW w:w="1710" w:type="dxa"/>
            <w:tcBorders>
              <w:top w:val="nil"/>
              <w:left w:val="nil"/>
              <w:bottom w:val="single" w:sz="8" w:space="0" w:color="auto"/>
              <w:right w:val="nil"/>
            </w:tcBorders>
            <w:shd w:val="clear" w:color="auto" w:fill="auto"/>
            <w:vAlign w:val="center"/>
            <w:hideMark/>
          </w:tcPr>
          <w:p w14:paraId="1C5F51C0"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[-0.009,0.093]</w:t>
            </w:r>
          </w:p>
        </w:tc>
        <w:tc>
          <w:tcPr>
            <w:tcW w:w="1620" w:type="dxa"/>
            <w:tcBorders>
              <w:top w:val="nil"/>
              <w:left w:val="nil"/>
              <w:bottom w:val="single" w:sz="8" w:space="0" w:color="auto"/>
              <w:right w:val="nil"/>
            </w:tcBorders>
            <w:shd w:val="clear" w:color="auto" w:fill="auto"/>
            <w:vAlign w:val="center"/>
            <w:hideMark/>
          </w:tcPr>
          <w:p w14:paraId="0FCFE554"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[0.017,0.090]</w:t>
            </w:r>
          </w:p>
        </w:tc>
      </w:tr>
      <w:tr w:rsidR="004E3739" w:rsidRPr="004E2853" w14:paraId="114B032F" w14:textId="77777777" w:rsidTr="00901497">
        <w:trPr>
          <w:gridAfter w:val="2"/>
          <w:wAfter w:w="426" w:type="dxa"/>
          <w:trHeight w:val="340"/>
        </w:trPr>
        <w:tc>
          <w:tcPr>
            <w:tcW w:w="2738" w:type="dxa"/>
            <w:tcBorders>
              <w:top w:val="nil"/>
              <w:left w:val="nil"/>
              <w:bottom w:val="nil"/>
              <w:right w:val="nil"/>
            </w:tcBorders>
            <w:shd w:val="clear" w:color="auto" w:fill="auto"/>
            <w:vAlign w:val="center"/>
            <w:hideMark/>
          </w:tcPr>
          <w:p w14:paraId="79022BB9"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N</w:t>
            </w:r>
          </w:p>
        </w:tc>
        <w:tc>
          <w:tcPr>
            <w:tcW w:w="1852" w:type="dxa"/>
            <w:tcBorders>
              <w:top w:val="nil"/>
              <w:left w:val="nil"/>
              <w:bottom w:val="nil"/>
              <w:right w:val="nil"/>
            </w:tcBorders>
            <w:shd w:val="clear" w:color="auto" w:fill="auto"/>
            <w:vAlign w:val="center"/>
            <w:hideMark/>
          </w:tcPr>
          <w:p w14:paraId="6354484C"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11,855,417</w:t>
            </w:r>
          </w:p>
        </w:tc>
        <w:tc>
          <w:tcPr>
            <w:tcW w:w="1710" w:type="dxa"/>
            <w:tcBorders>
              <w:top w:val="nil"/>
              <w:left w:val="nil"/>
              <w:bottom w:val="nil"/>
              <w:right w:val="nil"/>
            </w:tcBorders>
            <w:shd w:val="clear" w:color="auto" w:fill="auto"/>
            <w:vAlign w:val="center"/>
            <w:hideMark/>
          </w:tcPr>
          <w:p w14:paraId="3366819F"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11,855,417</w:t>
            </w:r>
          </w:p>
        </w:tc>
        <w:tc>
          <w:tcPr>
            <w:tcW w:w="1710" w:type="dxa"/>
            <w:tcBorders>
              <w:top w:val="nil"/>
              <w:left w:val="nil"/>
              <w:bottom w:val="nil"/>
              <w:right w:val="nil"/>
            </w:tcBorders>
            <w:shd w:val="clear" w:color="auto" w:fill="auto"/>
            <w:vAlign w:val="center"/>
            <w:hideMark/>
          </w:tcPr>
          <w:p w14:paraId="7E878DD2"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11,855,417</w:t>
            </w:r>
          </w:p>
        </w:tc>
        <w:tc>
          <w:tcPr>
            <w:tcW w:w="1710" w:type="dxa"/>
            <w:tcBorders>
              <w:top w:val="nil"/>
              <w:left w:val="nil"/>
              <w:bottom w:val="nil"/>
              <w:right w:val="nil"/>
            </w:tcBorders>
            <w:shd w:val="clear" w:color="auto" w:fill="auto"/>
            <w:vAlign w:val="center"/>
            <w:hideMark/>
          </w:tcPr>
          <w:p w14:paraId="3158A20F"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11,855,417</w:t>
            </w:r>
          </w:p>
        </w:tc>
        <w:tc>
          <w:tcPr>
            <w:tcW w:w="1710" w:type="dxa"/>
            <w:tcBorders>
              <w:top w:val="nil"/>
              <w:left w:val="nil"/>
              <w:bottom w:val="nil"/>
              <w:right w:val="nil"/>
            </w:tcBorders>
            <w:shd w:val="clear" w:color="auto" w:fill="auto"/>
            <w:vAlign w:val="center"/>
            <w:hideMark/>
          </w:tcPr>
          <w:p w14:paraId="304DDB2A"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11,824,402</w:t>
            </w:r>
          </w:p>
        </w:tc>
        <w:tc>
          <w:tcPr>
            <w:tcW w:w="1620" w:type="dxa"/>
            <w:tcBorders>
              <w:top w:val="nil"/>
              <w:left w:val="nil"/>
              <w:bottom w:val="nil"/>
              <w:right w:val="nil"/>
            </w:tcBorders>
            <w:shd w:val="clear" w:color="auto" w:fill="auto"/>
            <w:vAlign w:val="center"/>
            <w:hideMark/>
          </w:tcPr>
          <w:p w14:paraId="35DD9933"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11,246,710</w:t>
            </w:r>
          </w:p>
        </w:tc>
      </w:tr>
      <w:tr w:rsidR="004E3739" w:rsidRPr="004E2853" w14:paraId="35E83E28" w14:textId="77777777" w:rsidTr="00901497">
        <w:trPr>
          <w:gridAfter w:val="2"/>
          <w:wAfter w:w="426" w:type="dxa"/>
          <w:trHeight w:val="360"/>
        </w:trPr>
        <w:tc>
          <w:tcPr>
            <w:tcW w:w="2738" w:type="dxa"/>
            <w:tcBorders>
              <w:top w:val="nil"/>
              <w:left w:val="nil"/>
              <w:bottom w:val="single" w:sz="8" w:space="0" w:color="auto"/>
              <w:right w:val="nil"/>
            </w:tcBorders>
            <w:shd w:val="clear" w:color="auto" w:fill="auto"/>
            <w:vAlign w:val="center"/>
            <w:hideMark/>
          </w:tcPr>
          <w:p w14:paraId="05C5EAC2"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Baseline mean or %</w:t>
            </w:r>
          </w:p>
        </w:tc>
        <w:tc>
          <w:tcPr>
            <w:tcW w:w="1852" w:type="dxa"/>
            <w:tcBorders>
              <w:top w:val="nil"/>
              <w:left w:val="nil"/>
              <w:bottom w:val="single" w:sz="8" w:space="0" w:color="auto"/>
              <w:right w:val="nil"/>
            </w:tcBorders>
            <w:shd w:val="clear" w:color="auto" w:fill="auto"/>
            <w:vAlign w:val="center"/>
            <w:hideMark/>
          </w:tcPr>
          <w:p w14:paraId="14CBCF4C"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3,225</w:t>
            </w:r>
          </w:p>
        </w:tc>
        <w:tc>
          <w:tcPr>
            <w:tcW w:w="1710" w:type="dxa"/>
            <w:tcBorders>
              <w:top w:val="nil"/>
              <w:left w:val="nil"/>
              <w:bottom w:val="single" w:sz="8" w:space="0" w:color="auto"/>
              <w:right w:val="nil"/>
            </w:tcBorders>
            <w:shd w:val="clear" w:color="auto" w:fill="auto"/>
            <w:vAlign w:val="center"/>
            <w:hideMark/>
          </w:tcPr>
          <w:p w14:paraId="69DC60A3"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12.7</w:t>
            </w:r>
          </w:p>
        </w:tc>
        <w:tc>
          <w:tcPr>
            <w:tcW w:w="1710" w:type="dxa"/>
            <w:tcBorders>
              <w:top w:val="nil"/>
              <w:left w:val="nil"/>
              <w:bottom w:val="single" w:sz="8" w:space="0" w:color="auto"/>
              <w:right w:val="nil"/>
            </w:tcBorders>
            <w:shd w:val="clear" w:color="auto" w:fill="auto"/>
            <w:vAlign w:val="center"/>
            <w:hideMark/>
          </w:tcPr>
          <w:p w14:paraId="467438BD"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9.3</w:t>
            </w:r>
          </w:p>
        </w:tc>
        <w:tc>
          <w:tcPr>
            <w:tcW w:w="1710" w:type="dxa"/>
            <w:tcBorders>
              <w:top w:val="nil"/>
              <w:left w:val="nil"/>
              <w:bottom w:val="single" w:sz="8" w:space="0" w:color="auto"/>
              <w:right w:val="nil"/>
            </w:tcBorders>
            <w:shd w:val="clear" w:color="auto" w:fill="auto"/>
            <w:vAlign w:val="center"/>
            <w:hideMark/>
          </w:tcPr>
          <w:p w14:paraId="73B1773C"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78.0</w:t>
            </w:r>
          </w:p>
        </w:tc>
        <w:tc>
          <w:tcPr>
            <w:tcW w:w="1710" w:type="dxa"/>
            <w:tcBorders>
              <w:top w:val="nil"/>
              <w:left w:val="nil"/>
              <w:bottom w:val="single" w:sz="8" w:space="0" w:color="auto"/>
              <w:right w:val="nil"/>
            </w:tcBorders>
            <w:shd w:val="clear" w:color="auto" w:fill="auto"/>
            <w:vAlign w:val="center"/>
            <w:hideMark/>
          </w:tcPr>
          <w:p w14:paraId="7A382B0F"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3.5</w:t>
            </w:r>
          </w:p>
        </w:tc>
        <w:tc>
          <w:tcPr>
            <w:tcW w:w="1620" w:type="dxa"/>
            <w:tcBorders>
              <w:top w:val="nil"/>
              <w:left w:val="nil"/>
              <w:bottom w:val="single" w:sz="8" w:space="0" w:color="auto"/>
              <w:right w:val="nil"/>
            </w:tcBorders>
            <w:shd w:val="clear" w:color="auto" w:fill="auto"/>
            <w:vAlign w:val="center"/>
            <w:hideMark/>
          </w:tcPr>
          <w:p w14:paraId="57D8DECD"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29.0</w:t>
            </w:r>
          </w:p>
        </w:tc>
      </w:tr>
      <w:tr w:rsidR="004E3739" w:rsidRPr="004E2853" w14:paraId="47E01728" w14:textId="77777777" w:rsidTr="00901497">
        <w:trPr>
          <w:gridAfter w:val="2"/>
          <w:wAfter w:w="426" w:type="dxa"/>
          <w:trHeight w:val="320"/>
        </w:trPr>
        <w:tc>
          <w:tcPr>
            <w:tcW w:w="13050" w:type="dxa"/>
            <w:gridSpan w:val="7"/>
            <w:tcBorders>
              <w:top w:val="nil"/>
              <w:left w:val="nil"/>
              <w:bottom w:val="nil"/>
              <w:right w:val="nil"/>
            </w:tcBorders>
            <w:shd w:val="clear" w:color="auto" w:fill="auto"/>
            <w:noWrap/>
            <w:vAlign w:val="center"/>
            <w:hideMark/>
          </w:tcPr>
          <w:p w14:paraId="29A55CA6" w14:textId="77777777" w:rsidR="004E3739" w:rsidRPr="004E2853" w:rsidRDefault="004E3739" w:rsidP="00F16A9E">
            <w:pPr>
              <w:rPr>
                <w:rFonts w:ascii="Arial" w:hAnsi="Arial" w:cs="Arial"/>
                <w:color w:val="000000" w:themeColor="text1"/>
                <w:sz w:val="16"/>
                <w:szCs w:val="16"/>
              </w:rPr>
            </w:pPr>
            <w:r w:rsidRPr="004E2853">
              <w:rPr>
                <w:rFonts w:ascii="Arial" w:hAnsi="Arial" w:cs="Arial"/>
                <w:color w:val="000000" w:themeColor="text1"/>
                <w:sz w:val="16"/>
                <w:szCs w:val="16"/>
              </w:rPr>
              <w:t>95% confidence intervals in brackets; * p &lt; 0.05, ** p &lt; 0.01, *** p &lt; 0.001</w:t>
            </w:r>
          </w:p>
        </w:tc>
      </w:tr>
      <w:tr w:rsidR="004E3739" w:rsidRPr="004E2853" w14:paraId="743B39D7" w14:textId="77777777" w:rsidTr="00901497">
        <w:trPr>
          <w:gridAfter w:val="1"/>
          <w:wAfter w:w="236" w:type="dxa"/>
          <w:trHeight w:val="480"/>
        </w:trPr>
        <w:tc>
          <w:tcPr>
            <w:tcW w:w="13240" w:type="dxa"/>
            <w:gridSpan w:val="8"/>
            <w:vMerge w:val="restart"/>
            <w:tcBorders>
              <w:top w:val="nil"/>
              <w:left w:val="nil"/>
              <w:bottom w:val="nil"/>
              <w:right w:val="nil"/>
            </w:tcBorders>
            <w:shd w:val="clear" w:color="auto" w:fill="auto"/>
            <w:hideMark/>
          </w:tcPr>
          <w:p w14:paraId="7AE544FA" w14:textId="77777777" w:rsidR="004E3739" w:rsidRPr="004E2853" w:rsidRDefault="004E3739" w:rsidP="00F16A9E">
            <w:pPr>
              <w:tabs>
                <w:tab w:val="left" w:pos="2959"/>
              </w:tabs>
              <w:rPr>
                <w:rFonts w:ascii="Arial" w:hAnsi="Arial" w:cs="Arial"/>
                <w:color w:val="000000" w:themeColor="text1"/>
                <w:sz w:val="16"/>
                <w:szCs w:val="16"/>
              </w:rPr>
            </w:pPr>
            <w:r w:rsidRPr="004E2853">
              <w:rPr>
                <w:rFonts w:ascii="Arial" w:hAnsi="Arial" w:cs="Arial"/>
                <w:color w:val="000000" w:themeColor="text1"/>
                <w:sz w:val="16"/>
                <w:szCs w:val="16"/>
              </w:rPr>
              <w:t>Abbreviations: SNAP: Supplemental Nutrition Assistance Program; TANF: Temporary Assistance for Needy Families; EITC: Earned Income Tax Credit</w:t>
            </w:r>
          </w:p>
          <w:p w14:paraId="489416CB" w14:textId="77777777" w:rsidR="004E3739" w:rsidRPr="004E2853" w:rsidRDefault="004E3739" w:rsidP="00F16A9E">
            <w:pPr>
              <w:rPr>
                <w:rFonts w:ascii="Arial" w:hAnsi="Arial" w:cs="Arial"/>
                <w:color w:val="000000" w:themeColor="text1"/>
                <w:sz w:val="16"/>
                <w:szCs w:val="16"/>
              </w:rPr>
            </w:pPr>
            <w:r w:rsidRPr="004E2853">
              <w:rPr>
                <w:rFonts w:ascii="Arial" w:hAnsi="Arial" w:cs="Arial"/>
                <w:color w:val="000000" w:themeColor="text1"/>
                <w:sz w:val="16"/>
                <w:szCs w:val="16"/>
              </w:rPr>
              <w:t>Notes: Data were drawn from 2008-2012 US birth certificates (N = 11,855,417 women in 27 states). WIC eligibility was imputed using self-reported demographics.  WIC-eligible was defined as having a predicted probability of being eligible greater than or equal to 0.8. Coefficients for binary outcomes were multiplied by 100 and therefore represent a change in percentage points. Binary variables include small/large/appropriate for gestational age and gestational diabetes mellitus. All models include individual characteristics (mother's age, race/ethnicity, nativity, education, marital status, and parity), state characteristics (birth rate, unemployment rate, % SNAP/capita, % TANF/capita, EITC rate, and Medicaid income eligibility threshold), and fixed effects for time (year-month) and state. Robust standard errors were used to address possible heteroskedasticity. Baseline mean or % represents mean or % of outcomes among WIC-eligible mothers before the 2009 WIC revision.</w:t>
            </w:r>
          </w:p>
        </w:tc>
      </w:tr>
      <w:tr w:rsidR="004E3739" w:rsidRPr="004E2853" w14:paraId="7804032B" w14:textId="77777777" w:rsidTr="00901497">
        <w:trPr>
          <w:trHeight w:val="300"/>
        </w:trPr>
        <w:tc>
          <w:tcPr>
            <w:tcW w:w="13240" w:type="dxa"/>
            <w:gridSpan w:val="8"/>
            <w:vMerge/>
            <w:tcBorders>
              <w:top w:val="nil"/>
              <w:left w:val="nil"/>
              <w:bottom w:val="nil"/>
              <w:right w:val="nil"/>
            </w:tcBorders>
            <w:vAlign w:val="center"/>
            <w:hideMark/>
          </w:tcPr>
          <w:p w14:paraId="1F26F3FB" w14:textId="77777777" w:rsidR="004E3739" w:rsidRPr="004E2853" w:rsidRDefault="004E3739" w:rsidP="00F16A9E">
            <w:pPr>
              <w:rPr>
                <w:rFonts w:ascii="Arial" w:hAnsi="Arial" w:cs="Arial"/>
                <w:color w:val="000000" w:themeColor="text1"/>
                <w:sz w:val="20"/>
                <w:szCs w:val="20"/>
              </w:rPr>
            </w:pPr>
          </w:p>
        </w:tc>
        <w:tc>
          <w:tcPr>
            <w:tcW w:w="236" w:type="dxa"/>
            <w:tcBorders>
              <w:top w:val="nil"/>
              <w:left w:val="nil"/>
              <w:bottom w:val="nil"/>
              <w:right w:val="nil"/>
            </w:tcBorders>
            <w:shd w:val="clear" w:color="auto" w:fill="auto"/>
            <w:noWrap/>
            <w:vAlign w:val="bottom"/>
            <w:hideMark/>
          </w:tcPr>
          <w:p w14:paraId="346A95DD" w14:textId="77777777" w:rsidR="004E3739" w:rsidRPr="004E2853" w:rsidRDefault="004E3739" w:rsidP="00F16A9E">
            <w:pPr>
              <w:rPr>
                <w:rFonts w:ascii="Arial" w:hAnsi="Arial" w:cs="Arial"/>
                <w:color w:val="000000" w:themeColor="text1"/>
                <w:sz w:val="20"/>
                <w:szCs w:val="20"/>
              </w:rPr>
            </w:pPr>
          </w:p>
        </w:tc>
      </w:tr>
      <w:tr w:rsidR="004E3739" w:rsidRPr="004E2853" w14:paraId="50EDCDAF" w14:textId="77777777" w:rsidTr="00901497">
        <w:trPr>
          <w:trHeight w:val="300"/>
        </w:trPr>
        <w:tc>
          <w:tcPr>
            <w:tcW w:w="13240" w:type="dxa"/>
            <w:gridSpan w:val="8"/>
            <w:vMerge/>
            <w:tcBorders>
              <w:top w:val="nil"/>
              <w:left w:val="nil"/>
              <w:bottom w:val="nil"/>
              <w:right w:val="nil"/>
            </w:tcBorders>
            <w:vAlign w:val="center"/>
            <w:hideMark/>
          </w:tcPr>
          <w:p w14:paraId="4CFA7830" w14:textId="77777777" w:rsidR="004E3739" w:rsidRPr="004E2853" w:rsidRDefault="004E3739" w:rsidP="00F16A9E">
            <w:pPr>
              <w:rPr>
                <w:rFonts w:ascii="Arial" w:hAnsi="Arial" w:cs="Arial"/>
                <w:color w:val="000000" w:themeColor="text1"/>
                <w:sz w:val="20"/>
                <w:szCs w:val="20"/>
              </w:rPr>
            </w:pPr>
          </w:p>
        </w:tc>
        <w:tc>
          <w:tcPr>
            <w:tcW w:w="236" w:type="dxa"/>
            <w:tcBorders>
              <w:top w:val="nil"/>
              <w:left w:val="nil"/>
              <w:bottom w:val="nil"/>
              <w:right w:val="nil"/>
            </w:tcBorders>
            <w:shd w:val="clear" w:color="auto" w:fill="auto"/>
            <w:noWrap/>
            <w:vAlign w:val="bottom"/>
            <w:hideMark/>
          </w:tcPr>
          <w:p w14:paraId="3FE1B51C" w14:textId="77777777" w:rsidR="004E3739" w:rsidRPr="004E2853" w:rsidRDefault="004E3739" w:rsidP="00F16A9E">
            <w:pPr>
              <w:rPr>
                <w:rFonts w:ascii="Arial" w:hAnsi="Arial" w:cs="Arial"/>
                <w:color w:val="000000" w:themeColor="text1"/>
                <w:sz w:val="20"/>
                <w:szCs w:val="20"/>
              </w:rPr>
            </w:pPr>
          </w:p>
        </w:tc>
      </w:tr>
      <w:tr w:rsidR="004E3739" w:rsidRPr="004E2853" w14:paraId="6E24667B" w14:textId="77777777" w:rsidTr="00901497">
        <w:trPr>
          <w:trHeight w:val="320"/>
        </w:trPr>
        <w:tc>
          <w:tcPr>
            <w:tcW w:w="13240" w:type="dxa"/>
            <w:gridSpan w:val="8"/>
            <w:vMerge/>
            <w:tcBorders>
              <w:top w:val="nil"/>
              <w:left w:val="nil"/>
              <w:bottom w:val="nil"/>
              <w:right w:val="nil"/>
            </w:tcBorders>
            <w:vAlign w:val="center"/>
            <w:hideMark/>
          </w:tcPr>
          <w:p w14:paraId="4DF89C99" w14:textId="77777777" w:rsidR="004E3739" w:rsidRPr="004E2853" w:rsidRDefault="004E3739" w:rsidP="00F16A9E">
            <w:pPr>
              <w:rPr>
                <w:rFonts w:ascii="Arial" w:hAnsi="Arial" w:cs="Arial"/>
                <w:color w:val="000000" w:themeColor="text1"/>
                <w:sz w:val="20"/>
                <w:szCs w:val="20"/>
              </w:rPr>
            </w:pPr>
          </w:p>
        </w:tc>
        <w:tc>
          <w:tcPr>
            <w:tcW w:w="236" w:type="dxa"/>
            <w:tcBorders>
              <w:top w:val="nil"/>
              <w:left w:val="nil"/>
              <w:bottom w:val="nil"/>
              <w:right w:val="nil"/>
            </w:tcBorders>
            <w:shd w:val="clear" w:color="auto" w:fill="auto"/>
            <w:noWrap/>
            <w:vAlign w:val="bottom"/>
            <w:hideMark/>
          </w:tcPr>
          <w:p w14:paraId="559C743F" w14:textId="77777777" w:rsidR="004E3739" w:rsidRPr="004E2853" w:rsidRDefault="004E3739" w:rsidP="00F16A9E">
            <w:pPr>
              <w:rPr>
                <w:rFonts w:ascii="Arial" w:hAnsi="Arial" w:cs="Arial"/>
                <w:color w:val="000000" w:themeColor="text1"/>
                <w:sz w:val="20"/>
                <w:szCs w:val="20"/>
              </w:rPr>
            </w:pPr>
          </w:p>
        </w:tc>
      </w:tr>
      <w:tr w:rsidR="004E3739" w:rsidRPr="004E2853" w14:paraId="03E83EEF" w14:textId="77777777" w:rsidTr="00901497">
        <w:trPr>
          <w:trHeight w:val="300"/>
        </w:trPr>
        <w:tc>
          <w:tcPr>
            <w:tcW w:w="13240" w:type="dxa"/>
            <w:gridSpan w:val="8"/>
            <w:vMerge/>
            <w:tcBorders>
              <w:top w:val="nil"/>
              <w:left w:val="nil"/>
              <w:bottom w:val="nil"/>
              <w:right w:val="nil"/>
            </w:tcBorders>
            <w:vAlign w:val="center"/>
            <w:hideMark/>
          </w:tcPr>
          <w:p w14:paraId="057C7579" w14:textId="77777777" w:rsidR="004E3739" w:rsidRPr="004E2853" w:rsidRDefault="004E3739" w:rsidP="00F16A9E">
            <w:pPr>
              <w:rPr>
                <w:rFonts w:ascii="Arial" w:hAnsi="Arial" w:cs="Arial"/>
                <w:color w:val="000000" w:themeColor="text1"/>
                <w:sz w:val="20"/>
                <w:szCs w:val="20"/>
              </w:rPr>
            </w:pPr>
          </w:p>
        </w:tc>
        <w:tc>
          <w:tcPr>
            <w:tcW w:w="236" w:type="dxa"/>
            <w:tcBorders>
              <w:top w:val="nil"/>
              <w:left w:val="nil"/>
              <w:bottom w:val="nil"/>
              <w:right w:val="nil"/>
            </w:tcBorders>
            <w:shd w:val="clear" w:color="auto" w:fill="auto"/>
            <w:noWrap/>
            <w:vAlign w:val="bottom"/>
            <w:hideMark/>
          </w:tcPr>
          <w:p w14:paraId="12B34EF1" w14:textId="77777777" w:rsidR="004E3739" w:rsidRPr="004E2853" w:rsidRDefault="004E3739" w:rsidP="00F16A9E">
            <w:pPr>
              <w:rPr>
                <w:rFonts w:ascii="Arial" w:hAnsi="Arial" w:cs="Arial"/>
                <w:color w:val="000000" w:themeColor="text1"/>
                <w:sz w:val="20"/>
                <w:szCs w:val="20"/>
              </w:rPr>
            </w:pPr>
          </w:p>
        </w:tc>
      </w:tr>
      <w:tr w:rsidR="004E3739" w:rsidRPr="004E2853" w14:paraId="6310676B" w14:textId="77777777" w:rsidTr="00901497">
        <w:trPr>
          <w:trHeight w:val="300"/>
        </w:trPr>
        <w:tc>
          <w:tcPr>
            <w:tcW w:w="13240" w:type="dxa"/>
            <w:gridSpan w:val="8"/>
            <w:vMerge/>
            <w:tcBorders>
              <w:top w:val="nil"/>
              <w:left w:val="nil"/>
              <w:bottom w:val="nil"/>
              <w:right w:val="nil"/>
            </w:tcBorders>
            <w:vAlign w:val="center"/>
            <w:hideMark/>
          </w:tcPr>
          <w:p w14:paraId="7FC2FFF5" w14:textId="77777777" w:rsidR="004E3739" w:rsidRPr="004E2853" w:rsidRDefault="004E3739" w:rsidP="00F16A9E">
            <w:pPr>
              <w:rPr>
                <w:rFonts w:ascii="Arial" w:hAnsi="Arial" w:cs="Arial"/>
                <w:color w:val="000000" w:themeColor="text1"/>
                <w:sz w:val="20"/>
                <w:szCs w:val="20"/>
              </w:rPr>
            </w:pPr>
          </w:p>
        </w:tc>
        <w:tc>
          <w:tcPr>
            <w:tcW w:w="236" w:type="dxa"/>
            <w:tcBorders>
              <w:top w:val="nil"/>
              <w:left w:val="nil"/>
              <w:bottom w:val="nil"/>
              <w:right w:val="nil"/>
            </w:tcBorders>
            <w:shd w:val="clear" w:color="auto" w:fill="auto"/>
            <w:noWrap/>
            <w:vAlign w:val="bottom"/>
            <w:hideMark/>
          </w:tcPr>
          <w:p w14:paraId="76E24F7D" w14:textId="77777777" w:rsidR="004E3739" w:rsidRPr="004E2853" w:rsidRDefault="004E3739" w:rsidP="00F16A9E">
            <w:pPr>
              <w:rPr>
                <w:rFonts w:ascii="Arial" w:hAnsi="Arial" w:cs="Arial"/>
                <w:color w:val="000000" w:themeColor="text1"/>
                <w:sz w:val="20"/>
                <w:szCs w:val="20"/>
              </w:rPr>
            </w:pPr>
          </w:p>
        </w:tc>
      </w:tr>
      <w:tr w:rsidR="004E3739" w:rsidRPr="004E2853" w14:paraId="54F96317" w14:textId="77777777" w:rsidTr="00901497">
        <w:trPr>
          <w:trHeight w:val="300"/>
        </w:trPr>
        <w:tc>
          <w:tcPr>
            <w:tcW w:w="13240" w:type="dxa"/>
            <w:gridSpan w:val="8"/>
            <w:vMerge/>
            <w:tcBorders>
              <w:top w:val="nil"/>
              <w:left w:val="nil"/>
              <w:bottom w:val="nil"/>
              <w:right w:val="nil"/>
            </w:tcBorders>
            <w:vAlign w:val="center"/>
            <w:hideMark/>
          </w:tcPr>
          <w:p w14:paraId="075C5B33" w14:textId="77777777" w:rsidR="004E3739" w:rsidRPr="004E2853" w:rsidRDefault="004E3739" w:rsidP="00F16A9E">
            <w:pPr>
              <w:rPr>
                <w:rFonts w:ascii="Arial" w:hAnsi="Arial" w:cs="Arial"/>
                <w:color w:val="000000" w:themeColor="text1"/>
                <w:sz w:val="20"/>
                <w:szCs w:val="20"/>
              </w:rPr>
            </w:pPr>
          </w:p>
        </w:tc>
        <w:tc>
          <w:tcPr>
            <w:tcW w:w="236" w:type="dxa"/>
            <w:tcBorders>
              <w:top w:val="nil"/>
              <w:left w:val="nil"/>
              <w:bottom w:val="nil"/>
              <w:right w:val="nil"/>
            </w:tcBorders>
            <w:shd w:val="clear" w:color="auto" w:fill="auto"/>
            <w:noWrap/>
            <w:vAlign w:val="bottom"/>
            <w:hideMark/>
          </w:tcPr>
          <w:p w14:paraId="7D237982" w14:textId="77777777" w:rsidR="004E3739" w:rsidRPr="004E2853" w:rsidRDefault="004E3739" w:rsidP="00F16A9E">
            <w:pPr>
              <w:rPr>
                <w:rFonts w:ascii="Arial" w:hAnsi="Arial" w:cs="Arial"/>
                <w:color w:val="000000" w:themeColor="text1"/>
                <w:sz w:val="20"/>
                <w:szCs w:val="20"/>
              </w:rPr>
            </w:pPr>
          </w:p>
        </w:tc>
      </w:tr>
    </w:tbl>
    <w:p w14:paraId="7E5B54B9" w14:textId="77777777" w:rsidR="004E3739" w:rsidRPr="004E2853" w:rsidRDefault="004E3739" w:rsidP="004E3739">
      <w:pPr>
        <w:rPr>
          <w:rFonts w:ascii="Arial" w:hAnsi="Arial" w:cs="Arial"/>
          <w:b/>
          <w:bCs/>
          <w:color w:val="000000" w:themeColor="text1"/>
          <w:sz w:val="20"/>
          <w:szCs w:val="20"/>
        </w:rPr>
      </w:pPr>
    </w:p>
    <w:p w14:paraId="10CE4894" w14:textId="77777777" w:rsidR="004E3739" w:rsidRPr="004E2853" w:rsidRDefault="004E3739" w:rsidP="004E3739">
      <w:pPr>
        <w:rPr>
          <w:rFonts w:ascii="Arial" w:hAnsi="Arial" w:cs="Arial"/>
          <w:b/>
          <w:bCs/>
          <w:color w:val="000000" w:themeColor="text1"/>
          <w:sz w:val="20"/>
          <w:szCs w:val="20"/>
        </w:rPr>
        <w:sectPr w:rsidR="004E3739" w:rsidRPr="004E2853" w:rsidSect="004E3739">
          <w:pgSz w:w="15840" w:h="12240" w:orient="landscape"/>
          <w:pgMar w:top="1440" w:right="1440" w:bottom="1440" w:left="1440" w:header="720" w:footer="720" w:gutter="0"/>
          <w:cols w:space="720"/>
          <w:docGrid w:linePitch="360"/>
        </w:sectPr>
      </w:pPr>
    </w:p>
    <w:tbl>
      <w:tblPr>
        <w:tblW w:w="14417" w:type="dxa"/>
        <w:tblInd w:w="-450" w:type="dxa"/>
        <w:tblLayout w:type="fixed"/>
        <w:tblLook w:val="04A0" w:firstRow="1" w:lastRow="0" w:firstColumn="1" w:lastColumn="0" w:noHBand="0" w:noVBand="1"/>
      </w:tblPr>
      <w:tblGrid>
        <w:gridCol w:w="2520"/>
        <w:gridCol w:w="1919"/>
        <w:gridCol w:w="1940"/>
        <w:gridCol w:w="1871"/>
        <w:gridCol w:w="2089"/>
        <w:gridCol w:w="1800"/>
        <w:gridCol w:w="1980"/>
        <w:gridCol w:w="298"/>
      </w:tblGrid>
      <w:tr w:rsidR="004E3739" w:rsidRPr="004E2853" w14:paraId="586BEB06" w14:textId="77777777" w:rsidTr="00F16A9E">
        <w:trPr>
          <w:trHeight w:val="300"/>
        </w:trPr>
        <w:tc>
          <w:tcPr>
            <w:tcW w:w="14417" w:type="dxa"/>
            <w:gridSpan w:val="8"/>
            <w:tcBorders>
              <w:top w:val="nil"/>
              <w:left w:val="nil"/>
              <w:bottom w:val="single" w:sz="4" w:space="0" w:color="auto"/>
              <w:right w:val="nil"/>
            </w:tcBorders>
            <w:shd w:val="clear" w:color="auto" w:fill="auto"/>
            <w:noWrap/>
            <w:vAlign w:val="center"/>
            <w:hideMark/>
          </w:tcPr>
          <w:p w14:paraId="54C3038C" w14:textId="58B5ED35"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lastRenderedPageBreak/>
              <w:t>Table S</w:t>
            </w:r>
            <w:r w:rsidR="007343C9" w:rsidRPr="004E2853">
              <w:rPr>
                <w:rFonts w:ascii="Arial" w:hAnsi="Arial" w:cs="Arial"/>
                <w:color w:val="000000" w:themeColor="text1"/>
                <w:sz w:val="20"/>
                <w:szCs w:val="20"/>
              </w:rPr>
              <w:t>5</w:t>
            </w:r>
            <w:r w:rsidRPr="004E2853">
              <w:rPr>
                <w:rFonts w:ascii="Arial" w:hAnsi="Arial" w:cs="Arial"/>
                <w:color w:val="000000" w:themeColor="text1"/>
                <w:sz w:val="20"/>
                <w:szCs w:val="20"/>
              </w:rPr>
              <w:t>. Association of Revised WIC Food Package with Infant and Maternal Health, sensitivity test with post-period recoded to April 2009</w:t>
            </w:r>
          </w:p>
        </w:tc>
      </w:tr>
      <w:tr w:rsidR="004E3739" w:rsidRPr="004E2853" w14:paraId="62589439" w14:textId="77777777" w:rsidTr="00F16A9E">
        <w:trPr>
          <w:gridAfter w:val="1"/>
          <w:wAfter w:w="298" w:type="dxa"/>
          <w:trHeight w:val="640"/>
        </w:trPr>
        <w:tc>
          <w:tcPr>
            <w:tcW w:w="2520" w:type="dxa"/>
            <w:tcBorders>
              <w:top w:val="nil"/>
              <w:left w:val="nil"/>
              <w:bottom w:val="nil"/>
              <w:right w:val="nil"/>
            </w:tcBorders>
            <w:shd w:val="clear" w:color="auto" w:fill="auto"/>
            <w:vAlign w:val="center"/>
            <w:hideMark/>
          </w:tcPr>
          <w:p w14:paraId="3F2424DD" w14:textId="77777777" w:rsidR="004E3739" w:rsidRPr="004E2853" w:rsidRDefault="004E3739" w:rsidP="00F16A9E">
            <w:pPr>
              <w:rPr>
                <w:rFonts w:ascii="Arial" w:hAnsi="Arial" w:cs="Arial"/>
                <w:color w:val="000000" w:themeColor="text1"/>
                <w:sz w:val="20"/>
                <w:szCs w:val="20"/>
              </w:rPr>
            </w:pPr>
          </w:p>
        </w:tc>
        <w:tc>
          <w:tcPr>
            <w:tcW w:w="1919" w:type="dxa"/>
            <w:tcBorders>
              <w:top w:val="nil"/>
              <w:left w:val="nil"/>
              <w:bottom w:val="nil"/>
              <w:right w:val="nil"/>
            </w:tcBorders>
            <w:shd w:val="clear" w:color="auto" w:fill="auto"/>
            <w:vAlign w:val="center"/>
            <w:hideMark/>
          </w:tcPr>
          <w:p w14:paraId="68A70A66"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themeColor="text1"/>
                <w:sz w:val="20"/>
                <w:szCs w:val="20"/>
              </w:rPr>
              <w:t>Birth weight (1000 grams)</w:t>
            </w:r>
          </w:p>
        </w:tc>
        <w:tc>
          <w:tcPr>
            <w:tcW w:w="1940" w:type="dxa"/>
            <w:tcBorders>
              <w:top w:val="nil"/>
              <w:left w:val="nil"/>
              <w:bottom w:val="nil"/>
              <w:right w:val="nil"/>
            </w:tcBorders>
            <w:shd w:val="clear" w:color="auto" w:fill="auto"/>
            <w:vAlign w:val="center"/>
            <w:hideMark/>
          </w:tcPr>
          <w:p w14:paraId="6B46DC45"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themeColor="text1"/>
                <w:sz w:val="20"/>
                <w:szCs w:val="20"/>
              </w:rPr>
              <w:t>Small for gestational age</w:t>
            </w:r>
          </w:p>
        </w:tc>
        <w:tc>
          <w:tcPr>
            <w:tcW w:w="1871" w:type="dxa"/>
            <w:tcBorders>
              <w:top w:val="nil"/>
              <w:left w:val="nil"/>
              <w:bottom w:val="nil"/>
              <w:right w:val="nil"/>
            </w:tcBorders>
            <w:shd w:val="clear" w:color="auto" w:fill="auto"/>
            <w:vAlign w:val="center"/>
            <w:hideMark/>
          </w:tcPr>
          <w:p w14:paraId="187D2E84"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themeColor="text1"/>
                <w:sz w:val="20"/>
                <w:szCs w:val="20"/>
              </w:rPr>
              <w:t>Large for gestational age</w:t>
            </w:r>
          </w:p>
        </w:tc>
        <w:tc>
          <w:tcPr>
            <w:tcW w:w="2089" w:type="dxa"/>
            <w:tcBorders>
              <w:top w:val="nil"/>
              <w:left w:val="nil"/>
              <w:bottom w:val="nil"/>
              <w:right w:val="nil"/>
            </w:tcBorders>
            <w:shd w:val="clear" w:color="auto" w:fill="auto"/>
            <w:vAlign w:val="center"/>
            <w:hideMark/>
          </w:tcPr>
          <w:p w14:paraId="156E43B7"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themeColor="text1"/>
                <w:sz w:val="20"/>
                <w:szCs w:val="20"/>
              </w:rPr>
              <w:t>Appropriate for gestational age</w:t>
            </w:r>
          </w:p>
        </w:tc>
        <w:tc>
          <w:tcPr>
            <w:tcW w:w="1800" w:type="dxa"/>
            <w:tcBorders>
              <w:top w:val="nil"/>
              <w:left w:val="nil"/>
              <w:bottom w:val="nil"/>
              <w:right w:val="nil"/>
            </w:tcBorders>
            <w:shd w:val="clear" w:color="auto" w:fill="auto"/>
            <w:vAlign w:val="center"/>
            <w:hideMark/>
          </w:tcPr>
          <w:p w14:paraId="42287B14"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themeColor="text1"/>
                <w:sz w:val="20"/>
                <w:szCs w:val="20"/>
              </w:rPr>
              <w:t>Gestational diabetes mellitus</w:t>
            </w:r>
          </w:p>
        </w:tc>
        <w:tc>
          <w:tcPr>
            <w:tcW w:w="1980" w:type="dxa"/>
            <w:tcBorders>
              <w:top w:val="nil"/>
              <w:left w:val="nil"/>
              <w:bottom w:val="nil"/>
              <w:right w:val="nil"/>
            </w:tcBorders>
            <w:shd w:val="clear" w:color="auto" w:fill="auto"/>
            <w:vAlign w:val="center"/>
            <w:hideMark/>
          </w:tcPr>
          <w:p w14:paraId="26067F91"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themeColor="text1"/>
                <w:sz w:val="20"/>
                <w:szCs w:val="20"/>
              </w:rPr>
              <w:t>Gestational weight gain (pound)</w:t>
            </w:r>
          </w:p>
        </w:tc>
      </w:tr>
      <w:tr w:rsidR="004E3739" w:rsidRPr="004E2853" w14:paraId="1E5533B8" w14:textId="77777777" w:rsidTr="00F16A9E">
        <w:trPr>
          <w:gridAfter w:val="1"/>
          <w:wAfter w:w="298" w:type="dxa"/>
          <w:trHeight w:val="360"/>
        </w:trPr>
        <w:tc>
          <w:tcPr>
            <w:tcW w:w="2520" w:type="dxa"/>
            <w:vMerge w:val="restart"/>
            <w:tcBorders>
              <w:top w:val="nil"/>
              <w:left w:val="nil"/>
              <w:bottom w:val="single" w:sz="8" w:space="0" w:color="000000"/>
              <w:right w:val="nil"/>
            </w:tcBorders>
            <w:shd w:val="clear" w:color="auto" w:fill="auto"/>
            <w:vAlign w:val="center"/>
            <w:hideMark/>
          </w:tcPr>
          <w:p w14:paraId="7B3B3189"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WIC-eligible*Post-2009</w:t>
            </w:r>
          </w:p>
        </w:tc>
        <w:tc>
          <w:tcPr>
            <w:tcW w:w="1919" w:type="dxa"/>
            <w:tcBorders>
              <w:top w:val="nil"/>
              <w:left w:val="nil"/>
              <w:bottom w:val="nil"/>
              <w:right w:val="nil"/>
            </w:tcBorders>
            <w:shd w:val="clear" w:color="auto" w:fill="auto"/>
            <w:vAlign w:val="center"/>
            <w:hideMark/>
          </w:tcPr>
          <w:p w14:paraId="28E84504"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-2.425***</w:t>
            </w:r>
          </w:p>
        </w:tc>
        <w:tc>
          <w:tcPr>
            <w:tcW w:w="1940" w:type="dxa"/>
            <w:tcBorders>
              <w:top w:val="nil"/>
              <w:left w:val="nil"/>
              <w:bottom w:val="nil"/>
              <w:right w:val="nil"/>
            </w:tcBorders>
            <w:shd w:val="clear" w:color="auto" w:fill="auto"/>
            <w:vAlign w:val="center"/>
            <w:hideMark/>
          </w:tcPr>
          <w:p w14:paraId="71AC61D3"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-0.095*</w:t>
            </w:r>
          </w:p>
        </w:tc>
        <w:tc>
          <w:tcPr>
            <w:tcW w:w="1871" w:type="dxa"/>
            <w:tcBorders>
              <w:top w:val="nil"/>
              <w:left w:val="nil"/>
              <w:bottom w:val="nil"/>
              <w:right w:val="nil"/>
            </w:tcBorders>
            <w:shd w:val="clear" w:color="auto" w:fill="auto"/>
            <w:vAlign w:val="center"/>
            <w:hideMark/>
          </w:tcPr>
          <w:p w14:paraId="7D31BE68"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0.007</w:t>
            </w:r>
          </w:p>
        </w:tc>
        <w:tc>
          <w:tcPr>
            <w:tcW w:w="2089" w:type="dxa"/>
            <w:tcBorders>
              <w:top w:val="nil"/>
              <w:left w:val="nil"/>
              <w:bottom w:val="nil"/>
              <w:right w:val="nil"/>
            </w:tcBorders>
            <w:shd w:val="clear" w:color="auto" w:fill="auto"/>
            <w:vAlign w:val="center"/>
            <w:hideMark/>
          </w:tcPr>
          <w:p w14:paraId="78628534"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0.087</w:t>
            </w:r>
          </w:p>
        </w:tc>
        <w:tc>
          <w:tcPr>
            <w:tcW w:w="1800" w:type="dxa"/>
            <w:tcBorders>
              <w:top w:val="nil"/>
              <w:left w:val="nil"/>
              <w:bottom w:val="nil"/>
              <w:right w:val="nil"/>
            </w:tcBorders>
            <w:shd w:val="clear" w:color="auto" w:fill="auto"/>
            <w:vAlign w:val="center"/>
            <w:hideMark/>
          </w:tcPr>
          <w:p w14:paraId="769D0B9B"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0.037</w:t>
            </w:r>
          </w:p>
        </w:tc>
        <w:tc>
          <w:tcPr>
            <w:tcW w:w="1980" w:type="dxa"/>
            <w:tcBorders>
              <w:top w:val="nil"/>
              <w:left w:val="nil"/>
              <w:bottom w:val="nil"/>
              <w:right w:val="nil"/>
            </w:tcBorders>
            <w:shd w:val="clear" w:color="auto" w:fill="auto"/>
            <w:vAlign w:val="center"/>
            <w:hideMark/>
          </w:tcPr>
          <w:p w14:paraId="01D332EC"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-0.024</w:t>
            </w:r>
          </w:p>
        </w:tc>
      </w:tr>
      <w:tr w:rsidR="004E3739" w:rsidRPr="004E2853" w14:paraId="20F93D06" w14:textId="77777777" w:rsidTr="00F16A9E">
        <w:trPr>
          <w:gridAfter w:val="1"/>
          <w:wAfter w:w="298" w:type="dxa"/>
          <w:trHeight w:val="340"/>
        </w:trPr>
        <w:tc>
          <w:tcPr>
            <w:tcW w:w="2520" w:type="dxa"/>
            <w:vMerge/>
            <w:tcBorders>
              <w:top w:val="nil"/>
              <w:left w:val="nil"/>
              <w:bottom w:val="single" w:sz="8" w:space="0" w:color="000000"/>
              <w:right w:val="nil"/>
            </w:tcBorders>
            <w:vAlign w:val="center"/>
            <w:hideMark/>
          </w:tcPr>
          <w:p w14:paraId="45ADE539" w14:textId="77777777" w:rsidR="004E3739" w:rsidRPr="004E2853" w:rsidRDefault="004E3739" w:rsidP="00F16A9E">
            <w:pPr>
              <w:rPr>
                <w:rFonts w:ascii="Arial" w:hAnsi="Arial" w:cs="Arial"/>
                <w:color w:val="000000" w:themeColor="text1"/>
                <w:sz w:val="20"/>
                <w:szCs w:val="20"/>
              </w:rPr>
            </w:pPr>
          </w:p>
        </w:tc>
        <w:tc>
          <w:tcPr>
            <w:tcW w:w="1919" w:type="dxa"/>
            <w:tcBorders>
              <w:top w:val="nil"/>
              <w:left w:val="nil"/>
              <w:bottom w:val="single" w:sz="8" w:space="0" w:color="auto"/>
              <w:right w:val="nil"/>
            </w:tcBorders>
            <w:shd w:val="clear" w:color="auto" w:fill="auto"/>
            <w:vAlign w:val="center"/>
            <w:hideMark/>
          </w:tcPr>
          <w:p w14:paraId="3B3FA236"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[-3.748,-1.103]</w:t>
            </w:r>
          </w:p>
        </w:tc>
        <w:tc>
          <w:tcPr>
            <w:tcW w:w="1940" w:type="dxa"/>
            <w:tcBorders>
              <w:top w:val="nil"/>
              <w:left w:val="nil"/>
              <w:bottom w:val="single" w:sz="8" w:space="0" w:color="auto"/>
              <w:right w:val="nil"/>
            </w:tcBorders>
            <w:shd w:val="clear" w:color="auto" w:fill="auto"/>
            <w:vAlign w:val="center"/>
            <w:hideMark/>
          </w:tcPr>
          <w:p w14:paraId="133EB7AE"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[-0.171,-0.018]</w:t>
            </w:r>
          </w:p>
        </w:tc>
        <w:tc>
          <w:tcPr>
            <w:tcW w:w="1871" w:type="dxa"/>
            <w:tcBorders>
              <w:top w:val="nil"/>
              <w:left w:val="nil"/>
              <w:bottom w:val="single" w:sz="8" w:space="0" w:color="auto"/>
              <w:right w:val="nil"/>
            </w:tcBorders>
            <w:shd w:val="clear" w:color="auto" w:fill="auto"/>
            <w:vAlign w:val="center"/>
            <w:hideMark/>
          </w:tcPr>
          <w:p w14:paraId="68193B51"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[-0.070,0.084]</w:t>
            </w:r>
          </w:p>
        </w:tc>
        <w:tc>
          <w:tcPr>
            <w:tcW w:w="2089" w:type="dxa"/>
            <w:tcBorders>
              <w:top w:val="nil"/>
              <w:left w:val="nil"/>
              <w:bottom w:val="single" w:sz="8" w:space="0" w:color="auto"/>
              <w:right w:val="nil"/>
            </w:tcBorders>
            <w:shd w:val="clear" w:color="auto" w:fill="auto"/>
            <w:vAlign w:val="center"/>
            <w:hideMark/>
          </w:tcPr>
          <w:p w14:paraId="2B05799B"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[-0.015,0.190]</w:t>
            </w:r>
          </w:p>
        </w:tc>
        <w:tc>
          <w:tcPr>
            <w:tcW w:w="1800" w:type="dxa"/>
            <w:tcBorders>
              <w:top w:val="nil"/>
              <w:left w:val="nil"/>
              <w:bottom w:val="single" w:sz="8" w:space="0" w:color="auto"/>
              <w:right w:val="nil"/>
            </w:tcBorders>
            <w:shd w:val="clear" w:color="auto" w:fill="auto"/>
            <w:vAlign w:val="center"/>
            <w:hideMark/>
          </w:tcPr>
          <w:p w14:paraId="0C16E75C"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[-0.015,0.090]</w:t>
            </w:r>
          </w:p>
        </w:tc>
        <w:tc>
          <w:tcPr>
            <w:tcW w:w="1980" w:type="dxa"/>
            <w:tcBorders>
              <w:top w:val="nil"/>
              <w:left w:val="nil"/>
              <w:bottom w:val="single" w:sz="8" w:space="0" w:color="auto"/>
              <w:right w:val="nil"/>
            </w:tcBorders>
            <w:shd w:val="clear" w:color="auto" w:fill="auto"/>
            <w:vAlign w:val="center"/>
            <w:hideMark/>
          </w:tcPr>
          <w:p w14:paraId="65B662CD"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[-0.062,0.014]</w:t>
            </w:r>
          </w:p>
        </w:tc>
      </w:tr>
      <w:tr w:rsidR="004E3739" w:rsidRPr="004E2853" w14:paraId="38DF4FA7" w14:textId="77777777" w:rsidTr="00F16A9E">
        <w:trPr>
          <w:gridAfter w:val="1"/>
          <w:wAfter w:w="298" w:type="dxa"/>
          <w:trHeight w:val="320"/>
        </w:trPr>
        <w:tc>
          <w:tcPr>
            <w:tcW w:w="2520" w:type="dxa"/>
            <w:tcBorders>
              <w:top w:val="nil"/>
              <w:left w:val="nil"/>
              <w:bottom w:val="nil"/>
              <w:right w:val="nil"/>
            </w:tcBorders>
            <w:shd w:val="clear" w:color="auto" w:fill="auto"/>
            <w:vAlign w:val="center"/>
            <w:hideMark/>
          </w:tcPr>
          <w:p w14:paraId="14A6CDE6"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N</w:t>
            </w:r>
          </w:p>
        </w:tc>
        <w:tc>
          <w:tcPr>
            <w:tcW w:w="1919" w:type="dxa"/>
            <w:tcBorders>
              <w:top w:val="nil"/>
              <w:left w:val="nil"/>
              <w:bottom w:val="nil"/>
              <w:right w:val="nil"/>
            </w:tcBorders>
            <w:shd w:val="clear" w:color="auto" w:fill="auto"/>
            <w:vAlign w:val="center"/>
            <w:hideMark/>
          </w:tcPr>
          <w:p w14:paraId="5E35A54D"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11,855,417</w:t>
            </w:r>
          </w:p>
        </w:tc>
        <w:tc>
          <w:tcPr>
            <w:tcW w:w="1940" w:type="dxa"/>
            <w:tcBorders>
              <w:top w:val="nil"/>
              <w:left w:val="nil"/>
              <w:bottom w:val="nil"/>
              <w:right w:val="nil"/>
            </w:tcBorders>
            <w:shd w:val="clear" w:color="auto" w:fill="auto"/>
            <w:vAlign w:val="center"/>
            <w:hideMark/>
          </w:tcPr>
          <w:p w14:paraId="4B137661"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11,855,417</w:t>
            </w:r>
          </w:p>
        </w:tc>
        <w:tc>
          <w:tcPr>
            <w:tcW w:w="1871" w:type="dxa"/>
            <w:tcBorders>
              <w:top w:val="nil"/>
              <w:left w:val="nil"/>
              <w:bottom w:val="nil"/>
              <w:right w:val="nil"/>
            </w:tcBorders>
            <w:shd w:val="clear" w:color="auto" w:fill="auto"/>
            <w:vAlign w:val="center"/>
            <w:hideMark/>
          </w:tcPr>
          <w:p w14:paraId="44B1474C"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11,855,417</w:t>
            </w:r>
          </w:p>
        </w:tc>
        <w:tc>
          <w:tcPr>
            <w:tcW w:w="2089" w:type="dxa"/>
            <w:tcBorders>
              <w:top w:val="nil"/>
              <w:left w:val="nil"/>
              <w:bottom w:val="nil"/>
              <w:right w:val="nil"/>
            </w:tcBorders>
            <w:shd w:val="clear" w:color="auto" w:fill="auto"/>
            <w:vAlign w:val="center"/>
            <w:hideMark/>
          </w:tcPr>
          <w:p w14:paraId="60090334"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11,855,417</w:t>
            </w:r>
          </w:p>
        </w:tc>
        <w:tc>
          <w:tcPr>
            <w:tcW w:w="1800" w:type="dxa"/>
            <w:tcBorders>
              <w:top w:val="nil"/>
              <w:left w:val="nil"/>
              <w:bottom w:val="nil"/>
              <w:right w:val="nil"/>
            </w:tcBorders>
            <w:shd w:val="clear" w:color="auto" w:fill="auto"/>
            <w:vAlign w:val="center"/>
            <w:hideMark/>
          </w:tcPr>
          <w:p w14:paraId="54CCBE80"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11,824,402</w:t>
            </w:r>
          </w:p>
        </w:tc>
        <w:tc>
          <w:tcPr>
            <w:tcW w:w="1980" w:type="dxa"/>
            <w:tcBorders>
              <w:top w:val="nil"/>
              <w:left w:val="nil"/>
              <w:bottom w:val="nil"/>
              <w:right w:val="nil"/>
            </w:tcBorders>
            <w:shd w:val="clear" w:color="auto" w:fill="auto"/>
            <w:vAlign w:val="center"/>
            <w:hideMark/>
          </w:tcPr>
          <w:p w14:paraId="4DB521D2"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11,246,710</w:t>
            </w:r>
          </w:p>
        </w:tc>
      </w:tr>
      <w:tr w:rsidR="004E3739" w:rsidRPr="004E2853" w14:paraId="4942A8D6" w14:textId="77777777" w:rsidTr="00F16A9E">
        <w:trPr>
          <w:gridAfter w:val="1"/>
          <w:wAfter w:w="298" w:type="dxa"/>
          <w:trHeight w:val="340"/>
        </w:trPr>
        <w:tc>
          <w:tcPr>
            <w:tcW w:w="2520" w:type="dxa"/>
            <w:tcBorders>
              <w:top w:val="nil"/>
              <w:left w:val="nil"/>
              <w:bottom w:val="single" w:sz="8" w:space="0" w:color="auto"/>
              <w:right w:val="nil"/>
            </w:tcBorders>
            <w:shd w:val="clear" w:color="auto" w:fill="auto"/>
            <w:vAlign w:val="center"/>
            <w:hideMark/>
          </w:tcPr>
          <w:p w14:paraId="69FF95C1"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Baseline mean or %</w:t>
            </w:r>
          </w:p>
        </w:tc>
        <w:tc>
          <w:tcPr>
            <w:tcW w:w="1919" w:type="dxa"/>
            <w:tcBorders>
              <w:top w:val="nil"/>
              <w:left w:val="nil"/>
              <w:bottom w:val="single" w:sz="8" w:space="0" w:color="auto"/>
              <w:right w:val="nil"/>
            </w:tcBorders>
            <w:shd w:val="clear" w:color="auto" w:fill="auto"/>
            <w:vAlign w:val="center"/>
            <w:hideMark/>
          </w:tcPr>
          <w:p w14:paraId="0D20F006"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3,248</w:t>
            </w:r>
          </w:p>
        </w:tc>
        <w:tc>
          <w:tcPr>
            <w:tcW w:w="1940" w:type="dxa"/>
            <w:tcBorders>
              <w:top w:val="nil"/>
              <w:left w:val="nil"/>
              <w:bottom w:val="single" w:sz="8" w:space="0" w:color="auto"/>
              <w:right w:val="nil"/>
            </w:tcBorders>
            <w:shd w:val="clear" w:color="auto" w:fill="auto"/>
            <w:vAlign w:val="center"/>
            <w:hideMark/>
          </w:tcPr>
          <w:p w14:paraId="43A4C0AA"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12.0</w:t>
            </w:r>
          </w:p>
        </w:tc>
        <w:tc>
          <w:tcPr>
            <w:tcW w:w="1871" w:type="dxa"/>
            <w:tcBorders>
              <w:top w:val="nil"/>
              <w:left w:val="nil"/>
              <w:bottom w:val="single" w:sz="8" w:space="0" w:color="auto"/>
              <w:right w:val="nil"/>
            </w:tcBorders>
            <w:shd w:val="clear" w:color="auto" w:fill="auto"/>
            <w:vAlign w:val="center"/>
            <w:hideMark/>
          </w:tcPr>
          <w:p w14:paraId="22801339"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9.6</w:t>
            </w:r>
          </w:p>
        </w:tc>
        <w:tc>
          <w:tcPr>
            <w:tcW w:w="2089" w:type="dxa"/>
            <w:tcBorders>
              <w:top w:val="nil"/>
              <w:left w:val="nil"/>
              <w:bottom w:val="single" w:sz="8" w:space="0" w:color="auto"/>
              <w:right w:val="nil"/>
            </w:tcBorders>
            <w:shd w:val="clear" w:color="auto" w:fill="auto"/>
            <w:vAlign w:val="center"/>
            <w:hideMark/>
          </w:tcPr>
          <w:p w14:paraId="266E46E7"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78.4</w:t>
            </w:r>
          </w:p>
        </w:tc>
        <w:tc>
          <w:tcPr>
            <w:tcW w:w="1800" w:type="dxa"/>
            <w:tcBorders>
              <w:top w:val="nil"/>
              <w:left w:val="nil"/>
              <w:bottom w:val="single" w:sz="8" w:space="0" w:color="auto"/>
              <w:right w:val="nil"/>
            </w:tcBorders>
            <w:shd w:val="clear" w:color="auto" w:fill="auto"/>
            <w:vAlign w:val="center"/>
            <w:hideMark/>
          </w:tcPr>
          <w:p w14:paraId="6FA2D38C"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3.7</w:t>
            </w:r>
          </w:p>
        </w:tc>
        <w:tc>
          <w:tcPr>
            <w:tcW w:w="1980" w:type="dxa"/>
            <w:tcBorders>
              <w:top w:val="nil"/>
              <w:left w:val="nil"/>
              <w:bottom w:val="single" w:sz="8" w:space="0" w:color="auto"/>
              <w:right w:val="nil"/>
            </w:tcBorders>
            <w:shd w:val="clear" w:color="auto" w:fill="auto"/>
            <w:vAlign w:val="center"/>
            <w:hideMark/>
          </w:tcPr>
          <w:p w14:paraId="549A9493"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29.7</w:t>
            </w:r>
          </w:p>
        </w:tc>
      </w:tr>
      <w:tr w:rsidR="004E3739" w:rsidRPr="004E2853" w14:paraId="3B9CEB4E" w14:textId="77777777" w:rsidTr="00F16A9E">
        <w:trPr>
          <w:trHeight w:val="300"/>
        </w:trPr>
        <w:tc>
          <w:tcPr>
            <w:tcW w:w="14417" w:type="dxa"/>
            <w:gridSpan w:val="8"/>
            <w:tcBorders>
              <w:top w:val="single" w:sz="8" w:space="0" w:color="auto"/>
              <w:left w:val="nil"/>
              <w:bottom w:val="nil"/>
              <w:right w:val="nil"/>
            </w:tcBorders>
            <w:shd w:val="clear" w:color="auto" w:fill="auto"/>
            <w:hideMark/>
          </w:tcPr>
          <w:p w14:paraId="1D5406FD" w14:textId="77777777" w:rsidR="004E3739" w:rsidRPr="004E2853" w:rsidRDefault="004E3739" w:rsidP="00F16A9E">
            <w:pPr>
              <w:rPr>
                <w:rFonts w:ascii="Arial" w:hAnsi="Arial" w:cs="Arial"/>
                <w:color w:val="000000" w:themeColor="text1"/>
                <w:sz w:val="16"/>
                <w:szCs w:val="16"/>
              </w:rPr>
            </w:pPr>
            <w:r w:rsidRPr="004E2853">
              <w:rPr>
                <w:rFonts w:ascii="Arial" w:hAnsi="Arial" w:cs="Arial"/>
                <w:color w:val="000000" w:themeColor="text1"/>
                <w:sz w:val="16"/>
                <w:szCs w:val="16"/>
              </w:rPr>
              <w:t>95% confidence intervals in brackets.  * p &lt; 0.05, ** p &lt; 0.01, *** p &lt; 0.001</w:t>
            </w:r>
          </w:p>
        </w:tc>
      </w:tr>
      <w:tr w:rsidR="004E3739" w:rsidRPr="004E2853" w14:paraId="42B902EA" w14:textId="77777777" w:rsidTr="00F16A9E">
        <w:trPr>
          <w:trHeight w:val="1400"/>
        </w:trPr>
        <w:tc>
          <w:tcPr>
            <w:tcW w:w="14417" w:type="dxa"/>
            <w:gridSpan w:val="8"/>
            <w:tcBorders>
              <w:top w:val="nil"/>
              <w:left w:val="nil"/>
              <w:bottom w:val="nil"/>
              <w:right w:val="nil"/>
            </w:tcBorders>
            <w:shd w:val="clear" w:color="auto" w:fill="auto"/>
            <w:hideMark/>
          </w:tcPr>
          <w:p w14:paraId="0DFBEF8C" w14:textId="77777777" w:rsidR="004E3739" w:rsidRPr="004E2853" w:rsidRDefault="004E3739" w:rsidP="00F16A9E">
            <w:pPr>
              <w:tabs>
                <w:tab w:val="left" w:pos="2959"/>
              </w:tabs>
              <w:rPr>
                <w:rFonts w:ascii="Arial" w:hAnsi="Arial" w:cs="Arial"/>
                <w:color w:val="000000" w:themeColor="text1"/>
                <w:sz w:val="16"/>
                <w:szCs w:val="16"/>
              </w:rPr>
            </w:pPr>
            <w:r w:rsidRPr="004E2853">
              <w:rPr>
                <w:rFonts w:ascii="Arial" w:hAnsi="Arial" w:cs="Arial"/>
                <w:color w:val="000000" w:themeColor="text1"/>
                <w:sz w:val="16"/>
                <w:szCs w:val="16"/>
              </w:rPr>
              <w:t>Abbreviations: SNAP: Supplemental Nutrition Assistance Program; TANF: Temporary Assistance for Needy Families; EITC: Earned Income Tax Credit</w:t>
            </w:r>
          </w:p>
          <w:p w14:paraId="15218A08" w14:textId="77777777" w:rsidR="004E3739" w:rsidRPr="004E2853" w:rsidRDefault="004E3739" w:rsidP="00F16A9E">
            <w:pPr>
              <w:rPr>
                <w:rFonts w:ascii="Arial" w:hAnsi="Arial" w:cs="Arial"/>
                <w:color w:val="000000" w:themeColor="text1"/>
                <w:sz w:val="16"/>
                <w:szCs w:val="16"/>
              </w:rPr>
            </w:pPr>
            <w:r w:rsidRPr="004E2853">
              <w:rPr>
                <w:rFonts w:ascii="Arial" w:hAnsi="Arial" w:cs="Arial"/>
                <w:color w:val="000000" w:themeColor="text1"/>
                <w:sz w:val="16"/>
                <w:szCs w:val="16"/>
              </w:rPr>
              <w:t>Notes: Data were drawn from 2008-2012 US birth certificates (N = 11,855,417 women in 27 states). WIC eligibility was imputed using self-reported demographics. Coefficients for binary outcomes were multiplied by 100 and therefore represent a change in percentage points. Binary variables include small/large/appropriate for gestational age and gestational diabetes mellitus. All models include individual characteristics (mother's age, race/ethnicity, nativity, education, marital status, and parity), state characteristics (birth rate, unemployment rate, % SNAP/capita, % TANF/capita, EITC rate, and Medicaid income eligibility threshold), and fixed effects for time (year-month) and state. Robust standard errors were used to address possible heteroscedasticity. Baseline mean or % represents mean or % of outcomes among WIC-eligible mothers before the 2009 WIC revision.</w:t>
            </w:r>
          </w:p>
        </w:tc>
      </w:tr>
    </w:tbl>
    <w:p w14:paraId="4EB192B7" w14:textId="77777777" w:rsidR="004E3739" w:rsidRPr="004E2853" w:rsidRDefault="004E3739" w:rsidP="004E3739">
      <w:pPr>
        <w:rPr>
          <w:rFonts w:ascii="Arial" w:hAnsi="Arial" w:cs="Arial"/>
          <w:b/>
          <w:bCs/>
          <w:color w:val="000000" w:themeColor="text1"/>
          <w:sz w:val="20"/>
          <w:szCs w:val="20"/>
        </w:rPr>
        <w:sectPr w:rsidR="004E3739" w:rsidRPr="004E2853" w:rsidSect="004E3739">
          <w:pgSz w:w="15840" w:h="12240" w:orient="landscape"/>
          <w:pgMar w:top="1440" w:right="1440" w:bottom="1440" w:left="1440" w:header="720" w:footer="720" w:gutter="0"/>
          <w:cols w:space="720"/>
          <w:docGrid w:linePitch="360"/>
        </w:sectPr>
      </w:pPr>
    </w:p>
    <w:p w14:paraId="0D5649CE" w14:textId="77777777" w:rsidR="004E3739" w:rsidRPr="004E2853" w:rsidRDefault="004E3739" w:rsidP="004E3739">
      <w:pPr>
        <w:rPr>
          <w:rFonts w:ascii="Arial" w:hAnsi="Arial" w:cs="Arial"/>
          <w:color w:val="000000" w:themeColor="text1"/>
          <w:sz w:val="20"/>
          <w:szCs w:val="20"/>
        </w:rPr>
      </w:pPr>
    </w:p>
    <w:tbl>
      <w:tblPr>
        <w:tblW w:w="13111" w:type="dxa"/>
        <w:tblLayout w:type="fixed"/>
        <w:tblLook w:val="04A0" w:firstRow="1" w:lastRow="0" w:firstColumn="1" w:lastColumn="0" w:noHBand="0" w:noVBand="1"/>
      </w:tblPr>
      <w:tblGrid>
        <w:gridCol w:w="2520"/>
        <w:gridCol w:w="139"/>
        <w:gridCol w:w="1841"/>
        <w:gridCol w:w="109"/>
        <w:gridCol w:w="1601"/>
        <w:gridCol w:w="1720"/>
        <w:gridCol w:w="1720"/>
        <w:gridCol w:w="1709"/>
        <w:gridCol w:w="1717"/>
        <w:gridCol w:w="35"/>
      </w:tblGrid>
      <w:tr w:rsidR="004E3739" w:rsidRPr="004E2853" w14:paraId="15262AC6" w14:textId="77777777" w:rsidTr="00F16A9E">
        <w:trPr>
          <w:gridAfter w:val="1"/>
          <w:wAfter w:w="35" w:type="dxa"/>
          <w:trHeight w:val="300"/>
        </w:trPr>
        <w:tc>
          <w:tcPr>
            <w:tcW w:w="13076" w:type="dxa"/>
            <w:gridSpan w:val="9"/>
            <w:tcBorders>
              <w:top w:val="nil"/>
              <w:left w:val="nil"/>
              <w:bottom w:val="single" w:sz="4" w:space="0" w:color="auto"/>
            </w:tcBorders>
            <w:shd w:val="clear" w:color="auto" w:fill="auto"/>
            <w:noWrap/>
            <w:vAlign w:val="bottom"/>
            <w:hideMark/>
          </w:tcPr>
          <w:p w14:paraId="425A16B6" w14:textId="529B925D"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Table S</w:t>
            </w:r>
            <w:r w:rsidR="007343C9" w:rsidRPr="004E2853">
              <w:rPr>
                <w:rFonts w:ascii="Arial" w:hAnsi="Arial" w:cs="Arial"/>
                <w:color w:val="000000" w:themeColor="text1"/>
                <w:sz w:val="20"/>
                <w:szCs w:val="20"/>
              </w:rPr>
              <w:t>6</w:t>
            </w:r>
            <w:r w:rsidRPr="004E2853">
              <w:rPr>
                <w:rFonts w:ascii="Arial" w:hAnsi="Arial" w:cs="Arial"/>
                <w:color w:val="000000" w:themeColor="text1"/>
                <w:sz w:val="20"/>
                <w:szCs w:val="20"/>
              </w:rPr>
              <w:t>. Association of Revised WIC Food Package with Infant and Maternal Health, sensitivity test using different lengths of pre-treatment periods</w:t>
            </w:r>
          </w:p>
        </w:tc>
      </w:tr>
      <w:tr w:rsidR="004E3739" w:rsidRPr="004E2853" w14:paraId="3F84D2EF" w14:textId="77777777" w:rsidTr="00F16A9E">
        <w:trPr>
          <w:trHeight w:val="960"/>
        </w:trPr>
        <w:tc>
          <w:tcPr>
            <w:tcW w:w="2659" w:type="dxa"/>
            <w:gridSpan w:val="2"/>
            <w:tcBorders>
              <w:top w:val="nil"/>
              <w:left w:val="nil"/>
              <w:bottom w:val="single" w:sz="4" w:space="0" w:color="auto"/>
              <w:right w:val="nil"/>
            </w:tcBorders>
            <w:shd w:val="clear" w:color="auto" w:fill="auto"/>
            <w:vAlign w:val="center"/>
            <w:hideMark/>
          </w:tcPr>
          <w:p w14:paraId="74439B8F"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 </w:t>
            </w:r>
          </w:p>
        </w:tc>
        <w:tc>
          <w:tcPr>
            <w:tcW w:w="1950" w:type="dxa"/>
            <w:gridSpan w:val="2"/>
            <w:tcBorders>
              <w:top w:val="nil"/>
              <w:left w:val="nil"/>
              <w:bottom w:val="single" w:sz="4" w:space="0" w:color="auto"/>
              <w:right w:val="nil"/>
            </w:tcBorders>
            <w:shd w:val="clear" w:color="auto" w:fill="auto"/>
            <w:vAlign w:val="center"/>
            <w:hideMark/>
          </w:tcPr>
          <w:p w14:paraId="60B3AE8A"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themeColor="text1"/>
                <w:sz w:val="20"/>
                <w:szCs w:val="20"/>
              </w:rPr>
              <w:t xml:space="preserve">Birthweight </w:t>
            </w:r>
            <w:r w:rsidRPr="004E2853">
              <w:rPr>
                <w:rFonts w:ascii="Arial" w:hAnsi="Arial" w:cs="Arial"/>
                <w:color w:val="000000" w:themeColor="text1"/>
                <w:sz w:val="20"/>
                <w:szCs w:val="20"/>
              </w:rPr>
              <w:br/>
              <w:t>(1000 grams)</w:t>
            </w:r>
          </w:p>
        </w:tc>
        <w:tc>
          <w:tcPr>
            <w:tcW w:w="1601" w:type="dxa"/>
            <w:tcBorders>
              <w:top w:val="nil"/>
              <w:left w:val="nil"/>
              <w:bottom w:val="single" w:sz="4" w:space="0" w:color="auto"/>
              <w:right w:val="nil"/>
            </w:tcBorders>
            <w:shd w:val="clear" w:color="auto" w:fill="auto"/>
            <w:vAlign w:val="center"/>
            <w:hideMark/>
          </w:tcPr>
          <w:p w14:paraId="683BCC0E"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themeColor="text1"/>
                <w:sz w:val="20"/>
                <w:szCs w:val="20"/>
              </w:rPr>
              <w:t>Small for gestational age</w:t>
            </w:r>
          </w:p>
        </w:tc>
        <w:tc>
          <w:tcPr>
            <w:tcW w:w="1720" w:type="dxa"/>
            <w:tcBorders>
              <w:top w:val="nil"/>
              <w:left w:val="nil"/>
              <w:bottom w:val="single" w:sz="4" w:space="0" w:color="auto"/>
              <w:right w:val="nil"/>
            </w:tcBorders>
            <w:shd w:val="clear" w:color="auto" w:fill="auto"/>
            <w:vAlign w:val="center"/>
            <w:hideMark/>
          </w:tcPr>
          <w:p w14:paraId="591032D0"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themeColor="text1"/>
                <w:sz w:val="20"/>
                <w:szCs w:val="20"/>
              </w:rPr>
              <w:t>Large for gestational age</w:t>
            </w:r>
          </w:p>
        </w:tc>
        <w:tc>
          <w:tcPr>
            <w:tcW w:w="1720" w:type="dxa"/>
            <w:tcBorders>
              <w:top w:val="nil"/>
              <w:left w:val="nil"/>
              <w:bottom w:val="single" w:sz="4" w:space="0" w:color="auto"/>
              <w:right w:val="nil"/>
            </w:tcBorders>
            <w:shd w:val="clear" w:color="auto" w:fill="auto"/>
            <w:vAlign w:val="center"/>
            <w:hideMark/>
          </w:tcPr>
          <w:p w14:paraId="5D7A4DD2"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themeColor="text1"/>
                <w:sz w:val="20"/>
                <w:szCs w:val="20"/>
              </w:rPr>
              <w:t>Appropriate for gestational age</w:t>
            </w:r>
          </w:p>
        </w:tc>
        <w:tc>
          <w:tcPr>
            <w:tcW w:w="1709" w:type="dxa"/>
            <w:tcBorders>
              <w:top w:val="nil"/>
              <w:left w:val="nil"/>
              <w:bottom w:val="single" w:sz="4" w:space="0" w:color="auto"/>
              <w:right w:val="nil"/>
            </w:tcBorders>
            <w:shd w:val="clear" w:color="auto" w:fill="auto"/>
            <w:vAlign w:val="center"/>
            <w:hideMark/>
          </w:tcPr>
          <w:p w14:paraId="38085F96"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themeColor="text1"/>
                <w:sz w:val="20"/>
                <w:szCs w:val="20"/>
              </w:rPr>
              <w:t>Gestational diabetes mellitus</w:t>
            </w:r>
          </w:p>
        </w:tc>
        <w:tc>
          <w:tcPr>
            <w:tcW w:w="1752" w:type="dxa"/>
            <w:gridSpan w:val="2"/>
            <w:tcBorders>
              <w:top w:val="nil"/>
              <w:left w:val="nil"/>
              <w:bottom w:val="single" w:sz="4" w:space="0" w:color="auto"/>
              <w:right w:val="nil"/>
            </w:tcBorders>
            <w:shd w:val="clear" w:color="auto" w:fill="auto"/>
            <w:vAlign w:val="center"/>
            <w:hideMark/>
          </w:tcPr>
          <w:p w14:paraId="3447BF5B"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themeColor="text1"/>
                <w:sz w:val="20"/>
                <w:szCs w:val="20"/>
              </w:rPr>
              <w:t xml:space="preserve">Gestational weight gain </w:t>
            </w:r>
            <w:r w:rsidRPr="004E2853">
              <w:rPr>
                <w:rFonts w:ascii="Arial" w:hAnsi="Arial" w:cs="Arial"/>
                <w:color w:val="000000" w:themeColor="text1"/>
                <w:sz w:val="20"/>
                <w:szCs w:val="20"/>
              </w:rPr>
              <w:br/>
              <w:t>(pounds)</w:t>
            </w:r>
          </w:p>
        </w:tc>
      </w:tr>
      <w:tr w:rsidR="004E3739" w:rsidRPr="004E2853" w14:paraId="53799760" w14:textId="77777777" w:rsidTr="00F16A9E">
        <w:trPr>
          <w:gridAfter w:val="1"/>
          <w:wAfter w:w="35" w:type="dxa"/>
          <w:trHeight w:val="300"/>
        </w:trPr>
        <w:tc>
          <w:tcPr>
            <w:tcW w:w="13076" w:type="dxa"/>
            <w:gridSpan w:val="9"/>
            <w:tcBorders>
              <w:top w:val="nil"/>
              <w:left w:val="nil"/>
              <w:bottom w:val="nil"/>
              <w:right w:val="nil"/>
            </w:tcBorders>
            <w:shd w:val="clear" w:color="auto" w:fill="auto"/>
            <w:vAlign w:val="bottom"/>
            <w:hideMark/>
          </w:tcPr>
          <w:p w14:paraId="659D0299" w14:textId="77777777" w:rsidR="004E3739" w:rsidRPr="004E2853" w:rsidRDefault="004E3739" w:rsidP="00F16A9E">
            <w:pPr>
              <w:rPr>
                <w:rFonts w:ascii="Arial" w:hAnsi="Arial" w:cs="Arial"/>
                <w:b/>
                <w:bCs/>
                <w:i/>
                <w:iCs/>
                <w:color w:val="000000" w:themeColor="text1"/>
                <w:sz w:val="20"/>
                <w:szCs w:val="20"/>
                <w:u w:val="single"/>
              </w:rPr>
            </w:pPr>
            <w:r w:rsidRPr="004E2853">
              <w:rPr>
                <w:rFonts w:ascii="Arial" w:hAnsi="Arial" w:cs="Arial"/>
                <w:b/>
                <w:bCs/>
                <w:i/>
                <w:iCs/>
                <w:color w:val="000000" w:themeColor="text1"/>
                <w:sz w:val="20"/>
                <w:szCs w:val="20"/>
                <w:u w:val="single"/>
              </w:rPr>
              <w:t>Sample A</w:t>
            </w:r>
          </w:p>
        </w:tc>
      </w:tr>
      <w:tr w:rsidR="004E3739" w:rsidRPr="004E2853" w14:paraId="7EF78929" w14:textId="77777777" w:rsidTr="00F16A9E">
        <w:trPr>
          <w:trHeight w:val="320"/>
        </w:trPr>
        <w:tc>
          <w:tcPr>
            <w:tcW w:w="2520" w:type="dxa"/>
            <w:vMerge w:val="restart"/>
            <w:tcBorders>
              <w:top w:val="nil"/>
              <w:left w:val="nil"/>
              <w:bottom w:val="single" w:sz="4" w:space="0" w:color="000000"/>
              <w:right w:val="nil"/>
            </w:tcBorders>
            <w:shd w:val="clear" w:color="auto" w:fill="auto"/>
            <w:vAlign w:val="center"/>
            <w:hideMark/>
          </w:tcPr>
          <w:p w14:paraId="7AB11803"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WIC-eligible*Post-2009</w:t>
            </w:r>
          </w:p>
        </w:tc>
        <w:tc>
          <w:tcPr>
            <w:tcW w:w="1980" w:type="dxa"/>
            <w:gridSpan w:val="2"/>
            <w:tcBorders>
              <w:top w:val="nil"/>
              <w:left w:val="nil"/>
              <w:bottom w:val="nil"/>
              <w:right w:val="nil"/>
            </w:tcBorders>
            <w:shd w:val="clear" w:color="auto" w:fill="auto"/>
            <w:vAlign w:val="center"/>
            <w:hideMark/>
          </w:tcPr>
          <w:p w14:paraId="76F318A2"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-3.514***</w:t>
            </w:r>
          </w:p>
        </w:tc>
        <w:tc>
          <w:tcPr>
            <w:tcW w:w="1710" w:type="dxa"/>
            <w:gridSpan w:val="2"/>
            <w:tcBorders>
              <w:top w:val="nil"/>
              <w:left w:val="nil"/>
              <w:bottom w:val="nil"/>
              <w:right w:val="nil"/>
            </w:tcBorders>
            <w:shd w:val="clear" w:color="auto" w:fill="auto"/>
            <w:vAlign w:val="center"/>
            <w:hideMark/>
          </w:tcPr>
          <w:p w14:paraId="6704EE45"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-0.074*</w:t>
            </w:r>
          </w:p>
        </w:tc>
        <w:tc>
          <w:tcPr>
            <w:tcW w:w="1720" w:type="dxa"/>
            <w:tcBorders>
              <w:top w:val="nil"/>
              <w:left w:val="nil"/>
              <w:bottom w:val="nil"/>
              <w:right w:val="nil"/>
            </w:tcBorders>
            <w:shd w:val="clear" w:color="auto" w:fill="auto"/>
            <w:vAlign w:val="center"/>
            <w:hideMark/>
          </w:tcPr>
          <w:p w14:paraId="4335AACD"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-0.005</w:t>
            </w:r>
          </w:p>
        </w:tc>
        <w:tc>
          <w:tcPr>
            <w:tcW w:w="1720" w:type="dxa"/>
            <w:tcBorders>
              <w:top w:val="nil"/>
              <w:left w:val="nil"/>
              <w:bottom w:val="nil"/>
              <w:right w:val="nil"/>
            </w:tcBorders>
            <w:shd w:val="clear" w:color="auto" w:fill="auto"/>
            <w:vAlign w:val="center"/>
            <w:hideMark/>
          </w:tcPr>
          <w:p w14:paraId="7CE65D3A"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0.08</w:t>
            </w:r>
          </w:p>
        </w:tc>
        <w:tc>
          <w:tcPr>
            <w:tcW w:w="1709" w:type="dxa"/>
            <w:tcBorders>
              <w:top w:val="nil"/>
              <w:left w:val="nil"/>
              <w:bottom w:val="nil"/>
              <w:right w:val="nil"/>
            </w:tcBorders>
            <w:shd w:val="clear" w:color="auto" w:fill="auto"/>
            <w:vAlign w:val="center"/>
            <w:hideMark/>
          </w:tcPr>
          <w:p w14:paraId="2C936359"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0.029</w:t>
            </w:r>
          </w:p>
        </w:tc>
        <w:tc>
          <w:tcPr>
            <w:tcW w:w="1752" w:type="dxa"/>
            <w:gridSpan w:val="2"/>
            <w:tcBorders>
              <w:top w:val="nil"/>
              <w:left w:val="nil"/>
              <w:bottom w:val="nil"/>
              <w:right w:val="nil"/>
            </w:tcBorders>
            <w:shd w:val="clear" w:color="auto" w:fill="auto"/>
            <w:vAlign w:val="center"/>
            <w:hideMark/>
          </w:tcPr>
          <w:p w14:paraId="2D5708C0"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-0.061***</w:t>
            </w:r>
          </w:p>
        </w:tc>
      </w:tr>
      <w:tr w:rsidR="004E3739" w:rsidRPr="004E2853" w14:paraId="58582693" w14:textId="77777777" w:rsidTr="00F16A9E">
        <w:trPr>
          <w:trHeight w:val="320"/>
        </w:trPr>
        <w:tc>
          <w:tcPr>
            <w:tcW w:w="2520" w:type="dxa"/>
            <w:vMerge/>
            <w:tcBorders>
              <w:top w:val="nil"/>
              <w:left w:val="nil"/>
              <w:bottom w:val="single" w:sz="4" w:space="0" w:color="000000"/>
              <w:right w:val="nil"/>
            </w:tcBorders>
            <w:vAlign w:val="center"/>
            <w:hideMark/>
          </w:tcPr>
          <w:p w14:paraId="7955DACF" w14:textId="77777777" w:rsidR="004E3739" w:rsidRPr="004E2853" w:rsidRDefault="004E3739" w:rsidP="00F16A9E">
            <w:pPr>
              <w:rPr>
                <w:rFonts w:ascii="Arial" w:hAnsi="Arial" w:cs="Arial"/>
                <w:color w:val="000000" w:themeColor="text1"/>
                <w:sz w:val="20"/>
                <w:szCs w:val="20"/>
              </w:rPr>
            </w:pPr>
          </w:p>
        </w:tc>
        <w:tc>
          <w:tcPr>
            <w:tcW w:w="1980" w:type="dxa"/>
            <w:gridSpan w:val="2"/>
            <w:tcBorders>
              <w:top w:val="nil"/>
              <w:left w:val="nil"/>
              <w:bottom w:val="single" w:sz="4" w:space="0" w:color="auto"/>
              <w:right w:val="nil"/>
            </w:tcBorders>
            <w:shd w:val="clear" w:color="auto" w:fill="auto"/>
            <w:vAlign w:val="center"/>
            <w:hideMark/>
          </w:tcPr>
          <w:p w14:paraId="6DB82D35"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[-4.766,-2.262]</w:t>
            </w:r>
          </w:p>
        </w:tc>
        <w:tc>
          <w:tcPr>
            <w:tcW w:w="1710" w:type="dxa"/>
            <w:gridSpan w:val="2"/>
            <w:tcBorders>
              <w:top w:val="nil"/>
              <w:left w:val="nil"/>
              <w:bottom w:val="single" w:sz="4" w:space="0" w:color="auto"/>
              <w:right w:val="nil"/>
            </w:tcBorders>
            <w:shd w:val="clear" w:color="auto" w:fill="auto"/>
            <w:vAlign w:val="center"/>
            <w:hideMark/>
          </w:tcPr>
          <w:p w14:paraId="4DAB4DC1"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[-0.147,-0.002]</w:t>
            </w:r>
          </w:p>
        </w:tc>
        <w:tc>
          <w:tcPr>
            <w:tcW w:w="1720" w:type="dxa"/>
            <w:tcBorders>
              <w:top w:val="nil"/>
              <w:left w:val="nil"/>
              <w:bottom w:val="single" w:sz="4" w:space="0" w:color="auto"/>
              <w:right w:val="nil"/>
            </w:tcBorders>
            <w:shd w:val="clear" w:color="auto" w:fill="auto"/>
            <w:vAlign w:val="center"/>
            <w:hideMark/>
          </w:tcPr>
          <w:p w14:paraId="3FD2B690"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[-0.078,0.067]</w:t>
            </w:r>
          </w:p>
        </w:tc>
        <w:tc>
          <w:tcPr>
            <w:tcW w:w="1720" w:type="dxa"/>
            <w:tcBorders>
              <w:top w:val="nil"/>
              <w:left w:val="nil"/>
              <w:bottom w:val="single" w:sz="4" w:space="0" w:color="auto"/>
              <w:right w:val="nil"/>
            </w:tcBorders>
            <w:shd w:val="clear" w:color="auto" w:fill="auto"/>
            <w:vAlign w:val="center"/>
            <w:hideMark/>
          </w:tcPr>
          <w:p w14:paraId="11B276CD"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[-0.017,0.177]</w:t>
            </w:r>
          </w:p>
        </w:tc>
        <w:tc>
          <w:tcPr>
            <w:tcW w:w="1709" w:type="dxa"/>
            <w:tcBorders>
              <w:top w:val="nil"/>
              <w:left w:val="nil"/>
              <w:bottom w:val="single" w:sz="4" w:space="0" w:color="auto"/>
              <w:right w:val="nil"/>
            </w:tcBorders>
            <w:shd w:val="clear" w:color="auto" w:fill="auto"/>
            <w:vAlign w:val="center"/>
            <w:hideMark/>
          </w:tcPr>
          <w:p w14:paraId="06844AB4"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[-0.021,0.078]</w:t>
            </w:r>
          </w:p>
        </w:tc>
        <w:tc>
          <w:tcPr>
            <w:tcW w:w="1752" w:type="dxa"/>
            <w:gridSpan w:val="2"/>
            <w:tcBorders>
              <w:top w:val="nil"/>
              <w:left w:val="nil"/>
              <w:bottom w:val="single" w:sz="4" w:space="0" w:color="auto"/>
              <w:right w:val="nil"/>
            </w:tcBorders>
            <w:shd w:val="clear" w:color="auto" w:fill="auto"/>
            <w:vAlign w:val="center"/>
            <w:hideMark/>
          </w:tcPr>
          <w:p w14:paraId="1C327FA9"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[-0.096,-0.025]</w:t>
            </w:r>
          </w:p>
        </w:tc>
      </w:tr>
      <w:tr w:rsidR="004E3739" w:rsidRPr="004E2853" w14:paraId="4060C291" w14:textId="77777777" w:rsidTr="00F16A9E">
        <w:trPr>
          <w:trHeight w:val="320"/>
        </w:trPr>
        <w:tc>
          <w:tcPr>
            <w:tcW w:w="2520" w:type="dxa"/>
            <w:tcBorders>
              <w:top w:val="nil"/>
              <w:left w:val="nil"/>
              <w:bottom w:val="nil"/>
              <w:right w:val="nil"/>
            </w:tcBorders>
            <w:shd w:val="clear" w:color="auto" w:fill="auto"/>
            <w:vAlign w:val="center"/>
            <w:hideMark/>
          </w:tcPr>
          <w:p w14:paraId="48CCA760"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N</w:t>
            </w:r>
          </w:p>
        </w:tc>
        <w:tc>
          <w:tcPr>
            <w:tcW w:w="1980" w:type="dxa"/>
            <w:gridSpan w:val="2"/>
            <w:tcBorders>
              <w:top w:val="nil"/>
              <w:left w:val="nil"/>
              <w:bottom w:val="nil"/>
              <w:right w:val="nil"/>
            </w:tcBorders>
            <w:shd w:val="clear" w:color="auto" w:fill="auto"/>
            <w:vAlign w:val="center"/>
            <w:hideMark/>
          </w:tcPr>
          <w:p w14:paraId="6E3DDCC6"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11,329,056</w:t>
            </w:r>
          </w:p>
        </w:tc>
        <w:tc>
          <w:tcPr>
            <w:tcW w:w="1710" w:type="dxa"/>
            <w:gridSpan w:val="2"/>
            <w:tcBorders>
              <w:top w:val="nil"/>
              <w:left w:val="nil"/>
              <w:bottom w:val="nil"/>
              <w:right w:val="nil"/>
            </w:tcBorders>
            <w:shd w:val="clear" w:color="auto" w:fill="auto"/>
            <w:vAlign w:val="center"/>
            <w:hideMark/>
          </w:tcPr>
          <w:p w14:paraId="564B7C08"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11,329,056</w:t>
            </w:r>
          </w:p>
        </w:tc>
        <w:tc>
          <w:tcPr>
            <w:tcW w:w="1720" w:type="dxa"/>
            <w:tcBorders>
              <w:top w:val="nil"/>
              <w:left w:val="nil"/>
              <w:bottom w:val="nil"/>
              <w:right w:val="nil"/>
            </w:tcBorders>
            <w:shd w:val="clear" w:color="auto" w:fill="auto"/>
            <w:vAlign w:val="center"/>
            <w:hideMark/>
          </w:tcPr>
          <w:p w14:paraId="28E23286"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11,329,056</w:t>
            </w:r>
          </w:p>
        </w:tc>
        <w:tc>
          <w:tcPr>
            <w:tcW w:w="1720" w:type="dxa"/>
            <w:tcBorders>
              <w:top w:val="nil"/>
              <w:left w:val="nil"/>
              <w:bottom w:val="nil"/>
              <w:right w:val="nil"/>
            </w:tcBorders>
            <w:shd w:val="clear" w:color="auto" w:fill="auto"/>
            <w:vAlign w:val="center"/>
            <w:hideMark/>
          </w:tcPr>
          <w:p w14:paraId="08B8FC93"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11,329,056</w:t>
            </w:r>
          </w:p>
        </w:tc>
        <w:tc>
          <w:tcPr>
            <w:tcW w:w="1709" w:type="dxa"/>
            <w:tcBorders>
              <w:top w:val="nil"/>
              <w:left w:val="nil"/>
              <w:bottom w:val="nil"/>
              <w:right w:val="nil"/>
            </w:tcBorders>
            <w:shd w:val="clear" w:color="auto" w:fill="auto"/>
            <w:vAlign w:val="center"/>
            <w:hideMark/>
          </w:tcPr>
          <w:p w14:paraId="3BBE483A"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11,298,207</w:t>
            </w:r>
          </w:p>
        </w:tc>
        <w:tc>
          <w:tcPr>
            <w:tcW w:w="1752" w:type="dxa"/>
            <w:gridSpan w:val="2"/>
            <w:tcBorders>
              <w:top w:val="nil"/>
              <w:left w:val="nil"/>
              <w:bottom w:val="nil"/>
              <w:right w:val="nil"/>
            </w:tcBorders>
            <w:shd w:val="clear" w:color="auto" w:fill="auto"/>
            <w:vAlign w:val="center"/>
            <w:hideMark/>
          </w:tcPr>
          <w:p w14:paraId="0DE5B516"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10,745,245</w:t>
            </w:r>
          </w:p>
        </w:tc>
      </w:tr>
      <w:tr w:rsidR="004E3739" w:rsidRPr="004E2853" w14:paraId="292A323C" w14:textId="77777777" w:rsidTr="00F16A9E">
        <w:trPr>
          <w:trHeight w:val="320"/>
        </w:trPr>
        <w:tc>
          <w:tcPr>
            <w:tcW w:w="2520" w:type="dxa"/>
            <w:tcBorders>
              <w:top w:val="nil"/>
              <w:left w:val="nil"/>
              <w:bottom w:val="single" w:sz="4" w:space="0" w:color="auto"/>
              <w:right w:val="nil"/>
            </w:tcBorders>
            <w:shd w:val="clear" w:color="auto" w:fill="auto"/>
            <w:vAlign w:val="center"/>
            <w:hideMark/>
          </w:tcPr>
          <w:p w14:paraId="5B1509A5"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Baseline mean</w:t>
            </w:r>
          </w:p>
        </w:tc>
        <w:tc>
          <w:tcPr>
            <w:tcW w:w="1980" w:type="dxa"/>
            <w:gridSpan w:val="2"/>
            <w:tcBorders>
              <w:top w:val="nil"/>
              <w:left w:val="nil"/>
              <w:bottom w:val="single" w:sz="4" w:space="0" w:color="auto"/>
              <w:right w:val="nil"/>
            </w:tcBorders>
            <w:shd w:val="clear" w:color="auto" w:fill="auto"/>
            <w:vAlign w:val="center"/>
            <w:hideMark/>
          </w:tcPr>
          <w:p w14:paraId="511FD808"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3,247</w:t>
            </w:r>
          </w:p>
        </w:tc>
        <w:tc>
          <w:tcPr>
            <w:tcW w:w="1710" w:type="dxa"/>
            <w:gridSpan w:val="2"/>
            <w:tcBorders>
              <w:top w:val="nil"/>
              <w:left w:val="nil"/>
              <w:bottom w:val="single" w:sz="4" w:space="0" w:color="auto"/>
              <w:right w:val="nil"/>
            </w:tcBorders>
            <w:shd w:val="clear" w:color="auto" w:fill="auto"/>
            <w:vAlign w:val="center"/>
            <w:hideMark/>
          </w:tcPr>
          <w:p w14:paraId="4DAF839F"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12.0</w:t>
            </w:r>
          </w:p>
        </w:tc>
        <w:tc>
          <w:tcPr>
            <w:tcW w:w="1720" w:type="dxa"/>
            <w:tcBorders>
              <w:top w:val="nil"/>
              <w:left w:val="nil"/>
              <w:bottom w:val="single" w:sz="4" w:space="0" w:color="auto"/>
              <w:right w:val="nil"/>
            </w:tcBorders>
            <w:shd w:val="clear" w:color="auto" w:fill="auto"/>
            <w:vAlign w:val="center"/>
            <w:hideMark/>
          </w:tcPr>
          <w:p w14:paraId="615946FF"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9.6</w:t>
            </w:r>
          </w:p>
        </w:tc>
        <w:tc>
          <w:tcPr>
            <w:tcW w:w="1720" w:type="dxa"/>
            <w:tcBorders>
              <w:top w:val="nil"/>
              <w:left w:val="nil"/>
              <w:bottom w:val="single" w:sz="4" w:space="0" w:color="auto"/>
              <w:right w:val="nil"/>
            </w:tcBorders>
            <w:shd w:val="clear" w:color="auto" w:fill="auto"/>
            <w:vAlign w:val="center"/>
            <w:hideMark/>
          </w:tcPr>
          <w:p w14:paraId="3905957B"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78.4</w:t>
            </w:r>
          </w:p>
        </w:tc>
        <w:tc>
          <w:tcPr>
            <w:tcW w:w="1709" w:type="dxa"/>
            <w:tcBorders>
              <w:top w:val="nil"/>
              <w:left w:val="nil"/>
              <w:bottom w:val="single" w:sz="4" w:space="0" w:color="auto"/>
              <w:right w:val="nil"/>
            </w:tcBorders>
            <w:shd w:val="clear" w:color="auto" w:fill="auto"/>
            <w:vAlign w:val="center"/>
            <w:hideMark/>
          </w:tcPr>
          <w:p w14:paraId="2644584A"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3.8</w:t>
            </w:r>
          </w:p>
        </w:tc>
        <w:tc>
          <w:tcPr>
            <w:tcW w:w="1752" w:type="dxa"/>
            <w:gridSpan w:val="2"/>
            <w:tcBorders>
              <w:top w:val="nil"/>
              <w:left w:val="nil"/>
              <w:bottom w:val="single" w:sz="4" w:space="0" w:color="auto"/>
              <w:right w:val="nil"/>
            </w:tcBorders>
            <w:shd w:val="clear" w:color="auto" w:fill="auto"/>
            <w:vAlign w:val="center"/>
            <w:hideMark/>
          </w:tcPr>
          <w:p w14:paraId="26FBE919"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29.7</w:t>
            </w:r>
          </w:p>
        </w:tc>
      </w:tr>
      <w:tr w:rsidR="004E3739" w:rsidRPr="004E2853" w14:paraId="73E1E039" w14:textId="77777777" w:rsidTr="00F16A9E">
        <w:trPr>
          <w:gridAfter w:val="1"/>
          <w:wAfter w:w="35" w:type="dxa"/>
          <w:trHeight w:val="300"/>
        </w:trPr>
        <w:tc>
          <w:tcPr>
            <w:tcW w:w="13076" w:type="dxa"/>
            <w:gridSpan w:val="9"/>
            <w:tcBorders>
              <w:top w:val="nil"/>
              <w:left w:val="nil"/>
              <w:bottom w:val="nil"/>
              <w:right w:val="nil"/>
            </w:tcBorders>
            <w:shd w:val="clear" w:color="auto" w:fill="auto"/>
            <w:vAlign w:val="bottom"/>
            <w:hideMark/>
          </w:tcPr>
          <w:p w14:paraId="52D5EC95" w14:textId="77777777" w:rsidR="004E3739" w:rsidRPr="004E2853" w:rsidRDefault="004E3739" w:rsidP="00F16A9E">
            <w:pPr>
              <w:rPr>
                <w:rFonts w:ascii="Arial" w:hAnsi="Arial" w:cs="Arial"/>
                <w:b/>
                <w:bCs/>
                <w:i/>
                <w:iCs/>
                <w:color w:val="000000" w:themeColor="text1"/>
                <w:sz w:val="20"/>
                <w:szCs w:val="20"/>
                <w:u w:val="single"/>
              </w:rPr>
            </w:pPr>
            <w:r w:rsidRPr="004E2853">
              <w:rPr>
                <w:rFonts w:ascii="Arial" w:hAnsi="Arial" w:cs="Arial"/>
                <w:b/>
                <w:bCs/>
                <w:i/>
                <w:iCs/>
                <w:color w:val="000000" w:themeColor="text1"/>
                <w:sz w:val="20"/>
                <w:szCs w:val="20"/>
                <w:u w:val="single"/>
              </w:rPr>
              <w:t>Sample B</w:t>
            </w:r>
          </w:p>
        </w:tc>
      </w:tr>
      <w:tr w:rsidR="004E3739" w:rsidRPr="004E2853" w14:paraId="6C9377AC" w14:textId="77777777" w:rsidTr="00F16A9E">
        <w:trPr>
          <w:trHeight w:val="320"/>
        </w:trPr>
        <w:tc>
          <w:tcPr>
            <w:tcW w:w="2659" w:type="dxa"/>
            <w:gridSpan w:val="2"/>
            <w:vMerge w:val="restart"/>
            <w:tcBorders>
              <w:top w:val="nil"/>
              <w:left w:val="nil"/>
              <w:bottom w:val="single" w:sz="4" w:space="0" w:color="000000"/>
              <w:right w:val="nil"/>
            </w:tcBorders>
            <w:shd w:val="clear" w:color="auto" w:fill="auto"/>
            <w:vAlign w:val="center"/>
            <w:hideMark/>
          </w:tcPr>
          <w:p w14:paraId="3B63F194"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WIC-eligible*Post-2009</w:t>
            </w:r>
          </w:p>
        </w:tc>
        <w:tc>
          <w:tcPr>
            <w:tcW w:w="1950" w:type="dxa"/>
            <w:gridSpan w:val="2"/>
            <w:tcBorders>
              <w:top w:val="nil"/>
              <w:left w:val="nil"/>
              <w:bottom w:val="nil"/>
              <w:right w:val="nil"/>
            </w:tcBorders>
            <w:shd w:val="clear" w:color="auto" w:fill="auto"/>
            <w:vAlign w:val="center"/>
            <w:hideMark/>
          </w:tcPr>
          <w:p w14:paraId="043792CF"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-3.342***</w:t>
            </w:r>
          </w:p>
        </w:tc>
        <w:tc>
          <w:tcPr>
            <w:tcW w:w="1601" w:type="dxa"/>
            <w:tcBorders>
              <w:top w:val="nil"/>
              <w:left w:val="nil"/>
              <w:bottom w:val="nil"/>
              <w:right w:val="nil"/>
            </w:tcBorders>
            <w:shd w:val="clear" w:color="auto" w:fill="auto"/>
            <w:vAlign w:val="center"/>
            <w:hideMark/>
          </w:tcPr>
          <w:p w14:paraId="6307D315"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-0.100*</w:t>
            </w:r>
          </w:p>
        </w:tc>
        <w:tc>
          <w:tcPr>
            <w:tcW w:w="1720" w:type="dxa"/>
            <w:tcBorders>
              <w:top w:val="nil"/>
              <w:left w:val="nil"/>
              <w:bottom w:val="nil"/>
              <w:right w:val="nil"/>
            </w:tcBorders>
            <w:shd w:val="clear" w:color="auto" w:fill="auto"/>
            <w:vAlign w:val="center"/>
            <w:hideMark/>
          </w:tcPr>
          <w:p w14:paraId="3E39BC33"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0.022</w:t>
            </w:r>
          </w:p>
        </w:tc>
        <w:tc>
          <w:tcPr>
            <w:tcW w:w="1720" w:type="dxa"/>
            <w:tcBorders>
              <w:top w:val="nil"/>
              <w:left w:val="nil"/>
              <w:bottom w:val="nil"/>
              <w:right w:val="nil"/>
            </w:tcBorders>
            <w:shd w:val="clear" w:color="auto" w:fill="auto"/>
            <w:vAlign w:val="center"/>
            <w:hideMark/>
          </w:tcPr>
          <w:p w14:paraId="47F5B5C3"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0.078</w:t>
            </w:r>
          </w:p>
        </w:tc>
        <w:tc>
          <w:tcPr>
            <w:tcW w:w="1709" w:type="dxa"/>
            <w:tcBorders>
              <w:top w:val="nil"/>
              <w:left w:val="nil"/>
              <w:bottom w:val="nil"/>
              <w:right w:val="nil"/>
            </w:tcBorders>
            <w:shd w:val="clear" w:color="auto" w:fill="auto"/>
            <w:vAlign w:val="center"/>
            <w:hideMark/>
          </w:tcPr>
          <w:p w14:paraId="384ACD63"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0.078**</w:t>
            </w:r>
          </w:p>
        </w:tc>
        <w:tc>
          <w:tcPr>
            <w:tcW w:w="1752" w:type="dxa"/>
            <w:gridSpan w:val="2"/>
            <w:tcBorders>
              <w:top w:val="nil"/>
              <w:left w:val="nil"/>
              <w:bottom w:val="nil"/>
              <w:right w:val="nil"/>
            </w:tcBorders>
            <w:shd w:val="clear" w:color="auto" w:fill="auto"/>
            <w:vAlign w:val="center"/>
            <w:hideMark/>
          </w:tcPr>
          <w:p w14:paraId="28B616BF"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-0.055**</w:t>
            </w:r>
          </w:p>
        </w:tc>
      </w:tr>
      <w:tr w:rsidR="004E3739" w:rsidRPr="004E2853" w14:paraId="771F5597" w14:textId="77777777" w:rsidTr="00F16A9E">
        <w:trPr>
          <w:trHeight w:val="320"/>
        </w:trPr>
        <w:tc>
          <w:tcPr>
            <w:tcW w:w="2659" w:type="dxa"/>
            <w:gridSpan w:val="2"/>
            <w:vMerge/>
            <w:tcBorders>
              <w:top w:val="nil"/>
              <w:left w:val="nil"/>
              <w:bottom w:val="single" w:sz="4" w:space="0" w:color="000000"/>
              <w:right w:val="nil"/>
            </w:tcBorders>
            <w:vAlign w:val="center"/>
            <w:hideMark/>
          </w:tcPr>
          <w:p w14:paraId="7062FCF7" w14:textId="77777777" w:rsidR="004E3739" w:rsidRPr="004E2853" w:rsidRDefault="004E3739" w:rsidP="00F16A9E">
            <w:pPr>
              <w:rPr>
                <w:rFonts w:ascii="Arial" w:hAnsi="Arial" w:cs="Arial"/>
                <w:color w:val="000000" w:themeColor="text1"/>
                <w:sz w:val="20"/>
                <w:szCs w:val="20"/>
              </w:rPr>
            </w:pPr>
          </w:p>
        </w:tc>
        <w:tc>
          <w:tcPr>
            <w:tcW w:w="1950" w:type="dxa"/>
            <w:gridSpan w:val="2"/>
            <w:tcBorders>
              <w:top w:val="nil"/>
              <w:left w:val="nil"/>
              <w:bottom w:val="single" w:sz="4" w:space="0" w:color="auto"/>
              <w:right w:val="nil"/>
            </w:tcBorders>
            <w:shd w:val="clear" w:color="auto" w:fill="auto"/>
            <w:vAlign w:val="center"/>
            <w:hideMark/>
          </w:tcPr>
          <w:p w14:paraId="208F76C2"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[-4.716,-1.968]</w:t>
            </w:r>
          </w:p>
        </w:tc>
        <w:tc>
          <w:tcPr>
            <w:tcW w:w="1601" w:type="dxa"/>
            <w:tcBorders>
              <w:top w:val="nil"/>
              <w:left w:val="nil"/>
              <w:bottom w:val="single" w:sz="4" w:space="0" w:color="auto"/>
              <w:right w:val="nil"/>
            </w:tcBorders>
            <w:shd w:val="clear" w:color="auto" w:fill="auto"/>
            <w:vAlign w:val="center"/>
            <w:hideMark/>
          </w:tcPr>
          <w:p w14:paraId="3ACBC106"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[-0.179,-0.021]</w:t>
            </w:r>
          </w:p>
        </w:tc>
        <w:tc>
          <w:tcPr>
            <w:tcW w:w="1720" w:type="dxa"/>
            <w:tcBorders>
              <w:top w:val="nil"/>
              <w:left w:val="nil"/>
              <w:bottom w:val="single" w:sz="4" w:space="0" w:color="auto"/>
              <w:right w:val="nil"/>
            </w:tcBorders>
            <w:shd w:val="clear" w:color="auto" w:fill="auto"/>
            <w:vAlign w:val="center"/>
            <w:hideMark/>
          </w:tcPr>
          <w:p w14:paraId="35B8E723"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[-0.058,0.102]</w:t>
            </w:r>
          </w:p>
        </w:tc>
        <w:tc>
          <w:tcPr>
            <w:tcW w:w="1720" w:type="dxa"/>
            <w:tcBorders>
              <w:top w:val="nil"/>
              <w:left w:val="nil"/>
              <w:bottom w:val="single" w:sz="4" w:space="0" w:color="auto"/>
              <w:right w:val="nil"/>
            </w:tcBorders>
            <w:shd w:val="clear" w:color="auto" w:fill="auto"/>
            <w:vAlign w:val="center"/>
            <w:hideMark/>
          </w:tcPr>
          <w:p w14:paraId="1187E908"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[-0.028,0.184]</w:t>
            </w:r>
          </w:p>
        </w:tc>
        <w:tc>
          <w:tcPr>
            <w:tcW w:w="1709" w:type="dxa"/>
            <w:tcBorders>
              <w:top w:val="nil"/>
              <w:left w:val="nil"/>
              <w:bottom w:val="single" w:sz="4" w:space="0" w:color="auto"/>
              <w:right w:val="nil"/>
            </w:tcBorders>
            <w:shd w:val="clear" w:color="auto" w:fill="auto"/>
            <w:vAlign w:val="center"/>
            <w:hideMark/>
          </w:tcPr>
          <w:p w14:paraId="26039E0B"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[0.024,0.133]</w:t>
            </w:r>
          </w:p>
        </w:tc>
        <w:tc>
          <w:tcPr>
            <w:tcW w:w="1752" w:type="dxa"/>
            <w:gridSpan w:val="2"/>
            <w:tcBorders>
              <w:top w:val="nil"/>
              <w:left w:val="nil"/>
              <w:bottom w:val="single" w:sz="4" w:space="0" w:color="auto"/>
              <w:right w:val="nil"/>
            </w:tcBorders>
            <w:shd w:val="clear" w:color="auto" w:fill="auto"/>
            <w:vAlign w:val="center"/>
            <w:hideMark/>
          </w:tcPr>
          <w:p w14:paraId="73D2C012"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[-0.093,-0.016]</w:t>
            </w:r>
          </w:p>
        </w:tc>
      </w:tr>
      <w:tr w:rsidR="004E3739" w:rsidRPr="004E2853" w14:paraId="53BB28B6" w14:textId="77777777" w:rsidTr="00F16A9E">
        <w:trPr>
          <w:trHeight w:val="320"/>
        </w:trPr>
        <w:tc>
          <w:tcPr>
            <w:tcW w:w="2659" w:type="dxa"/>
            <w:gridSpan w:val="2"/>
            <w:tcBorders>
              <w:top w:val="nil"/>
              <w:left w:val="nil"/>
              <w:bottom w:val="nil"/>
              <w:right w:val="nil"/>
            </w:tcBorders>
            <w:shd w:val="clear" w:color="auto" w:fill="auto"/>
            <w:vAlign w:val="center"/>
            <w:hideMark/>
          </w:tcPr>
          <w:p w14:paraId="08238728"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N</w:t>
            </w:r>
          </w:p>
        </w:tc>
        <w:tc>
          <w:tcPr>
            <w:tcW w:w="1950" w:type="dxa"/>
            <w:gridSpan w:val="2"/>
            <w:tcBorders>
              <w:top w:val="nil"/>
              <w:left w:val="nil"/>
              <w:bottom w:val="nil"/>
              <w:right w:val="nil"/>
            </w:tcBorders>
            <w:shd w:val="clear" w:color="auto" w:fill="auto"/>
            <w:vAlign w:val="center"/>
            <w:hideMark/>
          </w:tcPr>
          <w:p w14:paraId="5604C267"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9,418,976</w:t>
            </w:r>
          </w:p>
        </w:tc>
        <w:tc>
          <w:tcPr>
            <w:tcW w:w="1601" w:type="dxa"/>
            <w:tcBorders>
              <w:top w:val="nil"/>
              <w:left w:val="nil"/>
              <w:bottom w:val="nil"/>
              <w:right w:val="nil"/>
            </w:tcBorders>
            <w:shd w:val="clear" w:color="auto" w:fill="auto"/>
            <w:vAlign w:val="center"/>
            <w:hideMark/>
          </w:tcPr>
          <w:p w14:paraId="0FA2BE17"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9,418,976</w:t>
            </w:r>
          </w:p>
        </w:tc>
        <w:tc>
          <w:tcPr>
            <w:tcW w:w="1720" w:type="dxa"/>
            <w:tcBorders>
              <w:top w:val="nil"/>
              <w:left w:val="nil"/>
              <w:bottom w:val="nil"/>
              <w:right w:val="nil"/>
            </w:tcBorders>
            <w:shd w:val="clear" w:color="auto" w:fill="auto"/>
            <w:vAlign w:val="center"/>
            <w:hideMark/>
          </w:tcPr>
          <w:p w14:paraId="71633592"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9,418,976</w:t>
            </w:r>
          </w:p>
        </w:tc>
        <w:tc>
          <w:tcPr>
            <w:tcW w:w="1720" w:type="dxa"/>
            <w:tcBorders>
              <w:top w:val="nil"/>
              <w:left w:val="nil"/>
              <w:bottom w:val="nil"/>
              <w:right w:val="nil"/>
            </w:tcBorders>
            <w:shd w:val="clear" w:color="auto" w:fill="auto"/>
            <w:vAlign w:val="center"/>
            <w:hideMark/>
          </w:tcPr>
          <w:p w14:paraId="060B0B3E"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9,418,976</w:t>
            </w:r>
          </w:p>
        </w:tc>
        <w:tc>
          <w:tcPr>
            <w:tcW w:w="1709" w:type="dxa"/>
            <w:tcBorders>
              <w:top w:val="nil"/>
              <w:left w:val="nil"/>
              <w:bottom w:val="nil"/>
              <w:right w:val="nil"/>
            </w:tcBorders>
            <w:shd w:val="clear" w:color="auto" w:fill="auto"/>
            <w:vAlign w:val="center"/>
            <w:hideMark/>
          </w:tcPr>
          <w:p w14:paraId="70BAFDE5"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9,404,136</w:t>
            </w:r>
          </w:p>
        </w:tc>
        <w:tc>
          <w:tcPr>
            <w:tcW w:w="1752" w:type="dxa"/>
            <w:gridSpan w:val="2"/>
            <w:tcBorders>
              <w:top w:val="nil"/>
              <w:left w:val="nil"/>
              <w:bottom w:val="nil"/>
              <w:right w:val="nil"/>
            </w:tcBorders>
            <w:shd w:val="clear" w:color="auto" w:fill="auto"/>
            <w:vAlign w:val="center"/>
            <w:hideMark/>
          </w:tcPr>
          <w:p w14:paraId="50AB391F"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8,964,003</w:t>
            </w:r>
          </w:p>
        </w:tc>
      </w:tr>
      <w:tr w:rsidR="004E3739" w:rsidRPr="004E2853" w14:paraId="59EA57B5" w14:textId="77777777" w:rsidTr="00F16A9E">
        <w:trPr>
          <w:trHeight w:val="320"/>
        </w:trPr>
        <w:tc>
          <w:tcPr>
            <w:tcW w:w="2659" w:type="dxa"/>
            <w:gridSpan w:val="2"/>
            <w:tcBorders>
              <w:top w:val="nil"/>
              <w:left w:val="nil"/>
              <w:bottom w:val="single" w:sz="4" w:space="0" w:color="auto"/>
              <w:right w:val="nil"/>
            </w:tcBorders>
            <w:shd w:val="clear" w:color="auto" w:fill="auto"/>
            <w:vAlign w:val="center"/>
            <w:hideMark/>
          </w:tcPr>
          <w:p w14:paraId="4E15AEC6"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Baseline mean</w:t>
            </w:r>
          </w:p>
        </w:tc>
        <w:tc>
          <w:tcPr>
            <w:tcW w:w="1950" w:type="dxa"/>
            <w:gridSpan w:val="2"/>
            <w:tcBorders>
              <w:top w:val="nil"/>
              <w:left w:val="nil"/>
              <w:bottom w:val="single" w:sz="4" w:space="0" w:color="auto"/>
              <w:right w:val="nil"/>
            </w:tcBorders>
            <w:shd w:val="clear" w:color="auto" w:fill="auto"/>
            <w:vAlign w:val="center"/>
            <w:hideMark/>
          </w:tcPr>
          <w:p w14:paraId="30DEC7E9"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3,252</w:t>
            </w:r>
          </w:p>
        </w:tc>
        <w:tc>
          <w:tcPr>
            <w:tcW w:w="1601" w:type="dxa"/>
            <w:tcBorders>
              <w:top w:val="nil"/>
              <w:left w:val="nil"/>
              <w:bottom w:val="single" w:sz="4" w:space="0" w:color="auto"/>
              <w:right w:val="nil"/>
            </w:tcBorders>
            <w:shd w:val="clear" w:color="auto" w:fill="auto"/>
            <w:vAlign w:val="center"/>
            <w:hideMark/>
          </w:tcPr>
          <w:p w14:paraId="6DA7F149"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11.8</w:t>
            </w:r>
          </w:p>
        </w:tc>
        <w:tc>
          <w:tcPr>
            <w:tcW w:w="1720" w:type="dxa"/>
            <w:tcBorders>
              <w:top w:val="nil"/>
              <w:left w:val="nil"/>
              <w:bottom w:val="single" w:sz="4" w:space="0" w:color="auto"/>
              <w:right w:val="nil"/>
            </w:tcBorders>
            <w:shd w:val="clear" w:color="auto" w:fill="auto"/>
            <w:vAlign w:val="center"/>
            <w:hideMark/>
          </w:tcPr>
          <w:p w14:paraId="5EE06DD6"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9.7</w:t>
            </w:r>
          </w:p>
        </w:tc>
        <w:tc>
          <w:tcPr>
            <w:tcW w:w="1720" w:type="dxa"/>
            <w:tcBorders>
              <w:top w:val="nil"/>
              <w:left w:val="nil"/>
              <w:bottom w:val="single" w:sz="4" w:space="0" w:color="auto"/>
              <w:right w:val="nil"/>
            </w:tcBorders>
            <w:shd w:val="clear" w:color="auto" w:fill="auto"/>
            <w:vAlign w:val="center"/>
            <w:hideMark/>
          </w:tcPr>
          <w:p w14:paraId="62E28F5E"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78.5</w:t>
            </w:r>
          </w:p>
        </w:tc>
        <w:tc>
          <w:tcPr>
            <w:tcW w:w="1709" w:type="dxa"/>
            <w:tcBorders>
              <w:top w:val="nil"/>
              <w:left w:val="nil"/>
              <w:bottom w:val="single" w:sz="4" w:space="0" w:color="auto"/>
              <w:right w:val="nil"/>
            </w:tcBorders>
            <w:shd w:val="clear" w:color="auto" w:fill="auto"/>
            <w:vAlign w:val="center"/>
            <w:hideMark/>
          </w:tcPr>
          <w:p w14:paraId="28A3072E"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3.8</w:t>
            </w:r>
          </w:p>
        </w:tc>
        <w:tc>
          <w:tcPr>
            <w:tcW w:w="1752" w:type="dxa"/>
            <w:gridSpan w:val="2"/>
            <w:tcBorders>
              <w:top w:val="nil"/>
              <w:left w:val="nil"/>
              <w:bottom w:val="single" w:sz="4" w:space="0" w:color="auto"/>
              <w:right w:val="nil"/>
            </w:tcBorders>
            <w:shd w:val="clear" w:color="auto" w:fill="auto"/>
            <w:vAlign w:val="center"/>
            <w:hideMark/>
          </w:tcPr>
          <w:p w14:paraId="1157371F"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sz w:val="20"/>
                <w:szCs w:val="20"/>
              </w:rPr>
              <w:t>29.7</w:t>
            </w:r>
          </w:p>
        </w:tc>
      </w:tr>
      <w:tr w:rsidR="004E3739" w:rsidRPr="004E2853" w14:paraId="6E39C179" w14:textId="77777777" w:rsidTr="00F16A9E">
        <w:trPr>
          <w:gridAfter w:val="1"/>
          <w:wAfter w:w="35" w:type="dxa"/>
          <w:trHeight w:val="300"/>
        </w:trPr>
        <w:tc>
          <w:tcPr>
            <w:tcW w:w="13076" w:type="dxa"/>
            <w:gridSpan w:val="9"/>
            <w:tcBorders>
              <w:top w:val="nil"/>
              <w:left w:val="nil"/>
              <w:bottom w:val="nil"/>
              <w:right w:val="nil"/>
            </w:tcBorders>
            <w:shd w:val="clear" w:color="auto" w:fill="auto"/>
            <w:hideMark/>
          </w:tcPr>
          <w:p w14:paraId="0E33A47B" w14:textId="77777777" w:rsidR="004E3739" w:rsidRPr="004E2853" w:rsidRDefault="004E3739" w:rsidP="00F16A9E">
            <w:pPr>
              <w:rPr>
                <w:rFonts w:ascii="Arial" w:hAnsi="Arial" w:cs="Arial"/>
                <w:color w:val="000000" w:themeColor="text1"/>
                <w:sz w:val="16"/>
                <w:szCs w:val="16"/>
              </w:rPr>
            </w:pPr>
            <w:r w:rsidRPr="004E2853">
              <w:rPr>
                <w:rFonts w:ascii="Arial" w:hAnsi="Arial" w:cs="Arial"/>
                <w:color w:val="000000" w:themeColor="text1"/>
                <w:sz w:val="16"/>
                <w:szCs w:val="16"/>
              </w:rPr>
              <w:t>95% confidence intervals in brackets.  * p &lt; 0.05, ** p &lt; 0.01, *** p &lt; 0.001</w:t>
            </w:r>
          </w:p>
        </w:tc>
      </w:tr>
      <w:tr w:rsidR="004E3739" w:rsidRPr="004E2853" w14:paraId="156F00E4" w14:textId="77777777" w:rsidTr="002F4230">
        <w:trPr>
          <w:gridAfter w:val="1"/>
          <w:wAfter w:w="35" w:type="dxa"/>
          <w:trHeight w:val="68"/>
        </w:trPr>
        <w:tc>
          <w:tcPr>
            <w:tcW w:w="13076" w:type="dxa"/>
            <w:gridSpan w:val="9"/>
            <w:tcBorders>
              <w:top w:val="nil"/>
              <w:left w:val="nil"/>
              <w:bottom w:val="nil"/>
              <w:right w:val="nil"/>
            </w:tcBorders>
            <w:shd w:val="clear" w:color="auto" w:fill="auto"/>
            <w:hideMark/>
          </w:tcPr>
          <w:p w14:paraId="38C0210A" w14:textId="77777777" w:rsidR="004E3739" w:rsidRPr="004E2853" w:rsidRDefault="004E3739" w:rsidP="00F16A9E">
            <w:pPr>
              <w:tabs>
                <w:tab w:val="left" w:pos="2959"/>
              </w:tabs>
              <w:rPr>
                <w:rFonts w:ascii="Arial" w:hAnsi="Arial" w:cs="Arial"/>
                <w:color w:val="000000" w:themeColor="text1"/>
                <w:sz w:val="16"/>
                <w:szCs w:val="16"/>
              </w:rPr>
            </w:pPr>
            <w:r w:rsidRPr="004E2853">
              <w:rPr>
                <w:rFonts w:ascii="Arial" w:hAnsi="Arial" w:cs="Arial"/>
                <w:color w:val="000000" w:themeColor="text1"/>
                <w:sz w:val="16"/>
                <w:szCs w:val="16"/>
              </w:rPr>
              <w:t>Abbreviations: SNAP: Supplemental Nutrition Assistance Program; TANF: Temporary Assistance for Needy Families; EITC: Earned Income Tax Credit</w:t>
            </w:r>
          </w:p>
          <w:p w14:paraId="3DC04DA1" w14:textId="77777777" w:rsidR="004E3739" w:rsidRPr="004E2853" w:rsidRDefault="004E3739" w:rsidP="00F16A9E">
            <w:pPr>
              <w:rPr>
                <w:rFonts w:ascii="Arial" w:hAnsi="Arial" w:cs="Arial"/>
                <w:color w:val="000000" w:themeColor="text1"/>
                <w:sz w:val="16"/>
                <w:szCs w:val="16"/>
              </w:rPr>
            </w:pPr>
            <w:r w:rsidRPr="004E2853">
              <w:rPr>
                <w:rFonts w:ascii="Arial" w:hAnsi="Arial" w:cs="Arial"/>
                <w:color w:val="000000" w:themeColor="text1"/>
                <w:sz w:val="16"/>
                <w:szCs w:val="16"/>
              </w:rPr>
              <w:t>Notes: Data were drawn from 2008-2012 US birth certificates (N = 11,855,417 women in 27 states). WIC eligibility was imputed using self-reported demographics.  Sample A includes mothers whose second trimester started between January 2007 and December 2012 in 23 states that implemented the new birth certificate in or before 2007. Sample B includes mothers whose second trimester started between January 2006 and December 2012 in 18 states that implemented the new birth certificate in or before 2006. Coefficients for binary outcomes were multiplied by 100 and therefore represent a change in percentage points. Binary variables include small/large/appropriate for gestational age and gestational diabetes mellitus. All models include individual characteristics (mother's age, race/ethnicity, nativity, education, marital status, and parity), state characteristics (birth rate, unemployment rate, % SNAP/capita, % TANF/capita, EITC rate, and Medicaid income eligibility threshold), and fixed effects for time (year-month) and state. Robust standard errors were used to address possible heteroskedasticity. Baseline mean or % represents mean or % of outcomes among WIC-eligible mothers before the 2009 WIC revision.</w:t>
            </w:r>
          </w:p>
        </w:tc>
      </w:tr>
    </w:tbl>
    <w:p w14:paraId="5E81F7C7" w14:textId="77777777" w:rsidR="004E3739" w:rsidRPr="004E2853" w:rsidRDefault="004E3739" w:rsidP="004E3739">
      <w:pPr>
        <w:rPr>
          <w:rFonts w:ascii="Arial" w:hAnsi="Arial" w:cs="Arial"/>
          <w:color w:val="000000" w:themeColor="text1"/>
          <w:sz w:val="20"/>
          <w:szCs w:val="20"/>
        </w:rPr>
      </w:pPr>
    </w:p>
    <w:p w14:paraId="3B0B7C0A" w14:textId="77777777" w:rsidR="004E3739" w:rsidRPr="004E2853" w:rsidRDefault="004E3739" w:rsidP="004E3739">
      <w:pPr>
        <w:rPr>
          <w:rFonts w:ascii="Arial" w:hAnsi="Arial" w:cs="Arial"/>
          <w:color w:val="000000" w:themeColor="text1"/>
          <w:sz w:val="20"/>
          <w:szCs w:val="20"/>
        </w:rPr>
        <w:sectPr w:rsidR="004E3739" w:rsidRPr="004E2853" w:rsidSect="004E3739">
          <w:pgSz w:w="15840" w:h="12240" w:orient="landscape"/>
          <w:pgMar w:top="1440" w:right="1440" w:bottom="1440" w:left="1440" w:header="720" w:footer="720" w:gutter="0"/>
          <w:cols w:space="720"/>
          <w:docGrid w:linePitch="360"/>
        </w:sectPr>
      </w:pPr>
    </w:p>
    <w:tbl>
      <w:tblPr>
        <w:tblW w:w="9692" w:type="dxa"/>
        <w:tblCellMar>
          <w:top w:w="15" w:type="dxa"/>
        </w:tblCellMar>
        <w:tblLook w:val="04A0" w:firstRow="1" w:lastRow="0" w:firstColumn="1" w:lastColumn="0" w:noHBand="0" w:noVBand="1"/>
      </w:tblPr>
      <w:tblGrid>
        <w:gridCol w:w="5040"/>
        <w:gridCol w:w="4050"/>
        <w:gridCol w:w="602"/>
      </w:tblGrid>
      <w:tr w:rsidR="004E3739" w:rsidRPr="004E2853" w14:paraId="68080810" w14:textId="77777777" w:rsidTr="00F16A9E">
        <w:trPr>
          <w:gridAfter w:val="1"/>
          <w:wAfter w:w="602" w:type="dxa"/>
          <w:trHeight w:val="300"/>
        </w:trPr>
        <w:tc>
          <w:tcPr>
            <w:tcW w:w="9090" w:type="dxa"/>
            <w:gridSpan w:val="2"/>
            <w:tcBorders>
              <w:top w:val="nil"/>
              <w:left w:val="nil"/>
              <w:bottom w:val="single" w:sz="4" w:space="0" w:color="auto"/>
              <w:right w:val="nil"/>
            </w:tcBorders>
            <w:shd w:val="clear" w:color="auto" w:fill="auto"/>
            <w:noWrap/>
            <w:vAlign w:val="bottom"/>
            <w:hideMark/>
          </w:tcPr>
          <w:p w14:paraId="42A250F1" w14:textId="12A292EE"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lastRenderedPageBreak/>
              <w:t>Table S</w:t>
            </w:r>
            <w:r w:rsidR="007343C9" w:rsidRPr="004E2853">
              <w:rPr>
                <w:rFonts w:ascii="Arial" w:hAnsi="Arial" w:cs="Arial"/>
                <w:color w:val="000000" w:themeColor="text1"/>
                <w:sz w:val="20"/>
                <w:szCs w:val="20"/>
              </w:rPr>
              <w:t>7</w:t>
            </w:r>
            <w:r w:rsidRPr="004E2853">
              <w:rPr>
                <w:rFonts w:ascii="Arial" w:hAnsi="Arial" w:cs="Arial"/>
                <w:color w:val="000000" w:themeColor="text1"/>
                <w:sz w:val="20"/>
                <w:szCs w:val="20"/>
              </w:rPr>
              <w:t>. Association of Revised WIC Food Package with WIC Participation Rate among Pregnant Women ("First-stage")</w:t>
            </w:r>
          </w:p>
        </w:tc>
      </w:tr>
      <w:tr w:rsidR="004E3739" w:rsidRPr="004E2853" w14:paraId="040325AA" w14:textId="77777777" w:rsidTr="00F16A9E">
        <w:trPr>
          <w:gridAfter w:val="1"/>
          <w:wAfter w:w="602" w:type="dxa"/>
          <w:trHeight w:val="300"/>
        </w:trPr>
        <w:tc>
          <w:tcPr>
            <w:tcW w:w="5040" w:type="dxa"/>
            <w:tcBorders>
              <w:top w:val="nil"/>
              <w:left w:val="nil"/>
              <w:bottom w:val="single" w:sz="4" w:space="0" w:color="auto"/>
              <w:right w:val="nil"/>
            </w:tcBorders>
            <w:shd w:val="clear" w:color="auto" w:fill="auto"/>
            <w:noWrap/>
            <w:vAlign w:val="bottom"/>
            <w:hideMark/>
          </w:tcPr>
          <w:p w14:paraId="172A37D7"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 </w:t>
            </w:r>
          </w:p>
        </w:tc>
        <w:tc>
          <w:tcPr>
            <w:tcW w:w="4050" w:type="dxa"/>
            <w:tcBorders>
              <w:top w:val="nil"/>
              <w:left w:val="nil"/>
              <w:bottom w:val="single" w:sz="4" w:space="0" w:color="auto"/>
              <w:right w:val="nil"/>
            </w:tcBorders>
            <w:shd w:val="clear" w:color="auto" w:fill="auto"/>
            <w:noWrap/>
            <w:vAlign w:val="bottom"/>
            <w:hideMark/>
          </w:tcPr>
          <w:p w14:paraId="49ACE768"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themeColor="text1"/>
                <w:sz w:val="20"/>
                <w:szCs w:val="20"/>
              </w:rPr>
              <w:t>WIC participation rate</w:t>
            </w:r>
          </w:p>
          <w:p w14:paraId="09365262" w14:textId="77777777" w:rsidR="004E3739" w:rsidRPr="004E2853" w:rsidRDefault="004E3739" w:rsidP="00F16A9E">
            <w:pPr>
              <w:jc w:val="center"/>
              <w:rPr>
                <w:rFonts w:ascii="Arial" w:hAnsi="Arial" w:cs="Arial"/>
                <w:color w:val="000000" w:themeColor="text1"/>
                <w:sz w:val="20"/>
                <w:szCs w:val="20"/>
              </w:rPr>
            </w:pPr>
          </w:p>
        </w:tc>
      </w:tr>
      <w:tr w:rsidR="004E3739" w:rsidRPr="004E2853" w14:paraId="366DB8EB" w14:textId="77777777" w:rsidTr="00F16A9E">
        <w:trPr>
          <w:gridAfter w:val="1"/>
          <w:wAfter w:w="602" w:type="dxa"/>
          <w:trHeight w:val="300"/>
        </w:trPr>
        <w:tc>
          <w:tcPr>
            <w:tcW w:w="5040" w:type="dxa"/>
            <w:tcBorders>
              <w:top w:val="nil"/>
              <w:left w:val="nil"/>
              <w:bottom w:val="nil"/>
              <w:right w:val="nil"/>
            </w:tcBorders>
            <w:shd w:val="clear" w:color="auto" w:fill="auto"/>
            <w:noWrap/>
            <w:vAlign w:val="bottom"/>
            <w:hideMark/>
          </w:tcPr>
          <w:p w14:paraId="07C896BF"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New package adoption (coefficient X 100)</w:t>
            </w:r>
          </w:p>
        </w:tc>
        <w:tc>
          <w:tcPr>
            <w:tcW w:w="4050" w:type="dxa"/>
            <w:tcBorders>
              <w:top w:val="nil"/>
              <w:left w:val="nil"/>
              <w:bottom w:val="nil"/>
              <w:right w:val="nil"/>
            </w:tcBorders>
            <w:shd w:val="clear" w:color="auto" w:fill="auto"/>
            <w:noWrap/>
            <w:vAlign w:val="bottom"/>
            <w:hideMark/>
          </w:tcPr>
          <w:p w14:paraId="354BC267"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themeColor="text1"/>
                <w:sz w:val="20"/>
                <w:szCs w:val="20"/>
              </w:rPr>
              <w:t>-0.240</w:t>
            </w:r>
          </w:p>
        </w:tc>
      </w:tr>
      <w:tr w:rsidR="004E3739" w:rsidRPr="004E2853" w14:paraId="67205FE8" w14:textId="77777777" w:rsidTr="00F16A9E">
        <w:trPr>
          <w:gridAfter w:val="1"/>
          <w:wAfter w:w="602" w:type="dxa"/>
          <w:trHeight w:val="300"/>
        </w:trPr>
        <w:tc>
          <w:tcPr>
            <w:tcW w:w="5040" w:type="dxa"/>
            <w:tcBorders>
              <w:top w:val="nil"/>
              <w:left w:val="nil"/>
              <w:bottom w:val="single" w:sz="4" w:space="0" w:color="auto"/>
              <w:right w:val="nil"/>
            </w:tcBorders>
            <w:shd w:val="clear" w:color="auto" w:fill="auto"/>
            <w:noWrap/>
            <w:vAlign w:val="bottom"/>
            <w:hideMark/>
          </w:tcPr>
          <w:p w14:paraId="2A5BDE7F" w14:textId="77777777" w:rsidR="004E3739" w:rsidRPr="004E2853" w:rsidRDefault="004E3739" w:rsidP="00F16A9E">
            <w:pPr>
              <w:rPr>
                <w:rFonts w:ascii="Arial" w:hAnsi="Arial" w:cs="Arial"/>
                <w:color w:val="000000" w:themeColor="text1"/>
                <w:sz w:val="20"/>
                <w:szCs w:val="20"/>
              </w:rPr>
            </w:pPr>
          </w:p>
        </w:tc>
        <w:tc>
          <w:tcPr>
            <w:tcW w:w="4050" w:type="dxa"/>
            <w:tcBorders>
              <w:top w:val="nil"/>
              <w:left w:val="nil"/>
              <w:bottom w:val="single" w:sz="4" w:space="0" w:color="auto"/>
              <w:right w:val="nil"/>
            </w:tcBorders>
            <w:shd w:val="clear" w:color="auto" w:fill="auto"/>
            <w:noWrap/>
            <w:vAlign w:val="bottom"/>
            <w:hideMark/>
          </w:tcPr>
          <w:p w14:paraId="217380C9"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themeColor="text1"/>
                <w:sz w:val="20"/>
                <w:szCs w:val="20"/>
              </w:rPr>
              <w:t>[-2.762, 2.282]</w:t>
            </w:r>
          </w:p>
        </w:tc>
      </w:tr>
      <w:tr w:rsidR="004E3739" w:rsidRPr="004E2853" w14:paraId="5B4B2460" w14:textId="77777777" w:rsidTr="00F16A9E">
        <w:trPr>
          <w:gridAfter w:val="1"/>
          <w:wAfter w:w="602" w:type="dxa"/>
          <w:trHeight w:val="300"/>
        </w:trPr>
        <w:tc>
          <w:tcPr>
            <w:tcW w:w="5040" w:type="dxa"/>
            <w:tcBorders>
              <w:top w:val="nil"/>
              <w:left w:val="nil"/>
              <w:bottom w:val="nil"/>
              <w:right w:val="nil"/>
            </w:tcBorders>
            <w:shd w:val="clear" w:color="auto" w:fill="auto"/>
            <w:noWrap/>
            <w:vAlign w:val="bottom"/>
            <w:hideMark/>
          </w:tcPr>
          <w:p w14:paraId="600C2CA8"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Mean of WIC participation rate (%)</w:t>
            </w:r>
          </w:p>
        </w:tc>
        <w:tc>
          <w:tcPr>
            <w:tcW w:w="4050" w:type="dxa"/>
            <w:tcBorders>
              <w:top w:val="nil"/>
              <w:left w:val="nil"/>
              <w:bottom w:val="nil"/>
              <w:right w:val="nil"/>
            </w:tcBorders>
            <w:shd w:val="clear" w:color="auto" w:fill="auto"/>
            <w:noWrap/>
            <w:vAlign w:val="bottom"/>
            <w:hideMark/>
          </w:tcPr>
          <w:p w14:paraId="4E1A2004"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themeColor="text1"/>
                <w:sz w:val="20"/>
                <w:szCs w:val="20"/>
              </w:rPr>
              <w:t>45.3</w:t>
            </w:r>
          </w:p>
        </w:tc>
      </w:tr>
      <w:tr w:rsidR="004E3739" w:rsidRPr="004E2853" w14:paraId="207FA25F" w14:textId="77777777" w:rsidTr="00F16A9E">
        <w:trPr>
          <w:gridAfter w:val="1"/>
          <w:wAfter w:w="602" w:type="dxa"/>
          <w:trHeight w:val="300"/>
        </w:trPr>
        <w:tc>
          <w:tcPr>
            <w:tcW w:w="5040" w:type="dxa"/>
            <w:tcBorders>
              <w:top w:val="nil"/>
              <w:left w:val="nil"/>
              <w:bottom w:val="nil"/>
              <w:right w:val="nil"/>
            </w:tcBorders>
            <w:shd w:val="clear" w:color="auto" w:fill="auto"/>
            <w:noWrap/>
            <w:vAlign w:val="bottom"/>
            <w:hideMark/>
          </w:tcPr>
          <w:p w14:paraId="6CBF586E" w14:textId="77777777" w:rsidR="004E3739" w:rsidRPr="004E2853" w:rsidRDefault="004E3739" w:rsidP="00F16A9E">
            <w:pPr>
              <w:rPr>
                <w:rFonts w:ascii="Arial" w:hAnsi="Arial" w:cs="Arial"/>
                <w:color w:val="000000" w:themeColor="text1"/>
                <w:sz w:val="20"/>
                <w:szCs w:val="20"/>
              </w:rPr>
            </w:pPr>
            <w:r w:rsidRPr="004E2853">
              <w:rPr>
                <w:rFonts w:ascii="Arial" w:hAnsi="Arial" w:cs="Arial"/>
                <w:color w:val="000000" w:themeColor="text1"/>
                <w:sz w:val="20"/>
                <w:szCs w:val="20"/>
              </w:rPr>
              <w:t>Mean of state's new package adoption status (%)</w:t>
            </w:r>
          </w:p>
        </w:tc>
        <w:tc>
          <w:tcPr>
            <w:tcW w:w="4050" w:type="dxa"/>
            <w:tcBorders>
              <w:top w:val="nil"/>
              <w:left w:val="nil"/>
              <w:bottom w:val="nil"/>
              <w:right w:val="nil"/>
            </w:tcBorders>
            <w:shd w:val="clear" w:color="auto" w:fill="auto"/>
            <w:noWrap/>
            <w:vAlign w:val="bottom"/>
            <w:hideMark/>
          </w:tcPr>
          <w:p w14:paraId="03B060D6" w14:textId="77777777" w:rsidR="004E3739" w:rsidRPr="004E2853" w:rsidRDefault="004E3739" w:rsidP="00F16A9E">
            <w:pPr>
              <w:jc w:val="center"/>
              <w:rPr>
                <w:rFonts w:ascii="Arial" w:hAnsi="Arial" w:cs="Arial"/>
                <w:color w:val="000000" w:themeColor="text1"/>
                <w:sz w:val="20"/>
                <w:szCs w:val="20"/>
              </w:rPr>
            </w:pPr>
            <w:r w:rsidRPr="004E2853">
              <w:rPr>
                <w:rFonts w:ascii="Arial" w:hAnsi="Arial" w:cs="Arial"/>
                <w:color w:val="000000" w:themeColor="text1"/>
                <w:sz w:val="20"/>
                <w:szCs w:val="20"/>
              </w:rPr>
              <w:t>59</w:t>
            </w:r>
          </w:p>
        </w:tc>
      </w:tr>
      <w:tr w:rsidR="004E3739" w:rsidRPr="004E2853" w14:paraId="155BE600" w14:textId="77777777" w:rsidTr="00F16A9E">
        <w:trPr>
          <w:gridAfter w:val="1"/>
          <w:wAfter w:w="602" w:type="dxa"/>
          <w:trHeight w:val="480"/>
        </w:trPr>
        <w:tc>
          <w:tcPr>
            <w:tcW w:w="9090" w:type="dxa"/>
            <w:gridSpan w:val="2"/>
            <w:vMerge w:val="restart"/>
            <w:tcBorders>
              <w:top w:val="single" w:sz="4" w:space="0" w:color="auto"/>
              <w:left w:val="nil"/>
              <w:bottom w:val="nil"/>
              <w:right w:val="nil"/>
            </w:tcBorders>
            <w:shd w:val="clear" w:color="auto" w:fill="auto"/>
            <w:hideMark/>
          </w:tcPr>
          <w:p w14:paraId="5B84EBEE" w14:textId="77777777" w:rsidR="004E3739" w:rsidRPr="004E2853" w:rsidRDefault="004E3739" w:rsidP="00F16A9E">
            <w:pPr>
              <w:rPr>
                <w:rFonts w:ascii="Arial" w:hAnsi="Arial" w:cs="Arial"/>
                <w:color w:val="000000" w:themeColor="text1"/>
                <w:sz w:val="16"/>
                <w:szCs w:val="16"/>
              </w:rPr>
            </w:pPr>
            <w:r w:rsidRPr="004E2853">
              <w:rPr>
                <w:rFonts w:ascii="Arial" w:hAnsi="Arial" w:cs="Arial"/>
                <w:color w:val="000000" w:themeColor="text1"/>
                <w:sz w:val="16"/>
                <w:szCs w:val="16"/>
              </w:rPr>
              <w:t xml:space="preserve">Note: Data were kindly provided by the USDA Food and Nutrition Service. The key independent variable was the implementation of the new package in a given state, month, and year. The controls were state and time (month by year) fixed effects, as well as time-varying state covariates in the main analysis. Final analytic sample was restricted to the same states and years as in the main analysis (i.e., 27 states, September 2007 to August 2012 to match the second trimester timing in the main analysis; total observation = 1620). Regressions were weighted by the number of births and standard errors were clustered by state to allow for arbitrary correlations within state. </w:t>
            </w:r>
          </w:p>
        </w:tc>
      </w:tr>
      <w:tr w:rsidR="004E3739" w:rsidRPr="004E2853" w14:paraId="75BF1B67" w14:textId="77777777" w:rsidTr="00F16A9E">
        <w:trPr>
          <w:trHeight w:val="300"/>
        </w:trPr>
        <w:tc>
          <w:tcPr>
            <w:tcW w:w="9090" w:type="dxa"/>
            <w:gridSpan w:val="2"/>
            <w:vMerge/>
            <w:tcBorders>
              <w:top w:val="single" w:sz="4" w:space="0" w:color="auto"/>
              <w:left w:val="nil"/>
              <w:bottom w:val="nil"/>
              <w:right w:val="nil"/>
            </w:tcBorders>
            <w:vAlign w:val="center"/>
            <w:hideMark/>
          </w:tcPr>
          <w:p w14:paraId="01934DFE" w14:textId="77777777" w:rsidR="004E3739" w:rsidRPr="004E2853" w:rsidRDefault="004E3739" w:rsidP="00F16A9E">
            <w:pPr>
              <w:rPr>
                <w:rFonts w:ascii="Arial" w:hAnsi="Arial" w:cs="Arial"/>
                <w:color w:val="000000" w:themeColor="text1"/>
                <w:sz w:val="20"/>
                <w:szCs w:val="20"/>
              </w:rPr>
            </w:pPr>
          </w:p>
        </w:tc>
        <w:tc>
          <w:tcPr>
            <w:tcW w:w="602" w:type="dxa"/>
            <w:tcBorders>
              <w:top w:val="nil"/>
              <w:left w:val="nil"/>
              <w:bottom w:val="nil"/>
              <w:right w:val="nil"/>
            </w:tcBorders>
            <w:shd w:val="clear" w:color="auto" w:fill="auto"/>
            <w:noWrap/>
            <w:vAlign w:val="bottom"/>
            <w:hideMark/>
          </w:tcPr>
          <w:p w14:paraId="0B23C166" w14:textId="77777777" w:rsidR="004E3739" w:rsidRPr="004E2853" w:rsidRDefault="004E3739" w:rsidP="00F16A9E">
            <w:pPr>
              <w:rPr>
                <w:rFonts w:ascii="Arial" w:hAnsi="Arial" w:cs="Arial"/>
                <w:color w:val="000000" w:themeColor="text1"/>
                <w:sz w:val="20"/>
                <w:szCs w:val="20"/>
              </w:rPr>
            </w:pPr>
          </w:p>
        </w:tc>
      </w:tr>
      <w:tr w:rsidR="004E3739" w:rsidRPr="004E2853" w14:paraId="4BA39E59" w14:textId="77777777" w:rsidTr="00F16A9E">
        <w:trPr>
          <w:trHeight w:val="300"/>
        </w:trPr>
        <w:tc>
          <w:tcPr>
            <w:tcW w:w="9090" w:type="dxa"/>
            <w:gridSpan w:val="2"/>
            <w:vMerge/>
            <w:tcBorders>
              <w:top w:val="single" w:sz="4" w:space="0" w:color="auto"/>
              <w:left w:val="nil"/>
              <w:bottom w:val="nil"/>
              <w:right w:val="nil"/>
            </w:tcBorders>
            <w:vAlign w:val="center"/>
            <w:hideMark/>
          </w:tcPr>
          <w:p w14:paraId="3F8B3059" w14:textId="77777777" w:rsidR="004E3739" w:rsidRPr="004E2853" w:rsidRDefault="004E3739" w:rsidP="00F16A9E">
            <w:pPr>
              <w:rPr>
                <w:rFonts w:ascii="Arial" w:hAnsi="Arial" w:cs="Arial"/>
                <w:color w:val="000000" w:themeColor="text1"/>
                <w:sz w:val="20"/>
                <w:szCs w:val="20"/>
              </w:rPr>
            </w:pPr>
          </w:p>
        </w:tc>
        <w:tc>
          <w:tcPr>
            <w:tcW w:w="602" w:type="dxa"/>
            <w:tcBorders>
              <w:top w:val="nil"/>
              <w:left w:val="nil"/>
              <w:bottom w:val="nil"/>
              <w:right w:val="nil"/>
            </w:tcBorders>
            <w:shd w:val="clear" w:color="auto" w:fill="auto"/>
            <w:noWrap/>
            <w:vAlign w:val="bottom"/>
            <w:hideMark/>
          </w:tcPr>
          <w:p w14:paraId="59CA942E" w14:textId="77777777" w:rsidR="004E3739" w:rsidRPr="004E2853" w:rsidRDefault="004E3739" w:rsidP="00F16A9E">
            <w:pPr>
              <w:rPr>
                <w:rFonts w:ascii="Arial" w:hAnsi="Arial" w:cs="Arial"/>
                <w:color w:val="000000" w:themeColor="text1"/>
                <w:sz w:val="20"/>
                <w:szCs w:val="20"/>
              </w:rPr>
            </w:pPr>
          </w:p>
        </w:tc>
      </w:tr>
      <w:tr w:rsidR="004E3739" w:rsidRPr="004E2853" w14:paraId="7730D151" w14:textId="77777777" w:rsidTr="00F16A9E">
        <w:trPr>
          <w:trHeight w:val="1040"/>
        </w:trPr>
        <w:tc>
          <w:tcPr>
            <w:tcW w:w="9090" w:type="dxa"/>
            <w:gridSpan w:val="2"/>
            <w:vMerge/>
            <w:tcBorders>
              <w:top w:val="single" w:sz="4" w:space="0" w:color="auto"/>
              <w:left w:val="nil"/>
              <w:bottom w:val="nil"/>
              <w:right w:val="nil"/>
            </w:tcBorders>
            <w:vAlign w:val="center"/>
            <w:hideMark/>
          </w:tcPr>
          <w:p w14:paraId="5EFE9CEA" w14:textId="77777777" w:rsidR="004E3739" w:rsidRPr="004E2853" w:rsidRDefault="004E3739" w:rsidP="00F16A9E">
            <w:pPr>
              <w:rPr>
                <w:rFonts w:ascii="Arial" w:hAnsi="Arial" w:cs="Arial"/>
                <w:color w:val="000000" w:themeColor="text1"/>
                <w:sz w:val="20"/>
                <w:szCs w:val="20"/>
              </w:rPr>
            </w:pPr>
          </w:p>
        </w:tc>
        <w:tc>
          <w:tcPr>
            <w:tcW w:w="602" w:type="dxa"/>
            <w:tcBorders>
              <w:top w:val="nil"/>
              <w:left w:val="nil"/>
              <w:bottom w:val="nil"/>
              <w:right w:val="nil"/>
            </w:tcBorders>
            <w:shd w:val="clear" w:color="auto" w:fill="auto"/>
            <w:noWrap/>
            <w:vAlign w:val="bottom"/>
            <w:hideMark/>
          </w:tcPr>
          <w:p w14:paraId="68D69C04" w14:textId="77777777" w:rsidR="004E3739" w:rsidRPr="004E2853" w:rsidRDefault="004E3739" w:rsidP="00F16A9E">
            <w:pPr>
              <w:rPr>
                <w:rFonts w:ascii="Arial" w:hAnsi="Arial" w:cs="Arial"/>
                <w:color w:val="000000" w:themeColor="text1"/>
                <w:sz w:val="20"/>
                <w:szCs w:val="20"/>
              </w:rPr>
            </w:pPr>
          </w:p>
          <w:p w14:paraId="0C2C2B95" w14:textId="77777777" w:rsidR="004E3739" w:rsidRPr="004E2853" w:rsidRDefault="004E3739" w:rsidP="00F16A9E">
            <w:pPr>
              <w:rPr>
                <w:rFonts w:ascii="Arial" w:hAnsi="Arial" w:cs="Arial"/>
                <w:color w:val="000000" w:themeColor="text1"/>
                <w:sz w:val="20"/>
                <w:szCs w:val="20"/>
              </w:rPr>
            </w:pPr>
          </w:p>
          <w:p w14:paraId="1590BCB6" w14:textId="77777777" w:rsidR="004E3739" w:rsidRPr="004E2853" w:rsidRDefault="004E3739" w:rsidP="00F16A9E">
            <w:pPr>
              <w:rPr>
                <w:rFonts w:ascii="Arial" w:hAnsi="Arial" w:cs="Arial"/>
                <w:color w:val="000000" w:themeColor="text1"/>
                <w:sz w:val="20"/>
                <w:szCs w:val="20"/>
              </w:rPr>
            </w:pPr>
          </w:p>
          <w:p w14:paraId="6CA453D4" w14:textId="77777777" w:rsidR="004E3739" w:rsidRPr="004E2853" w:rsidRDefault="004E3739" w:rsidP="00F16A9E">
            <w:pPr>
              <w:rPr>
                <w:rFonts w:ascii="Arial" w:hAnsi="Arial" w:cs="Arial"/>
                <w:color w:val="000000" w:themeColor="text1"/>
                <w:sz w:val="20"/>
                <w:szCs w:val="20"/>
              </w:rPr>
            </w:pPr>
          </w:p>
        </w:tc>
      </w:tr>
    </w:tbl>
    <w:p w14:paraId="26DB0072" w14:textId="77777777" w:rsidR="004E3739" w:rsidRPr="004E2853" w:rsidRDefault="004E3739" w:rsidP="004E3739">
      <w:pPr>
        <w:rPr>
          <w:rFonts w:ascii="Arial" w:hAnsi="Arial" w:cs="Arial"/>
          <w:color w:val="000000" w:themeColor="text1"/>
          <w:sz w:val="20"/>
          <w:szCs w:val="20"/>
        </w:rPr>
        <w:sectPr w:rsidR="004E3739" w:rsidRPr="004E2853" w:rsidSect="004E3739">
          <w:pgSz w:w="12240" w:h="15840"/>
          <w:pgMar w:top="1440" w:right="1440" w:bottom="1440" w:left="1440" w:header="720" w:footer="720" w:gutter="0"/>
          <w:cols w:space="720"/>
          <w:docGrid w:linePitch="360"/>
        </w:sectPr>
      </w:pPr>
    </w:p>
    <w:tbl>
      <w:tblPr>
        <w:tblW w:w="13680" w:type="dxa"/>
        <w:tblInd w:w="-360" w:type="dxa"/>
        <w:tblLook w:val="04A0" w:firstRow="1" w:lastRow="0" w:firstColumn="1" w:lastColumn="0" w:noHBand="0" w:noVBand="1"/>
      </w:tblPr>
      <w:tblGrid>
        <w:gridCol w:w="2740"/>
        <w:gridCol w:w="1880"/>
        <w:gridCol w:w="1880"/>
        <w:gridCol w:w="1880"/>
        <w:gridCol w:w="1880"/>
        <w:gridCol w:w="1800"/>
        <w:gridCol w:w="1620"/>
      </w:tblGrid>
      <w:tr w:rsidR="004E3739" w:rsidRPr="004E2853" w14:paraId="240814D7" w14:textId="77777777" w:rsidTr="00F16A9E">
        <w:trPr>
          <w:trHeight w:val="300"/>
        </w:trPr>
        <w:tc>
          <w:tcPr>
            <w:tcW w:w="12060" w:type="dxa"/>
            <w:gridSpan w:val="6"/>
            <w:tcBorders>
              <w:top w:val="nil"/>
              <w:left w:val="nil"/>
              <w:bottom w:val="single" w:sz="4" w:space="0" w:color="auto"/>
              <w:right w:val="nil"/>
            </w:tcBorders>
            <w:shd w:val="clear" w:color="auto" w:fill="auto"/>
            <w:noWrap/>
            <w:vAlign w:val="center"/>
            <w:hideMark/>
          </w:tcPr>
          <w:p w14:paraId="3AACDE2C" w14:textId="64159A10" w:rsidR="004E3739" w:rsidRPr="004E2853" w:rsidRDefault="004E3739" w:rsidP="00F16A9E">
            <w:pPr>
              <w:rPr>
                <w:rFonts w:ascii="Arial" w:hAnsi="Arial" w:cs="Arial"/>
                <w:color w:val="000000"/>
                <w:sz w:val="20"/>
                <w:szCs w:val="20"/>
              </w:rPr>
            </w:pPr>
            <w:r w:rsidRPr="004E2853">
              <w:rPr>
                <w:rFonts w:ascii="Arial" w:hAnsi="Arial" w:cs="Arial"/>
                <w:color w:val="000000"/>
                <w:sz w:val="20"/>
                <w:szCs w:val="20"/>
              </w:rPr>
              <w:lastRenderedPageBreak/>
              <w:t>Table S</w:t>
            </w:r>
            <w:r w:rsidR="005161EB" w:rsidRPr="004E2853">
              <w:rPr>
                <w:rFonts w:ascii="Arial" w:hAnsi="Arial" w:cs="Arial"/>
                <w:color w:val="000000"/>
                <w:sz w:val="20"/>
                <w:szCs w:val="20"/>
              </w:rPr>
              <w:t>8</w:t>
            </w:r>
            <w:r w:rsidRPr="004E2853">
              <w:rPr>
                <w:rFonts w:ascii="Arial" w:hAnsi="Arial" w:cs="Arial"/>
                <w:color w:val="000000"/>
                <w:sz w:val="20"/>
                <w:szCs w:val="20"/>
              </w:rPr>
              <w:t>. Association of revised WIC food package with infant and maternal health among single first-time mothers</w:t>
            </w:r>
          </w:p>
        </w:tc>
        <w:tc>
          <w:tcPr>
            <w:tcW w:w="1620" w:type="dxa"/>
            <w:tcBorders>
              <w:top w:val="nil"/>
              <w:left w:val="nil"/>
              <w:bottom w:val="single" w:sz="4" w:space="0" w:color="auto"/>
              <w:right w:val="nil"/>
            </w:tcBorders>
            <w:shd w:val="clear" w:color="auto" w:fill="auto"/>
            <w:noWrap/>
            <w:vAlign w:val="bottom"/>
            <w:hideMark/>
          </w:tcPr>
          <w:p w14:paraId="14D3FFC6" w14:textId="77777777" w:rsidR="004E3739" w:rsidRPr="004E2853" w:rsidRDefault="004E3739" w:rsidP="00F16A9E">
            <w:pPr>
              <w:rPr>
                <w:rFonts w:ascii="Arial" w:hAnsi="Arial" w:cs="Arial"/>
                <w:color w:val="000000"/>
                <w:sz w:val="20"/>
                <w:szCs w:val="20"/>
              </w:rPr>
            </w:pPr>
            <w:r w:rsidRPr="004E2853">
              <w:rPr>
                <w:rFonts w:ascii="Arial" w:hAnsi="Arial" w:cs="Arial"/>
                <w:color w:val="000000"/>
                <w:sz w:val="20"/>
                <w:szCs w:val="20"/>
              </w:rPr>
              <w:t> </w:t>
            </w:r>
          </w:p>
        </w:tc>
      </w:tr>
      <w:tr w:rsidR="004E3739" w:rsidRPr="004E2853" w14:paraId="3088DA19" w14:textId="77777777" w:rsidTr="00F16A9E">
        <w:trPr>
          <w:trHeight w:val="1020"/>
        </w:trPr>
        <w:tc>
          <w:tcPr>
            <w:tcW w:w="2740" w:type="dxa"/>
            <w:tcBorders>
              <w:top w:val="nil"/>
              <w:left w:val="nil"/>
              <w:bottom w:val="nil"/>
              <w:right w:val="nil"/>
            </w:tcBorders>
            <w:shd w:val="clear" w:color="auto" w:fill="auto"/>
            <w:vAlign w:val="center"/>
            <w:hideMark/>
          </w:tcPr>
          <w:p w14:paraId="651441A3" w14:textId="77777777" w:rsidR="004E3739" w:rsidRPr="004E2853" w:rsidRDefault="004E3739" w:rsidP="00F16A9E">
            <w:pPr>
              <w:rPr>
                <w:rFonts w:ascii="Arial" w:hAnsi="Arial" w:cs="Arial"/>
                <w:color w:val="000000"/>
                <w:sz w:val="20"/>
                <w:szCs w:val="20"/>
              </w:rPr>
            </w:pPr>
          </w:p>
        </w:tc>
        <w:tc>
          <w:tcPr>
            <w:tcW w:w="1880" w:type="dxa"/>
            <w:tcBorders>
              <w:top w:val="nil"/>
              <w:left w:val="nil"/>
              <w:bottom w:val="single" w:sz="4" w:space="0" w:color="auto"/>
              <w:right w:val="nil"/>
            </w:tcBorders>
            <w:shd w:val="clear" w:color="auto" w:fill="auto"/>
            <w:vAlign w:val="center"/>
            <w:hideMark/>
          </w:tcPr>
          <w:p w14:paraId="5526F9A2" w14:textId="1BB78790" w:rsidR="004E3739" w:rsidRPr="004E2853" w:rsidRDefault="004E3739" w:rsidP="00F16A9E">
            <w:pPr>
              <w:jc w:val="center"/>
              <w:rPr>
                <w:rFonts w:ascii="Arial" w:hAnsi="Arial" w:cs="Arial"/>
                <w:color w:val="000000"/>
                <w:sz w:val="20"/>
                <w:szCs w:val="20"/>
              </w:rPr>
            </w:pPr>
            <w:r w:rsidRPr="004E2853">
              <w:rPr>
                <w:rFonts w:ascii="Arial" w:hAnsi="Arial" w:cs="Arial"/>
                <w:color w:val="000000"/>
                <w:sz w:val="20"/>
                <w:szCs w:val="20"/>
              </w:rPr>
              <w:t>Birthweight (grams)</w:t>
            </w:r>
          </w:p>
        </w:tc>
        <w:tc>
          <w:tcPr>
            <w:tcW w:w="1880" w:type="dxa"/>
            <w:tcBorders>
              <w:top w:val="nil"/>
              <w:left w:val="nil"/>
              <w:bottom w:val="single" w:sz="4" w:space="0" w:color="auto"/>
              <w:right w:val="nil"/>
            </w:tcBorders>
            <w:shd w:val="clear" w:color="auto" w:fill="auto"/>
            <w:vAlign w:val="center"/>
            <w:hideMark/>
          </w:tcPr>
          <w:p w14:paraId="53439983" w14:textId="77777777" w:rsidR="004E3739" w:rsidRPr="004E2853" w:rsidRDefault="004E3739" w:rsidP="00F16A9E">
            <w:pPr>
              <w:jc w:val="center"/>
              <w:rPr>
                <w:rFonts w:ascii="Arial" w:hAnsi="Arial" w:cs="Arial"/>
                <w:color w:val="000000"/>
                <w:sz w:val="20"/>
                <w:szCs w:val="20"/>
              </w:rPr>
            </w:pPr>
            <w:r w:rsidRPr="004E2853">
              <w:rPr>
                <w:rFonts w:ascii="Arial" w:hAnsi="Arial" w:cs="Arial"/>
                <w:color w:val="000000"/>
                <w:sz w:val="20"/>
                <w:szCs w:val="20"/>
              </w:rPr>
              <w:t>Small for gestational age</w:t>
            </w:r>
          </w:p>
        </w:tc>
        <w:tc>
          <w:tcPr>
            <w:tcW w:w="1880" w:type="dxa"/>
            <w:tcBorders>
              <w:top w:val="nil"/>
              <w:left w:val="nil"/>
              <w:bottom w:val="single" w:sz="4" w:space="0" w:color="auto"/>
              <w:right w:val="nil"/>
            </w:tcBorders>
            <w:shd w:val="clear" w:color="auto" w:fill="auto"/>
            <w:vAlign w:val="center"/>
            <w:hideMark/>
          </w:tcPr>
          <w:p w14:paraId="63651260" w14:textId="77777777" w:rsidR="004E3739" w:rsidRPr="004E2853" w:rsidRDefault="004E3739" w:rsidP="00F16A9E">
            <w:pPr>
              <w:jc w:val="center"/>
              <w:rPr>
                <w:rFonts w:ascii="Arial" w:hAnsi="Arial" w:cs="Arial"/>
                <w:color w:val="000000"/>
                <w:sz w:val="20"/>
                <w:szCs w:val="20"/>
              </w:rPr>
            </w:pPr>
            <w:r w:rsidRPr="004E2853">
              <w:rPr>
                <w:rFonts w:ascii="Arial" w:hAnsi="Arial" w:cs="Arial"/>
                <w:color w:val="000000"/>
                <w:sz w:val="20"/>
                <w:szCs w:val="20"/>
              </w:rPr>
              <w:t>Large for gestational age</w:t>
            </w:r>
          </w:p>
        </w:tc>
        <w:tc>
          <w:tcPr>
            <w:tcW w:w="1880" w:type="dxa"/>
            <w:tcBorders>
              <w:top w:val="nil"/>
              <w:left w:val="nil"/>
              <w:bottom w:val="single" w:sz="4" w:space="0" w:color="auto"/>
              <w:right w:val="nil"/>
            </w:tcBorders>
            <w:shd w:val="clear" w:color="auto" w:fill="auto"/>
            <w:vAlign w:val="center"/>
            <w:hideMark/>
          </w:tcPr>
          <w:p w14:paraId="377EDA45" w14:textId="77777777" w:rsidR="004E3739" w:rsidRPr="004E2853" w:rsidRDefault="004E3739" w:rsidP="00F16A9E">
            <w:pPr>
              <w:jc w:val="center"/>
              <w:rPr>
                <w:rFonts w:ascii="Arial" w:hAnsi="Arial" w:cs="Arial"/>
                <w:color w:val="000000"/>
                <w:sz w:val="20"/>
                <w:szCs w:val="20"/>
              </w:rPr>
            </w:pPr>
            <w:r w:rsidRPr="004E2853">
              <w:rPr>
                <w:rFonts w:ascii="Arial" w:hAnsi="Arial" w:cs="Arial"/>
                <w:color w:val="000000"/>
                <w:sz w:val="20"/>
                <w:szCs w:val="20"/>
              </w:rPr>
              <w:t>Appropriate for gestational age</w:t>
            </w:r>
          </w:p>
        </w:tc>
        <w:tc>
          <w:tcPr>
            <w:tcW w:w="1800" w:type="dxa"/>
            <w:tcBorders>
              <w:top w:val="nil"/>
              <w:left w:val="nil"/>
              <w:bottom w:val="single" w:sz="4" w:space="0" w:color="auto"/>
              <w:right w:val="nil"/>
            </w:tcBorders>
            <w:shd w:val="clear" w:color="auto" w:fill="auto"/>
            <w:vAlign w:val="center"/>
            <w:hideMark/>
          </w:tcPr>
          <w:p w14:paraId="18886A67" w14:textId="77777777" w:rsidR="004E3739" w:rsidRPr="004E2853" w:rsidRDefault="004E3739" w:rsidP="00F16A9E">
            <w:pPr>
              <w:jc w:val="center"/>
              <w:rPr>
                <w:rFonts w:ascii="Arial" w:hAnsi="Arial" w:cs="Arial"/>
                <w:color w:val="000000"/>
                <w:sz w:val="20"/>
                <w:szCs w:val="20"/>
              </w:rPr>
            </w:pPr>
            <w:r w:rsidRPr="004E2853">
              <w:rPr>
                <w:rFonts w:ascii="Arial" w:hAnsi="Arial" w:cs="Arial"/>
                <w:color w:val="000000"/>
                <w:sz w:val="20"/>
                <w:szCs w:val="20"/>
              </w:rPr>
              <w:t>Gestational diabetes mellitus</w:t>
            </w:r>
          </w:p>
        </w:tc>
        <w:tc>
          <w:tcPr>
            <w:tcW w:w="1620" w:type="dxa"/>
            <w:tcBorders>
              <w:top w:val="nil"/>
              <w:left w:val="nil"/>
              <w:bottom w:val="single" w:sz="4" w:space="0" w:color="auto"/>
              <w:right w:val="nil"/>
            </w:tcBorders>
            <w:shd w:val="clear" w:color="auto" w:fill="auto"/>
            <w:vAlign w:val="center"/>
            <w:hideMark/>
          </w:tcPr>
          <w:p w14:paraId="4466A305" w14:textId="77777777" w:rsidR="004E3739" w:rsidRPr="004E2853" w:rsidRDefault="004E3739" w:rsidP="00F16A9E">
            <w:pPr>
              <w:jc w:val="center"/>
              <w:rPr>
                <w:rFonts w:ascii="Arial" w:hAnsi="Arial" w:cs="Arial"/>
                <w:color w:val="000000"/>
                <w:sz w:val="20"/>
                <w:szCs w:val="20"/>
              </w:rPr>
            </w:pPr>
            <w:r w:rsidRPr="004E2853">
              <w:rPr>
                <w:rFonts w:ascii="Arial" w:hAnsi="Arial" w:cs="Arial"/>
                <w:color w:val="000000"/>
                <w:sz w:val="20"/>
                <w:szCs w:val="20"/>
              </w:rPr>
              <w:t>Gestational weight gain (pounds)</w:t>
            </w:r>
          </w:p>
        </w:tc>
      </w:tr>
      <w:tr w:rsidR="004E3739" w:rsidRPr="004E2853" w14:paraId="4444D8C2" w14:textId="77777777" w:rsidTr="00F16A9E">
        <w:trPr>
          <w:trHeight w:val="320"/>
        </w:trPr>
        <w:tc>
          <w:tcPr>
            <w:tcW w:w="2740" w:type="dxa"/>
            <w:vMerge w:val="restart"/>
            <w:tcBorders>
              <w:top w:val="nil"/>
              <w:left w:val="nil"/>
              <w:bottom w:val="single" w:sz="8" w:space="0" w:color="000000"/>
              <w:right w:val="nil"/>
            </w:tcBorders>
            <w:shd w:val="clear" w:color="auto" w:fill="auto"/>
            <w:vAlign w:val="center"/>
            <w:hideMark/>
          </w:tcPr>
          <w:p w14:paraId="0D23BE69" w14:textId="77777777" w:rsidR="004E3739" w:rsidRPr="004E2853" w:rsidRDefault="004E3739" w:rsidP="00F16A9E">
            <w:pPr>
              <w:rPr>
                <w:rFonts w:ascii="Arial" w:hAnsi="Arial" w:cs="Arial"/>
                <w:color w:val="000000"/>
                <w:sz w:val="20"/>
                <w:szCs w:val="20"/>
              </w:rPr>
            </w:pPr>
            <w:r w:rsidRPr="004E2853">
              <w:rPr>
                <w:rFonts w:ascii="Arial" w:hAnsi="Arial" w:cs="Arial"/>
                <w:color w:val="000000"/>
                <w:sz w:val="20"/>
                <w:szCs w:val="20"/>
              </w:rPr>
              <w:t>WIC-eligible*Post-2009</w:t>
            </w:r>
          </w:p>
        </w:tc>
        <w:tc>
          <w:tcPr>
            <w:tcW w:w="1880" w:type="dxa"/>
            <w:tcBorders>
              <w:top w:val="nil"/>
              <w:left w:val="nil"/>
              <w:bottom w:val="nil"/>
              <w:right w:val="nil"/>
            </w:tcBorders>
            <w:shd w:val="clear" w:color="auto" w:fill="auto"/>
            <w:vAlign w:val="center"/>
            <w:hideMark/>
          </w:tcPr>
          <w:p w14:paraId="2F4C8701" w14:textId="77777777" w:rsidR="004E3739" w:rsidRPr="004E2853" w:rsidRDefault="004E3739" w:rsidP="00F16A9E">
            <w:pPr>
              <w:jc w:val="center"/>
              <w:rPr>
                <w:rFonts w:ascii="Arial" w:hAnsi="Arial" w:cs="Arial"/>
                <w:color w:val="000000"/>
                <w:sz w:val="20"/>
                <w:szCs w:val="20"/>
              </w:rPr>
            </w:pPr>
            <w:r w:rsidRPr="004E2853">
              <w:rPr>
                <w:rFonts w:ascii="Arial" w:hAnsi="Arial" w:cs="Arial"/>
                <w:color w:val="000000"/>
                <w:sz w:val="20"/>
                <w:szCs w:val="20"/>
              </w:rPr>
              <w:t>-2.425</w:t>
            </w:r>
          </w:p>
        </w:tc>
        <w:tc>
          <w:tcPr>
            <w:tcW w:w="1880" w:type="dxa"/>
            <w:tcBorders>
              <w:top w:val="nil"/>
              <w:left w:val="nil"/>
              <w:bottom w:val="nil"/>
              <w:right w:val="nil"/>
            </w:tcBorders>
            <w:shd w:val="clear" w:color="auto" w:fill="auto"/>
            <w:vAlign w:val="center"/>
            <w:hideMark/>
          </w:tcPr>
          <w:p w14:paraId="25E4086F" w14:textId="77777777" w:rsidR="004E3739" w:rsidRPr="004E2853" w:rsidRDefault="004E3739" w:rsidP="00F16A9E">
            <w:pPr>
              <w:jc w:val="center"/>
              <w:rPr>
                <w:rFonts w:ascii="Arial" w:hAnsi="Arial" w:cs="Arial"/>
                <w:color w:val="000000"/>
                <w:sz w:val="20"/>
                <w:szCs w:val="20"/>
              </w:rPr>
            </w:pPr>
            <w:r w:rsidRPr="004E2853">
              <w:rPr>
                <w:rFonts w:ascii="Arial" w:hAnsi="Arial" w:cs="Arial"/>
                <w:color w:val="000000"/>
                <w:sz w:val="20"/>
                <w:szCs w:val="20"/>
              </w:rPr>
              <w:t>-0.233</w:t>
            </w:r>
          </w:p>
        </w:tc>
        <w:tc>
          <w:tcPr>
            <w:tcW w:w="1880" w:type="dxa"/>
            <w:tcBorders>
              <w:top w:val="nil"/>
              <w:left w:val="nil"/>
              <w:bottom w:val="nil"/>
              <w:right w:val="nil"/>
            </w:tcBorders>
            <w:shd w:val="clear" w:color="auto" w:fill="auto"/>
            <w:vAlign w:val="center"/>
            <w:hideMark/>
          </w:tcPr>
          <w:p w14:paraId="38244059" w14:textId="77777777" w:rsidR="004E3739" w:rsidRPr="004E2853" w:rsidRDefault="004E3739" w:rsidP="00F16A9E">
            <w:pPr>
              <w:jc w:val="center"/>
              <w:rPr>
                <w:rFonts w:ascii="Arial" w:hAnsi="Arial" w:cs="Arial"/>
                <w:color w:val="000000"/>
                <w:sz w:val="20"/>
                <w:szCs w:val="20"/>
              </w:rPr>
            </w:pPr>
            <w:r w:rsidRPr="004E2853">
              <w:rPr>
                <w:rFonts w:ascii="Arial" w:hAnsi="Arial" w:cs="Arial"/>
                <w:color w:val="000000"/>
                <w:sz w:val="20"/>
                <w:szCs w:val="20"/>
              </w:rPr>
              <w:t>0.158</w:t>
            </w:r>
          </w:p>
        </w:tc>
        <w:tc>
          <w:tcPr>
            <w:tcW w:w="1880" w:type="dxa"/>
            <w:tcBorders>
              <w:top w:val="nil"/>
              <w:left w:val="nil"/>
              <w:bottom w:val="nil"/>
              <w:right w:val="nil"/>
            </w:tcBorders>
            <w:shd w:val="clear" w:color="auto" w:fill="auto"/>
            <w:vAlign w:val="center"/>
            <w:hideMark/>
          </w:tcPr>
          <w:p w14:paraId="61C56EBF" w14:textId="77777777" w:rsidR="004E3739" w:rsidRPr="004E2853" w:rsidRDefault="004E3739" w:rsidP="00F16A9E">
            <w:pPr>
              <w:jc w:val="center"/>
              <w:rPr>
                <w:rFonts w:ascii="Arial" w:hAnsi="Arial" w:cs="Arial"/>
                <w:color w:val="000000"/>
                <w:sz w:val="20"/>
                <w:szCs w:val="20"/>
              </w:rPr>
            </w:pPr>
            <w:r w:rsidRPr="004E2853">
              <w:rPr>
                <w:rFonts w:ascii="Arial" w:hAnsi="Arial" w:cs="Arial"/>
                <w:color w:val="000000"/>
                <w:sz w:val="20"/>
                <w:szCs w:val="20"/>
              </w:rPr>
              <w:t>0.075</w:t>
            </w:r>
          </w:p>
        </w:tc>
        <w:tc>
          <w:tcPr>
            <w:tcW w:w="1800" w:type="dxa"/>
            <w:tcBorders>
              <w:top w:val="nil"/>
              <w:left w:val="nil"/>
              <w:bottom w:val="nil"/>
              <w:right w:val="nil"/>
            </w:tcBorders>
            <w:shd w:val="clear" w:color="auto" w:fill="auto"/>
            <w:vAlign w:val="center"/>
            <w:hideMark/>
          </w:tcPr>
          <w:p w14:paraId="6E367C1C" w14:textId="77777777" w:rsidR="004E3739" w:rsidRPr="004E2853" w:rsidRDefault="004E3739" w:rsidP="00F16A9E">
            <w:pPr>
              <w:jc w:val="center"/>
              <w:rPr>
                <w:rFonts w:ascii="Arial" w:hAnsi="Arial" w:cs="Arial"/>
                <w:color w:val="000000"/>
                <w:sz w:val="20"/>
                <w:szCs w:val="20"/>
              </w:rPr>
            </w:pPr>
            <w:r w:rsidRPr="004E2853">
              <w:rPr>
                <w:rFonts w:ascii="Arial" w:hAnsi="Arial" w:cs="Arial"/>
                <w:color w:val="000000"/>
                <w:sz w:val="20"/>
                <w:szCs w:val="20"/>
              </w:rPr>
              <w:t>-0.116</w:t>
            </w:r>
          </w:p>
        </w:tc>
        <w:tc>
          <w:tcPr>
            <w:tcW w:w="1620" w:type="dxa"/>
            <w:tcBorders>
              <w:top w:val="nil"/>
              <w:left w:val="nil"/>
              <w:bottom w:val="nil"/>
              <w:right w:val="nil"/>
            </w:tcBorders>
            <w:shd w:val="clear" w:color="auto" w:fill="auto"/>
            <w:vAlign w:val="center"/>
            <w:hideMark/>
          </w:tcPr>
          <w:p w14:paraId="3B443F80" w14:textId="77777777" w:rsidR="004E3739" w:rsidRPr="004E2853" w:rsidRDefault="004E3739" w:rsidP="00F16A9E">
            <w:pPr>
              <w:jc w:val="center"/>
              <w:rPr>
                <w:rFonts w:ascii="Arial" w:hAnsi="Arial" w:cs="Arial"/>
                <w:color w:val="000000"/>
                <w:sz w:val="20"/>
                <w:szCs w:val="20"/>
              </w:rPr>
            </w:pPr>
            <w:r w:rsidRPr="004E2853">
              <w:rPr>
                <w:rFonts w:ascii="Arial" w:hAnsi="Arial" w:cs="Arial"/>
                <w:color w:val="000000"/>
                <w:sz w:val="20"/>
                <w:szCs w:val="20"/>
              </w:rPr>
              <w:t>-0.217*</w:t>
            </w:r>
          </w:p>
        </w:tc>
      </w:tr>
      <w:tr w:rsidR="004E3739" w:rsidRPr="004E2853" w14:paraId="44349047" w14:textId="77777777" w:rsidTr="00F16A9E">
        <w:trPr>
          <w:trHeight w:val="340"/>
        </w:trPr>
        <w:tc>
          <w:tcPr>
            <w:tcW w:w="2740" w:type="dxa"/>
            <w:vMerge/>
            <w:tcBorders>
              <w:top w:val="nil"/>
              <w:left w:val="nil"/>
              <w:bottom w:val="single" w:sz="8" w:space="0" w:color="000000"/>
              <w:right w:val="nil"/>
            </w:tcBorders>
            <w:vAlign w:val="center"/>
            <w:hideMark/>
          </w:tcPr>
          <w:p w14:paraId="203C5A5A" w14:textId="77777777" w:rsidR="004E3739" w:rsidRPr="004E2853" w:rsidRDefault="004E3739" w:rsidP="00F16A9E">
            <w:pPr>
              <w:rPr>
                <w:rFonts w:ascii="Arial" w:hAnsi="Arial" w:cs="Arial"/>
                <w:color w:val="000000"/>
                <w:sz w:val="20"/>
                <w:szCs w:val="20"/>
              </w:rPr>
            </w:pPr>
          </w:p>
        </w:tc>
        <w:tc>
          <w:tcPr>
            <w:tcW w:w="1880" w:type="dxa"/>
            <w:tcBorders>
              <w:top w:val="nil"/>
              <w:left w:val="nil"/>
              <w:bottom w:val="single" w:sz="8" w:space="0" w:color="auto"/>
              <w:right w:val="nil"/>
            </w:tcBorders>
            <w:shd w:val="clear" w:color="auto" w:fill="auto"/>
            <w:vAlign w:val="center"/>
            <w:hideMark/>
          </w:tcPr>
          <w:p w14:paraId="4662FA4C" w14:textId="77777777" w:rsidR="004E3739" w:rsidRPr="004E2853" w:rsidRDefault="004E3739" w:rsidP="00F16A9E">
            <w:pPr>
              <w:jc w:val="center"/>
              <w:rPr>
                <w:rFonts w:ascii="Arial" w:hAnsi="Arial" w:cs="Arial"/>
                <w:color w:val="000000"/>
                <w:sz w:val="20"/>
                <w:szCs w:val="20"/>
              </w:rPr>
            </w:pPr>
            <w:r w:rsidRPr="004E2853">
              <w:rPr>
                <w:rFonts w:ascii="Arial" w:hAnsi="Arial" w:cs="Arial"/>
                <w:color w:val="000000"/>
                <w:sz w:val="20"/>
                <w:szCs w:val="20"/>
              </w:rPr>
              <w:t>[-8.298, 3.449]</w:t>
            </w:r>
          </w:p>
        </w:tc>
        <w:tc>
          <w:tcPr>
            <w:tcW w:w="1880" w:type="dxa"/>
            <w:tcBorders>
              <w:top w:val="nil"/>
              <w:left w:val="nil"/>
              <w:bottom w:val="single" w:sz="8" w:space="0" w:color="auto"/>
              <w:right w:val="nil"/>
            </w:tcBorders>
            <w:shd w:val="clear" w:color="auto" w:fill="auto"/>
            <w:vAlign w:val="center"/>
            <w:hideMark/>
          </w:tcPr>
          <w:p w14:paraId="5E291A03" w14:textId="77777777" w:rsidR="004E3739" w:rsidRPr="004E2853" w:rsidRDefault="004E3739" w:rsidP="00F16A9E">
            <w:pPr>
              <w:jc w:val="center"/>
              <w:rPr>
                <w:rFonts w:ascii="Arial" w:hAnsi="Arial" w:cs="Arial"/>
                <w:color w:val="000000"/>
                <w:sz w:val="20"/>
                <w:szCs w:val="20"/>
              </w:rPr>
            </w:pPr>
            <w:r w:rsidRPr="004E2853">
              <w:rPr>
                <w:rFonts w:ascii="Arial" w:hAnsi="Arial" w:cs="Arial"/>
                <w:color w:val="000000"/>
                <w:sz w:val="20"/>
                <w:szCs w:val="20"/>
              </w:rPr>
              <w:t>[-0.614, 0.147]</w:t>
            </w:r>
          </w:p>
        </w:tc>
        <w:tc>
          <w:tcPr>
            <w:tcW w:w="1880" w:type="dxa"/>
            <w:tcBorders>
              <w:top w:val="nil"/>
              <w:left w:val="nil"/>
              <w:bottom w:val="single" w:sz="8" w:space="0" w:color="auto"/>
              <w:right w:val="nil"/>
            </w:tcBorders>
            <w:shd w:val="clear" w:color="auto" w:fill="auto"/>
            <w:vAlign w:val="center"/>
            <w:hideMark/>
          </w:tcPr>
          <w:p w14:paraId="69D7CE36" w14:textId="77777777" w:rsidR="004E3739" w:rsidRPr="004E2853" w:rsidRDefault="004E3739" w:rsidP="00F16A9E">
            <w:pPr>
              <w:jc w:val="center"/>
              <w:rPr>
                <w:rFonts w:ascii="Arial" w:hAnsi="Arial" w:cs="Arial"/>
                <w:color w:val="000000"/>
                <w:sz w:val="20"/>
                <w:szCs w:val="20"/>
              </w:rPr>
            </w:pPr>
            <w:r w:rsidRPr="004E2853">
              <w:rPr>
                <w:rFonts w:ascii="Arial" w:hAnsi="Arial" w:cs="Arial"/>
                <w:color w:val="000000"/>
                <w:sz w:val="20"/>
                <w:szCs w:val="20"/>
              </w:rPr>
              <w:t>[-0.125, 0.442]</w:t>
            </w:r>
          </w:p>
        </w:tc>
        <w:tc>
          <w:tcPr>
            <w:tcW w:w="1880" w:type="dxa"/>
            <w:tcBorders>
              <w:top w:val="nil"/>
              <w:left w:val="nil"/>
              <w:bottom w:val="single" w:sz="8" w:space="0" w:color="auto"/>
              <w:right w:val="nil"/>
            </w:tcBorders>
            <w:shd w:val="clear" w:color="auto" w:fill="auto"/>
            <w:vAlign w:val="center"/>
            <w:hideMark/>
          </w:tcPr>
          <w:p w14:paraId="170EE7C1" w14:textId="77777777" w:rsidR="004E3739" w:rsidRPr="004E2853" w:rsidRDefault="004E3739" w:rsidP="00F16A9E">
            <w:pPr>
              <w:jc w:val="center"/>
              <w:rPr>
                <w:rFonts w:ascii="Arial" w:hAnsi="Arial" w:cs="Arial"/>
                <w:color w:val="000000"/>
                <w:sz w:val="20"/>
                <w:szCs w:val="20"/>
              </w:rPr>
            </w:pPr>
            <w:r w:rsidRPr="004E2853">
              <w:rPr>
                <w:rFonts w:ascii="Arial" w:hAnsi="Arial" w:cs="Arial"/>
                <w:color w:val="000000"/>
                <w:sz w:val="20"/>
                <w:szCs w:val="20"/>
              </w:rPr>
              <w:t>[-0.373, 0.523]</w:t>
            </w:r>
          </w:p>
        </w:tc>
        <w:tc>
          <w:tcPr>
            <w:tcW w:w="1800" w:type="dxa"/>
            <w:tcBorders>
              <w:top w:val="nil"/>
              <w:left w:val="nil"/>
              <w:bottom w:val="single" w:sz="8" w:space="0" w:color="auto"/>
              <w:right w:val="nil"/>
            </w:tcBorders>
            <w:shd w:val="clear" w:color="auto" w:fill="auto"/>
            <w:vAlign w:val="center"/>
            <w:hideMark/>
          </w:tcPr>
          <w:p w14:paraId="31DD8D70" w14:textId="77777777" w:rsidR="004E3739" w:rsidRPr="004E2853" w:rsidRDefault="004E3739" w:rsidP="00F16A9E">
            <w:pPr>
              <w:jc w:val="center"/>
              <w:rPr>
                <w:rFonts w:ascii="Arial" w:hAnsi="Arial" w:cs="Arial"/>
                <w:color w:val="000000"/>
                <w:sz w:val="20"/>
                <w:szCs w:val="20"/>
              </w:rPr>
            </w:pPr>
            <w:r w:rsidRPr="004E2853">
              <w:rPr>
                <w:rFonts w:ascii="Arial" w:hAnsi="Arial" w:cs="Arial"/>
                <w:color w:val="000000"/>
                <w:sz w:val="20"/>
                <w:szCs w:val="20"/>
              </w:rPr>
              <w:t>[-0.299, 0.068]</w:t>
            </w:r>
          </w:p>
        </w:tc>
        <w:tc>
          <w:tcPr>
            <w:tcW w:w="1620" w:type="dxa"/>
            <w:tcBorders>
              <w:top w:val="nil"/>
              <w:left w:val="nil"/>
              <w:bottom w:val="single" w:sz="8" w:space="0" w:color="auto"/>
              <w:right w:val="nil"/>
            </w:tcBorders>
            <w:shd w:val="clear" w:color="auto" w:fill="auto"/>
            <w:vAlign w:val="center"/>
            <w:hideMark/>
          </w:tcPr>
          <w:p w14:paraId="1B87CF9E" w14:textId="77777777" w:rsidR="004E3739" w:rsidRPr="004E2853" w:rsidRDefault="004E3739" w:rsidP="00F16A9E">
            <w:pPr>
              <w:jc w:val="center"/>
              <w:rPr>
                <w:rFonts w:ascii="Arial" w:hAnsi="Arial" w:cs="Arial"/>
                <w:color w:val="000000"/>
                <w:sz w:val="20"/>
                <w:szCs w:val="20"/>
              </w:rPr>
            </w:pPr>
            <w:r w:rsidRPr="004E2853">
              <w:rPr>
                <w:rFonts w:ascii="Arial" w:hAnsi="Arial" w:cs="Arial"/>
                <w:color w:val="000000"/>
                <w:sz w:val="20"/>
                <w:szCs w:val="20"/>
              </w:rPr>
              <w:t>[-0.393, -0.042]</w:t>
            </w:r>
          </w:p>
        </w:tc>
      </w:tr>
      <w:tr w:rsidR="004E3739" w:rsidRPr="004E2853" w14:paraId="65C6AA6F" w14:textId="77777777" w:rsidTr="00F16A9E">
        <w:trPr>
          <w:trHeight w:val="320"/>
        </w:trPr>
        <w:tc>
          <w:tcPr>
            <w:tcW w:w="2740" w:type="dxa"/>
            <w:tcBorders>
              <w:top w:val="nil"/>
              <w:left w:val="nil"/>
              <w:bottom w:val="nil"/>
              <w:right w:val="nil"/>
            </w:tcBorders>
            <w:shd w:val="clear" w:color="auto" w:fill="auto"/>
            <w:vAlign w:val="center"/>
            <w:hideMark/>
          </w:tcPr>
          <w:p w14:paraId="2F8FD041" w14:textId="77777777" w:rsidR="004E3739" w:rsidRPr="004E2853" w:rsidRDefault="004E3739" w:rsidP="00F16A9E">
            <w:pPr>
              <w:rPr>
                <w:rFonts w:ascii="Arial" w:hAnsi="Arial" w:cs="Arial"/>
                <w:color w:val="000000"/>
                <w:sz w:val="20"/>
                <w:szCs w:val="20"/>
              </w:rPr>
            </w:pPr>
            <w:r w:rsidRPr="004E2853">
              <w:rPr>
                <w:rFonts w:ascii="Arial" w:hAnsi="Arial" w:cs="Arial"/>
                <w:color w:val="000000"/>
                <w:sz w:val="20"/>
                <w:szCs w:val="20"/>
              </w:rPr>
              <w:t>N</w:t>
            </w:r>
          </w:p>
        </w:tc>
        <w:tc>
          <w:tcPr>
            <w:tcW w:w="1880" w:type="dxa"/>
            <w:tcBorders>
              <w:top w:val="nil"/>
              <w:left w:val="nil"/>
              <w:bottom w:val="nil"/>
              <w:right w:val="nil"/>
            </w:tcBorders>
            <w:shd w:val="clear" w:color="auto" w:fill="auto"/>
            <w:vAlign w:val="center"/>
            <w:hideMark/>
          </w:tcPr>
          <w:p w14:paraId="3B352CFF" w14:textId="77777777" w:rsidR="004E3739" w:rsidRPr="004E2853" w:rsidRDefault="004E3739" w:rsidP="00F16A9E">
            <w:pPr>
              <w:jc w:val="center"/>
              <w:rPr>
                <w:rFonts w:ascii="Arial" w:hAnsi="Arial" w:cs="Arial"/>
                <w:color w:val="000000"/>
                <w:sz w:val="20"/>
                <w:szCs w:val="20"/>
              </w:rPr>
            </w:pPr>
            <w:r w:rsidRPr="004E2853">
              <w:rPr>
                <w:rFonts w:ascii="Arial" w:hAnsi="Arial" w:cs="Arial"/>
                <w:color w:val="000000"/>
                <w:sz w:val="20"/>
                <w:szCs w:val="20"/>
              </w:rPr>
              <w:t>2,331,816</w:t>
            </w:r>
          </w:p>
        </w:tc>
        <w:tc>
          <w:tcPr>
            <w:tcW w:w="1880" w:type="dxa"/>
            <w:tcBorders>
              <w:top w:val="nil"/>
              <w:left w:val="nil"/>
              <w:bottom w:val="nil"/>
              <w:right w:val="nil"/>
            </w:tcBorders>
            <w:shd w:val="clear" w:color="auto" w:fill="auto"/>
            <w:vAlign w:val="center"/>
            <w:hideMark/>
          </w:tcPr>
          <w:p w14:paraId="020C153F" w14:textId="77777777" w:rsidR="004E3739" w:rsidRPr="004E2853" w:rsidRDefault="004E3739" w:rsidP="00F16A9E">
            <w:pPr>
              <w:jc w:val="center"/>
              <w:rPr>
                <w:rFonts w:ascii="Arial" w:hAnsi="Arial" w:cs="Arial"/>
                <w:color w:val="000000"/>
                <w:sz w:val="20"/>
                <w:szCs w:val="20"/>
              </w:rPr>
            </w:pPr>
            <w:r w:rsidRPr="004E2853">
              <w:rPr>
                <w:rFonts w:ascii="Arial" w:hAnsi="Arial" w:cs="Arial"/>
                <w:color w:val="000000"/>
                <w:sz w:val="20"/>
                <w:szCs w:val="20"/>
              </w:rPr>
              <w:t>2,331,816</w:t>
            </w:r>
          </w:p>
        </w:tc>
        <w:tc>
          <w:tcPr>
            <w:tcW w:w="1880" w:type="dxa"/>
            <w:tcBorders>
              <w:top w:val="nil"/>
              <w:left w:val="nil"/>
              <w:bottom w:val="nil"/>
              <w:right w:val="nil"/>
            </w:tcBorders>
            <w:shd w:val="clear" w:color="auto" w:fill="auto"/>
            <w:vAlign w:val="center"/>
            <w:hideMark/>
          </w:tcPr>
          <w:p w14:paraId="2497C6DD" w14:textId="77777777" w:rsidR="004E3739" w:rsidRPr="004E2853" w:rsidRDefault="004E3739" w:rsidP="00F16A9E">
            <w:pPr>
              <w:jc w:val="center"/>
              <w:rPr>
                <w:rFonts w:ascii="Arial" w:hAnsi="Arial" w:cs="Arial"/>
                <w:color w:val="000000"/>
                <w:sz w:val="20"/>
                <w:szCs w:val="20"/>
              </w:rPr>
            </w:pPr>
            <w:r w:rsidRPr="004E2853">
              <w:rPr>
                <w:rFonts w:ascii="Arial" w:hAnsi="Arial" w:cs="Arial"/>
                <w:color w:val="000000"/>
                <w:sz w:val="20"/>
                <w:szCs w:val="20"/>
              </w:rPr>
              <w:t>2,331,816</w:t>
            </w:r>
          </w:p>
        </w:tc>
        <w:tc>
          <w:tcPr>
            <w:tcW w:w="1880" w:type="dxa"/>
            <w:tcBorders>
              <w:top w:val="nil"/>
              <w:left w:val="nil"/>
              <w:bottom w:val="nil"/>
              <w:right w:val="nil"/>
            </w:tcBorders>
            <w:shd w:val="clear" w:color="auto" w:fill="auto"/>
            <w:vAlign w:val="center"/>
            <w:hideMark/>
          </w:tcPr>
          <w:p w14:paraId="6DB4CFDF" w14:textId="77777777" w:rsidR="004E3739" w:rsidRPr="004E2853" w:rsidRDefault="004E3739" w:rsidP="00F16A9E">
            <w:pPr>
              <w:jc w:val="center"/>
              <w:rPr>
                <w:rFonts w:ascii="Arial" w:hAnsi="Arial" w:cs="Arial"/>
                <w:color w:val="000000"/>
                <w:sz w:val="20"/>
                <w:szCs w:val="20"/>
              </w:rPr>
            </w:pPr>
            <w:r w:rsidRPr="004E2853">
              <w:rPr>
                <w:rFonts w:ascii="Arial" w:hAnsi="Arial" w:cs="Arial"/>
                <w:color w:val="000000"/>
                <w:sz w:val="20"/>
                <w:szCs w:val="20"/>
              </w:rPr>
              <w:t>2,331,816</w:t>
            </w:r>
          </w:p>
        </w:tc>
        <w:tc>
          <w:tcPr>
            <w:tcW w:w="1800" w:type="dxa"/>
            <w:tcBorders>
              <w:top w:val="nil"/>
              <w:left w:val="nil"/>
              <w:bottom w:val="nil"/>
              <w:right w:val="nil"/>
            </w:tcBorders>
            <w:shd w:val="clear" w:color="auto" w:fill="auto"/>
            <w:vAlign w:val="center"/>
            <w:hideMark/>
          </w:tcPr>
          <w:p w14:paraId="4C9788B6" w14:textId="77777777" w:rsidR="004E3739" w:rsidRPr="004E2853" w:rsidRDefault="004E3739" w:rsidP="00F16A9E">
            <w:pPr>
              <w:jc w:val="center"/>
              <w:rPr>
                <w:rFonts w:ascii="Arial" w:hAnsi="Arial" w:cs="Arial"/>
                <w:color w:val="000000"/>
                <w:sz w:val="20"/>
                <w:szCs w:val="20"/>
              </w:rPr>
            </w:pPr>
            <w:r w:rsidRPr="004E2853">
              <w:rPr>
                <w:rFonts w:ascii="Arial" w:hAnsi="Arial" w:cs="Arial"/>
                <w:color w:val="000000"/>
                <w:sz w:val="20"/>
                <w:szCs w:val="20"/>
              </w:rPr>
              <w:t>2,324,699</w:t>
            </w:r>
          </w:p>
        </w:tc>
        <w:tc>
          <w:tcPr>
            <w:tcW w:w="1620" w:type="dxa"/>
            <w:tcBorders>
              <w:top w:val="nil"/>
              <w:left w:val="nil"/>
              <w:bottom w:val="nil"/>
              <w:right w:val="nil"/>
            </w:tcBorders>
            <w:shd w:val="clear" w:color="auto" w:fill="auto"/>
            <w:vAlign w:val="center"/>
            <w:hideMark/>
          </w:tcPr>
          <w:p w14:paraId="6C647AC4" w14:textId="77777777" w:rsidR="004E3739" w:rsidRPr="004E2853" w:rsidRDefault="004E3739" w:rsidP="00F16A9E">
            <w:pPr>
              <w:jc w:val="center"/>
              <w:rPr>
                <w:rFonts w:ascii="Arial" w:hAnsi="Arial" w:cs="Arial"/>
                <w:color w:val="000000"/>
                <w:sz w:val="20"/>
                <w:szCs w:val="20"/>
              </w:rPr>
            </w:pPr>
            <w:r w:rsidRPr="004E2853">
              <w:rPr>
                <w:rFonts w:ascii="Arial" w:hAnsi="Arial" w:cs="Arial"/>
                <w:color w:val="000000"/>
                <w:sz w:val="20"/>
                <w:szCs w:val="20"/>
              </w:rPr>
              <w:t>2,212,130</w:t>
            </w:r>
          </w:p>
        </w:tc>
      </w:tr>
      <w:tr w:rsidR="004E3739" w:rsidRPr="004E2853" w14:paraId="1737F58E" w14:textId="77777777" w:rsidTr="00F16A9E">
        <w:trPr>
          <w:trHeight w:val="340"/>
        </w:trPr>
        <w:tc>
          <w:tcPr>
            <w:tcW w:w="2740" w:type="dxa"/>
            <w:tcBorders>
              <w:top w:val="nil"/>
              <w:left w:val="nil"/>
              <w:bottom w:val="single" w:sz="8" w:space="0" w:color="auto"/>
              <w:right w:val="nil"/>
            </w:tcBorders>
            <w:shd w:val="clear" w:color="auto" w:fill="auto"/>
            <w:vAlign w:val="center"/>
            <w:hideMark/>
          </w:tcPr>
          <w:p w14:paraId="118560A2" w14:textId="77777777" w:rsidR="004E3739" w:rsidRPr="004E2853" w:rsidRDefault="004E3739" w:rsidP="00F16A9E">
            <w:pPr>
              <w:rPr>
                <w:rFonts w:ascii="Arial" w:hAnsi="Arial" w:cs="Arial"/>
                <w:color w:val="000000"/>
                <w:sz w:val="20"/>
                <w:szCs w:val="20"/>
              </w:rPr>
            </w:pPr>
            <w:r w:rsidRPr="004E2853">
              <w:rPr>
                <w:rFonts w:ascii="Arial" w:hAnsi="Arial" w:cs="Arial"/>
                <w:color w:val="000000"/>
                <w:sz w:val="20"/>
                <w:szCs w:val="20"/>
              </w:rPr>
              <w:t>Baseline mean or %</w:t>
            </w:r>
          </w:p>
        </w:tc>
        <w:tc>
          <w:tcPr>
            <w:tcW w:w="1880" w:type="dxa"/>
            <w:tcBorders>
              <w:top w:val="nil"/>
              <w:left w:val="nil"/>
              <w:bottom w:val="single" w:sz="8" w:space="0" w:color="auto"/>
              <w:right w:val="nil"/>
            </w:tcBorders>
            <w:shd w:val="clear" w:color="auto" w:fill="auto"/>
            <w:vAlign w:val="center"/>
            <w:hideMark/>
          </w:tcPr>
          <w:p w14:paraId="44D8E771" w14:textId="77777777" w:rsidR="004E3739" w:rsidRPr="004E2853" w:rsidRDefault="004E3739" w:rsidP="00F16A9E">
            <w:pPr>
              <w:jc w:val="center"/>
              <w:rPr>
                <w:rFonts w:ascii="Arial" w:hAnsi="Arial" w:cs="Arial"/>
                <w:color w:val="000000"/>
                <w:sz w:val="20"/>
                <w:szCs w:val="20"/>
              </w:rPr>
            </w:pPr>
            <w:r w:rsidRPr="004E2853">
              <w:rPr>
                <w:rFonts w:ascii="Arial" w:hAnsi="Arial" w:cs="Arial"/>
                <w:color w:val="000000"/>
                <w:sz w:val="20"/>
                <w:szCs w:val="20"/>
              </w:rPr>
              <w:t>3,201</w:t>
            </w:r>
          </w:p>
        </w:tc>
        <w:tc>
          <w:tcPr>
            <w:tcW w:w="1880" w:type="dxa"/>
            <w:tcBorders>
              <w:top w:val="nil"/>
              <w:left w:val="nil"/>
              <w:bottom w:val="single" w:sz="8" w:space="0" w:color="auto"/>
              <w:right w:val="nil"/>
            </w:tcBorders>
            <w:shd w:val="clear" w:color="auto" w:fill="auto"/>
            <w:vAlign w:val="center"/>
            <w:hideMark/>
          </w:tcPr>
          <w:p w14:paraId="5033A38E" w14:textId="77777777" w:rsidR="004E3739" w:rsidRPr="004E2853" w:rsidRDefault="004E3739" w:rsidP="00F16A9E">
            <w:pPr>
              <w:jc w:val="center"/>
              <w:rPr>
                <w:rFonts w:ascii="Arial" w:hAnsi="Arial" w:cs="Arial"/>
                <w:color w:val="000000"/>
                <w:sz w:val="20"/>
                <w:szCs w:val="20"/>
              </w:rPr>
            </w:pPr>
            <w:r w:rsidRPr="004E2853">
              <w:rPr>
                <w:rFonts w:ascii="Arial" w:hAnsi="Arial" w:cs="Arial"/>
                <w:color w:val="000000"/>
                <w:sz w:val="20"/>
                <w:szCs w:val="20"/>
              </w:rPr>
              <w:t>14.7</w:t>
            </w:r>
          </w:p>
        </w:tc>
        <w:tc>
          <w:tcPr>
            <w:tcW w:w="1880" w:type="dxa"/>
            <w:tcBorders>
              <w:top w:val="nil"/>
              <w:left w:val="nil"/>
              <w:bottom w:val="single" w:sz="8" w:space="0" w:color="auto"/>
              <w:right w:val="nil"/>
            </w:tcBorders>
            <w:shd w:val="clear" w:color="auto" w:fill="auto"/>
            <w:vAlign w:val="center"/>
            <w:hideMark/>
          </w:tcPr>
          <w:p w14:paraId="68165FB1" w14:textId="77777777" w:rsidR="004E3739" w:rsidRPr="004E2853" w:rsidRDefault="004E3739" w:rsidP="00F16A9E">
            <w:pPr>
              <w:jc w:val="center"/>
              <w:rPr>
                <w:rFonts w:ascii="Arial" w:hAnsi="Arial" w:cs="Arial"/>
                <w:color w:val="000000"/>
                <w:sz w:val="20"/>
                <w:szCs w:val="20"/>
              </w:rPr>
            </w:pPr>
            <w:r w:rsidRPr="004E2853">
              <w:rPr>
                <w:rFonts w:ascii="Arial" w:hAnsi="Arial" w:cs="Arial"/>
                <w:color w:val="000000"/>
                <w:sz w:val="20"/>
                <w:szCs w:val="20"/>
              </w:rPr>
              <w:t>7.4</w:t>
            </w:r>
          </w:p>
        </w:tc>
        <w:tc>
          <w:tcPr>
            <w:tcW w:w="1880" w:type="dxa"/>
            <w:tcBorders>
              <w:top w:val="nil"/>
              <w:left w:val="nil"/>
              <w:bottom w:val="single" w:sz="8" w:space="0" w:color="auto"/>
              <w:right w:val="nil"/>
            </w:tcBorders>
            <w:shd w:val="clear" w:color="auto" w:fill="auto"/>
            <w:vAlign w:val="center"/>
            <w:hideMark/>
          </w:tcPr>
          <w:p w14:paraId="3D61F2BA" w14:textId="77777777" w:rsidR="004E3739" w:rsidRPr="004E2853" w:rsidRDefault="004E3739" w:rsidP="00F16A9E">
            <w:pPr>
              <w:jc w:val="center"/>
              <w:rPr>
                <w:rFonts w:ascii="Arial" w:hAnsi="Arial" w:cs="Arial"/>
                <w:color w:val="000000"/>
                <w:sz w:val="20"/>
                <w:szCs w:val="20"/>
              </w:rPr>
            </w:pPr>
            <w:r w:rsidRPr="004E2853">
              <w:rPr>
                <w:rFonts w:ascii="Arial" w:hAnsi="Arial" w:cs="Arial"/>
                <w:color w:val="000000"/>
                <w:sz w:val="20"/>
                <w:szCs w:val="20"/>
              </w:rPr>
              <w:t>77.9</w:t>
            </w:r>
          </w:p>
        </w:tc>
        <w:tc>
          <w:tcPr>
            <w:tcW w:w="1800" w:type="dxa"/>
            <w:tcBorders>
              <w:top w:val="nil"/>
              <w:left w:val="nil"/>
              <w:bottom w:val="single" w:sz="8" w:space="0" w:color="auto"/>
              <w:right w:val="nil"/>
            </w:tcBorders>
            <w:shd w:val="clear" w:color="auto" w:fill="auto"/>
            <w:vAlign w:val="center"/>
            <w:hideMark/>
          </w:tcPr>
          <w:p w14:paraId="71A992D9" w14:textId="77777777" w:rsidR="004E3739" w:rsidRPr="004E2853" w:rsidRDefault="004E3739" w:rsidP="00F16A9E">
            <w:pPr>
              <w:jc w:val="center"/>
              <w:rPr>
                <w:rFonts w:ascii="Arial" w:hAnsi="Arial" w:cs="Arial"/>
                <w:color w:val="000000"/>
                <w:sz w:val="20"/>
                <w:szCs w:val="20"/>
              </w:rPr>
            </w:pPr>
            <w:r w:rsidRPr="004E2853">
              <w:rPr>
                <w:rFonts w:ascii="Arial" w:hAnsi="Arial" w:cs="Arial"/>
                <w:color w:val="000000"/>
                <w:sz w:val="20"/>
                <w:szCs w:val="20"/>
              </w:rPr>
              <w:t>2.5</w:t>
            </w:r>
          </w:p>
        </w:tc>
        <w:tc>
          <w:tcPr>
            <w:tcW w:w="1620" w:type="dxa"/>
            <w:tcBorders>
              <w:top w:val="nil"/>
              <w:left w:val="nil"/>
              <w:bottom w:val="single" w:sz="8" w:space="0" w:color="auto"/>
              <w:right w:val="nil"/>
            </w:tcBorders>
            <w:shd w:val="clear" w:color="auto" w:fill="auto"/>
            <w:vAlign w:val="center"/>
            <w:hideMark/>
          </w:tcPr>
          <w:p w14:paraId="11738167" w14:textId="77777777" w:rsidR="004E3739" w:rsidRPr="004E2853" w:rsidRDefault="004E3739" w:rsidP="00F16A9E">
            <w:pPr>
              <w:jc w:val="center"/>
              <w:rPr>
                <w:rFonts w:ascii="Arial" w:hAnsi="Arial" w:cs="Arial"/>
                <w:color w:val="000000"/>
                <w:sz w:val="20"/>
                <w:szCs w:val="20"/>
              </w:rPr>
            </w:pPr>
            <w:r w:rsidRPr="004E2853">
              <w:rPr>
                <w:rFonts w:ascii="Arial" w:hAnsi="Arial" w:cs="Arial"/>
                <w:color w:val="000000"/>
                <w:sz w:val="20"/>
                <w:szCs w:val="20"/>
              </w:rPr>
              <w:t>33.2</w:t>
            </w:r>
          </w:p>
        </w:tc>
      </w:tr>
      <w:tr w:rsidR="004E3739" w:rsidRPr="004E2853" w14:paraId="5B9E73C3" w14:textId="77777777" w:rsidTr="00F16A9E">
        <w:trPr>
          <w:trHeight w:val="300"/>
        </w:trPr>
        <w:tc>
          <w:tcPr>
            <w:tcW w:w="13680" w:type="dxa"/>
            <w:gridSpan w:val="7"/>
            <w:tcBorders>
              <w:top w:val="single" w:sz="8" w:space="0" w:color="auto"/>
              <w:left w:val="nil"/>
              <w:bottom w:val="nil"/>
              <w:right w:val="nil"/>
            </w:tcBorders>
            <w:shd w:val="clear" w:color="auto" w:fill="auto"/>
            <w:hideMark/>
          </w:tcPr>
          <w:p w14:paraId="58D417B6" w14:textId="77777777" w:rsidR="004E3739" w:rsidRPr="004E2853" w:rsidRDefault="004E3739" w:rsidP="00F16A9E">
            <w:pPr>
              <w:rPr>
                <w:rFonts w:ascii="Arial" w:hAnsi="Arial" w:cs="Arial"/>
                <w:color w:val="000000"/>
                <w:sz w:val="16"/>
                <w:szCs w:val="16"/>
              </w:rPr>
            </w:pPr>
            <w:r w:rsidRPr="004E2853">
              <w:rPr>
                <w:rFonts w:ascii="Arial" w:hAnsi="Arial" w:cs="Arial"/>
                <w:color w:val="000000"/>
                <w:sz w:val="16"/>
                <w:szCs w:val="16"/>
              </w:rPr>
              <w:t>95% confidence intervals in brackets.  * p &lt; 0.05, ** p &lt; 0.01, *** p &lt; 0.001</w:t>
            </w:r>
          </w:p>
        </w:tc>
      </w:tr>
      <w:tr w:rsidR="004E3739" w:rsidRPr="004E2853" w14:paraId="716D42BB" w14:textId="77777777" w:rsidTr="00F16A9E">
        <w:trPr>
          <w:trHeight w:val="1400"/>
        </w:trPr>
        <w:tc>
          <w:tcPr>
            <w:tcW w:w="13680" w:type="dxa"/>
            <w:gridSpan w:val="7"/>
            <w:tcBorders>
              <w:top w:val="nil"/>
              <w:left w:val="nil"/>
              <w:bottom w:val="nil"/>
              <w:right w:val="nil"/>
            </w:tcBorders>
            <w:shd w:val="clear" w:color="auto" w:fill="auto"/>
            <w:hideMark/>
          </w:tcPr>
          <w:p w14:paraId="68CBE717" w14:textId="392D3323" w:rsidR="004E3739" w:rsidRPr="004E2853" w:rsidRDefault="004E3739" w:rsidP="00F16A9E">
            <w:pPr>
              <w:rPr>
                <w:rFonts w:ascii="Arial" w:hAnsi="Arial" w:cs="Arial"/>
                <w:color w:val="000000"/>
                <w:sz w:val="16"/>
                <w:szCs w:val="16"/>
              </w:rPr>
            </w:pPr>
            <w:r w:rsidRPr="004E2853">
              <w:rPr>
                <w:rFonts w:ascii="Arial" w:hAnsi="Arial" w:cs="Arial"/>
                <w:color w:val="000000"/>
                <w:sz w:val="16"/>
                <w:szCs w:val="16"/>
              </w:rPr>
              <w:t>Notes: Data were drawn from 2008-2012 US birth certificates (N = 11,855,417 women in 27 states). WIC eligibility was imputed using self-reported demographics. Coefficients for binary outcomes were multiplied by 100 and therefore represent a change in percentage points. All models include individual characteristics (mother's age, race/ethnicity, nativity, education, marital status, and parity), state characteristics (birth rate, unemployment rate, % SNAP/capita, % AFDC/capita, EITC rate, and Medicaid income eligibility threshold), and fixed effects for time (year-month)</w:t>
            </w:r>
            <w:r w:rsidR="0056426E" w:rsidRPr="004E2853">
              <w:rPr>
                <w:rFonts w:ascii="Arial" w:hAnsi="Arial" w:cs="Arial"/>
                <w:color w:val="000000"/>
                <w:sz w:val="16"/>
                <w:szCs w:val="16"/>
              </w:rPr>
              <w:t xml:space="preserve"> and state</w:t>
            </w:r>
            <w:r w:rsidRPr="004E2853">
              <w:rPr>
                <w:rFonts w:ascii="Arial" w:hAnsi="Arial" w:cs="Arial"/>
                <w:color w:val="000000"/>
                <w:sz w:val="16"/>
                <w:szCs w:val="16"/>
              </w:rPr>
              <w:t>.</w:t>
            </w:r>
            <w:r w:rsidR="00901497" w:rsidRPr="004E2853">
              <w:rPr>
                <w:rFonts w:ascii="Arial" w:hAnsi="Arial" w:cs="Arial"/>
                <w:color w:val="000000"/>
                <w:sz w:val="16"/>
                <w:szCs w:val="16"/>
              </w:rPr>
              <w:t xml:space="preserve"> </w:t>
            </w:r>
            <w:r w:rsidRPr="004E2853">
              <w:rPr>
                <w:rFonts w:ascii="Arial" w:hAnsi="Arial" w:cs="Arial"/>
                <w:color w:val="000000"/>
                <w:sz w:val="16"/>
                <w:szCs w:val="16"/>
              </w:rPr>
              <w:t>Robust standard errors were used to address possible heteroskedasticity. Baseline mean or % represents mean or % of outcomes among WIC-eligible mothers before the 2009 WIC revision.</w:t>
            </w:r>
          </w:p>
        </w:tc>
      </w:tr>
    </w:tbl>
    <w:p w14:paraId="14533127" w14:textId="77777777" w:rsidR="004E3739" w:rsidRPr="004E2853" w:rsidRDefault="004E3739" w:rsidP="004E3739">
      <w:pPr>
        <w:rPr>
          <w:rFonts w:ascii="Arial" w:hAnsi="Arial" w:cs="Arial"/>
          <w:color w:val="000000" w:themeColor="text1"/>
          <w:sz w:val="20"/>
          <w:szCs w:val="20"/>
        </w:rPr>
      </w:pPr>
    </w:p>
    <w:p w14:paraId="569167B4" w14:textId="77777777" w:rsidR="002F4230" w:rsidRPr="004E2853" w:rsidRDefault="002F4230" w:rsidP="004E3739">
      <w:pPr>
        <w:rPr>
          <w:rFonts w:ascii="Arial" w:hAnsi="Arial" w:cs="Arial"/>
          <w:color w:val="000000" w:themeColor="text1"/>
          <w:sz w:val="20"/>
          <w:szCs w:val="20"/>
        </w:rPr>
        <w:sectPr w:rsidR="002F4230" w:rsidRPr="004E2853" w:rsidSect="004E3739">
          <w:pgSz w:w="15840" w:h="12240" w:orient="landscape"/>
          <w:pgMar w:top="1440" w:right="1440" w:bottom="1440" w:left="1440" w:header="720" w:footer="720" w:gutter="0"/>
          <w:cols w:space="720"/>
          <w:docGrid w:linePitch="360"/>
        </w:sectPr>
      </w:pPr>
    </w:p>
    <w:tbl>
      <w:tblPr>
        <w:tblW w:w="11466" w:type="dxa"/>
        <w:tblInd w:w="-900" w:type="dxa"/>
        <w:tblLayout w:type="fixed"/>
        <w:tblLook w:val="04A0" w:firstRow="1" w:lastRow="0" w:firstColumn="1" w:lastColumn="0" w:noHBand="0" w:noVBand="1"/>
      </w:tblPr>
      <w:tblGrid>
        <w:gridCol w:w="2160"/>
        <w:gridCol w:w="1530"/>
        <w:gridCol w:w="1440"/>
        <w:gridCol w:w="1440"/>
        <w:gridCol w:w="1440"/>
        <w:gridCol w:w="1440"/>
        <w:gridCol w:w="1440"/>
        <w:gridCol w:w="576"/>
      </w:tblGrid>
      <w:tr w:rsidR="00025200" w:rsidRPr="004E2853" w14:paraId="59352F4E" w14:textId="77777777" w:rsidTr="002218B1">
        <w:trPr>
          <w:trHeight w:val="20"/>
        </w:trPr>
        <w:tc>
          <w:tcPr>
            <w:tcW w:w="11466" w:type="dxa"/>
            <w:gridSpan w:val="8"/>
            <w:tcBorders>
              <w:top w:val="nil"/>
              <w:left w:val="nil"/>
              <w:right w:val="nil"/>
            </w:tcBorders>
            <w:shd w:val="clear" w:color="auto" w:fill="auto"/>
            <w:noWrap/>
            <w:vAlign w:val="center"/>
            <w:hideMark/>
          </w:tcPr>
          <w:p w14:paraId="5537D00C" w14:textId="7F96F20E" w:rsidR="00BB39C9" w:rsidRPr="004E2853" w:rsidRDefault="00BB39C9">
            <w:pPr>
              <w:rPr>
                <w:rFonts w:ascii="Arial" w:hAnsi="Arial" w:cs="Arial"/>
                <w:color w:val="000000"/>
                <w:sz w:val="18"/>
                <w:szCs w:val="18"/>
              </w:rPr>
            </w:pPr>
            <w:r w:rsidRPr="004E2853">
              <w:rPr>
                <w:rFonts w:ascii="Arial" w:hAnsi="Arial" w:cs="Arial"/>
                <w:color w:val="000000"/>
                <w:sz w:val="18"/>
                <w:szCs w:val="18"/>
              </w:rPr>
              <w:lastRenderedPageBreak/>
              <w:t>Table S</w:t>
            </w:r>
            <w:r w:rsidR="003417E0" w:rsidRPr="004E2853">
              <w:rPr>
                <w:rFonts w:ascii="Arial" w:hAnsi="Arial" w:cs="Arial"/>
                <w:color w:val="000000"/>
                <w:sz w:val="18"/>
                <w:szCs w:val="18"/>
              </w:rPr>
              <w:t>9</w:t>
            </w:r>
            <w:r w:rsidRPr="004E2853">
              <w:rPr>
                <w:rFonts w:ascii="Arial" w:hAnsi="Arial" w:cs="Arial"/>
                <w:color w:val="000000"/>
                <w:sz w:val="18"/>
                <w:szCs w:val="18"/>
              </w:rPr>
              <w:t>. Association of Revised WIC Food Package with Infant and Maternal Health (full model)</w:t>
            </w:r>
          </w:p>
        </w:tc>
      </w:tr>
      <w:tr w:rsidR="00025200" w:rsidRPr="004E2853" w14:paraId="31954D19" w14:textId="77777777" w:rsidTr="002218B1">
        <w:trPr>
          <w:gridAfter w:val="1"/>
          <w:wAfter w:w="576" w:type="dxa"/>
          <w:trHeight w:val="20"/>
        </w:trPr>
        <w:tc>
          <w:tcPr>
            <w:tcW w:w="2160" w:type="dxa"/>
            <w:tcBorders>
              <w:top w:val="single" w:sz="4" w:space="0" w:color="auto"/>
              <w:left w:val="nil"/>
              <w:bottom w:val="nil"/>
              <w:right w:val="nil"/>
            </w:tcBorders>
            <w:shd w:val="clear" w:color="auto" w:fill="auto"/>
            <w:vAlign w:val="center"/>
            <w:hideMark/>
          </w:tcPr>
          <w:p w14:paraId="6864A018" w14:textId="77777777" w:rsidR="00BB39C9" w:rsidRPr="004E2853" w:rsidRDefault="00BB39C9">
            <w:pPr>
              <w:rPr>
                <w:rFonts w:ascii="Arial" w:hAnsi="Arial" w:cs="Arial"/>
                <w:color w:val="000000"/>
                <w:sz w:val="18"/>
                <w:szCs w:val="18"/>
              </w:rPr>
            </w:pPr>
          </w:p>
        </w:tc>
        <w:tc>
          <w:tcPr>
            <w:tcW w:w="1530" w:type="dxa"/>
            <w:tcBorders>
              <w:top w:val="single" w:sz="4" w:space="0" w:color="auto"/>
              <w:left w:val="nil"/>
              <w:bottom w:val="nil"/>
              <w:right w:val="nil"/>
            </w:tcBorders>
            <w:shd w:val="clear" w:color="auto" w:fill="auto"/>
            <w:vAlign w:val="center"/>
            <w:hideMark/>
          </w:tcPr>
          <w:p w14:paraId="775EB3F9"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Birthweight (grams)</w:t>
            </w:r>
          </w:p>
        </w:tc>
        <w:tc>
          <w:tcPr>
            <w:tcW w:w="1440" w:type="dxa"/>
            <w:tcBorders>
              <w:top w:val="single" w:sz="4" w:space="0" w:color="auto"/>
              <w:left w:val="nil"/>
              <w:bottom w:val="nil"/>
              <w:right w:val="nil"/>
            </w:tcBorders>
            <w:shd w:val="clear" w:color="auto" w:fill="auto"/>
            <w:vAlign w:val="center"/>
            <w:hideMark/>
          </w:tcPr>
          <w:p w14:paraId="072B4FF2"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Small for gestational age</w:t>
            </w:r>
          </w:p>
        </w:tc>
        <w:tc>
          <w:tcPr>
            <w:tcW w:w="1440" w:type="dxa"/>
            <w:tcBorders>
              <w:top w:val="single" w:sz="4" w:space="0" w:color="auto"/>
              <w:left w:val="nil"/>
              <w:bottom w:val="nil"/>
              <w:right w:val="nil"/>
            </w:tcBorders>
            <w:shd w:val="clear" w:color="auto" w:fill="auto"/>
            <w:vAlign w:val="center"/>
            <w:hideMark/>
          </w:tcPr>
          <w:p w14:paraId="23A6AD64"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Large for gestational age</w:t>
            </w:r>
          </w:p>
        </w:tc>
        <w:tc>
          <w:tcPr>
            <w:tcW w:w="1440" w:type="dxa"/>
            <w:tcBorders>
              <w:top w:val="single" w:sz="4" w:space="0" w:color="auto"/>
              <w:left w:val="nil"/>
              <w:bottom w:val="nil"/>
              <w:right w:val="nil"/>
            </w:tcBorders>
            <w:shd w:val="clear" w:color="auto" w:fill="auto"/>
            <w:vAlign w:val="center"/>
            <w:hideMark/>
          </w:tcPr>
          <w:p w14:paraId="4C568AD4"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Appropriate for gestational age</w:t>
            </w:r>
          </w:p>
        </w:tc>
        <w:tc>
          <w:tcPr>
            <w:tcW w:w="1440" w:type="dxa"/>
            <w:tcBorders>
              <w:top w:val="single" w:sz="4" w:space="0" w:color="auto"/>
              <w:left w:val="nil"/>
              <w:bottom w:val="nil"/>
              <w:right w:val="nil"/>
            </w:tcBorders>
            <w:shd w:val="clear" w:color="auto" w:fill="auto"/>
            <w:vAlign w:val="center"/>
            <w:hideMark/>
          </w:tcPr>
          <w:p w14:paraId="2F18B504"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Gestational diabetes mellitus</w:t>
            </w:r>
          </w:p>
        </w:tc>
        <w:tc>
          <w:tcPr>
            <w:tcW w:w="1440" w:type="dxa"/>
            <w:tcBorders>
              <w:top w:val="single" w:sz="4" w:space="0" w:color="auto"/>
              <w:left w:val="nil"/>
              <w:bottom w:val="nil"/>
              <w:right w:val="nil"/>
            </w:tcBorders>
            <w:shd w:val="clear" w:color="auto" w:fill="auto"/>
            <w:vAlign w:val="center"/>
            <w:hideMark/>
          </w:tcPr>
          <w:p w14:paraId="61E537AA"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Gestational weight gain (pounds)</w:t>
            </w:r>
          </w:p>
        </w:tc>
      </w:tr>
      <w:tr w:rsidR="00025200" w:rsidRPr="004E2853" w14:paraId="7EB58503" w14:textId="77777777" w:rsidTr="002218B1">
        <w:trPr>
          <w:gridAfter w:val="1"/>
          <w:wAfter w:w="576" w:type="dxa"/>
          <w:trHeight w:val="20"/>
        </w:trPr>
        <w:tc>
          <w:tcPr>
            <w:tcW w:w="2160" w:type="dxa"/>
            <w:vMerge w:val="restart"/>
            <w:tcBorders>
              <w:top w:val="nil"/>
              <w:left w:val="nil"/>
              <w:bottom w:val="nil"/>
              <w:right w:val="nil"/>
            </w:tcBorders>
            <w:shd w:val="clear" w:color="auto" w:fill="auto"/>
            <w:hideMark/>
          </w:tcPr>
          <w:p w14:paraId="47BB97D7" w14:textId="77777777" w:rsidR="00BB39C9" w:rsidRPr="004E2853" w:rsidRDefault="00BB39C9" w:rsidP="00BB39C9">
            <w:pPr>
              <w:rPr>
                <w:rFonts w:ascii="Arial" w:hAnsi="Arial" w:cs="Arial"/>
                <w:color w:val="000000"/>
                <w:sz w:val="18"/>
                <w:szCs w:val="18"/>
              </w:rPr>
            </w:pPr>
            <w:r w:rsidRPr="004E2853">
              <w:rPr>
                <w:rFonts w:ascii="Arial" w:hAnsi="Arial" w:cs="Arial"/>
                <w:color w:val="000000"/>
                <w:sz w:val="18"/>
                <w:szCs w:val="18"/>
              </w:rPr>
              <w:t>WIC-eligible*Post-2009</w:t>
            </w:r>
          </w:p>
        </w:tc>
        <w:tc>
          <w:tcPr>
            <w:tcW w:w="1530" w:type="dxa"/>
            <w:tcBorders>
              <w:top w:val="nil"/>
              <w:left w:val="nil"/>
              <w:bottom w:val="nil"/>
              <w:right w:val="nil"/>
            </w:tcBorders>
            <w:shd w:val="clear" w:color="auto" w:fill="auto"/>
            <w:vAlign w:val="center"/>
            <w:hideMark/>
          </w:tcPr>
          <w:p w14:paraId="02BCF232"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-3.521***</w:t>
            </w:r>
          </w:p>
        </w:tc>
        <w:tc>
          <w:tcPr>
            <w:tcW w:w="1440" w:type="dxa"/>
            <w:tcBorders>
              <w:top w:val="nil"/>
              <w:left w:val="nil"/>
              <w:bottom w:val="nil"/>
              <w:right w:val="nil"/>
            </w:tcBorders>
            <w:shd w:val="clear" w:color="auto" w:fill="auto"/>
            <w:vAlign w:val="center"/>
            <w:hideMark/>
          </w:tcPr>
          <w:p w14:paraId="25A40889"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-0.081*</w:t>
            </w:r>
          </w:p>
        </w:tc>
        <w:tc>
          <w:tcPr>
            <w:tcW w:w="1440" w:type="dxa"/>
            <w:tcBorders>
              <w:top w:val="nil"/>
              <w:left w:val="nil"/>
              <w:bottom w:val="nil"/>
              <w:right w:val="nil"/>
            </w:tcBorders>
            <w:shd w:val="clear" w:color="auto" w:fill="auto"/>
            <w:vAlign w:val="center"/>
            <w:hideMark/>
          </w:tcPr>
          <w:p w14:paraId="20E8353C"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-0.004</w:t>
            </w:r>
          </w:p>
        </w:tc>
        <w:tc>
          <w:tcPr>
            <w:tcW w:w="1440" w:type="dxa"/>
            <w:tcBorders>
              <w:top w:val="nil"/>
              <w:left w:val="nil"/>
              <w:bottom w:val="nil"/>
              <w:right w:val="nil"/>
            </w:tcBorders>
            <w:shd w:val="clear" w:color="auto" w:fill="auto"/>
            <w:vAlign w:val="center"/>
            <w:hideMark/>
          </w:tcPr>
          <w:p w14:paraId="074EF187"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0.085</w:t>
            </w:r>
          </w:p>
        </w:tc>
        <w:tc>
          <w:tcPr>
            <w:tcW w:w="1440" w:type="dxa"/>
            <w:tcBorders>
              <w:top w:val="nil"/>
              <w:left w:val="nil"/>
              <w:bottom w:val="nil"/>
              <w:right w:val="nil"/>
            </w:tcBorders>
            <w:shd w:val="clear" w:color="auto" w:fill="auto"/>
            <w:vAlign w:val="center"/>
            <w:hideMark/>
          </w:tcPr>
          <w:p w14:paraId="7A947A64"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0.032</w:t>
            </w:r>
          </w:p>
        </w:tc>
        <w:tc>
          <w:tcPr>
            <w:tcW w:w="1440" w:type="dxa"/>
            <w:tcBorders>
              <w:top w:val="nil"/>
              <w:left w:val="nil"/>
              <w:bottom w:val="nil"/>
              <w:right w:val="nil"/>
            </w:tcBorders>
            <w:shd w:val="clear" w:color="auto" w:fill="auto"/>
            <w:vAlign w:val="center"/>
            <w:hideMark/>
          </w:tcPr>
          <w:p w14:paraId="2D2850EE"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-0.053**</w:t>
            </w:r>
          </w:p>
        </w:tc>
      </w:tr>
      <w:tr w:rsidR="00025200" w:rsidRPr="004E2853" w14:paraId="4145628D" w14:textId="77777777" w:rsidTr="002218B1">
        <w:trPr>
          <w:gridAfter w:val="1"/>
          <w:wAfter w:w="576" w:type="dxa"/>
          <w:trHeight w:val="20"/>
        </w:trPr>
        <w:tc>
          <w:tcPr>
            <w:tcW w:w="2160" w:type="dxa"/>
            <w:vMerge/>
            <w:tcBorders>
              <w:top w:val="nil"/>
              <w:left w:val="nil"/>
              <w:bottom w:val="nil"/>
              <w:right w:val="nil"/>
            </w:tcBorders>
            <w:hideMark/>
          </w:tcPr>
          <w:p w14:paraId="14BCBA08" w14:textId="77777777" w:rsidR="00BB39C9" w:rsidRPr="004E2853" w:rsidRDefault="00BB39C9" w:rsidP="00BB39C9">
            <w:pPr>
              <w:rPr>
                <w:rFonts w:ascii="Arial" w:hAnsi="Arial" w:cs="Arial"/>
                <w:color w:val="000000"/>
                <w:sz w:val="18"/>
                <w:szCs w:val="18"/>
              </w:rPr>
            </w:pPr>
          </w:p>
        </w:tc>
        <w:tc>
          <w:tcPr>
            <w:tcW w:w="1530" w:type="dxa"/>
            <w:tcBorders>
              <w:top w:val="nil"/>
              <w:left w:val="nil"/>
              <w:bottom w:val="nil"/>
              <w:right w:val="nil"/>
            </w:tcBorders>
            <w:shd w:val="clear" w:color="auto" w:fill="auto"/>
            <w:vAlign w:val="center"/>
            <w:hideMark/>
          </w:tcPr>
          <w:p w14:paraId="273974CA"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[-4.745,-2.297]</w:t>
            </w:r>
          </w:p>
        </w:tc>
        <w:tc>
          <w:tcPr>
            <w:tcW w:w="1440" w:type="dxa"/>
            <w:tcBorders>
              <w:top w:val="nil"/>
              <w:left w:val="nil"/>
              <w:bottom w:val="nil"/>
              <w:right w:val="nil"/>
            </w:tcBorders>
            <w:shd w:val="clear" w:color="auto" w:fill="auto"/>
            <w:vAlign w:val="center"/>
            <w:hideMark/>
          </w:tcPr>
          <w:p w14:paraId="62421F7B"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[-0.152,-0.010]</w:t>
            </w:r>
          </w:p>
        </w:tc>
        <w:tc>
          <w:tcPr>
            <w:tcW w:w="1440" w:type="dxa"/>
            <w:tcBorders>
              <w:top w:val="nil"/>
              <w:left w:val="nil"/>
              <w:bottom w:val="nil"/>
              <w:right w:val="nil"/>
            </w:tcBorders>
            <w:shd w:val="clear" w:color="auto" w:fill="auto"/>
            <w:vAlign w:val="center"/>
            <w:hideMark/>
          </w:tcPr>
          <w:p w14:paraId="1DBE9112"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[-0.075,0.067]</w:t>
            </w:r>
          </w:p>
        </w:tc>
        <w:tc>
          <w:tcPr>
            <w:tcW w:w="1440" w:type="dxa"/>
            <w:tcBorders>
              <w:top w:val="nil"/>
              <w:left w:val="nil"/>
              <w:bottom w:val="nil"/>
              <w:right w:val="nil"/>
            </w:tcBorders>
            <w:shd w:val="clear" w:color="auto" w:fill="auto"/>
            <w:vAlign w:val="center"/>
            <w:hideMark/>
          </w:tcPr>
          <w:p w14:paraId="32D01BC8"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[-0.010,0.179]</w:t>
            </w:r>
          </w:p>
        </w:tc>
        <w:tc>
          <w:tcPr>
            <w:tcW w:w="1440" w:type="dxa"/>
            <w:tcBorders>
              <w:top w:val="nil"/>
              <w:left w:val="nil"/>
              <w:bottom w:val="nil"/>
              <w:right w:val="nil"/>
            </w:tcBorders>
            <w:shd w:val="clear" w:color="auto" w:fill="auto"/>
            <w:vAlign w:val="center"/>
            <w:hideMark/>
          </w:tcPr>
          <w:p w14:paraId="74C6A2FE"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[-0.016,0.081]</w:t>
            </w:r>
          </w:p>
        </w:tc>
        <w:tc>
          <w:tcPr>
            <w:tcW w:w="1440" w:type="dxa"/>
            <w:tcBorders>
              <w:top w:val="nil"/>
              <w:left w:val="nil"/>
              <w:bottom w:val="nil"/>
              <w:right w:val="nil"/>
            </w:tcBorders>
            <w:shd w:val="clear" w:color="auto" w:fill="auto"/>
            <w:vAlign w:val="center"/>
            <w:hideMark/>
          </w:tcPr>
          <w:p w14:paraId="0367D43A"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[-0.088,-0.019]</w:t>
            </w:r>
          </w:p>
        </w:tc>
      </w:tr>
      <w:tr w:rsidR="00025200" w:rsidRPr="004E2853" w14:paraId="3A8BD4A5" w14:textId="77777777" w:rsidTr="002218B1">
        <w:trPr>
          <w:gridAfter w:val="1"/>
          <w:wAfter w:w="576" w:type="dxa"/>
          <w:trHeight w:val="20"/>
        </w:trPr>
        <w:tc>
          <w:tcPr>
            <w:tcW w:w="2160" w:type="dxa"/>
            <w:vMerge w:val="restart"/>
            <w:tcBorders>
              <w:top w:val="nil"/>
              <w:left w:val="nil"/>
              <w:bottom w:val="nil"/>
              <w:right w:val="nil"/>
            </w:tcBorders>
            <w:shd w:val="clear" w:color="auto" w:fill="auto"/>
            <w:noWrap/>
            <w:hideMark/>
          </w:tcPr>
          <w:p w14:paraId="1DE29EE1" w14:textId="77777777" w:rsidR="00BB39C9" w:rsidRPr="004E2853" w:rsidRDefault="00BB39C9" w:rsidP="00BB39C9">
            <w:pPr>
              <w:rPr>
                <w:rFonts w:ascii="Arial" w:hAnsi="Arial" w:cs="Arial"/>
                <w:color w:val="000000"/>
                <w:sz w:val="18"/>
                <w:szCs w:val="18"/>
              </w:rPr>
            </w:pPr>
            <w:r w:rsidRPr="004E2853">
              <w:rPr>
                <w:rFonts w:ascii="Arial" w:hAnsi="Arial" w:cs="Arial"/>
                <w:color w:val="000000"/>
                <w:sz w:val="18"/>
                <w:szCs w:val="18"/>
              </w:rPr>
              <w:t>WIC eligible</w:t>
            </w:r>
          </w:p>
        </w:tc>
        <w:tc>
          <w:tcPr>
            <w:tcW w:w="1530" w:type="dxa"/>
            <w:tcBorders>
              <w:top w:val="nil"/>
              <w:left w:val="nil"/>
              <w:bottom w:val="nil"/>
              <w:right w:val="nil"/>
            </w:tcBorders>
            <w:shd w:val="clear" w:color="auto" w:fill="auto"/>
            <w:noWrap/>
            <w:vAlign w:val="bottom"/>
            <w:hideMark/>
          </w:tcPr>
          <w:p w14:paraId="19F5E78C"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-0.153</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09C0961E"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0.008</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3C4BAF7A"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-0.009</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3E97A619"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0.001</w:t>
            </w:r>
          </w:p>
        </w:tc>
        <w:tc>
          <w:tcPr>
            <w:tcW w:w="1440" w:type="dxa"/>
            <w:tcBorders>
              <w:top w:val="nil"/>
              <w:left w:val="nil"/>
              <w:bottom w:val="nil"/>
              <w:right w:val="nil"/>
            </w:tcBorders>
            <w:shd w:val="clear" w:color="auto" w:fill="auto"/>
            <w:noWrap/>
            <w:vAlign w:val="bottom"/>
            <w:hideMark/>
          </w:tcPr>
          <w:p w14:paraId="5ACBF18F"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-0.001</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5CFEEB0A"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0.001</w:t>
            </w:r>
            <w:r w:rsidRPr="004E2853">
              <w:rPr>
                <w:rFonts w:ascii="Arial" w:hAnsi="Arial" w:cs="Arial"/>
                <w:color w:val="000000"/>
                <w:sz w:val="18"/>
                <w:szCs w:val="18"/>
                <w:vertAlign w:val="superscript"/>
              </w:rPr>
              <w:t>***</w:t>
            </w:r>
          </w:p>
        </w:tc>
      </w:tr>
      <w:tr w:rsidR="00025200" w:rsidRPr="004E2853" w14:paraId="35126482" w14:textId="77777777" w:rsidTr="002218B1">
        <w:trPr>
          <w:gridAfter w:val="1"/>
          <w:wAfter w:w="576" w:type="dxa"/>
          <w:trHeight w:val="20"/>
        </w:trPr>
        <w:tc>
          <w:tcPr>
            <w:tcW w:w="2160" w:type="dxa"/>
            <w:vMerge/>
            <w:tcBorders>
              <w:top w:val="nil"/>
              <w:left w:val="nil"/>
              <w:bottom w:val="nil"/>
              <w:right w:val="nil"/>
            </w:tcBorders>
            <w:hideMark/>
          </w:tcPr>
          <w:p w14:paraId="21699B01" w14:textId="77777777" w:rsidR="00BB39C9" w:rsidRPr="004E2853" w:rsidRDefault="00BB39C9" w:rsidP="00BB39C9">
            <w:pPr>
              <w:rPr>
                <w:rFonts w:ascii="Arial" w:hAnsi="Arial" w:cs="Arial"/>
                <w:color w:val="000000"/>
                <w:sz w:val="18"/>
                <w:szCs w:val="18"/>
              </w:rPr>
            </w:pPr>
          </w:p>
        </w:tc>
        <w:tc>
          <w:tcPr>
            <w:tcW w:w="1530" w:type="dxa"/>
            <w:tcBorders>
              <w:top w:val="nil"/>
              <w:left w:val="nil"/>
              <w:bottom w:val="nil"/>
              <w:right w:val="nil"/>
            </w:tcBorders>
            <w:shd w:val="clear" w:color="auto" w:fill="auto"/>
            <w:noWrap/>
            <w:vAlign w:val="bottom"/>
            <w:hideMark/>
          </w:tcPr>
          <w:p w14:paraId="6B6C3FC4"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[-0.167,-0.139]</w:t>
            </w:r>
          </w:p>
        </w:tc>
        <w:tc>
          <w:tcPr>
            <w:tcW w:w="1440" w:type="dxa"/>
            <w:tcBorders>
              <w:top w:val="nil"/>
              <w:left w:val="nil"/>
              <w:bottom w:val="nil"/>
              <w:right w:val="nil"/>
            </w:tcBorders>
            <w:shd w:val="clear" w:color="auto" w:fill="auto"/>
            <w:noWrap/>
            <w:vAlign w:val="bottom"/>
            <w:hideMark/>
          </w:tcPr>
          <w:p w14:paraId="32D72A34"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[0.007,0.009]</w:t>
            </w:r>
          </w:p>
        </w:tc>
        <w:tc>
          <w:tcPr>
            <w:tcW w:w="1440" w:type="dxa"/>
            <w:tcBorders>
              <w:top w:val="nil"/>
              <w:left w:val="nil"/>
              <w:bottom w:val="nil"/>
              <w:right w:val="nil"/>
            </w:tcBorders>
            <w:shd w:val="clear" w:color="auto" w:fill="auto"/>
            <w:noWrap/>
            <w:vAlign w:val="bottom"/>
            <w:hideMark/>
          </w:tcPr>
          <w:p w14:paraId="037AEB3B"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[-0.010,-0.008]</w:t>
            </w:r>
          </w:p>
        </w:tc>
        <w:tc>
          <w:tcPr>
            <w:tcW w:w="1440" w:type="dxa"/>
            <w:tcBorders>
              <w:top w:val="nil"/>
              <w:left w:val="nil"/>
              <w:bottom w:val="nil"/>
              <w:right w:val="nil"/>
            </w:tcBorders>
            <w:shd w:val="clear" w:color="auto" w:fill="auto"/>
            <w:noWrap/>
            <w:vAlign w:val="bottom"/>
            <w:hideMark/>
          </w:tcPr>
          <w:p w14:paraId="1D9EDDD9"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[-0.000,0.002]</w:t>
            </w:r>
          </w:p>
        </w:tc>
        <w:tc>
          <w:tcPr>
            <w:tcW w:w="1440" w:type="dxa"/>
            <w:tcBorders>
              <w:top w:val="nil"/>
              <w:left w:val="nil"/>
              <w:bottom w:val="nil"/>
              <w:right w:val="nil"/>
            </w:tcBorders>
            <w:shd w:val="clear" w:color="auto" w:fill="auto"/>
            <w:noWrap/>
            <w:vAlign w:val="bottom"/>
            <w:hideMark/>
          </w:tcPr>
          <w:p w14:paraId="72B19623"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[-0.002,-0.001]</w:t>
            </w:r>
          </w:p>
        </w:tc>
        <w:tc>
          <w:tcPr>
            <w:tcW w:w="1440" w:type="dxa"/>
            <w:tcBorders>
              <w:top w:val="nil"/>
              <w:left w:val="nil"/>
              <w:bottom w:val="nil"/>
              <w:right w:val="nil"/>
            </w:tcBorders>
            <w:shd w:val="clear" w:color="auto" w:fill="auto"/>
            <w:noWrap/>
            <w:vAlign w:val="bottom"/>
            <w:hideMark/>
          </w:tcPr>
          <w:p w14:paraId="21D9A16C"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[0.001,0.001]</w:t>
            </w:r>
          </w:p>
        </w:tc>
      </w:tr>
      <w:tr w:rsidR="00025200" w:rsidRPr="004E2853" w14:paraId="3A264926" w14:textId="77777777" w:rsidTr="002218B1">
        <w:trPr>
          <w:gridAfter w:val="1"/>
          <w:wAfter w:w="576" w:type="dxa"/>
          <w:trHeight w:val="20"/>
        </w:trPr>
        <w:tc>
          <w:tcPr>
            <w:tcW w:w="2160" w:type="dxa"/>
            <w:tcBorders>
              <w:top w:val="nil"/>
              <w:left w:val="nil"/>
              <w:bottom w:val="nil"/>
              <w:right w:val="nil"/>
            </w:tcBorders>
            <w:shd w:val="clear" w:color="auto" w:fill="auto"/>
            <w:noWrap/>
            <w:hideMark/>
          </w:tcPr>
          <w:p w14:paraId="1DA69284" w14:textId="53FA4A33" w:rsidR="00BB39C9" w:rsidRPr="004E2853" w:rsidRDefault="00BB39C9" w:rsidP="00BB39C9">
            <w:pPr>
              <w:rPr>
                <w:rFonts w:ascii="Arial" w:hAnsi="Arial" w:cs="Arial"/>
                <w:color w:val="000000"/>
                <w:sz w:val="18"/>
                <w:szCs w:val="18"/>
              </w:rPr>
            </w:pPr>
            <w:r w:rsidRPr="004E2853">
              <w:rPr>
                <w:rFonts w:ascii="Arial" w:hAnsi="Arial" w:cs="Arial"/>
                <w:color w:val="000000"/>
                <w:sz w:val="18"/>
                <w:szCs w:val="18"/>
              </w:rPr>
              <w:t>Race/ethnicity (ref</w:t>
            </w:r>
            <w:r w:rsidR="00025200" w:rsidRPr="004E2853">
              <w:rPr>
                <w:rFonts w:ascii="Arial" w:hAnsi="Arial" w:cs="Arial"/>
                <w:color w:val="000000"/>
                <w:sz w:val="18"/>
                <w:szCs w:val="18"/>
              </w:rPr>
              <w:t>=</w:t>
            </w:r>
            <w:r w:rsidRPr="004E2853">
              <w:rPr>
                <w:rFonts w:ascii="Arial" w:hAnsi="Arial" w:cs="Arial"/>
                <w:color w:val="000000"/>
                <w:sz w:val="18"/>
                <w:szCs w:val="18"/>
              </w:rPr>
              <w:t>White)</w:t>
            </w:r>
          </w:p>
        </w:tc>
        <w:tc>
          <w:tcPr>
            <w:tcW w:w="1530" w:type="dxa"/>
            <w:tcBorders>
              <w:top w:val="nil"/>
              <w:left w:val="nil"/>
              <w:bottom w:val="nil"/>
              <w:right w:val="nil"/>
            </w:tcBorders>
            <w:shd w:val="clear" w:color="auto" w:fill="auto"/>
            <w:noWrap/>
            <w:vAlign w:val="bottom"/>
            <w:hideMark/>
          </w:tcPr>
          <w:p w14:paraId="1A4F89C7" w14:textId="77777777" w:rsidR="00BB39C9" w:rsidRPr="004E2853" w:rsidRDefault="00BB39C9">
            <w:pPr>
              <w:rPr>
                <w:rFonts w:ascii="Arial" w:hAnsi="Arial" w:cs="Arial"/>
                <w:color w:val="000000"/>
                <w:sz w:val="18"/>
                <w:szCs w:val="18"/>
              </w:rPr>
            </w:pPr>
          </w:p>
        </w:tc>
        <w:tc>
          <w:tcPr>
            <w:tcW w:w="1440" w:type="dxa"/>
            <w:tcBorders>
              <w:top w:val="nil"/>
              <w:left w:val="nil"/>
              <w:bottom w:val="nil"/>
              <w:right w:val="nil"/>
            </w:tcBorders>
            <w:shd w:val="clear" w:color="auto" w:fill="auto"/>
            <w:noWrap/>
            <w:vAlign w:val="bottom"/>
            <w:hideMark/>
          </w:tcPr>
          <w:p w14:paraId="78655721" w14:textId="77777777" w:rsidR="00BB39C9" w:rsidRPr="004E2853" w:rsidRDefault="00BB39C9">
            <w:pPr>
              <w:jc w:val="center"/>
              <w:rPr>
                <w:sz w:val="18"/>
                <w:szCs w:val="18"/>
              </w:rPr>
            </w:pPr>
          </w:p>
        </w:tc>
        <w:tc>
          <w:tcPr>
            <w:tcW w:w="1440" w:type="dxa"/>
            <w:tcBorders>
              <w:top w:val="nil"/>
              <w:left w:val="nil"/>
              <w:bottom w:val="nil"/>
              <w:right w:val="nil"/>
            </w:tcBorders>
            <w:shd w:val="clear" w:color="auto" w:fill="auto"/>
            <w:noWrap/>
            <w:vAlign w:val="bottom"/>
            <w:hideMark/>
          </w:tcPr>
          <w:p w14:paraId="62CC83E6" w14:textId="77777777" w:rsidR="00BB39C9" w:rsidRPr="004E2853" w:rsidRDefault="00BB39C9">
            <w:pPr>
              <w:jc w:val="center"/>
              <w:rPr>
                <w:sz w:val="18"/>
                <w:szCs w:val="18"/>
              </w:rPr>
            </w:pPr>
          </w:p>
        </w:tc>
        <w:tc>
          <w:tcPr>
            <w:tcW w:w="1440" w:type="dxa"/>
            <w:tcBorders>
              <w:top w:val="nil"/>
              <w:left w:val="nil"/>
              <w:bottom w:val="nil"/>
              <w:right w:val="nil"/>
            </w:tcBorders>
            <w:shd w:val="clear" w:color="auto" w:fill="auto"/>
            <w:noWrap/>
            <w:vAlign w:val="bottom"/>
            <w:hideMark/>
          </w:tcPr>
          <w:p w14:paraId="5AECF295" w14:textId="77777777" w:rsidR="00BB39C9" w:rsidRPr="004E2853" w:rsidRDefault="00BB39C9">
            <w:pPr>
              <w:jc w:val="center"/>
              <w:rPr>
                <w:sz w:val="18"/>
                <w:szCs w:val="18"/>
              </w:rPr>
            </w:pPr>
          </w:p>
        </w:tc>
        <w:tc>
          <w:tcPr>
            <w:tcW w:w="1440" w:type="dxa"/>
            <w:tcBorders>
              <w:top w:val="nil"/>
              <w:left w:val="nil"/>
              <w:bottom w:val="nil"/>
              <w:right w:val="nil"/>
            </w:tcBorders>
            <w:shd w:val="clear" w:color="auto" w:fill="auto"/>
            <w:noWrap/>
            <w:vAlign w:val="bottom"/>
            <w:hideMark/>
          </w:tcPr>
          <w:p w14:paraId="4F232AC6" w14:textId="77777777" w:rsidR="00BB39C9" w:rsidRPr="004E2853" w:rsidRDefault="00BB39C9">
            <w:pPr>
              <w:jc w:val="center"/>
              <w:rPr>
                <w:sz w:val="18"/>
                <w:szCs w:val="18"/>
              </w:rPr>
            </w:pPr>
          </w:p>
        </w:tc>
        <w:tc>
          <w:tcPr>
            <w:tcW w:w="1440" w:type="dxa"/>
            <w:tcBorders>
              <w:top w:val="nil"/>
              <w:left w:val="nil"/>
              <w:bottom w:val="nil"/>
              <w:right w:val="nil"/>
            </w:tcBorders>
            <w:shd w:val="clear" w:color="auto" w:fill="auto"/>
            <w:noWrap/>
            <w:vAlign w:val="bottom"/>
            <w:hideMark/>
          </w:tcPr>
          <w:p w14:paraId="132CD64F" w14:textId="77777777" w:rsidR="00BB39C9" w:rsidRPr="004E2853" w:rsidRDefault="00BB39C9">
            <w:pPr>
              <w:jc w:val="center"/>
              <w:rPr>
                <w:sz w:val="18"/>
                <w:szCs w:val="18"/>
              </w:rPr>
            </w:pPr>
          </w:p>
        </w:tc>
      </w:tr>
      <w:tr w:rsidR="00025200" w:rsidRPr="004E2853" w14:paraId="14668BD7" w14:textId="77777777" w:rsidTr="002218B1">
        <w:trPr>
          <w:gridAfter w:val="1"/>
          <w:wAfter w:w="576" w:type="dxa"/>
          <w:trHeight w:val="20"/>
        </w:trPr>
        <w:tc>
          <w:tcPr>
            <w:tcW w:w="2160" w:type="dxa"/>
            <w:vMerge w:val="restart"/>
            <w:tcBorders>
              <w:top w:val="nil"/>
              <w:left w:val="nil"/>
              <w:bottom w:val="nil"/>
              <w:right w:val="nil"/>
            </w:tcBorders>
            <w:shd w:val="clear" w:color="auto" w:fill="auto"/>
            <w:noWrap/>
            <w:hideMark/>
          </w:tcPr>
          <w:p w14:paraId="69D11656" w14:textId="77777777" w:rsidR="00BB39C9" w:rsidRPr="004E2853" w:rsidRDefault="00BB39C9" w:rsidP="00BB39C9">
            <w:pPr>
              <w:ind w:firstLineChars="100" w:firstLine="180"/>
              <w:rPr>
                <w:rFonts w:ascii="Arial" w:hAnsi="Arial" w:cs="Arial"/>
                <w:color w:val="000000"/>
                <w:sz w:val="18"/>
                <w:szCs w:val="18"/>
              </w:rPr>
            </w:pPr>
            <w:r w:rsidRPr="004E2853">
              <w:rPr>
                <w:rFonts w:ascii="Arial" w:hAnsi="Arial" w:cs="Arial"/>
                <w:color w:val="000000"/>
                <w:sz w:val="18"/>
                <w:szCs w:val="18"/>
              </w:rPr>
              <w:t>Black</w:t>
            </w:r>
          </w:p>
        </w:tc>
        <w:tc>
          <w:tcPr>
            <w:tcW w:w="1530" w:type="dxa"/>
            <w:tcBorders>
              <w:top w:val="nil"/>
              <w:left w:val="nil"/>
              <w:bottom w:val="nil"/>
              <w:right w:val="nil"/>
            </w:tcBorders>
            <w:shd w:val="clear" w:color="auto" w:fill="auto"/>
            <w:noWrap/>
            <w:vAlign w:val="bottom"/>
            <w:hideMark/>
          </w:tcPr>
          <w:p w14:paraId="1552D1CA"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-1.935</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2546DF1E"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0.057</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2AEA463C"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-0.036</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78953872"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-0.021</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0FA366A7"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-0.002</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0AA5C440"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-0.025</w:t>
            </w:r>
            <w:r w:rsidRPr="004E2853">
              <w:rPr>
                <w:rFonts w:ascii="Arial" w:hAnsi="Arial" w:cs="Arial"/>
                <w:color w:val="000000"/>
                <w:sz w:val="18"/>
                <w:szCs w:val="18"/>
                <w:vertAlign w:val="superscript"/>
              </w:rPr>
              <w:t>***</w:t>
            </w:r>
          </w:p>
        </w:tc>
      </w:tr>
      <w:tr w:rsidR="00025200" w:rsidRPr="004E2853" w14:paraId="79987E05" w14:textId="77777777" w:rsidTr="002218B1">
        <w:trPr>
          <w:gridAfter w:val="1"/>
          <w:wAfter w:w="576" w:type="dxa"/>
          <w:trHeight w:val="20"/>
        </w:trPr>
        <w:tc>
          <w:tcPr>
            <w:tcW w:w="2160" w:type="dxa"/>
            <w:vMerge/>
            <w:tcBorders>
              <w:top w:val="nil"/>
              <w:left w:val="nil"/>
              <w:bottom w:val="nil"/>
              <w:right w:val="nil"/>
            </w:tcBorders>
            <w:hideMark/>
          </w:tcPr>
          <w:p w14:paraId="3D0F809C" w14:textId="77777777" w:rsidR="00BB39C9" w:rsidRPr="004E2853" w:rsidRDefault="00BB39C9" w:rsidP="00BB39C9">
            <w:pPr>
              <w:rPr>
                <w:rFonts w:ascii="Arial" w:hAnsi="Arial" w:cs="Arial"/>
                <w:color w:val="000000"/>
                <w:sz w:val="18"/>
                <w:szCs w:val="18"/>
              </w:rPr>
            </w:pPr>
          </w:p>
        </w:tc>
        <w:tc>
          <w:tcPr>
            <w:tcW w:w="1530" w:type="dxa"/>
            <w:tcBorders>
              <w:top w:val="nil"/>
              <w:left w:val="nil"/>
              <w:bottom w:val="nil"/>
              <w:right w:val="nil"/>
            </w:tcBorders>
            <w:shd w:val="clear" w:color="auto" w:fill="auto"/>
            <w:noWrap/>
            <w:vAlign w:val="bottom"/>
            <w:hideMark/>
          </w:tcPr>
          <w:p w14:paraId="16C5C1C8"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[-1.945,-1.926]</w:t>
            </w:r>
          </w:p>
        </w:tc>
        <w:tc>
          <w:tcPr>
            <w:tcW w:w="1440" w:type="dxa"/>
            <w:tcBorders>
              <w:top w:val="nil"/>
              <w:left w:val="nil"/>
              <w:bottom w:val="nil"/>
              <w:right w:val="nil"/>
            </w:tcBorders>
            <w:shd w:val="clear" w:color="auto" w:fill="auto"/>
            <w:noWrap/>
            <w:vAlign w:val="bottom"/>
            <w:hideMark/>
          </w:tcPr>
          <w:p w14:paraId="3BA7D8B8"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[0.056,0.057]</w:t>
            </w:r>
          </w:p>
        </w:tc>
        <w:tc>
          <w:tcPr>
            <w:tcW w:w="1440" w:type="dxa"/>
            <w:tcBorders>
              <w:top w:val="nil"/>
              <w:left w:val="nil"/>
              <w:bottom w:val="nil"/>
              <w:right w:val="nil"/>
            </w:tcBorders>
            <w:shd w:val="clear" w:color="auto" w:fill="auto"/>
            <w:noWrap/>
            <w:vAlign w:val="bottom"/>
            <w:hideMark/>
          </w:tcPr>
          <w:p w14:paraId="3131D420"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[-0.036,-0.035]</w:t>
            </w:r>
          </w:p>
        </w:tc>
        <w:tc>
          <w:tcPr>
            <w:tcW w:w="1440" w:type="dxa"/>
            <w:tcBorders>
              <w:top w:val="nil"/>
              <w:left w:val="nil"/>
              <w:bottom w:val="nil"/>
              <w:right w:val="nil"/>
            </w:tcBorders>
            <w:shd w:val="clear" w:color="auto" w:fill="auto"/>
            <w:noWrap/>
            <w:vAlign w:val="bottom"/>
            <w:hideMark/>
          </w:tcPr>
          <w:p w14:paraId="5FA39BD3"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[-0.022,-0.020]</w:t>
            </w:r>
          </w:p>
        </w:tc>
        <w:tc>
          <w:tcPr>
            <w:tcW w:w="1440" w:type="dxa"/>
            <w:tcBorders>
              <w:top w:val="nil"/>
              <w:left w:val="nil"/>
              <w:bottom w:val="nil"/>
              <w:right w:val="nil"/>
            </w:tcBorders>
            <w:shd w:val="clear" w:color="auto" w:fill="auto"/>
            <w:noWrap/>
            <w:vAlign w:val="bottom"/>
            <w:hideMark/>
          </w:tcPr>
          <w:p w14:paraId="229DE371"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[-0.002,-0.002]</w:t>
            </w:r>
          </w:p>
        </w:tc>
        <w:tc>
          <w:tcPr>
            <w:tcW w:w="1440" w:type="dxa"/>
            <w:tcBorders>
              <w:top w:val="nil"/>
              <w:left w:val="nil"/>
              <w:bottom w:val="nil"/>
              <w:right w:val="nil"/>
            </w:tcBorders>
            <w:shd w:val="clear" w:color="auto" w:fill="auto"/>
            <w:noWrap/>
            <w:vAlign w:val="bottom"/>
            <w:hideMark/>
          </w:tcPr>
          <w:p w14:paraId="1E2B2E36"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[-0.025,-0.024]</w:t>
            </w:r>
          </w:p>
        </w:tc>
      </w:tr>
      <w:tr w:rsidR="00025200" w:rsidRPr="004E2853" w14:paraId="716C26F5" w14:textId="77777777" w:rsidTr="002218B1">
        <w:trPr>
          <w:gridAfter w:val="1"/>
          <w:wAfter w:w="576" w:type="dxa"/>
          <w:trHeight w:val="20"/>
        </w:trPr>
        <w:tc>
          <w:tcPr>
            <w:tcW w:w="2160" w:type="dxa"/>
            <w:vMerge w:val="restart"/>
            <w:tcBorders>
              <w:top w:val="nil"/>
              <w:left w:val="nil"/>
              <w:bottom w:val="nil"/>
              <w:right w:val="nil"/>
            </w:tcBorders>
            <w:shd w:val="clear" w:color="auto" w:fill="auto"/>
            <w:noWrap/>
            <w:hideMark/>
          </w:tcPr>
          <w:p w14:paraId="6A276CB1" w14:textId="77777777" w:rsidR="00BB39C9" w:rsidRPr="004E2853" w:rsidRDefault="00BB39C9" w:rsidP="00BB39C9">
            <w:pPr>
              <w:ind w:firstLineChars="100" w:firstLine="180"/>
              <w:rPr>
                <w:rFonts w:ascii="Arial" w:hAnsi="Arial" w:cs="Arial"/>
                <w:color w:val="000000"/>
                <w:sz w:val="18"/>
                <w:szCs w:val="18"/>
              </w:rPr>
            </w:pPr>
            <w:r w:rsidRPr="004E2853">
              <w:rPr>
                <w:rFonts w:ascii="Arial" w:hAnsi="Arial" w:cs="Arial"/>
                <w:color w:val="000000"/>
                <w:sz w:val="18"/>
                <w:szCs w:val="18"/>
              </w:rPr>
              <w:t>Hispanic</w:t>
            </w:r>
          </w:p>
        </w:tc>
        <w:tc>
          <w:tcPr>
            <w:tcW w:w="1530" w:type="dxa"/>
            <w:tcBorders>
              <w:top w:val="nil"/>
              <w:left w:val="nil"/>
              <w:bottom w:val="nil"/>
              <w:right w:val="nil"/>
            </w:tcBorders>
            <w:shd w:val="clear" w:color="auto" w:fill="auto"/>
            <w:noWrap/>
            <w:vAlign w:val="bottom"/>
            <w:hideMark/>
          </w:tcPr>
          <w:p w14:paraId="0581AB47"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-0.427</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5A9488A0"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0.005</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0F4A470F"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-0.010</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2F94B143"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0.005</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7661349F"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0.004</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0A2CBD70"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-0.022</w:t>
            </w:r>
            <w:r w:rsidRPr="004E2853">
              <w:rPr>
                <w:rFonts w:ascii="Arial" w:hAnsi="Arial" w:cs="Arial"/>
                <w:color w:val="000000"/>
                <w:sz w:val="18"/>
                <w:szCs w:val="18"/>
                <w:vertAlign w:val="superscript"/>
              </w:rPr>
              <w:t>***</w:t>
            </w:r>
          </w:p>
        </w:tc>
      </w:tr>
      <w:tr w:rsidR="00025200" w:rsidRPr="004E2853" w14:paraId="462EEF93" w14:textId="77777777" w:rsidTr="002218B1">
        <w:trPr>
          <w:gridAfter w:val="1"/>
          <w:wAfter w:w="576" w:type="dxa"/>
          <w:trHeight w:val="20"/>
        </w:trPr>
        <w:tc>
          <w:tcPr>
            <w:tcW w:w="2160" w:type="dxa"/>
            <w:vMerge/>
            <w:tcBorders>
              <w:top w:val="nil"/>
              <w:left w:val="nil"/>
              <w:bottom w:val="nil"/>
              <w:right w:val="nil"/>
            </w:tcBorders>
            <w:hideMark/>
          </w:tcPr>
          <w:p w14:paraId="5D1F8AD3" w14:textId="77777777" w:rsidR="00BB39C9" w:rsidRPr="004E2853" w:rsidRDefault="00BB39C9" w:rsidP="00BB39C9">
            <w:pPr>
              <w:rPr>
                <w:rFonts w:ascii="Arial" w:hAnsi="Arial" w:cs="Arial"/>
                <w:color w:val="000000"/>
                <w:sz w:val="18"/>
                <w:szCs w:val="18"/>
              </w:rPr>
            </w:pPr>
          </w:p>
        </w:tc>
        <w:tc>
          <w:tcPr>
            <w:tcW w:w="1530" w:type="dxa"/>
            <w:tcBorders>
              <w:top w:val="nil"/>
              <w:left w:val="nil"/>
              <w:bottom w:val="nil"/>
              <w:right w:val="nil"/>
            </w:tcBorders>
            <w:shd w:val="clear" w:color="auto" w:fill="auto"/>
            <w:noWrap/>
            <w:vAlign w:val="bottom"/>
            <w:hideMark/>
          </w:tcPr>
          <w:p w14:paraId="1E1DAA61"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[-0.436,-0.418]</w:t>
            </w:r>
          </w:p>
        </w:tc>
        <w:tc>
          <w:tcPr>
            <w:tcW w:w="1440" w:type="dxa"/>
            <w:tcBorders>
              <w:top w:val="nil"/>
              <w:left w:val="nil"/>
              <w:bottom w:val="nil"/>
              <w:right w:val="nil"/>
            </w:tcBorders>
            <w:shd w:val="clear" w:color="auto" w:fill="auto"/>
            <w:noWrap/>
            <w:vAlign w:val="bottom"/>
            <w:hideMark/>
          </w:tcPr>
          <w:p w14:paraId="731E0A07"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[0.004,0.005]</w:t>
            </w:r>
          </w:p>
        </w:tc>
        <w:tc>
          <w:tcPr>
            <w:tcW w:w="1440" w:type="dxa"/>
            <w:tcBorders>
              <w:top w:val="nil"/>
              <w:left w:val="nil"/>
              <w:bottom w:val="nil"/>
              <w:right w:val="nil"/>
            </w:tcBorders>
            <w:shd w:val="clear" w:color="auto" w:fill="auto"/>
            <w:noWrap/>
            <w:vAlign w:val="bottom"/>
            <w:hideMark/>
          </w:tcPr>
          <w:p w14:paraId="6273909F"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[-0.011,-0.010]</w:t>
            </w:r>
          </w:p>
        </w:tc>
        <w:tc>
          <w:tcPr>
            <w:tcW w:w="1440" w:type="dxa"/>
            <w:tcBorders>
              <w:top w:val="nil"/>
              <w:left w:val="nil"/>
              <w:bottom w:val="nil"/>
              <w:right w:val="nil"/>
            </w:tcBorders>
            <w:shd w:val="clear" w:color="auto" w:fill="auto"/>
            <w:noWrap/>
            <w:vAlign w:val="bottom"/>
            <w:hideMark/>
          </w:tcPr>
          <w:p w14:paraId="06801B20"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[0.005,0.006]</w:t>
            </w:r>
          </w:p>
        </w:tc>
        <w:tc>
          <w:tcPr>
            <w:tcW w:w="1440" w:type="dxa"/>
            <w:tcBorders>
              <w:top w:val="nil"/>
              <w:left w:val="nil"/>
              <w:bottom w:val="nil"/>
              <w:right w:val="nil"/>
            </w:tcBorders>
            <w:shd w:val="clear" w:color="auto" w:fill="auto"/>
            <w:noWrap/>
            <w:vAlign w:val="bottom"/>
            <w:hideMark/>
          </w:tcPr>
          <w:p w14:paraId="7B9D5BA9"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[0.003,0.004]</w:t>
            </w:r>
          </w:p>
        </w:tc>
        <w:tc>
          <w:tcPr>
            <w:tcW w:w="1440" w:type="dxa"/>
            <w:tcBorders>
              <w:top w:val="nil"/>
              <w:left w:val="nil"/>
              <w:bottom w:val="nil"/>
              <w:right w:val="nil"/>
            </w:tcBorders>
            <w:shd w:val="clear" w:color="auto" w:fill="auto"/>
            <w:noWrap/>
            <w:vAlign w:val="bottom"/>
            <w:hideMark/>
          </w:tcPr>
          <w:p w14:paraId="5ED255B5"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[-0.022,-0.021]</w:t>
            </w:r>
          </w:p>
        </w:tc>
      </w:tr>
      <w:tr w:rsidR="00025200" w:rsidRPr="004E2853" w14:paraId="2665D569" w14:textId="77777777" w:rsidTr="002218B1">
        <w:trPr>
          <w:gridAfter w:val="1"/>
          <w:wAfter w:w="576" w:type="dxa"/>
          <w:trHeight w:val="20"/>
        </w:trPr>
        <w:tc>
          <w:tcPr>
            <w:tcW w:w="2160" w:type="dxa"/>
            <w:vMerge w:val="restart"/>
            <w:tcBorders>
              <w:top w:val="nil"/>
              <w:left w:val="nil"/>
              <w:bottom w:val="nil"/>
              <w:right w:val="nil"/>
            </w:tcBorders>
            <w:shd w:val="clear" w:color="auto" w:fill="auto"/>
            <w:noWrap/>
            <w:hideMark/>
          </w:tcPr>
          <w:p w14:paraId="11A9A6AF" w14:textId="77777777" w:rsidR="00BB39C9" w:rsidRPr="004E2853" w:rsidRDefault="00BB39C9" w:rsidP="00BB39C9">
            <w:pPr>
              <w:ind w:firstLineChars="100" w:firstLine="180"/>
              <w:rPr>
                <w:rFonts w:ascii="Arial" w:hAnsi="Arial" w:cs="Arial"/>
                <w:color w:val="000000"/>
                <w:sz w:val="18"/>
                <w:szCs w:val="18"/>
              </w:rPr>
            </w:pPr>
            <w:r w:rsidRPr="004E2853">
              <w:rPr>
                <w:rFonts w:ascii="Arial" w:hAnsi="Arial" w:cs="Arial"/>
                <w:color w:val="000000"/>
                <w:sz w:val="18"/>
                <w:szCs w:val="18"/>
              </w:rPr>
              <w:t>Asian/NHOPI</w:t>
            </w:r>
          </w:p>
        </w:tc>
        <w:tc>
          <w:tcPr>
            <w:tcW w:w="1530" w:type="dxa"/>
            <w:tcBorders>
              <w:top w:val="nil"/>
              <w:left w:val="nil"/>
              <w:bottom w:val="nil"/>
              <w:right w:val="nil"/>
            </w:tcBorders>
            <w:shd w:val="clear" w:color="auto" w:fill="auto"/>
            <w:noWrap/>
            <w:vAlign w:val="bottom"/>
            <w:hideMark/>
          </w:tcPr>
          <w:p w14:paraId="346C379B"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-2.012</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369DF958"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0.068</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65737C1C"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-0.060</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1A6D2188"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-0.008</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67AC0C56"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0.031</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4E622658"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-0.015</w:t>
            </w:r>
            <w:r w:rsidRPr="004E2853">
              <w:rPr>
                <w:rFonts w:ascii="Arial" w:hAnsi="Arial" w:cs="Arial"/>
                <w:color w:val="000000"/>
                <w:sz w:val="18"/>
                <w:szCs w:val="18"/>
                <w:vertAlign w:val="superscript"/>
              </w:rPr>
              <w:t>***</w:t>
            </w:r>
          </w:p>
        </w:tc>
      </w:tr>
      <w:tr w:rsidR="00025200" w:rsidRPr="004E2853" w14:paraId="0E886C15" w14:textId="77777777" w:rsidTr="002218B1">
        <w:trPr>
          <w:gridAfter w:val="1"/>
          <w:wAfter w:w="576" w:type="dxa"/>
          <w:trHeight w:val="20"/>
        </w:trPr>
        <w:tc>
          <w:tcPr>
            <w:tcW w:w="2160" w:type="dxa"/>
            <w:vMerge/>
            <w:tcBorders>
              <w:top w:val="nil"/>
              <w:left w:val="nil"/>
              <w:bottom w:val="nil"/>
              <w:right w:val="nil"/>
            </w:tcBorders>
            <w:hideMark/>
          </w:tcPr>
          <w:p w14:paraId="2BB8F603" w14:textId="77777777" w:rsidR="00BB39C9" w:rsidRPr="004E2853" w:rsidRDefault="00BB39C9" w:rsidP="00BB39C9">
            <w:pPr>
              <w:rPr>
                <w:rFonts w:ascii="Arial" w:hAnsi="Arial" w:cs="Arial"/>
                <w:color w:val="000000"/>
                <w:sz w:val="18"/>
                <w:szCs w:val="18"/>
              </w:rPr>
            </w:pPr>
          </w:p>
        </w:tc>
        <w:tc>
          <w:tcPr>
            <w:tcW w:w="1530" w:type="dxa"/>
            <w:tcBorders>
              <w:top w:val="nil"/>
              <w:left w:val="nil"/>
              <w:bottom w:val="nil"/>
              <w:right w:val="nil"/>
            </w:tcBorders>
            <w:shd w:val="clear" w:color="auto" w:fill="auto"/>
            <w:noWrap/>
            <w:vAlign w:val="bottom"/>
            <w:hideMark/>
          </w:tcPr>
          <w:p w14:paraId="71C294E6"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[-2.027,-1.998]</w:t>
            </w:r>
          </w:p>
        </w:tc>
        <w:tc>
          <w:tcPr>
            <w:tcW w:w="1440" w:type="dxa"/>
            <w:tcBorders>
              <w:top w:val="nil"/>
              <w:left w:val="nil"/>
              <w:bottom w:val="nil"/>
              <w:right w:val="nil"/>
            </w:tcBorders>
            <w:shd w:val="clear" w:color="auto" w:fill="auto"/>
            <w:noWrap/>
            <w:vAlign w:val="bottom"/>
            <w:hideMark/>
          </w:tcPr>
          <w:p w14:paraId="50D72427"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[0.067,0.069]</w:t>
            </w:r>
          </w:p>
        </w:tc>
        <w:tc>
          <w:tcPr>
            <w:tcW w:w="1440" w:type="dxa"/>
            <w:tcBorders>
              <w:top w:val="nil"/>
              <w:left w:val="nil"/>
              <w:bottom w:val="nil"/>
              <w:right w:val="nil"/>
            </w:tcBorders>
            <w:shd w:val="clear" w:color="auto" w:fill="auto"/>
            <w:noWrap/>
            <w:vAlign w:val="bottom"/>
            <w:hideMark/>
          </w:tcPr>
          <w:p w14:paraId="6892DBE2"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[-0.061,-0.059]</w:t>
            </w:r>
          </w:p>
        </w:tc>
        <w:tc>
          <w:tcPr>
            <w:tcW w:w="1440" w:type="dxa"/>
            <w:tcBorders>
              <w:top w:val="nil"/>
              <w:left w:val="nil"/>
              <w:bottom w:val="nil"/>
              <w:right w:val="nil"/>
            </w:tcBorders>
            <w:shd w:val="clear" w:color="auto" w:fill="auto"/>
            <w:noWrap/>
            <w:vAlign w:val="bottom"/>
            <w:hideMark/>
          </w:tcPr>
          <w:p w14:paraId="650A66A2"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[-0.009,-0.007]</w:t>
            </w:r>
          </w:p>
        </w:tc>
        <w:tc>
          <w:tcPr>
            <w:tcW w:w="1440" w:type="dxa"/>
            <w:tcBorders>
              <w:top w:val="nil"/>
              <w:left w:val="nil"/>
              <w:bottom w:val="nil"/>
              <w:right w:val="nil"/>
            </w:tcBorders>
            <w:shd w:val="clear" w:color="auto" w:fill="auto"/>
            <w:noWrap/>
            <w:vAlign w:val="bottom"/>
            <w:hideMark/>
          </w:tcPr>
          <w:p w14:paraId="5B104684"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[0.031,0.032]</w:t>
            </w:r>
          </w:p>
        </w:tc>
        <w:tc>
          <w:tcPr>
            <w:tcW w:w="1440" w:type="dxa"/>
            <w:tcBorders>
              <w:top w:val="nil"/>
              <w:left w:val="nil"/>
              <w:bottom w:val="nil"/>
              <w:right w:val="nil"/>
            </w:tcBorders>
            <w:shd w:val="clear" w:color="auto" w:fill="auto"/>
            <w:noWrap/>
            <w:vAlign w:val="bottom"/>
            <w:hideMark/>
          </w:tcPr>
          <w:p w14:paraId="1A6E24DA"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[-0.016,-0.015]</w:t>
            </w:r>
          </w:p>
        </w:tc>
      </w:tr>
      <w:tr w:rsidR="00025200" w:rsidRPr="004E2853" w14:paraId="04790464" w14:textId="77777777" w:rsidTr="002218B1">
        <w:trPr>
          <w:gridAfter w:val="1"/>
          <w:wAfter w:w="576" w:type="dxa"/>
          <w:trHeight w:val="20"/>
        </w:trPr>
        <w:tc>
          <w:tcPr>
            <w:tcW w:w="2160" w:type="dxa"/>
            <w:vMerge w:val="restart"/>
            <w:tcBorders>
              <w:top w:val="nil"/>
              <w:left w:val="nil"/>
              <w:bottom w:val="nil"/>
              <w:right w:val="nil"/>
            </w:tcBorders>
            <w:shd w:val="clear" w:color="auto" w:fill="auto"/>
            <w:noWrap/>
            <w:hideMark/>
          </w:tcPr>
          <w:p w14:paraId="22A70D8A" w14:textId="07EDB4F0" w:rsidR="00BB39C9" w:rsidRPr="004E2853" w:rsidRDefault="00BB39C9" w:rsidP="00BB39C9">
            <w:pPr>
              <w:ind w:firstLineChars="100" w:firstLine="180"/>
              <w:rPr>
                <w:rFonts w:ascii="Arial" w:hAnsi="Arial" w:cs="Arial"/>
                <w:color w:val="000000"/>
                <w:sz w:val="18"/>
                <w:szCs w:val="18"/>
              </w:rPr>
            </w:pPr>
            <w:r w:rsidRPr="004E2853">
              <w:rPr>
                <w:rFonts w:ascii="Arial" w:hAnsi="Arial" w:cs="Arial"/>
                <w:color w:val="000000"/>
                <w:sz w:val="18"/>
                <w:szCs w:val="18"/>
              </w:rPr>
              <w:t>Other</w:t>
            </w:r>
          </w:p>
        </w:tc>
        <w:tc>
          <w:tcPr>
            <w:tcW w:w="1530" w:type="dxa"/>
            <w:tcBorders>
              <w:top w:val="nil"/>
              <w:left w:val="nil"/>
              <w:bottom w:val="nil"/>
              <w:right w:val="nil"/>
            </w:tcBorders>
            <w:shd w:val="clear" w:color="auto" w:fill="auto"/>
            <w:noWrap/>
            <w:vAlign w:val="bottom"/>
            <w:hideMark/>
          </w:tcPr>
          <w:p w14:paraId="7DBF2B8A"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0.174</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29F6471E"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-0.007</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681318A5"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0.026</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3FA56E79"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-0.019</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488BED73"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0.017</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3B213848"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-0.019</w:t>
            </w:r>
            <w:r w:rsidRPr="004E2853">
              <w:rPr>
                <w:rFonts w:ascii="Arial" w:hAnsi="Arial" w:cs="Arial"/>
                <w:color w:val="000000"/>
                <w:sz w:val="18"/>
                <w:szCs w:val="18"/>
                <w:vertAlign w:val="superscript"/>
              </w:rPr>
              <w:t>***</w:t>
            </w:r>
          </w:p>
        </w:tc>
      </w:tr>
      <w:tr w:rsidR="00025200" w:rsidRPr="004E2853" w14:paraId="780BF126" w14:textId="77777777" w:rsidTr="002218B1">
        <w:trPr>
          <w:gridAfter w:val="1"/>
          <w:wAfter w:w="576" w:type="dxa"/>
          <w:trHeight w:val="20"/>
        </w:trPr>
        <w:tc>
          <w:tcPr>
            <w:tcW w:w="2160" w:type="dxa"/>
            <w:vMerge/>
            <w:tcBorders>
              <w:top w:val="nil"/>
              <w:left w:val="nil"/>
              <w:bottom w:val="nil"/>
              <w:right w:val="nil"/>
            </w:tcBorders>
            <w:hideMark/>
          </w:tcPr>
          <w:p w14:paraId="31AA28D3" w14:textId="77777777" w:rsidR="00BB39C9" w:rsidRPr="004E2853" w:rsidRDefault="00BB39C9" w:rsidP="00BB39C9">
            <w:pPr>
              <w:rPr>
                <w:rFonts w:ascii="Arial" w:hAnsi="Arial" w:cs="Arial"/>
                <w:color w:val="000000"/>
                <w:sz w:val="18"/>
                <w:szCs w:val="18"/>
              </w:rPr>
            </w:pPr>
          </w:p>
        </w:tc>
        <w:tc>
          <w:tcPr>
            <w:tcW w:w="1530" w:type="dxa"/>
            <w:tcBorders>
              <w:top w:val="nil"/>
              <w:left w:val="nil"/>
              <w:bottom w:val="nil"/>
              <w:right w:val="nil"/>
            </w:tcBorders>
            <w:shd w:val="clear" w:color="auto" w:fill="auto"/>
            <w:noWrap/>
            <w:vAlign w:val="bottom"/>
            <w:hideMark/>
          </w:tcPr>
          <w:p w14:paraId="67ECFED7"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[0.136,0.211]</w:t>
            </w:r>
          </w:p>
        </w:tc>
        <w:tc>
          <w:tcPr>
            <w:tcW w:w="1440" w:type="dxa"/>
            <w:tcBorders>
              <w:top w:val="nil"/>
              <w:left w:val="nil"/>
              <w:bottom w:val="nil"/>
              <w:right w:val="nil"/>
            </w:tcBorders>
            <w:shd w:val="clear" w:color="auto" w:fill="auto"/>
            <w:noWrap/>
            <w:vAlign w:val="bottom"/>
            <w:hideMark/>
          </w:tcPr>
          <w:p w14:paraId="09F9764B"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[-0.009,-0.005]</w:t>
            </w:r>
          </w:p>
        </w:tc>
        <w:tc>
          <w:tcPr>
            <w:tcW w:w="1440" w:type="dxa"/>
            <w:tcBorders>
              <w:top w:val="nil"/>
              <w:left w:val="nil"/>
              <w:bottom w:val="nil"/>
              <w:right w:val="nil"/>
            </w:tcBorders>
            <w:shd w:val="clear" w:color="auto" w:fill="auto"/>
            <w:noWrap/>
            <w:vAlign w:val="bottom"/>
            <w:hideMark/>
          </w:tcPr>
          <w:p w14:paraId="423BDC36"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[0.023,0.028]</w:t>
            </w:r>
          </w:p>
        </w:tc>
        <w:tc>
          <w:tcPr>
            <w:tcW w:w="1440" w:type="dxa"/>
            <w:tcBorders>
              <w:top w:val="nil"/>
              <w:left w:val="nil"/>
              <w:bottom w:val="nil"/>
              <w:right w:val="nil"/>
            </w:tcBorders>
            <w:shd w:val="clear" w:color="auto" w:fill="auto"/>
            <w:noWrap/>
            <w:vAlign w:val="bottom"/>
            <w:hideMark/>
          </w:tcPr>
          <w:p w14:paraId="0D7BC99B"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[-0.022,-0.016]</w:t>
            </w:r>
          </w:p>
        </w:tc>
        <w:tc>
          <w:tcPr>
            <w:tcW w:w="1440" w:type="dxa"/>
            <w:tcBorders>
              <w:top w:val="nil"/>
              <w:left w:val="nil"/>
              <w:bottom w:val="nil"/>
              <w:right w:val="nil"/>
            </w:tcBorders>
            <w:shd w:val="clear" w:color="auto" w:fill="auto"/>
            <w:noWrap/>
            <w:vAlign w:val="bottom"/>
            <w:hideMark/>
          </w:tcPr>
          <w:p w14:paraId="60F1E572"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[0.016,0.019]</w:t>
            </w:r>
          </w:p>
        </w:tc>
        <w:tc>
          <w:tcPr>
            <w:tcW w:w="1440" w:type="dxa"/>
            <w:tcBorders>
              <w:top w:val="nil"/>
              <w:left w:val="nil"/>
              <w:bottom w:val="nil"/>
              <w:right w:val="nil"/>
            </w:tcBorders>
            <w:shd w:val="clear" w:color="auto" w:fill="auto"/>
            <w:noWrap/>
            <w:vAlign w:val="bottom"/>
            <w:hideMark/>
          </w:tcPr>
          <w:p w14:paraId="3AFC31B6"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[-0.020,-0.018]</w:t>
            </w:r>
          </w:p>
        </w:tc>
      </w:tr>
      <w:tr w:rsidR="00025200" w:rsidRPr="004E2853" w14:paraId="5AF986D5" w14:textId="77777777" w:rsidTr="002218B1">
        <w:trPr>
          <w:gridAfter w:val="1"/>
          <w:wAfter w:w="576" w:type="dxa"/>
          <w:trHeight w:val="20"/>
        </w:trPr>
        <w:tc>
          <w:tcPr>
            <w:tcW w:w="2160" w:type="dxa"/>
            <w:vMerge w:val="restart"/>
            <w:tcBorders>
              <w:top w:val="nil"/>
              <w:left w:val="nil"/>
              <w:bottom w:val="nil"/>
              <w:right w:val="nil"/>
            </w:tcBorders>
            <w:shd w:val="clear" w:color="auto" w:fill="auto"/>
            <w:noWrap/>
            <w:hideMark/>
          </w:tcPr>
          <w:p w14:paraId="7D2F3D6E" w14:textId="77777777" w:rsidR="00BB39C9" w:rsidRPr="004E2853" w:rsidRDefault="00BB39C9" w:rsidP="00BB39C9">
            <w:pPr>
              <w:rPr>
                <w:rFonts w:ascii="Arial" w:hAnsi="Arial" w:cs="Arial"/>
                <w:color w:val="000000"/>
                <w:sz w:val="18"/>
                <w:szCs w:val="18"/>
              </w:rPr>
            </w:pPr>
            <w:r w:rsidRPr="004E2853">
              <w:rPr>
                <w:rFonts w:ascii="Arial" w:hAnsi="Arial" w:cs="Arial"/>
                <w:color w:val="000000"/>
                <w:sz w:val="18"/>
                <w:szCs w:val="18"/>
              </w:rPr>
              <w:t>Age 35+</w:t>
            </w:r>
          </w:p>
        </w:tc>
        <w:tc>
          <w:tcPr>
            <w:tcW w:w="1530" w:type="dxa"/>
            <w:tcBorders>
              <w:top w:val="nil"/>
              <w:left w:val="nil"/>
              <w:bottom w:val="nil"/>
              <w:right w:val="nil"/>
            </w:tcBorders>
            <w:shd w:val="clear" w:color="auto" w:fill="auto"/>
            <w:noWrap/>
            <w:vAlign w:val="bottom"/>
            <w:hideMark/>
          </w:tcPr>
          <w:p w14:paraId="1854A444"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-0.233</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022E8F90"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0.003</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4F462608"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0.017</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512DECE1"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-0.019</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69E55AC3"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0.040</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1ED7E1AE"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-0.008</w:t>
            </w:r>
            <w:r w:rsidRPr="004E2853">
              <w:rPr>
                <w:rFonts w:ascii="Arial" w:hAnsi="Arial" w:cs="Arial"/>
                <w:color w:val="000000"/>
                <w:sz w:val="18"/>
                <w:szCs w:val="18"/>
                <w:vertAlign w:val="superscript"/>
              </w:rPr>
              <w:t>***</w:t>
            </w:r>
          </w:p>
        </w:tc>
      </w:tr>
      <w:tr w:rsidR="00025200" w:rsidRPr="004E2853" w14:paraId="4380C99F" w14:textId="77777777" w:rsidTr="002218B1">
        <w:trPr>
          <w:gridAfter w:val="1"/>
          <w:wAfter w:w="576" w:type="dxa"/>
          <w:trHeight w:val="20"/>
        </w:trPr>
        <w:tc>
          <w:tcPr>
            <w:tcW w:w="2160" w:type="dxa"/>
            <w:vMerge/>
            <w:tcBorders>
              <w:top w:val="nil"/>
              <w:left w:val="nil"/>
              <w:bottom w:val="nil"/>
              <w:right w:val="nil"/>
            </w:tcBorders>
            <w:hideMark/>
          </w:tcPr>
          <w:p w14:paraId="31B6832E" w14:textId="77777777" w:rsidR="00BB39C9" w:rsidRPr="004E2853" w:rsidRDefault="00BB39C9" w:rsidP="00BB39C9">
            <w:pPr>
              <w:rPr>
                <w:rFonts w:ascii="Arial" w:hAnsi="Arial" w:cs="Arial"/>
                <w:color w:val="000000"/>
                <w:sz w:val="18"/>
                <w:szCs w:val="18"/>
              </w:rPr>
            </w:pPr>
          </w:p>
        </w:tc>
        <w:tc>
          <w:tcPr>
            <w:tcW w:w="1530" w:type="dxa"/>
            <w:tcBorders>
              <w:top w:val="nil"/>
              <w:left w:val="nil"/>
              <w:bottom w:val="nil"/>
              <w:right w:val="nil"/>
            </w:tcBorders>
            <w:shd w:val="clear" w:color="auto" w:fill="auto"/>
            <w:noWrap/>
            <w:vAlign w:val="bottom"/>
            <w:hideMark/>
          </w:tcPr>
          <w:p w14:paraId="41D34178"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[-0.242,-0.224]</w:t>
            </w:r>
          </w:p>
        </w:tc>
        <w:tc>
          <w:tcPr>
            <w:tcW w:w="1440" w:type="dxa"/>
            <w:tcBorders>
              <w:top w:val="nil"/>
              <w:left w:val="nil"/>
              <w:bottom w:val="nil"/>
              <w:right w:val="nil"/>
            </w:tcBorders>
            <w:shd w:val="clear" w:color="auto" w:fill="auto"/>
            <w:noWrap/>
            <w:vAlign w:val="bottom"/>
            <w:hideMark/>
          </w:tcPr>
          <w:p w14:paraId="6083768D"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[0.002,0.003]</w:t>
            </w:r>
          </w:p>
        </w:tc>
        <w:tc>
          <w:tcPr>
            <w:tcW w:w="1440" w:type="dxa"/>
            <w:tcBorders>
              <w:top w:val="nil"/>
              <w:left w:val="nil"/>
              <w:bottom w:val="nil"/>
              <w:right w:val="nil"/>
            </w:tcBorders>
            <w:shd w:val="clear" w:color="auto" w:fill="auto"/>
            <w:noWrap/>
            <w:vAlign w:val="bottom"/>
            <w:hideMark/>
          </w:tcPr>
          <w:p w14:paraId="2E67F6E2"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[0.016,0.017]</w:t>
            </w:r>
          </w:p>
        </w:tc>
        <w:tc>
          <w:tcPr>
            <w:tcW w:w="1440" w:type="dxa"/>
            <w:tcBorders>
              <w:top w:val="nil"/>
              <w:left w:val="nil"/>
              <w:bottom w:val="nil"/>
              <w:right w:val="nil"/>
            </w:tcBorders>
            <w:shd w:val="clear" w:color="auto" w:fill="auto"/>
            <w:noWrap/>
            <w:vAlign w:val="bottom"/>
            <w:hideMark/>
          </w:tcPr>
          <w:p w14:paraId="65771903"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[-0.020,-0.019]</w:t>
            </w:r>
          </w:p>
        </w:tc>
        <w:tc>
          <w:tcPr>
            <w:tcW w:w="1440" w:type="dxa"/>
            <w:tcBorders>
              <w:top w:val="nil"/>
              <w:left w:val="nil"/>
              <w:bottom w:val="nil"/>
              <w:right w:val="nil"/>
            </w:tcBorders>
            <w:shd w:val="clear" w:color="auto" w:fill="auto"/>
            <w:noWrap/>
            <w:vAlign w:val="bottom"/>
            <w:hideMark/>
          </w:tcPr>
          <w:p w14:paraId="25076AEC"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[0.039,0.040]</w:t>
            </w:r>
          </w:p>
        </w:tc>
        <w:tc>
          <w:tcPr>
            <w:tcW w:w="1440" w:type="dxa"/>
            <w:tcBorders>
              <w:top w:val="nil"/>
              <w:left w:val="nil"/>
              <w:bottom w:val="nil"/>
              <w:right w:val="nil"/>
            </w:tcBorders>
            <w:shd w:val="clear" w:color="auto" w:fill="auto"/>
            <w:noWrap/>
            <w:vAlign w:val="bottom"/>
            <w:hideMark/>
          </w:tcPr>
          <w:p w14:paraId="289DA99E"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[-0.008,-0.007]</w:t>
            </w:r>
          </w:p>
        </w:tc>
      </w:tr>
      <w:tr w:rsidR="00025200" w:rsidRPr="004E2853" w14:paraId="4694D6DF" w14:textId="77777777" w:rsidTr="002218B1">
        <w:trPr>
          <w:gridAfter w:val="1"/>
          <w:wAfter w:w="576" w:type="dxa"/>
          <w:trHeight w:val="20"/>
        </w:trPr>
        <w:tc>
          <w:tcPr>
            <w:tcW w:w="2160" w:type="dxa"/>
            <w:tcBorders>
              <w:top w:val="nil"/>
              <w:left w:val="nil"/>
              <w:bottom w:val="nil"/>
              <w:right w:val="nil"/>
            </w:tcBorders>
            <w:shd w:val="clear" w:color="auto" w:fill="auto"/>
            <w:noWrap/>
            <w:hideMark/>
          </w:tcPr>
          <w:p w14:paraId="3EC3AD95" w14:textId="1567F38C" w:rsidR="00BB39C9" w:rsidRPr="004E2853" w:rsidRDefault="00BB39C9" w:rsidP="00BB39C9">
            <w:pPr>
              <w:rPr>
                <w:rFonts w:ascii="Arial" w:hAnsi="Arial" w:cs="Arial"/>
                <w:color w:val="000000"/>
                <w:sz w:val="18"/>
                <w:szCs w:val="18"/>
              </w:rPr>
            </w:pPr>
            <w:r w:rsidRPr="004E2853">
              <w:rPr>
                <w:rFonts w:ascii="Arial" w:hAnsi="Arial" w:cs="Arial"/>
                <w:color w:val="000000"/>
                <w:sz w:val="18"/>
                <w:szCs w:val="18"/>
              </w:rPr>
              <w:t>Education (ref</w:t>
            </w:r>
            <w:r w:rsidR="00025200" w:rsidRPr="004E2853">
              <w:rPr>
                <w:rFonts w:ascii="Arial" w:hAnsi="Arial" w:cs="Arial"/>
                <w:color w:val="000000"/>
                <w:sz w:val="18"/>
                <w:szCs w:val="18"/>
              </w:rPr>
              <w:t>=</w:t>
            </w:r>
            <w:r w:rsidRPr="004E2853">
              <w:rPr>
                <w:rFonts w:ascii="Arial" w:hAnsi="Arial" w:cs="Arial"/>
                <w:color w:val="000000"/>
                <w:sz w:val="18"/>
                <w:szCs w:val="18"/>
              </w:rPr>
              <w:t>less HS)</w:t>
            </w:r>
          </w:p>
        </w:tc>
        <w:tc>
          <w:tcPr>
            <w:tcW w:w="1530" w:type="dxa"/>
            <w:tcBorders>
              <w:top w:val="nil"/>
              <w:left w:val="nil"/>
              <w:bottom w:val="nil"/>
              <w:right w:val="nil"/>
            </w:tcBorders>
            <w:shd w:val="clear" w:color="auto" w:fill="auto"/>
            <w:noWrap/>
            <w:vAlign w:val="bottom"/>
            <w:hideMark/>
          </w:tcPr>
          <w:p w14:paraId="73E6F847" w14:textId="77777777" w:rsidR="00BB39C9" w:rsidRPr="004E2853" w:rsidRDefault="00BB39C9">
            <w:pPr>
              <w:rPr>
                <w:rFonts w:ascii="Arial" w:hAnsi="Arial" w:cs="Arial"/>
                <w:color w:val="000000"/>
                <w:sz w:val="18"/>
                <w:szCs w:val="18"/>
              </w:rPr>
            </w:pPr>
          </w:p>
        </w:tc>
        <w:tc>
          <w:tcPr>
            <w:tcW w:w="1440" w:type="dxa"/>
            <w:tcBorders>
              <w:top w:val="nil"/>
              <w:left w:val="nil"/>
              <w:bottom w:val="nil"/>
              <w:right w:val="nil"/>
            </w:tcBorders>
            <w:shd w:val="clear" w:color="auto" w:fill="auto"/>
            <w:noWrap/>
            <w:vAlign w:val="bottom"/>
            <w:hideMark/>
          </w:tcPr>
          <w:p w14:paraId="7ECFC31C" w14:textId="77777777" w:rsidR="00BB39C9" w:rsidRPr="004E2853" w:rsidRDefault="00BB39C9">
            <w:pPr>
              <w:jc w:val="center"/>
              <w:rPr>
                <w:sz w:val="18"/>
                <w:szCs w:val="18"/>
              </w:rPr>
            </w:pPr>
          </w:p>
        </w:tc>
        <w:tc>
          <w:tcPr>
            <w:tcW w:w="1440" w:type="dxa"/>
            <w:tcBorders>
              <w:top w:val="nil"/>
              <w:left w:val="nil"/>
              <w:bottom w:val="nil"/>
              <w:right w:val="nil"/>
            </w:tcBorders>
            <w:shd w:val="clear" w:color="auto" w:fill="auto"/>
            <w:noWrap/>
            <w:vAlign w:val="bottom"/>
            <w:hideMark/>
          </w:tcPr>
          <w:p w14:paraId="037D0B2D" w14:textId="77777777" w:rsidR="00BB39C9" w:rsidRPr="004E2853" w:rsidRDefault="00BB39C9">
            <w:pPr>
              <w:jc w:val="center"/>
              <w:rPr>
                <w:sz w:val="18"/>
                <w:szCs w:val="18"/>
              </w:rPr>
            </w:pPr>
          </w:p>
        </w:tc>
        <w:tc>
          <w:tcPr>
            <w:tcW w:w="1440" w:type="dxa"/>
            <w:tcBorders>
              <w:top w:val="nil"/>
              <w:left w:val="nil"/>
              <w:bottom w:val="nil"/>
              <w:right w:val="nil"/>
            </w:tcBorders>
            <w:shd w:val="clear" w:color="auto" w:fill="auto"/>
            <w:noWrap/>
            <w:vAlign w:val="bottom"/>
            <w:hideMark/>
          </w:tcPr>
          <w:p w14:paraId="6F227684" w14:textId="77777777" w:rsidR="00BB39C9" w:rsidRPr="004E2853" w:rsidRDefault="00BB39C9">
            <w:pPr>
              <w:jc w:val="center"/>
              <w:rPr>
                <w:sz w:val="18"/>
                <w:szCs w:val="18"/>
              </w:rPr>
            </w:pPr>
          </w:p>
        </w:tc>
        <w:tc>
          <w:tcPr>
            <w:tcW w:w="1440" w:type="dxa"/>
            <w:tcBorders>
              <w:top w:val="nil"/>
              <w:left w:val="nil"/>
              <w:bottom w:val="nil"/>
              <w:right w:val="nil"/>
            </w:tcBorders>
            <w:shd w:val="clear" w:color="auto" w:fill="auto"/>
            <w:noWrap/>
            <w:vAlign w:val="bottom"/>
            <w:hideMark/>
          </w:tcPr>
          <w:p w14:paraId="18299680" w14:textId="77777777" w:rsidR="00BB39C9" w:rsidRPr="004E2853" w:rsidRDefault="00BB39C9">
            <w:pPr>
              <w:jc w:val="center"/>
              <w:rPr>
                <w:sz w:val="18"/>
                <w:szCs w:val="18"/>
              </w:rPr>
            </w:pPr>
          </w:p>
        </w:tc>
        <w:tc>
          <w:tcPr>
            <w:tcW w:w="1440" w:type="dxa"/>
            <w:tcBorders>
              <w:top w:val="nil"/>
              <w:left w:val="nil"/>
              <w:bottom w:val="nil"/>
              <w:right w:val="nil"/>
            </w:tcBorders>
            <w:shd w:val="clear" w:color="auto" w:fill="auto"/>
            <w:noWrap/>
            <w:vAlign w:val="bottom"/>
            <w:hideMark/>
          </w:tcPr>
          <w:p w14:paraId="0E7F5963" w14:textId="77777777" w:rsidR="00BB39C9" w:rsidRPr="004E2853" w:rsidRDefault="00BB39C9">
            <w:pPr>
              <w:jc w:val="center"/>
              <w:rPr>
                <w:sz w:val="18"/>
                <w:szCs w:val="18"/>
              </w:rPr>
            </w:pPr>
          </w:p>
        </w:tc>
      </w:tr>
      <w:tr w:rsidR="00025200" w:rsidRPr="004E2853" w14:paraId="54FC57E9" w14:textId="77777777" w:rsidTr="002218B1">
        <w:trPr>
          <w:gridAfter w:val="1"/>
          <w:wAfter w:w="576" w:type="dxa"/>
          <w:trHeight w:val="20"/>
        </w:trPr>
        <w:tc>
          <w:tcPr>
            <w:tcW w:w="2160" w:type="dxa"/>
            <w:vMerge w:val="restart"/>
            <w:tcBorders>
              <w:top w:val="nil"/>
              <w:left w:val="nil"/>
              <w:bottom w:val="nil"/>
              <w:right w:val="nil"/>
            </w:tcBorders>
            <w:shd w:val="clear" w:color="auto" w:fill="auto"/>
            <w:noWrap/>
            <w:hideMark/>
          </w:tcPr>
          <w:p w14:paraId="570413C9" w14:textId="77777777" w:rsidR="00BB39C9" w:rsidRPr="004E2853" w:rsidRDefault="00BB39C9" w:rsidP="00BB39C9">
            <w:pPr>
              <w:ind w:firstLineChars="100" w:firstLine="180"/>
              <w:rPr>
                <w:rFonts w:ascii="Arial" w:hAnsi="Arial" w:cs="Arial"/>
                <w:color w:val="000000"/>
                <w:sz w:val="18"/>
                <w:szCs w:val="18"/>
              </w:rPr>
            </w:pPr>
            <w:r w:rsidRPr="004E2853">
              <w:rPr>
                <w:rFonts w:ascii="Arial" w:hAnsi="Arial" w:cs="Arial"/>
                <w:color w:val="000000"/>
                <w:sz w:val="18"/>
                <w:szCs w:val="18"/>
              </w:rPr>
              <w:t>High school</w:t>
            </w:r>
          </w:p>
        </w:tc>
        <w:tc>
          <w:tcPr>
            <w:tcW w:w="1530" w:type="dxa"/>
            <w:tcBorders>
              <w:top w:val="nil"/>
              <w:left w:val="nil"/>
              <w:bottom w:val="nil"/>
              <w:right w:val="nil"/>
            </w:tcBorders>
            <w:shd w:val="clear" w:color="auto" w:fill="auto"/>
            <w:noWrap/>
            <w:vAlign w:val="bottom"/>
            <w:hideMark/>
          </w:tcPr>
          <w:p w14:paraId="5277D9A4"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0.281</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5AE53754"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-0.012</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268867AF"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0.003</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59FE7A11"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0.009</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129DC1AF"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0.002</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491C1271"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0.010</w:t>
            </w:r>
            <w:r w:rsidRPr="004E2853">
              <w:rPr>
                <w:rFonts w:ascii="Arial" w:hAnsi="Arial" w:cs="Arial"/>
                <w:color w:val="000000"/>
                <w:sz w:val="18"/>
                <w:szCs w:val="18"/>
                <w:vertAlign w:val="superscript"/>
              </w:rPr>
              <w:t>***</w:t>
            </w:r>
          </w:p>
        </w:tc>
      </w:tr>
      <w:tr w:rsidR="00025200" w:rsidRPr="004E2853" w14:paraId="7A56529C" w14:textId="77777777" w:rsidTr="002218B1">
        <w:trPr>
          <w:gridAfter w:val="1"/>
          <w:wAfter w:w="576" w:type="dxa"/>
          <w:trHeight w:val="20"/>
        </w:trPr>
        <w:tc>
          <w:tcPr>
            <w:tcW w:w="2160" w:type="dxa"/>
            <w:vMerge/>
            <w:tcBorders>
              <w:top w:val="nil"/>
              <w:left w:val="nil"/>
              <w:bottom w:val="nil"/>
              <w:right w:val="nil"/>
            </w:tcBorders>
            <w:hideMark/>
          </w:tcPr>
          <w:p w14:paraId="6FC55DD5" w14:textId="77777777" w:rsidR="00BB39C9" w:rsidRPr="004E2853" w:rsidRDefault="00BB39C9" w:rsidP="00BB39C9">
            <w:pPr>
              <w:rPr>
                <w:rFonts w:ascii="Arial" w:hAnsi="Arial" w:cs="Arial"/>
                <w:color w:val="000000"/>
                <w:sz w:val="18"/>
                <w:szCs w:val="18"/>
              </w:rPr>
            </w:pPr>
          </w:p>
        </w:tc>
        <w:tc>
          <w:tcPr>
            <w:tcW w:w="1530" w:type="dxa"/>
            <w:tcBorders>
              <w:top w:val="nil"/>
              <w:left w:val="nil"/>
              <w:bottom w:val="nil"/>
              <w:right w:val="nil"/>
            </w:tcBorders>
            <w:shd w:val="clear" w:color="auto" w:fill="auto"/>
            <w:noWrap/>
            <w:vAlign w:val="bottom"/>
            <w:hideMark/>
          </w:tcPr>
          <w:p w14:paraId="01ADAC91"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[0.272,0.290]</w:t>
            </w:r>
          </w:p>
        </w:tc>
        <w:tc>
          <w:tcPr>
            <w:tcW w:w="1440" w:type="dxa"/>
            <w:tcBorders>
              <w:top w:val="nil"/>
              <w:left w:val="nil"/>
              <w:bottom w:val="nil"/>
              <w:right w:val="nil"/>
            </w:tcBorders>
            <w:shd w:val="clear" w:color="auto" w:fill="auto"/>
            <w:noWrap/>
            <w:vAlign w:val="bottom"/>
            <w:hideMark/>
          </w:tcPr>
          <w:p w14:paraId="7EC1F7A3"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[-0.013,-0.012]</w:t>
            </w:r>
          </w:p>
        </w:tc>
        <w:tc>
          <w:tcPr>
            <w:tcW w:w="1440" w:type="dxa"/>
            <w:tcBorders>
              <w:top w:val="nil"/>
              <w:left w:val="nil"/>
              <w:bottom w:val="nil"/>
              <w:right w:val="nil"/>
            </w:tcBorders>
            <w:shd w:val="clear" w:color="auto" w:fill="auto"/>
            <w:noWrap/>
            <w:vAlign w:val="bottom"/>
            <w:hideMark/>
          </w:tcPr>
          <w:p w14:paraId="72461490"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[0.002,0.003]</w:t>
            </w:r>
          </w:p>
        </w:tc>
        <w:tc>
          <w:tcPr>
            <w:tcW w:w="1440" w:type="dxa"/>
            <w:tcBorders>
              <w:top w:val="nil"/>
              <w:left w:val="nil"/>
              <w:bottom w:val="nil"/>
              <w:right w:val="nil"/>
            </w:tcBorders>
            <w:shd w:val="clear" w:color="auto" w:fill="auto"/>
            <w:noWrap/>
            <w:vAlign w:val="bottom"/>
            <w:hideMark/>
          </w:tcPr>
          <w:p w14:paraId="058FBBE5"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[0.009,0.010]</w:t>
            </w:r>
          </w:p>
        </w:tc>
        <w:tc>
          <w:tcPr>
            <w:tcW w:w="1440" w:type="dxa"/>
            <w:tcBorders>
              <w:top w:val="nil"/>
              <w:left w:val="nil"/>
              <w:bottom w:val="nil"/>
              <w:right w:val="nil"/>
            </w:tcBorders>
            <w:shd w:val="clear" w:color="auto" w:fill="auto"/>
            <w:noWrap/>
            <w:vAlign w:val="bottom"/>
            <w:hideMark/>
          </w:tcPr>
          <w:p w14:paraId="76280319"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[0.001,0.002]</w:t>
            </w:r>
          </w:p>
        </w:tc>
        <w:tc>
          <w:tcPr>
            <w:tcW w:w="1440" w:type="dxa"/>
            <w:tcBorders>
              <w:top w:val="nil"/>
              <w:left w:val="nil"/>
              <w:bottom w:val="nil"/>
              <w:right w:val="nil"/>
            </w:tcBorders>
            <w:shd w:val="clear" w:color="auto" w:fill="auto"/>
            <w:noWrap/>
            <w:vAlign w:val="bottom"/>
            <w:hideMark/>
          </w:tcPr>
          <w:p w14:paraId="780BDE26"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[0.009,0.010]</w:t>
            </w:r>
          </w:p>
        </w:tc>
      </w:tr>
      <w:tr w:rsidR="00025200" w:rsidRPr="004E2853" w14:paraId="7B4F9950" w14:textId="77777777" w:rsidTr="002218B1">
        <w:trPr>
          <w:gridAfter w:val="1"/>
          <w:wAfter w:w="576" w:type="dxa"/>
          <w:trHeight w:val="20"/>
        </w:trPr>
        <w:tc>
          <w:tcPr>
            <w:tcW w:w="2160" w:type="dxa"/>
            <w:vMerge w:val="restart"/>
            <w:tcBorders>
              <w:top w:val="nil"/>
              <w:left w:val="nil"/>
              <w:bottom w:val="nil"/>
              <w:right w:val="nil"/>
            </w:tcBorders>
            <w:shd w:val="clear" w:color="auto" w:fill="auto"/>
            <w:noWrap/>
            <w:hideMark/>
          </w:tcPr>
          <w:p w14:paraId="5CAC1FC9" w14:textId="77777777" w:rsidR="00BB39C9" w:rsidRPr="004E2853" w:rsidRDefault="00BB39C9" w:rsidP="00BB39C9">
            <w:pPr>
              <w:ind w:firstLineChars="100" w:firstLine="180"/>
              <w:rPr>
                <w:rFonts w:ascii="Arial" w:hAnsi="Arial" w:cs="Arial"/>
                <w:color w:val="000000"/>
                <w:sz w:val="18"/>
                <w:szCs w:val="18"/>
              </w:rPr>
            </w:pPr>
            <w:r w:rsidRPr="004E2853">
              <w:rPr>
                <w:rFonts w:ascii="Arial" w:hAnsi="Arial" w:cs="Arial"/>
                <w:color w:val="000000"/>
                <w:sz w:val="18"/>
                <w:szCs w:val="18"/>
              </w:rPr>
              <w:t>Some college</w:t>
            </w:r>
          </w:p>
        </w:tc>
        <w:tc>
          <w:tcPr>
            <w:tcW w:w="1530" w:type="dxa"/>
            <w:tcBorders>
              <w:top w:val="nil"/>
              <w:left w:val="nil"/>
              <w:bottom w:val="nil"/>
              <w:right w:val="nil"/>
            </w:tcBorders>
            <w:shd w:val="clear" w:color="auto" w:fill="auto"/>
            <w:noWrap/>
            <w:vAlign w:val="bottom"/>
            <w:hideMark/>
          </w:tcPr>
          <w:p w14:paraId="524C3843"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0.607</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51173ECD"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-0.027</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03D11DDC"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0.009</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08733D2B"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0.018</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47FE4F98"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0.005</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0240642C"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0.016</w:t>
            </w:r>
            <w:r w:rsidRPr="004E2853">
              <w:rPr>
                <w:rFonts w:ascii="Arial" w:hAnsi="Arial" w:cs="Arial"/>
                <w:color w:val="000000"/>
                <w:sz w:val="18"/>
                <w:szCs w:val="18"/>
                <w:vertAlign w:val="superscript"/>
              </w:rPr>
              <w:t>***</w:t>
            </w:r>
          </w:p>
        </w:tc>
      </w:tr>
      <w:tr w:rsidR="00025200" w:rsidRPr="004E2853" w14:paraId="2AE531CA" w14:textId="77777777" w:rsidTr="002218B1">
        <w:trPr>
          <w:gridAfter w:val="1"/>
          <w:wAfter w:w="576" w:type="dxa"/>
          <w:trHeight w:val="20"/>
        </w:trPr>
        <w:tc>
          <w:tcPr>
            <w:tcW w:w="2160" w:type="dxa"/>
            <w:vMerge/>
            <w:tcBorders>
              <w:top w:val="nil"/>
              <w:left w:val="nil"/>
              <w:bottom w:val="nil"/>
              <w:right w:val="nil"/>
            </w:tcBorders>
            <w:hideMark/>
          </w:tcPr>
          <w:p w14:paraId="37B98E26" w14:textId="77777777" w:rsidR="00BB39C9" w:rsidRPr="004E2853" w:rsidRDefault="00BB39C9" w:rsidP="00BB39C9">
            <w:pPr>
              <w:rPr>
                <w:rFonts w:ascii="Arial" w:hAnsi="Arial" w:cs="Arial"/>
                <w:color w:val="000000"/>
                <w:sz w:val="18"/>
                <w:szCs w:val="18"/>
              </w:rPr>
            </w:pPr>
          </w:p>
        </w:tc>
        <w:tc>
          <w:tcPr>
            <w:tcW w:w="1530" w:type="dxa"/>
            <w:tcBorders>
              <w:top w:val="nil"/>
              <w:left w:val="nil"/>
              <w:bottom w:val="nil"/>
              <w:right w:val="nil"/>
            </w:tcBorders>
            <w:shd w:val="clear" w:color="auto" w:fill="auto"/>
            <w:noWrap/>
            <w:vAlign w:val="bottom"/>
            <w:hideMark/>
          </w:tcPr>
          <w:p w14:paraId="648F0A90"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[0.597,0.617]</w:t>
            </w:r>
          </w:p>
        </w:tc>
        <w:tc>
          <w:tcPr>
            <w:tcW w:w="1440" w:type="dxa"/>
            <w:tcBorders>
              <w:top w:val="nil"/>
              <w:left w:val="nil"/>
              <w:bottom w:val="nil"/>
              <w:right w:val="nil"/>
            </w:tcBorders>
            <w:shd w:val="clear" w:color="auto" w:fill="auto"/>
            <w:noWrap/>
            <w:vAlign w:val="bottom"/>
            <w:hideMark/>
          </w:tcPr>
          <w:p w14:paraId="5E953072"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[-0.028,-0.027]</w:t>
            </w:r>
          </w:p>
        </w:tc>
        <w:tc>
          <w:tcPr>
            <w:tcW w:w="1440" w:type="dxa"/>
            <w:tcBorders>
              <w:top w:val="nil"/>
              <w:left w:val="nil"/>
              <w:bottom w:val="nil"/>
              <w:right w:val="nil"/>
            </w:tcBorders>
            <w:shd w:val="clear" w:color="auto" w:fill="auto"/>
            <w:noWrap/>
            <w:vAlign w:val="bottom"/>
            <w:hideMark/>
          </w:tcPr>
          <w:p w14:paraId="1C70621A"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[0.008,0.010]</w:t>
            </w:r>
          </w:p>
        </w:tc>
        <w:tc>
          <w:tcPr>
            <w:tcW w:w="1440" w:type="dxa"/>
            <w:tcBorders>
              <w:top w:val="nil"/>
              <w:left w:val="nil"/>
              <w:bottom w:val="nil"/>
              <w:right w:val="nil"/>
            </w:tcBorders>
            <w:shd w:val="clear" w:color="auto" w:fill="auto"/>
            <w:noWrap/>
            <w:vAlign w:val="bottom"/>
            <w:hideMark/>
          </w:tcPr>
          <w:p w14:paraId="1E704D60"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[0.017,0.019]</w:t>
            </w:r>
          </w:p>
        </w:tc>
        <w:tc>
          <w:tcPr>
            <w:tcW w:w="1440" w:type="dxa"/>
            <w:tcBorders>
              <w:top w:val="nil"/>
              <w:left w:val="nil"/>
              <w:bottom w:val="nil"/>
              <w:right w:val="nil"/>
            </w:tcBorders>
            <w:shd w:val="clear" w:color="auto" w:fill="auto"/>
            <w:noWrap/>
            <w:vAlign w:val="bottom"/>
            <w:hideMark/>
          </w:tcPr>
          <w:p w14:paraId="55550BC1"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[0.005,0.006]</w:t>
            </w:r>
          </w:p>
        </w:tc>
        <w:tc>
          <w:tcPr>
            <w:tcW w:w="1440" w:type="dxa"/>
            <w:tcBorders>
              <w:top w:val="nil"/>
              <w:left w:val="nil"/>
              <w:bottom w:val="nil"/>
              <w:right w:val="nil"/>
            </w:tcBorders>
            <w:shd w:val="clear" w:color="auto" w:fill="auto"/>
            <w:noWrap/>
            <w:vAlign w:val="bottom"/>
            <w:hideMark/>
          </w:tcPr>
          <w:p w14:paraId="3AB0C793"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[0.015,0.016]</w:t>
            </w:r>
          </w:p>
        </w:tc>
      </w:tr>
      <w:tr w:rsidR="00025200" w:rsidRPr="004E2853" w14:paraId="33E85475" w14:textId="77777777" w:rsidTr="002218B1">
        <w:trPr>
          <w:gridAfter w:val="1"/>
          <w:wAfter w:w="576" w:type="dxa"/>
          <w:trHeight w:val="20"/>
        </w:trPr>
        <w:tc>
          <w:tcPr>
            <w:tcW w:w="2160" w:type="dxa"/>
            <w:vMerge w:val="restart"/>
            <w:tcBorders>
              <w:top w:val="nil"/>
              <w:left w:val="nil"/>
              <w:bottom w:val="nil"/>
              <w:right w:val="nil"/>
            </w:tcBorders>
            <w:shd w:val="clear" w:color="auto" w:fill="auto"/>
            <w:noWrap/>
            <w:hideMark/>
          </w:tcPr>
          <w:p w14:paraId="35B3CEA0" w14:textId="77777777" w:rsidR="00BB39C9" w:rsidRPr="004E2853" w:rsidRDefault="00BB39C9" w:rsidP="00BB39C9">
            <w:pPr>
              <w:ind w:firstLineChars="100" w:firstLine="180"/>
              <w:rPr>
                <w:rFonts w:ascii="Arial" w:hAnsi="Arial" w:cs="Arial"/>
                <w:color w:val="000000"/>
                <w:sz w:val="18"/>
                <w:szCs w:val="18"/>
              </w:rPr>
            </w:pPr>
            <w:r w:rsidRPr="004E2853">
              <w:rPr>
                <w:rFonts w:ascii="Arial" w:hAnsi="Arial" w:cs="Arial"/>
                <w:color w:val="000000"/>
                <w:sz w:val="18"/>
                <w:szCs w:val="18"/>
              </w:rPr>
              <w:t>College</w:t>
            </w:r>
          </w:p>
        </w:tc>
        <w:tc>
          <w:tcPr>
            <w:tcW w:w="1530" w:type="dxa"/>
            <w:tcBorders>
              <w:top w:val="nil"/>
              <w:left w:val="nil"/>
              <w:bottom w:val="nil"/>
              <w:right w:val="nil"/>
            </w:tcBorders>
            <w:shd w:val="clear" w:color="auto" w:fill="auto"/>
            <w:noWrap/>
            <w:vAlign w:val="bottom"/>
            <w:hideMark/>
          </w:tcPr>
          <w:p w14:paraId="4E0AAB76"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0.961</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0A60B7D2"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-0.039</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3B78A09F"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0.009</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1DB6C97B"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0.029</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085C45BC"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-0.009</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56EBECCD"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0.021</w:t>
            </w:r>
            <w:r w:rsidRPr="004E2853">
              <w:rPr>
                <w:rFonts w:ascii="Arial" w:hAnsi="Arial" w:cs="Arial"/>
                <w:color w:val="000000"/>
                <w:sz w:val="18"/>
                <w:szCs w:val="18"/>
                <w:vertAlign w:val="superscript"/>
              </w:rPr>
              <w:t>***</w:t>
            </w:r>
          </w:p>
        </w:tc>
      </w:tr>
      <w:tr w:rsidR="00025200" w:rsidRPr="004E2853" w14:paraId="152F6311" w14:textId="77777777" w:rsidTr="002218B1">
        <w:trPr>
          <w:gridAfter w:val="1"/>
          <w:wAfter w:w="576" w:type="dxa"/>
          <w:trHeight w:val="20"/>
        </w:trPr>
        <w:tc>
          <w:tcPr>
            <w:tcW w:w="2160" w:type="dxa"/>
            <w:vMerge/>
            <w:tcBorders>
              <w:top w:val="nil"/>
              <w:left w:val="nil"/>
              <w:bottom w:val="nil"/>
              <w:right w:val="nil"/>
            </w:tcBorders>
            <w:hideMark/>
          </w:tcPr>
          <w:p w14:paraId="72FCDA20" w14:textId="77777777" w:rsidR="00BB39C9" w:rsidRPr="004E2853" w:rsidRDefault="00BB39C9" w:rsidP="00BB39C9">
            <w:pPr>
              <w:rPr>
                <w:rFonts w:ascii="Arial" w:hAnsi="Arial" w:cs="Arial"/>
                <w:color w:val="000000"/>
                <w:sz w:val="18"/>
                <w:szCs w:val="18"/>
              </w:rPr>
            </w:pPr>
          </w:p>
        </w:tc>
        <w:tc>
          <w:tcPr>
            <w:tcW w:w="1530" w:type="dxa"/>
            <w:tcBorders>
              <w:top w:val="nil"/>
              <w:left w:val="nil"/>
              <w:bottom w:val="nil"/>
              <w:right w:val="nil"/>
            </w:tcBorders>
            <w:shd w:val="clear" w:color="auto" w:fill="auto"/>
            <w:noWrap/>
            <w:vAlign w:val="bottom"/>
            <w:hideMark/>
          </w:tcPr>
          <w:p w14:paraId="694904B8"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[0.949,0.974]</w:t>
            </w:r>
          </w:p>
        </w:tc>
        <w:tc>
          <w:tcPr>
            <w:tcW w:w="1440" w:type="dxa"/>
            <w:tcBorders>
              <w:top w:val="nil"/>
              <w:left w:val="nil"/>
              <w:bottom w:val="nil"/>
              <w:right w:val="nil"/>
            </w:tcBorders>
            <w:shd w:val="clear" w:color="auto" w:fill="auto"/>
            <w:noWrap/>
            <w:vAlign w:val="bottom"/>
            <w:hideMark/>
          </w:tcPr>
          <w:p w14:paraId="3146F3DE"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[-0.039,-0.038]</w:t>
            </w:r>
          </w:p>
        </w:tc>
        <w:tc>
          <w:tcPr>
            <w:tcW w:w="1440" w:type="dxa"/>
            <w:tcBorders>
              <w:top w:val="nil"/>
              <w:left w:val="nil"/>
              <w:bottom w:val="nil"/>
              <w:right w:val="nil"/>
            </w:tcBorders>
            <w:shd w:val="clear" w:color="auto" w:fill="auto"/>
            <w:noWrap/>
            <w:vAlign w:val="bottom"/>
            <w:hideMark/>
          </w:tcPr>
          <w:p w14:paraId="0A064A24"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[0.008,0.010]</w:t>
            </w:r>
          </w:p>
        </w:tc>
        <w:tc>
          <w:tcPr>
            <w:tcW w:w="1440" w:type="dxa"/>
            <w:tcBorders>
              <w:top w:val="nil"/>
              <w:left w:val="nil"/>
              <w:bottom w:val="nil"/>
              <w:right w:val="nil"/>
            </w:tcBorders>
            <w:shd w:val="clear" w:color="auto" w:fill="auto"/>
            <w:noWrap/>
            <w:vAlign w:val="bottom"/>
            <w:hideMark/>
          </w:tcPr>
          <w:p w14:paraId="2E570D4A"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[0.028,0.030]</w:t>
            </w:r>
          </w:p>
        </w:tc>
        <w:tc>
          <w:tcPr>
            <w:tcW w:w="1440" w:type="dxa"/>
            <w:tcBorders>
              <w:top w:val="nil"/>
              <w:left w:val="nil"/>
              <w:bottom w:val="nil"/>
              <w:right w:val="nil"/>
            </w:tcBorders>
            <w:shd w:val="clear" w:color="auto" w:fill="auto"/>
            <w:noWrap/>
            <w:vAlign w:val="bottom"/>
            <w:hideMark/>
          </w:tcPr>
          <w:p w14:paraId="5CA58AED"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[-0.010,-0.009]</w:t>
            </w:r>
          </w:p>
        </w:tc>
        <w:tc>
          <w:tcPr>
            <w:tcW w:w="1440" w:type="dxa"/>
            <w:tcBorders>
              <w:top w:val="nil"/>
              <w:left w:val="nil"/>
              <w:bottom w:val="nil"/>
              <w:right w:val="nil"/>
            </w:tcBorders>
            <w:shd w:val="clear" w:color="auto" w:fill="auto"/>
            <w:noWrap/>
            <w:vAlign w:val="bottom"/>
            <w:hideMark/>
          </w:tcPr>
          <w:p w14:paraId="55CF8508"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[0.021,0.022]</w:t>
            </w:r>
          </w:p>
        </w:tc>
      </w:tr>
      <w:tr w:rsidR="00025200" w:rsidRPr="004E2853" w14:paraId="32189D31" w14:textId="77777777" w:rsidTr="002218B1">
        <w:trPr>
          <w:gridAfter w:val="1"/>
          <w:wAfter w:w="576" w:type="dxa"/>
          <w:trHeight w:val="20"/>
        </w:trPr>
        <w:tc>
          <w:tcPr>
            <w:tcW w:w="2160" w:type="dxa"/>
            <w:vMerge w:val="restart"/>
            <w:tcBorders>
              <w:top w:val="nil"/>
              <w:left w:val="nil"/>
              <w:bottom w:val="nil"/>
              <w:right w:val="nil"/>
            </w:tcBorders>
            <w:shd w:val="clear" w:color="auto" w:fill="auto"/>
            <w:noWrap/>
            <w:hideMark/>
          </w:tcPr>
          <w:p w14:paraId="55F850E0" w14:textId="77777777" w:rsidR="00BB39C9" w:rsidRPr="004E2853" w:rsidRDefault="00BB39C9" w:rsidP="00BB39C9">
            <w:pPr>
              <w:rPr>
                <w:rFonts w:ascii="Arial" w:hAnsi="Arial" w:cs="Arial"/>
                <w:color w:val="000000"/>
                <w:sz w:val="18"/>
                <w:szCs w:val="18"/>
              </w:rPr>
            </w:pPr>
            <w:r w:rsidRPr="004E2853">
              <w:rPr>
                <w:rFonts w:ascii="Arial" w:hAnsi="Arial" w:cs="Arial"/>
                <w:color w:val="000000"/>
                <w:sz w:val="18"/>
                <w:szCs w:val="18"/>
              </w:rPr>
              <w:t>Married</w:t>
            </w:r>
          </w:p>
        </w:tc>
        <w:tc>
          <w:tcPr>
            <w:tcW w:w="1530" w:type="dxa"/>
            <w:tcBorders>
              <w:top w:val="nil"/>
              <w:left w:val="nil"/>
              <w:bottom w:val="nil"/>
              <w:right w:val="nil"/>
            </w:tcBorders>
            <w:shd w:val="clear" w:color="auto" w:fill="auto"/>
            <w:noWrap/>
            <w:vAlign w:val="bottom"/>
            <w:hideMark/>
          </w:tcPr>
          <w:p w14:paraId="32438914"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0.481</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63EE86BA"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-0.015</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50B36BD4"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0.008</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0E3C9131"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0.008</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449AAADD"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0.010</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7C99C49C"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-0.009</w:t>
            </w:r>
            <w:r w:rsidRPr="004E2853">
              <w:rPr>
                <w:rFonts w:ascii="Arial" w:hAnsi="Arial" w:cs="Arial"/>
                <w:color w:val="000000"/>
                <w:sz w:val="18"/>
                <w:szCs w:val="18"/>
                <w:vertAlign w:val="superscript"/>
              </w:rPr>
              <w:t>***</w:t>
            </w:r>
          </w:p>
        </w:tc>
      </w:tr>
      <w:tr w:rsidR="00025200" w:rsidRPr="004E2853" w14:paraId="4630E884" w14:textId="77777777" w:rsidTr="002218B1">
        <w:trPr>
          <w:gridAfter w:val="1"/>
          <w:wAfter w:w="576" w:type="dxa"/>
          <w:trHeight w:val="20"/>
        </w:trPr>
        <w:tc>
          <w:tcPr>
            <w:tcW w:w="2160" w:type="dxa"/>
            <w:vMerge/>
            <w:tcBorders>
              <w:top w:val="nil"/>
              <w:left w:val="nil"/>
              <w:bottom w:val="nil"/>
              <w:right w:val="nil"/>
            </w:tcBorders>
            <w:hideMark/>
          </w:tcPr>
          <w:p w14:paraId="755338D7" w14:textId="77777777" w:rsidR="00BB39C9" w:rsidRPr="004E2853" w:rsidRDefault="00BB39C9" w:rsidP="00BB39C9">
            <w:pPr>
              <w:rPr>
                <w:rFonts w:ascii="Arial" w:hAnsi="Arial" w:cs="Arial"/>
                <w:color w:val="000000"/>
                <w:sz w:val="18"/>
                <w:szCs w:val="18"/>
              </w:rPr>
            </w:pPr>
          </w:p>
        </w:tc>
        <w:tc>
          <w:tcPr>
            <w:tcW w:w="1530" w:type="dxa"/>
            <w:tcBorders>
              <w:top w:val="nil"/>
              <w:left w:val="nil"/>
              <w:bottom w:val="nil"/>
              <w:right w:val="nil"/>
            </w:tcBorders>
            <w:shd w:val="clear" w:color="auto" w:fill="auto"/>
            <w:noWrap/>
            <w:vAlign w:val="bottom"/>
            <w:hideMark/>
          </w:tcPr>
          <w:p w14:paraId="14B87A5B"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[0.472,0.490]</w:t>
            </w:r>
          </w:p>
        </w:tc>
        <w:tc>
          <w:tcPr>
            <w:tcW w:w="1440" w:type="dxa"/>
            <w:tcBorders>
              <w:top w:val="nil"/>
              <w:left w:val="nil"/>
              <w:bottom w:val="nil"/>
              <w:right w:val="nil"/>
            </w:tcBorders>
            <w:shd w:val="clear" w:color="auto" w:fill="auto"/>
            <w:noWrap/>
            <w:vAlign w:val="bottom"/>
            <w:hideMark/>
          </w:tcPr>
          <w:p w14:paraId="043ABE6B"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[-0.016,-0.015]</w:t>
            </w:r>
          </w:p>
        </w:tc>
        <w:tc>
          <w:tcPr>
            <w:tcW w:w="1440" w:type="dxa"/>
            <w:tcBorders>
              <w:top w:val="nil"/>
              <w:left w:val="nil"/>
              <w:bottom w:val="nil"/>
              <w:right w:val="nil"/>
            </w:tcBorders>
            <w:shd w:val="clear" w:color="auto" w:fill="auto"/>
            <w:noWrap/>
            <w:vAlign w:val="bottom"/>
            <w:hideMark/>
          </w:tcPr>
          <w:p w14:paraId="5CA7BBAD"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[0.007,0.008]</w:t>
            </w:r>
          </w:p>
        </w:tc>
        <w:tc>
          <w:tcPr>
            <w:tcW w:w="1440" w:type="dxa"/>
            <w:tcBorders>
              <w:top w:val="nil"/>
              <w:left w:val="nil"/>
              <w:bottom w:val="nil"/>
              <w:right w:val="nil"/>
            </w:tcBorders>
            <w:shd w:val="clear" w:color="auto" w:fill="auto"/>
            <w:noWrap/>
            <w:vAlign w:val="bottom"/>
            <w:hideMark/>
          </w:tcPr>
          <w:p w14:paraId="29D7CD84"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[0.007,0.008]</w:t>
            </w:r>
          </w:p>
        </w:tc>
        <w:tc>
          <w:tcPr>
            <w:tcW w:w="1440" w:type="dxa"/>
            <w:tcBorders>
              <w:top w:val="nil"/>
              <w:left w:val="nil"/>
              <w:bottom w:val="nil"/>
              <w:right w:val="nil"/>
            </w:tcBorders>
            <w:shd w:val="clear" w:color="auto" w:fill="auto"/>
            <w:noWrap/>
            <w:vAlign w:val="bottom"/>
            <w:hideMark/>
          </w:tcPr>
          <w:p w14:paraId="56F4097C"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[0.009,0.010]</w:t>
            </w:r>
          </w:p>
        </w:tc>
        <w:tc>
          <w:tcPr>
            <w:tcW w:w="1440" w:type="dxa"/>
            <w:tcBorders>
              <w:top w:val="nil"/>
              <w:left w:val="nil"/>
              <w:bottom w:val="nil"/>
              <w:right w:val="nil"/>
            </w:tcBorders>
            <w:shd w:val="clear" w:color="auto" w:fill="auto"/>
            <w:noWrap/>
            <w:vAlign w:val="bottom"/>
            <w:hideMark/>
          </w:tcPr>
          <w:p w14:paraId="6B1CAD4A"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[-0.009,-0.008]</w:t>
            </w:r>
          </w:p>
        </w:tc>
      </w:tr>
      <w:tr w:rsidR="00025200" w:rsidRPr="004E2853" w14:paraId="78830286" w14:textId="77777777" w:rsidTr="002218B1">
        <w:trPr>
          <w:gridAfter w:val="1"/>
          <w:wAfter w:w="576" w:type="dxa"/>
          <w:trHeight w:val="20"/>
        </w:trPr>
        <w:tc>
          <w:tcPr>
            <w:tcW w:w="2160" w:type="dxa"/>
            <w:vMerge w:val="restart"/>
            <w:tcBorders>
              <w:top w:val="nil"/>
              <w:left w:val="nil"/>
              <w:bottom w:val="nil"/>
              <w:right w:val="nil"/>
            </w:tcBorders>
            <w:shd w:val="clear" w:color="auto" w:fill="auto"/>
            <w:noWrap/>
            <w:hideMark/>
          </w:tcPr>
          <w:p w14:paraId="5D54FAE0" w14:textId="77777777" w:rsidR="00BB39C9" w:rsidRPr="004E2853" w:rsidRDefault="00BB39C9" w:rsidP="00BB39C9">
            <w:pPr>
              <w:rPr>
                <w:rFonts w:ascii="Arial" w:hAnsi="Arial" w:cs="Arial"/>
                <w:color w:val="000000"/>
                <w:sz w:val="18"/>
                <w:szCs w:val="18"/>
              </w:rPr>
            </w:pPr>
            <w:r w:rsidRPr="004E2853">
              <w:rPr>
                <w:rFonts w:ascii="Arial" w:hAnsi="Arial" w:cs="Arial"/>
                <w:color w:val="000000"/>
                <w:sz w:val="18"/>
                <w:szCs w:val="18"/>
              </w:rPr>
              <w:t>Foreign born</w:t>
            </w:r>
          </w:p>
        </w:tc>
        <w:tc>
          <w:tcPr>
            <w:tcW w:w="1530" w:type="dxa"/>
            <w:tcBorders>
              <w:top w:val="nil"/>
              <w:left w:val="nil"/>
              <w:bottom w:val="nil"/>
              <w:right w:val="nil"/>
            </w:tcBorders>
            <w:shd w:val="clear" w:color="auto" w:fill="auto"/>
            <w:noWrap/>
            <w:vAlign w:val="bottom"/>
            <w:hideMark/>
          </w:tcPr>
          <w:p w14:paraId="202944EF"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0.397</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6A464B54"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-0.013</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25C4D2CC"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0.006</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0AD7AA90"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0.007</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0EB7109C"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0.010</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2004F04A"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-0.016</w:t>
            </w:r>
            <w:r w:rsidRPr="004E2853">
              <w:rPr>
                <w:rFonts w:ascii="Arial" w:hAnsi="Arial" w:cs="Arial"/>
                <w:color w:val="000000"/>
                <w:sz w:val="18"/>
                <w:szCs w:val="18"/>
                <w:vertAlign w:val="superscript"/>
              </w:rPr>
              <w:t>***</w:t>
            </w:r>
          </w:p>
        </w:tc>
      </w:tr>
      <w:tr w:rsidR="00025200" w:rsidRPr="004E2853" w14:paraId="44495046" w14:textId="77777777" w:rsidTr="002218B1">
        <w:trPr>
          <w:gridAfter w:val="1"/>
          <w:wAfter w:w="576" w:type="dxa"/>
          <w:trHeight w:val="20"/>
        </w:trPr>
        <w:tc>
          <w:tcPr>
            <w:tcW w:w="2160" w:type="dxa"/>
            <w:vMerge/>
            <w:tcBorders>
              <w:top w:val="nil"/>
              <w:left w:val="nil"/>
              <w:bottom w:val="nil"/>
              <w:right w:val="nil"/>
            </w:tcBorders>
            <w:hideMark/>
          </w:tcPr>
          <w:p w14:paraId="5504BEFF" w14:textId="77777777" w:rsidR="00BB39C9" w:rsidRPr="004E2853" w:rsidRDefault="00BB39C9" w:rsidP="00BB39C9">
            <w:pPr>
              <w:rPr>
                <w:rFonts w:ascii="Arial" w:hAnsi="Arial" w:cs="Arial"/>
                <w:color w:val="000000"/>
                <w:sz w:val="18"/>
                <w:szCs w:val="18"/>
              </w:rPr>
            </w:pPr>
          </w:p>
        </w:tc>
        <w:tc>
          <w:tcPr>
            <w:tcW w:w="1530" w:type="dxa"/>
            <w:tcBorders>
              <w:top w:val="nil"/>
              <w:left w:val="nil"/>
              <w:bottom w:val="nil"/>
              <w:right w:val="nil"/>
            </w:tcBorders>
            <w:shd w:val="clear" w:color="auto" w:fill="auto"/>
            <w:noWrap/>
            <w:vAlign w:val="bottom"/>
            <w:hideMark/>
          </w:tcPr>
          <w:p w14:paraId="32202144"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[0.388,0.406]</w:t>
            </w:r>
          </w:p>
        </w:tc>
        <w:tc>
          <w:tcPr>
            <w:tcW w:w="1440" w:type="dxa"/>
            <w:tcBorders>
              <w:top w:val="nil"/>
              <w:left w:val="nil"/>
              <w:bottom w:val="nil"/>
              <w:right w:val="nil"/>
            </w:tcBorders>
            <w:shd w:val="clear" w:color="auto" w:fill="auto"/>
            <w:noWrap/>
            <w:vAlign w:val="bottom"/>
            <w:hideMark/>
          </w:tcPr>
          <w:p w14:paraId="15A9055F"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[-0.014,-0.013]</w:t>
            </w:r>
          </w:p>
        </w:tc>
        <w:tc>
          <w:tcPr>
            <w:tcW w:w="1440" w:type="dxa"/>
            <w:tcBorders>
              <w:top w:val="nil"/>
              <w:left w:val="nil"/>
              <w:bottom w:val="nil"/>
              <w:right w:val="nil"/>
            </w:tcBorders>
            <w:shd w:val="clear" w:color="auto" w:fill="auto"/>
            <w:noWrap/>
            <w:vAlign w:val="bottom"/>
            <w:hideMark/>
          </w:tcPr>
          <w:p w14:paraId="103FD4EC"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[0.005,0.006]</w:t>
            </w:r>
          </w:p>
        </w:tc>
        <w:tc>
          <w:tcPr>
            <w:tcW w:w="1440" w:type="dxa"/>
            <w:tcBorders>
              <w:top w:val="nil"/>
              <w:left w:val="nil"/>
              <w:bottom w:val="nil"/>
              <w:right w:val="nil"/>
            </w:tcBorders>
            <w:shd w:val="clear" w:color="auto" w:fill="auto"/>
            <w:noWrap/>
            <w:vAlign w:val="bottom"/>
            <w:hideMark/>
          </w:tcPr>
          <w:p w14:paraId="7BD8192E"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[0.007,0.008]</w:t>
            </w:r>
          </w:p>
        </w:tc>
        <w:tc>
          <w:tcPr>
            <w:tcW w:w="1440" w:type="dxa"/>
            <w:tcBorders>
              <w:top w:val="nil"/>
              <w:left w:val="nil"/>
              <w:bottom w:val="nil"/>
              <w:right w:val="nil"/>
            </w:tcBorders>
            <w:shd w:val="clear" w:color="auto" w:fill="auto"/>
            <w:noWrap/>
            <w:vAlign w:val="bottom"/>
            <w:hideMark/>
          </w:tcPr>
          <w:p w14:paraId="2C4AE370"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[0.009,0.010]</w:t>
            </w:r>
          </w:p>
        </w:tc>
        <w:tc>
          <w:tcPr>
            <w:tcW w:w="1440" w:type="dxa"/>
            <w:tcBorders>
              <w:top w:val="nil"/>
              <w:left w:val="nil"/>
              <w:bottom w:val="nil"/>
              <w:right w:val="nil"/>
            </w:tcBorders>
            <w:shd w:val="clear" w:color="auto" w:fill="auto"/>
            <w:noWrap/>
            <w:vAlign w:val="bottom"/>
            <w:hideMark/>
          </w:tcPr>
          <w:p w14:paraId="5003FE8D"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[-0.016,-0.016]</w:t>
            </w:r>
          </w:p>
        </w:tc>
      </w:tr>
      <w:tr w:rsidR="00025200" w:rsidRPr="004E2853" w14:paraId="0F3C6874" w14:textId="77777777" w:rsidTr="002218B1">
        <w:trPr>
          <w:gridAfter w:val="1"/>
          <w:wAfter w:w="576" w:type="dxa"/>
          <w:trHeight w:val="20"/>
        </w:trPr>
        <w:tc>
          <w:tcPr>
            <w:tcW w:w="2160" w:type="dxa"/>
            <w:tcBorders>
              <w:top w:val="nil"/>
              <w:left w:val="nil"/>
              <w:bottom w:val="nil"/>
              <w:right w:val="nil"/>
            </w:tcBorders>
            <w:shd w:val="clear" w:color="auto" w:fill="auto"/>
            <w:noWrap/>
            <w:hideMark/>
          </w:tcPr>
          <w:p w14:paraId="4B995A3B" w14:textId="29030A10" w:rsidR="00BB39C9" w:rsidRPr="004E2853" w:rsidRDefault="00BB39C9" w:rsidP="00BB39C9">
            <w:pPr>
              <w:rPr>
                <w:rFonts w:ascii="Arial" w:hAnsi="Arial" w:cs="Arial"/>
                <w:color w:val="000000"/>
                <w:sz w:val="18"/>
                <w:szCs w:val="18"/>
              </w:rPr>
            </w:pPr>
            <w:r w:rsidRPr="004E2853">
              <w:rPr>
                <w:rFonts w:ascii="Arial" w:hAnsi="Arial" w:cs="Arial"/>
                <w:color w:val="000000"/>
                <w:sz w:val="18"/>
                <w:szCs w:val="18"/>
              </w:rPr>
              <w:t>Parity (ref</w:t>
            </w:r>
            <w:r w:rsidR="00025200" w:rsidRPr="004E2853">
              <w:rPr>
                <w:rFonts w:ascii="Arial" w:hAnsi="Arial" w:cs="Arial"/>
                <w:color w:val="000000"/>
                <w:sz w:val="18"/>
                <w:szCs w:val="18"/>
              </w:rPr>
              <w:t>=</w:t>
            </w:r>
            <w:r w:rsidRPr="004E2853">
              <w:rPr>
                <w:rFonts w:ascii="Arial" w:hAnsi="Arial" w:cs="Arial"/>
                <w:color w:val="000000"/>
                <w:sz w:val="18"/>
                <w:szCs w:val="18"/>
              </w:rPr>
              <w:t>first birth)</w:t>
            </w:r>
          </w:p>
        </w:tc>
        <w:tc>
          <w:tcPr>
            <w:tcW w:w="1530" w:type="dxa"/>
            <w:tcBorders>
              <w:top w:val="nil"/>
              <w:left w:val="nil"/>
              <w:bottom w:val="nil"/>
              <w:right w:val="nil"/>
            </w:tcBorders>
            <w:shd w:val="clear" w:color="auto" w:fill="auto"/>
            <w:noWrap/>
            <w:vAlign w:val="bottom"/>
            <w:hideMark/>
          </w:tcPr>
          <w:p w14:paraId="55276A3D" w14:textId="77777777" w:rsidR="00BB39C9" w:rsidRPr="004E2853" w:rsidRDefault="00BB39C9">
            <w:pPr>
              <w:rPr>
                <w:rFonts w:ascii="Arial" w:hAnsi="Arial" w:cs="Arial"/>
                <w:color w:val="000000"/>
                <w:sz w:val="18"/>
                <w:szCs w:val="18"/>
              </w:rPr>
            </w:pPr>
          </w:p>
        </w:tc>
        <w:tc>
          <w:tcPr>
            <w:tcW w:w="1440" w:type="dxa"/>
            <w:tcBorders>
              <w:top w:val="nil"/>
              <w:left w:val="nil"/>
              <w:bottom w:val="nil"/>
              <w:right w:val="nil"/>
            </w:tcBorders>
            <w:shd w:val="clear" w:color="auto" w:fill="auto"/>
            <w:noWrap/>
            <w:vAlign w:val="bottom"/>
            <w:hideMark/>
          </w:tcPr>
          <w:p w14:paraId="64239A13" w14:textId="77777777" w:rsidR="00BB39C9" w:rsidRPr="004E2853" w:rsidRDefault="00BB39C9">
            <w:pPr>
              <w:jc w:val="center"/>
              <w:rPr>
                <w:sz w:val="18"/>
                <w:szCs w:val="18"/>
              </w:rPr>
            </w:pPr>
          </w:p>
        </w:tc>
        <w:tc>
          <w:tcPr>
            <w:tcW w:w="1440" w:type="dxa"/>
            <w:tcBorders>
              <w:top w:val="nil"/>
              <w:left w:val="nil"/>
              <w:bottom w:val="nil"/>
              <w:right w:val="nil"/>
            </w:tcBorders>
            <w:shd w:val="clear" w:color="auto" w:fill="auto"/>
            <w:noWrap/>
            <w:vAlign w:val="bottom"/>
            <w:hideMark/>
          </w:tcPr>
          <w:p w14:paraId="44DAA4AB" w14:textId="77777777" w:rsidR="00BB39C9" w:rsidRPr="004E2853" w:rsidRDefault="00BB39C9">
            <w:pPr>
              <w:jc w:val="center"/>
              <w:rPr>
                <w:sz w:val="18"/>
                <w:szCs w:val="18"/>
              </w:rPr>
            </w:pPr>
          </w:p>
        </w:tc>
        <w:tc>
          <w:tcPr>
            <w:tcW w:w="1440" w:type="dxa"/>
            <w:tcBorders>
              <w:top w:val="nil"/>
              <w:left w:val="nil"/>
              <w:bottom w:val="nil"/>
              <w:right w:val="nil"/>
            </w:tcBorders>
            <w:shd w:val="clear" w:color="auto" w:fill="auto"/>
            <w:noWrap/>
            <w:vAlign w:val="bottom"/>
            <w:hideMark/>
          </w:tcPr>
          <w:p w14:paraId="12EBFED4" w14:textId="77777777" w:rsidR="00BB39C9" w:rsidRPr="004E2853" w:rsidRDefault="00BB39C9">
            <w:pPr>
              <w:jc w:val="center"/>
              <w:rPr>
                <w:sz w:val="18"/>
                <w:szCs w:val="18"/>
              </w:rPr>
            </w:pPr>
          </w:p>
        </w:tc>
        <w:tc>
          <w:tcPr>
            <w:tcW w:w="1440" w:type="dxa"/>
            <w:tcBorders>
              <w:top w:val="nil"/>
              <w:left w:val="nil"/>
              <w:bottom w:val="nil"/>
              <w:right w:val="nil"/>
            </w:tcBorders>
            <w:shd w:val="clear" w:color="auto" w:fill="auto"/>
            <w:noWrap/>
            <w:vAlign w:val="bottom"/>
            <w:hideMark/>
          </w:tcPr>
          <w:p w14:paraId="029BC22B" w14:textId="77777777" w:rsidR="00BB39C9" w:rsidRPr="004E2853" w:rsidRDefault="00BB39C9">
            <w:pPr>
              <w:jc w:val="center"/>
              <w:rPr>
                <w:sz w:val="18"/>
                <w:szCs w:val="18"/>
              </w:rPr>
            </w:pPr>
          </w:p>
        </w:tc>
        <w:tc>
          <w:tcPr>
            <w:tcW w:w="1440" w:type="dxa"/>
            <w:tcBorders>
              <w:top w:val="nil"/>
              <w:left w:val="nil"/>
              <w:bottom w:val="nil"/>
              <w:right w:val="nil"/>
            </w:tcBorders>
            <w:shd w:val="clear" w:color="auto" w:fill="auto"/>
            <w:noWrap/>
            <w:vAlign w:val="bottom"/>
            <w:hideMark/>
          </w:tcPr>
          <w:p w14:paraId="2C74931C" w14:textId="77777777" w:rsidR="00BB39C9" w:rsidRPr="004E2853" w:rsidRDefault="00BB39C9">
            <w:pPr>
              <w:jc w:val="center"/>
              <w:rPr>
                <w:sz w:val="18"/>
                <w:szCs w:val="18"/>
              </w:rPr>
            </w:pPr>
          </w:p>
        </w:tc>
      </w:tr>
      <w:tr w:rsidR="00025200" w:rsidRPr="004E2853" w14:paraId="75C66F5B" w14:textId="77777777" w:rsidTr="002218B1">
        <w:trPr>
          <w:gridAfter w:val="1"/>
          <w:wAfter w:w="576" w:type="dxa"/>
          <w:trHeight w:val="20"/>
        </w:trPr>
        <w:tc>
          <w:tcPr>
            <w:tcW w:w="2160" w:type="dxa"/>
            <w:vMerge w:val="restart"/>
            <w:tcBorders>
              <w:top w:val="nil"/>
              <w:left w:val="nil"/>
              <w:bottom w:val="nil"/>
              <w:right w:val="nil"/>
            </w:tcBorders>
            <w:shd w:val="clear" w:color="auto" w:fill="auto"/>
            <w:noWrap/>
            <w:hideMark/>
          </w:tcPr>
          <w:p w14:paraId="1B7FD501" w14:textId="77777777" w:rsidR="00BB39C9" w:rsidRPr="004E2853" w:rsidRDefault="00BB39C9" w:rsidP="00BB39C9">
            <w:pPr>
              <w:ind w:firstLineChars="100" w:firstLine="180"/>
              <w:rPr>
                <w:rFonts w:ascii="Arial" w:hAnsi="Arial" w:cs="Arial"/>
                <w:color w:val="000000"/>
                <w:sz w:val="18"/>
                <w:szCs w:val="18"/>
              </w:rPr>
            </w:pPr>
            <w:r w:rsidRPr="004E2853">
              <w:rPr>
                <w:rFonts w:ascii="Arial" w:hAnsi="Arial" w:cs="Arial"/>
                <w:color w:val="000000"/>
                <w:sz w:val="18"/>
                <w:szCs w:val="18"/>
              </w:rPr>
              <w:t>Second birth</w:t>
            </w:r>
          </w:p>
        </w:tc>
        <w:tc>
          <w:tcPr>
            <w:tcW w:w="1530" w:type="dxa"/>
            <w:tcBorders>
              <w:top w:val="nil"/>
              <w:left w:val="nil"/>
              <w:bottom w:val="nil"/>
              <w:right w:val="nil"/>
            </w:tcBorders>
            <w:shd w:val="clear" w:color="auto" w:fill="auto"/>
            <w:noWrap/>
            <w:vAlign w:val="bottom"/>
            <w:hideMark/>
          </w:tcPr>
          <w:p w14:paraId="121B36F2"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0.725</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3917A281"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-0.037</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5AC1F85E"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0.029</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5E620F41"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0.008</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72F01A09"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0.002</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0023BAEB"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-0.032</w:t>
            </w:r>
            <w:r w:rsidRPr="004E2853">
              <w:rPr>
                <w:rFonts w:ascii="Arial" w:hAnsi="Arial" w:cs="Arial"/>
                <w:color w:val="000000"/>
                <w:sz w:val="18"/>
                <w:szCs w:val="18"/>
                <w:vertAlign w:val="superscript"/>
              </w:rPr>
              <w:t>***</w:t>
            </w:r>
          </w:p>
        </w:tc>
      </w:tr>
      <w:tr w:rsidR="00025200" w:rsidRPr="004E2853" w14:paraId="59323B25" w14:textId="77777777" w:rsidTr="002218B1">
        <w:trPr>
          <w:gridAfter w:val="1"/>
          <w:wAfter w:w="576" w:type="dxa"/>
          <w:trHeight w:val="20"/>
        </w:trPr>
        <w:tc>
          <w:tcPr>
            <w:tcW w:w="2160" w:type="dxa"/>
            <w:vMerge/>
            <w:tcBorders>
              <w:top w:val="nil"/>
              <w:left w:val="nil"/>
              <w:bottom w:val="nil"/>
              <w:right w:val="nil"/>
            </w:tcBorders>
            <w:hideMark/>
          </w:tcPr>
          <w:p w14:paraId="58AAF9C8" w14:textId="77777777" w:rsidR="00BB39C9" w:rsidRPr="004E2853" w:rsidRDefault="00BB39C9" w:rsidP="00BB39C9">
            <w:pPr>
              <w:rPr>
                <w:rFonts w:ascii="Arial" w:hAnsi="Arial" w:cs="Arial"/>
                <w:color w:val="000000"/>
                <w:sz w:val="18"/>
                <w:szCs w:val="18"/>
              </w:rPr>
            </w:pPr>
          </w:p>
        </w:tc>
        <w:tc>
          <w:tcPr>
            <w:tcW w:w="1530" w:type="dxa"/>
            <w:tcBorders>
              <w:top w:val="nil"/>
              <w:left w:val="nil"/>
              <w:bottom w:val="nil"/>
              <w:right w:val="nil"/>
            </w:tcBorders>
            <w:shd w:val="clear" w:color="auto" w:fill="auto"/>
            <w:noWrap/>
            <w:vAlign w:val="bottom"/>
            <w:hideMark/>
          </w:tcPr>
          <w:p w14:paraId="323D6252"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[0.718,0.732]</w:t>
            </w:r>
          </w:p>
        </w:tc>
        <w:tc>
          <w:tcPr>
            <w:tcW w:w="1440" w:type="dxa"/>
            <w:tcBorders>
              <w:top w:val="nil"/>
              <w:left w:val="nil"/>
              <w:bottom w:val="nil"/>
              <w:right w:val="nil"/>
            </w:tcBorders>
            <w:shd w:val="clear" w:color="auto" w:fill="auto"/>
            <w:noWrap/>
            <w:vAlign w:val="bottom"/>
            <w:hideMark/>
          </w:tcPr>
          <w:p w14:paraId="77F1B682"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[-0.037,-0.037]</w:t>
            </w:r>
          </w:p>
        </w:tc>
        <w:tc>
          <w:tcPr>
            <w:tcW w:w="1440" w:type="dxa"/>
            <w:tcBorders>
              <w:top w:val="nil"/>
              <w:left w:val="nil"/>
              <w:bottom w:val="nil"/>
              <w:right w:val="nil"/>
            </w:tcBorders>
            <w:shd w:val="clear" w:color="auto" w:fill="auto"/>
            <w:noWrap/>
            <w:vAlign w:val="bottom"/>
            <w:hideMark/>
          </w:tcPr>
          <w:p w14:paraId="0EF38773"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[0.029,0.029]</w:t>
            </w:r>
          </w:p>
        </w:tc>
        <w:tc>
          <w:tcPr>
            <w:tcW w:w="1440" w:type="dxa"/>
            <w:tcBorders>
              <w:top w:val="nil"/>
              <w:left w:val="nil"/>
              <w:bottom w:val="nil"/>
              <w:right w:val="nil"/>
            </w:tcBorders>
            <w:shd w:val="clear" w:color="auto" w:fill="auto"/>
            <w:noWrap/>
            <w:vAlign w:val="bottom"/>
            <w:hideMark/>
          </w:tcPr>
          <w:p w14:paraId="2FA001BF"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[0.007,0.009]</w:t>
            </w:r>
          </w:p>
        </w:tc>
        <w:tc>
          <w:tcPr>
            <w:tcW w:w="1440" w:type="dxa"/>
            <w:tcBorders>
              <w:top w:val="nil"/>
              <w:left w:val="nil"/>
              <w:bottom w:val="nil"/>
              <w:right w:val="nil"/>
            </w:tcBorders>
            <w:shd w:val="clear" w:color="auto" w:fill="auto"/>
            <w:noWrap/>
            <w:vAlign w:val="bottom"/>
            <w:hideMark/>
          </w:tcPr>
          <w:p w14:paraId="286FD45B"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[0.001,0.002]</w:t>
            </w:r>
          </w:p>
        </w:tc>
        <w:tc>
          <w:tcPr>
            <w:tcW w:w="1440" w:type="dxa"/>
            <w:tcBorders>
              <w:top w:val="nil"/>
              <w:left w:val="nil"/>
              <w:bottom w:val="nil"/>
              <w:right w:val="nil"/>
            </w:tcBorders>
            <w:shd w:val="clear" w:color="auto" w:fill="auto"/>
            <w:noWrap/>
            <w:vAlign w:val="bottom"/>
            <w:hideMark/>
          </w:tcPr>
          <w:p w14:paraId="653263F9"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[-0.033,-0.032]</w:t>
            </w:r>
          </w:p>
        </w:tc>
      </w:tr>
      <w:tr w:rsidR="00025200" w:rsidRPr="004E2853" w14:paraId="6E5A752C" w14:textId="77777777" w:rsidTr="002218B1">
        <w:trPr>
          <w:gridAfter w:val="1"/>
          <w:wAfter w:w="576" w:type="dxa"/>
          <w:trHeight w:val="20"/>
        </w:trPr>
        <w:tc>
          <w:tcPr>
            <w:tcW w:w="2160" w:type="dxa"/>
            <w:vMerge w:val="restart"/>
            <w:tcBorders>
              <w:top w:val="nil"/>
              <w:left w:val="nil"/>
              <w:bottom w:val="nil"/>
              <w:right w:val="nil"/>
            </w:tcBorders>
            <w:shd w:val="clear" w:color="auto" w:fill="auto"/>
            <w:noWrap/>
            <w:hideMark/>
          </w:tcPr>
          <w:p w14:paraId="7713E5A9" w14:textId="77777777" w:rsidR="00BB39C9" w:rsidRPr="004E2853" w:rsidRDefault="00BB39C9" w:rsidP="00BB39C9">
            <w:pPr>
              <w:ind w:firstLineChars="100" w:firstLine="180"/>
              <w:rPr>
                <w:rFonts w:ascii="Arial" w:hAnsi="Arial" w:cs="Arial"/>
                <w:color w:val="000000"/>
                <w:sz w:val="18"/>
                <w:szCs w:val="18"/>
              </w:rPr>
            </w:pPr>
            <w:r w:rsidRPr="004E2853">
              <w:rPr>
                <w:rFonts w:ascii="Arial" w:hAnsi="Arial" w:cs="Arial"/>
                <w:color w:val="000000"/>
                <w:sz w:val="18"/>
                <w:szCs w:val="18"/>
              </w:rPr>
              <w:t>Third or higher birth</w:t>
            </w:r>
          </w:p>
        </w:tc>
        <w:tc>
          <w:tcPr>
            <w:tcW w:w="1530" w:type="dxa"/>
            <w:tcBorders>
              <w:top w:val="nil"/>
              <w:left w:val="nil"/>
              <w:bottom w:val="nil"/>
              <w:right w:val="nil"/>
            </w:tcBorders>
            <w:shd w:val="clear" w:color="auto" w:fill="auto"/>
            <w:noWrap/>
            <w:vAlign w:val="bottom"/>
            <w:hideMark/>
          </w:tcPr>
          <w:p w14:paraId="515E81D3"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0.862</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31A75831"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-0.043</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7BEF0FC9"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0.046</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1D3D96DF"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-0.003</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5ED19E6F"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0.009</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2AB7F5B9"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-0.042</w:t>
            </w:r>
            <w:r w:rsidRPr="004E2853">
              <w:rPr>
                <w:rFonts w:ascii="Arial" w:hAnsi="Arial" w:cs="Arial"/>
                <w:color w:val="000000"/>
                <w:sz w:val="18"/>
                <w:szCs w:val="18"/>
                <w:vertAlign w:val="superscript"/>
              </w:rPr>
              <w:t>***</w:t>
            </w:r>
          </w:p>
        </w:tc>
      </w:tr>
      <w:tr w:rsidR="00025200" w:rsidRPr="004E2853" w14:paraId="723223F2" w14:textId="77777777" w:rsidTr="002218B1">
        <w:trPr>
          <w:gridAfter w:val="1"/>
          <w:wAfter w:w="576" w:type="dxa"/>
          <w:trHeight w:val="20"/>
        </w:trPr>
        <w:tc>
          <w:tcPr>
            <w:tcW w:w="2160" w:type="dxa"/>
            <w:vMerge/>
            <w:tcBorders>
              <w:top w:val="nil"/>
              <w:left w:val="nil"/>
              <w:bottom w:val="nil"/>
              <w:right w:val="nil"/>
            </w:tcBorders>
            <w:hideMark/>
          </w:tcPr>
          <w:p w14:paraId="1F4E1751" w14:textId="77777777" w:rsidR="00BB39C9" w:rsidRPr="004E2853" w:rsidRDefault="00BB39C9" w:rsidP="00BB39C9">
            <w:pPr>
              <w:rPr>
                <w:rFonts w:ascii="Arial" w:hAnsi="Arial" w:cs="Arial"/>
                <w:color w:val="000000"/>
                <w:sz w:val="18"/>
                <w:szCs w:val="18"/>
              </w:rPr>
            </w:pPr>
          </w:p>
        </w:tc>
        <w:tc>
          <w:tcPr>
            <w:tcW w:w="1530" w:type="dxa"/>
            <w:tcBorders>
              <w:top w:val="nil"/>
              <w:left w:val="nil"/>
              <w:bottom w:val="nil"/>
              <w:right w:val="nil"/>
            </w:tcBorders>
            <w:shd w:val="clear" w:color="auto" w:fill="auto"/>
            <w:noWrap/>
            <w:vAlign w:val="bottom"/>
            <w:hideMark/>
          </w:tcPr>
          <w:p w14:paraId="11E13B7F"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[0.854,0.870]</w:t>
            </w:r>
          </w:p>
        </w:tc>
        <w:tc>
          <w:tcPr>
            <w:tcW w:w="1440" w:type="dxa"/>
            <w:tcBorders>
              <w:top w:val="nil"/>
              <w:left w:val="nil"/>
              <w:bottom w:val="nil"/>
              <w:right w:val="nil"/>
            </w:tcBorders>
            <w:shd w:val="clear" w:color="auto" w:fill="auto"/>
            <w:noWrap/>
            <w:vAlign w:val="bottom"/>
            <w:hideMark/>
          </w:tcPr>
          <w:p w14:paraId="08B42C0A"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[-0.043,-0.042]</w:t>
            </w:r>
          </w:p>
        </w:tc>
        <w:tc>
          <w:tcPr>
            <w:tcW w:w="1440" w:type="dxa"/>
            <w:tcBorders>
              <w:top w:val="nil"/>
              <w:left w:val="nil"/>
              <w:bottom w:val="nil"/>
              <w:right w:val="nil"/>
            </w:tcBorders>
            <w:shd w:val="clear" w:color="auto" w:fill="auto"/>
            <w:noWrap/>
            <w:vAlign w:val="bottom"/>
            <w:hideMark/>
          </w:tcPr>
          <w:p w14:paraId="030A3841"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[0.045,0.046]</w:t>
            </w:r>
          </w:p>
        </w:tc>
        <w:tc>
          <w:tcPr>
            <w:tcW w:w="1440" w:type="dxa"/>
            <w:tcBorders>
              <w:top w:val="nil"/>
              <w:left w:val="nil"/>
              <w:bottom w:val="nil"/>
              <w:right w:val="nil"/>
            </w:tcBorders>
            <w:shd w:val="clear" w:color="auto" w:fill="auto"/>
            <w:noWrap/>
            <w:vAlign w:val="bottom"/>
            <w:hideMark/>
          </w:tcPr>
          <w:p w14:paraId="3A1CC711"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[-0.004,-0.003]</w:t>
            </w:r>
          </w:p>
        </w:tc>
        <w:tc>
          <w:tcPr>
            <w:tcW w:w="1440" w:type="dxa"/>
            <w:tcBorders>
              <w:top w:val="nil"/>
              <w:left w:val="nil"/>
              <w:bottom w:val="nil"/>
              <w:right w:val="nil"/>
            </w:tcBorders>
            <w:shd w:val="clear" w:color="auto" w:fill="auto"/>
            <w:noWrap/>
            <w:vAlign w:val="bottom"/>
            <w:hideMark/>
          </w:tcPr>
          <w:p w14:paraId="7D0DAC85"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[0.008,0.009]</w:t>
            </w:r>
          </w:p>
        </w:tc>
        <w:tc>
          <w:tcPr>
            <w:tcW w:w="1440" w:type="dxa"/>
            <w:tcBorders>
              <w:top w:val="nil"/>
              <w:left w:val="nil"/>
              <w:bottom w:val="nil"/>
              <w:right w:val="nil"/>
            </w:tcBorders>
            <w:shd w:val="clear" w:color="auto" w:fill="auto"/>
            <w:noWrap/>
            <w:vAlign w:val="bottom"/>
            <w:hideMark/>
          </w:tcPr>
          <w:p w14:paraId="10A056E4"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[-0.042,-0.042]</w:t>
            </w:r>
          </w:p>
        </w:tc>
      </w:tr>
      <w:tr w:rsidR="00025200" w:rsidRPr="004E2853" w14:paraId="0591F103" w14:textId="77777777" w:rsidTr="002218B1">
        <w:trPr>
          <w:gridAfter w:val="1"/>
          <w:wAfter w:w="576" w:type="dxa"/>
          <w:trHeight w:val="20"/>
        </w:trPr>
        <w:tc>
          <w:tcPr>
            <w:tcW w:w="2160" w:type="dxa"/>
            <w:vMerge w:val="restart"/>
            <w:tcBorders>
              <w:top w:val="nil"/>
              <w:left w:val="nil"/>
              <w:bottom w:val="nil"/>
              <w:right w:val="nil"/>
            </w:tcBorders>
            <w:shd w:val="clear" w:color="auto" w:fill="auto"/>
            <w:noWrap/>
            <w:hideMark/>
          </w:tcPr>
          <w:p w14:paraId="0899E0D2" w14:textId="77777777" w:rsidR="00BB39C9" w:rsidRPr="004E2853" w:rsidRDefault="00BB39C9" w:rsidP="00BB39C9">
            <w:pPr>
              <w:rPr>
                <w:rFonts w:ascii="Arial" w:hAnsi="Arial" w:cs="Arial"/>
                <w:color w:val="000000"/>
                <w:sz w:val="18"/>
                <w:szCs w:val="18"/>
              </w:rPr>
            </w:pPr>
            <w:r w:rsidRPr="004E2853">
              <w:rPr>
                <w:rFonts w:ascii="Arial" w:hAnsi="Arial" w:cs="Arial"/>
                <w:color w:val="000000"/>
                <w:sz w:val="18"/>
                <w:szCs w:val="18"/>
              </w:rPr>
              <w:t>Birth rate(log)</w:t>
            </w:r>
          </w:p>
        </w:tc>
        <w:tc>
          <w:tcPr>
            <w:tcW w:w="1530" w:type="dxa"/>
            <w:tcBorders>
              <w:top w:val="nil"/>
              <w:left w:val="nil"/>
              <w:bottom w:val="nil"/>
              <w:right w:val="nil"/>
            </w:tcBorders>
            <w:shd w:val="clear" w:color="auto" w:fill="auto"/>
            <w:noWrap/>
            <w:vAlign w:val="bottom"/>
            <w:hideMark/>
          </w:tcPr>
          <w:p w14:paraId="12528CF7"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-0.923</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03F6ADCF"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-0.001</w:t>
            </w:r>
          </w:p>
        </w:tc>
        <w:tc>
          <w:tcPr>
            <w:tcW w:w="1440" w:type="dxa"/>
            <w:tcBorders>
              <w:top w:val="nil"/>
              <w:left w:val="nil"/>
              <w:bottom w:val="nil"/>
              <w:right w:val="nil"/>
            </w:tcBorders>
            <w:shd w:val="clear" w:color="auto" w:fill="auto"/>
            <w:noWrap/>
            <w:vAlign w:val="bottom"/>
            <w:hideMark/>
          </w:tcPr>
          <w:p w14:paraId="29769C04"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-0.015</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464C19AC"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0.017</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7081BB9D"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-0.038</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3C0777F6"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-0.025</w:t>
            </w:r>
            <w:r w:rsidRPr="004E2853">
              <w:rPr>
                <w:rFonts w:ascii="Arial" w:hAnsi="Arial" w:cs="Arial"/>
                <w:color w:val="000000"/>
                <w:sz w:val="18"/>
                <w:szCs w:val="18"/>
                <w:vertAlign w:val="superscript"/>
              </w:rPr>
              <w:t>***</w:t>
            </w:r>
          </w:p>
        </w:tc>
      </w:tr>
      <w:tr w:rsidR="00025200" w:rsidRPr="004E2853" w14:paraId="2CCF72FE" w14:textId="77777777" w:rsidTr="002218B1">
        <w:trPr>
          <w:gridAfter w:val="1"/>
          <w:wAfter w:w="576" w:type="dxa"/>
          <w:trHeight w:val="20"/>
        </w:trPr>
        <w:tc>
          <w:tcPr>
            <w:tcW w:w="2160" w:type="dxa"/>
            <w:vMerge/>
            <w:tcBorders>
              <w:top w:val="nil"/>
              <w:left w:val="nil"/>
              <w:bottom w:val="nil"/>
              <w:right w:val="nil"/>
            </w:tcBorders>
            <w:hideMark/>
          </w:tcPr>
          <w:p w14:paraId="4AD7AEFF" w14:textId="77777777" w:rsidR="00BB39C9" w:rsidRPr="004E2853" w:rsidRDefault="00BB39C9" w:rsidP="00BB39C9">
            <w:pPr>
              <w:rPr>
                <w:rFonts w:ascii="Arial" w:hAnsi="Arial" w:cs="Arial"/>
                <w:color w:val="000000"/>
                <w:sz w:val="18"/>
                <w:szCs w:val="18"/>
              </w:rPr>
            </w:pPr>
          </w:p>
        </w:tc>
        <w:tc>
          <w:tcPr>
            <w:tcW w:w="1530" w:type="dxa"/>
            <w:tcBorders>
              <w:top w:val="nil"/>
              <w:left w:val="nil"/>
              <w:bottom w:val="nil"/>
              <w:right w:val="nil"/>
            </w:tcBorders>
            <w:shd w:val="clear" w:color="auto" w:fill="auto"/>
            <w:noWrap/>
            <w:vAlign w:val="bottom"/>
            <w:hideMark/>
          </w:tcPr>
          <w:p w14:paraId="4F613B3C"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[-0.960,-0.885]</w:t>
            </w:r>
          </w:p>
        </w:tc>
        <w:tc>
          <w:tcPr>
            <w:tcW w:w="1440" w:type="dxa"/>
            <w:tcBorders>
              <w:top w:val="nil"/>
              <w:left w:val="nil"/>
              <w:bottom w:val="nil"/>
              <w:right w:val="nil"/>
            </w:tcBorders>
            <w:shd w:val="clear" w:color="auto" w:fill="auto"/>
            <w:noWrap/>
            <w:vAlign w:val="bottom"/>
            <w:hideMark/>
          </w:tcPr>
          <w:p w14:paraId="602A5B64"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[-0.004,0.001]</w:t>
            </w:r>
          </w:p>
        </w:tc>
        <w:tc>
          <w:tcPr>
            <w:tcW w:w="1440" w:type="dxa"/>
            <w:tcBorders>
              <w:top w:val="nil"/>
              <w:left w:val="nil"/>
              <w:bottom w:val="nil"/>
              <w:right w:val="nil"/>
            </w:tcBorders>
            <w:shd w:val="clear" w:color="auto" w:fill="auto"/>
            <w:noWrap/>
            <w:vAlign w:val="bottom"/>
            <w:hideMark/>
          </w:tcPr>
          <w:p w14:paraId="5400E910"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[-0.018,-0.013]</w:t>
            </w:r>
          </w:p>
        </w:tc>
        <w:tc>
          <w:tcPr>
            <w:tcW w:w="1440" w:type="dxa"/>
            <w:tcBorders>
              <w:top w:val="nil"/>
              <w:left w:val="nil"/>
              <w:bottom w:val="nil"/>
              <w:right w:val="nil"/>
            </w:tcBorders>
            <w:shd w:val="clear" w:color="auto" w:fill="auto"/>
            <w:noWrap/>
            <w:vAlign w:val="bottom"/>
            <w:hideMark/>
          </w:tcPr>
          <w:p w14:paraId="41F9ED91"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[0.014,0.020]</w:t>
            </w:r>
          </w:p>
        </w:tc>
        <w:tc>
          <w:tcPr>
            <w:tcW w:w="1440" w:type="dxa"/>
            <w:tcBorders>
              <w:top w:val="nil"/>
              <w:left w:val="nil"/>
              <w:bottom w:val="nil"/>
              <w:right w:val="nil"/>
            </w:tcBorders>
            <w:shd w:val="clear" w:color="auto" w:fill="auto"/>
            <w:noWrap/>
            <w:vAlign w:val="bottom"/>
            <w:hideMark/>
          </w:tcPr>
          <w:p w14:paraId="2C1BBCF4"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[-0.040,-0.037]</w:t>
            </w:r>
          </w:p>
        </w:tc>
        <w:tc>
          <w:tcPr>
            <w:tcW w:w="1440" w:type="dxa"/>
            <w:tcBorders>
              <w:top w:val="nil"/>
              <w:left w:val="nil"/>
              <w:bottom w:val="nil"/>
              <w:right w:val="nil"/>
            </w:tcBorders>
            <w:shd w:val="clear" w:color="auto" w:fill="auto"/>
            <w:noWrap/>
            <w:vAlign w:val="bottom"/>
            <w:hideMark/>
          </w:tcPr>
          <w:p w14:paraId="3F2C97FC"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[-0.026,-0.024]</w:t>
            </w:r>
          </w:p>
        </w:tc>
      </w:tr>
      <w:tr w:rsidR="00025200" w:rsidRPr="004E2853" w14:paraId="2763613F" w14:textId="77777777" w:rsidTr="002218B1">
        <w:trPr>
          <w:gridAfter w:val="1"/>
          <w:wAfter w:w="576" w:type="dxa"/>
          <w:trHeight w:val="20"/>
        </w:trPr>
        <w:tc>
          <w:tcPr>
            <w:tcW w:w="2160" w:type="dxa"/>
            <w:vMerge w:val="restart"/>
            <w:tcBorders>
              <w:top w:val="nil"/>
              <w:left w:val="nil"/>
              <w:bottom w:val="nil"/>
              <w:right w:val="nil"/>
            </w:tcBorders>
            <w:shd w:val="clear" w:color="auto" w:fill="auto"/>
            <w:noWrap/>
            <w:hideMark/>
          </w:tcPr>
          <w:p w14:paraId="2D7B48F3" w14:textId="77777777" w:rsidR="00BB39C9" w:rsidRPr="004E2853" w:rsidRDefault="00BB39C9" w:rsidP="00BB39C9">
            <w:pPr>
              <w:rPr>
                <w:rFonts w:ascii="Arial" w:hAnsi="Arial" w:cs="Arial"/>
                <w:color w:val="000000"/>
                <w:sz w:val="18"/>
                <w:szCs w:val="18"/>
              </w:rPr>
            </w:pPr>
            <w:r w:rsidRPr="004E2853">
              <w:rPr>
                <w:rFonts w:ascii="Arial" w:hAnsi="Arial" w:cs="Arial"/>
                <w:color w:val="000000"/>
                <w:sz w:val="18"/>
                <w:szCs w:val="18"/>
              </w:rPr>
              <w:t>Unemployment rate</w:t>
            </w:r>
          </w:p>
        </w:tc>
        <w:tc>
          <w:tcPr>
            <w:tcW w:w="1530" w:type="dxa"/>
            <w:tcBorders>
              <w:top w:val="nil"/>
              <w:left w:val="nil"/>
              <w:bottom w:val="nil"/>
              <w:right w:val="nil"/>
            </w:tcBorders>
            <w:shd w:val="clear" w:color="auto" w:fill="auto"/>
            <w:noWrap/>
            <w:vAlign w:val="bottom"/>
            <w:hideMark/>
          </w:tcPr>
          <w:p w14:paraId="6DAA6179"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-0.029</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3C6A5EEF"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0.001</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57C8D9F4"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-0.000</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4F5E4B65"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-0.001</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6F7F2ECA"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-0.001</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7D32F80F"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-0.001</w:t>
            </w:r>
            <w:r w:rsidRPr="004E2853">
              <w:rPr>
                <w:rFonts w:ascii="Arial" w:hAnsi="Arial" w:cs="Arial"/>
                <w:color w:val="000000"/>
                <w:sz w:val="18"/>
                <w:szCs w:val="18"/>
                <w:vertAlign w:val="superscript"/>
              </w:rPr>
              <w:t>***</w:t>
            </w:r>
          </w:p>
        </w:tc>
      </w:tr>
      <w:tr w:rsidR="00025200" w:rsidRPr="004E2853" w14:paraId="31111F3D" w14:textId="77777777" w:rsidTr="002218B1">
        <w:trPr>
          <w:gridAfter w:val="1"/>
          <w:wAfter w:w="576" w:type="dxa"/>
          <w:trHeight w:val="20"/>
        </w:trPr>
        <w:tc>
          <w:tcPr>
            <w:tcW w:w="2160" w:type="dxa"/>
            <w:vMerge/>
            <w:tcBorders>
              <w:top w:val="nil"/>
              <w:left w:val="nil"/>
              <w:bottom w:val="nil"/>
              <w:right w:val="nil"/>
            </w:tcBorders>
            <w:hideMark/>
          </w:tcPr>
          <w:p w14:paraId="2A9662DD" w14:textId="77777777" w:rsidR="00BB39C9" w:rsidRPr="004E2853" w:rsidRDefault="00BB39C9" w:rsidP="00BB39C9">
            <w:pPr>
              <w:rPr>
                <w:rFonts w:ascii="Arial" w:hAnsi="Arial" w:cs="Arial"/>
                <w:color w:val="000000"/>
                <w:sz w:val="18"/>
                <w:szCs w:val="18"/>
              </w:rPr>
            </w:pPr>
          </w:p>
        </w:tc>
        <w:tc>
          <w:tcPr>
            <w:tcW w:w="1530" w:type="dxa"/>
            <w:tcBorders>
              <w:top w:val="nil"/>
              <w:left w:val="nil"/>
              <w:bottom w:val="nil"/>
              <w:right w:val="nil"/>
            </w:tcBorders>
            <w:shd w:val="clear" w:color="auto" w:fill="auto"/>
            <w:noWrap/>
            <w:vAlign w:val="bottom"/>
            <w:hideMark/>
          </w:tcPr>
          <w:p w14:paraId="665B7BDE"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[-0.030,-0.027]</w:t>
            </w:r>
          </w:p>
        </w:tc>
        <w:tc>
          <w:tcPr>
            <w:tcW w:w="1440" w:type="dxa"/>
            <w:tcBorders>
              <w:top w:val="nil"/>
              <w:left w:val="nil"/>
              <w:bottom w:val="nil"/>
              <w:right w:val="nil"/>
            </w:tcBorders>
            <w:shd w:val="clear" w:color="auto" w:fill="auto"/>
            <w:noWrap/>
            <w:vAlign w:val="bottom"/>
            <w:hideMark/>
          </w:tcPr>
          <w:p w14:paraId="5EABEDB4"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[0.001,0.001]</w:t>
            </w:r>
          </w:p>
        </w:tc>
        <w:tc>
          <w:tcPr>
            <w:tcW w:w="1440" w:type="dxa"/>
            <w:tcBorders>
              <w:top w:val="nil"/>
              <w:left w:val="nil"/>
              <w:bottom w:val="nil"/>
              <w:right w:val="nil"/>
            </w:tcBorders>
            <w:shd w:val="clear" w:color="auto" w:fill="auto"/>
            <w:noWrap/>
            <w:vAlign w:val="bottom"/>
            <w:hideMark/>
          </w:tcPr>
          <w:p w14:paraId="04CB0E7A"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[-0.001,-0.000]</w:t>
            </w:r>
          </w:p>
        </w:tc>
        <w:tc>
          <w:tcPr>
            <w:tcW w:w="1440" w:type="dxa"/>
            <w:tcBorders>
              <w:top w:val="nil"/>
              <w:left w:val="nil"/>
              <w:bottom w:val="nil"/>
              <w:right w:val="nil"/>
            </w:tcBorders>
            <w:shd w:val="clear" w:color="auto" w:fill="auto"/>
            <w:noWrap/>
            <w:vAlign w:val="bottom"/>
            <w:hideMark/>
          </w:tcPr>
          <w:p w14:paraId="7CF70A00"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[-0.001,-0.001]</w:t>
            </w:r>
          </w:p>
        </w:tc>
        <w:tc>
          <w:tcPr>
            <w:tcW w:w="1440" w:type="dxa"/>
            <w:tcBorders>
              <w:top w:val="nil"/>
              <w:left w:val="nil"/>
              <w:bottom w:val="nil"/>
              <w:right w:val="nil"/>
            </w:tcBorders>
            <w:shd w:val="clear" w:color="auto" w:fill="auto"/>
            <w:noWrap/>
            <w:vAlign w:val="bottom"/>
            <w:hideMark/>
          </w:tcPr>
          <w:p w14:paraId="2C479E3C"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[-0.001,-0.001]</w:t>
            </w:r>
          </w:p>
        </w:tc>
        <w:tc>
          <w:tcPr>
            <w:tcW w:w="1440" w:type="dxa"/>
            <w:tcBorders>
              <w:top w:val="nil"/>
              <w:left w:val="nil"/>
              <w:bottom w:val="nil"/>
              <w:right w:val="nil"/>
            </w:tcBorders>
            <w:shd w:val="clear" w:color="auto" w:fill="auto"/>
            <w:noWrap/>
            <w:vAlign w:val="bottom"/>
            <w:hideMark/>
          </w:tcPr>
          <w:p w14:paraId="528E1D91"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[-0.001,-0.001]</w:t>
            </w:r>
          </w:p>
        </w:tc>
      </w:tr>
      <w:tr w:rsidR="00025200" w:rsidRPr="004E2853" w14:paraId="1423E2DB" w14:textId="77777777" w:rsidTr="002218B1">
        <w:trPr>
          <w:gridAfter w:val="1"/>
          <w:wAfter w:w="576" w:type="dxa"/>
          <w:trHeight w:val="20"/>
        </w:trPr>
        <w:tc>
          <w:tcPr>
            <w:tcW w:w="2160" w:type="dxa"/>
            <w:vMerge w:val="restart"/>
            <w:tcBorders>
              <w:top w:val="nil"/>
              <w:left w:val="nil"/>
              <w:bottom w:val="nil"/>
              <w:right w:val="nil"/>
            </w:tcBorders>
            <w:shd w:val="clear" w:color="auto" w:fill="auto"/>
            <w:noWrap/>
            <w:hideMark/>
          </w:tcPr>
          <w:p w14:paraId="78E83FA6" w14:textId="77777777" w:rsidR="00BB39C9" w:rsidRPr="004E2853" w:rsidRDefault="00BB39C9" w:rsidP="00BB39C9">
            <w:pPr>
              <w:rPr>
                <w:rFonts w:ascii="Arial" w:hAnsi="Arial" w:cs="Arial"/>
                <w:color w:val="000000"/>
                <w:sz w:val="18"/>
                <w:szCs w:val="18"/>
              </w:rPr>
            </w:pPr>
            <w:r w:rsidRPr="004E2853">
              <w:rPr>
                <w:rFonts w:ascii="Arial" w:hAnsi="Arial" w:cs="Arial"/>
                <w:color w:val="000000"/>
                <w:sz w:val="18"/>
                <w:szCs w:val="18"/>
              </w:rPr>
              <w:t>% SNAP/capita</w:t>
            </w:r>
          </w:p>
        </w:tc>
        <w:tc>
          <w:tcPr>
            <w:tcW w:w="1530" w:type="dxa"/>
            <w:tcBorders>
              <w:top w:val="nil"/>
              <w:left w:val="nil"/>
              <w:bottom w:val="nil"/>
              <w:right w:val="nil"/>
            </w:tcBorders>
            <w:shd w:val="clear" w:color="auto" w:fill="auto"/>
            <w:noWrap/>
            <w:vAlign w:val="bottom"/>
            <w:hideMark/>
          </w:tcPr>
          <w:p w14:paraId="00DEB101"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4.352</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7A3923D7"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-0.104</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7D20DCF3"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0.249</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70C94698"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-0.144</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74A619D8"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0.205</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233A7193"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-0.080</w:t>
            </w:r>
            <w:r w:rsidRPr="004E2853">
              <w:rPr>
                <w:rFonts w:ascii="Arial" w:hAnsi="Arial" w:cs="Arial"/>
                <w:color w:val="000000"/>
                <w:sz w:val="18"/>
                <w:szCs w:val="18"/>
                <w:vertAlign w:val="superscript"/>
              </w:rPr>
              <w:t>***</w:t>
            </w:r>
          </w:p>
        </w:tc>
      </w:tr>
      <w:tr w:rsidR="00025200" w:rsidRPr="004E2853" w14:paraId="480D7825" w14:textId="77777777" w:rsidTr="002218B1">
        <w:trPr>
          <w:gridAfter w:val="1"/>
          <w:wAfter w:w="576" w:type="dxa"/>
          <w:trHeight w:val="20"/>
        </w:trPr>
        <w:tc>
          <w:tcPr>
            <w:tcW w:w="2160" w:type="dxa"/>
            <w:vMerge/>
            <w:tcBorders>
              <w:top w:val="nil"/>
              <w:left w:val="nil"/>
              <w:bottom w:val="nil"/>
              <w:right w:val="nil"/>
            </w:tcBorders>
            <w:hideMark/>
          </w:tcPr>
          <w:p w14:paraId="3FC2A5DA" w14:textId="77777777" w:rsidR="00BB39C9" w:rsidRPr="004E2853" w:rsidRDefault="00BB39C9" w:rsidP="00BB39C9">
            <w:pPr>
              <w:rPr>
                <w:rFonts w:ascii="Arial" w:hAnsi="Arial" w:cs="Arial"/>
                <w:color w:val="000000"/>
                <w:sz w:val="18"/>
                <w:szCs w:val="18"/>
              </w:rPr>
            </w:pPr>
          </w:p>
        </w:tc>
        <w:tc>
          <w:tcPr>
            <w:tcW w:w="1530" w:type="dxa"/>
            <w:tcBorders>
              <w:top w:val="nil"/>
              <w:left w:val="nil"/>
              <w:bottom w:val="nil"/>
              <w:right w:val="nil"/>
            </w:tcBorders>
            <w:shd w:val="clear" w:color="auto" w:fill="auto"/>
            <w:noWrap/>
            <w:vAlign w:val="bottom"/>
            <w:hideMark/>
          </w:tcPr>
          <w:p w14:paraId="2961822D"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[4.124,4.579]</w:t>
            </w:r>
          </w:p>
        </w:tc>
        <w:tc>
          <w:tcPr>
            <w:tcW w:w="1440" w:type="dxa"/>
            <w:tcBorders>
              <w:top w:val="nil"/>
              <w:left w:val="nil"/>
              <w:bottom w:val="nil"/>
              <w:right w:val="nil"/>
            </w:tcBorders>
            <w:shd w:val="clear" w:color="auto" w:fill="auto"/>
            <w:noWrap/>
            <w:vAlign w:val="bottom"/>
            <w:hideMark/>
          </w:tcPr>
          <w:p w14:paraId="1CCBB3FE"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[-0.118,-0.091]</w:t>
            </w:r>
          </w:p>
        </w:tc>
        <w:tc>
          <w:tcPr>
            <w:tcW w:w="1440" w:type="dxa"/>
            <w:tcBorders>
              <w:top w:val="nil"/>
              <w:left w:val="nil"/>
              <w:bottom w:val="nil"/>
              <w:right w:val="nil"/>
            </w:tcBorders>
            <w:shd w:val="clear" w:color="auto" w:fill="auto"/>
            <w:noWrap/>
            <w:vAlign w:val="bottom"/>
            <w:hideMark/>
          </w:tcPr>
          <w:p w14:paraId="4DC4E13A"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[0.236,0.262]</w:t>
            </w:r>
          </w:p>
        </w:tc>
        <w:tc>
          <w:tcPr>
            <w:tcW w:w="1440" w:type="dxa"/>
            <w:tcBorders>
              <w:top w:val="nil"/>
              <w:left w:val="nil"/>
              <w:bottom w:val="nil"/>
              <w:right w:val="nil"/>
            </w:tcBorders>
            <w:shd w:val="clear" w:color="auto" w:fill="auto"/>
            <w:noWrap/>
            <w:vAlign w:val="bottom"/>
            <w:hideMark/>
          </w:tcPr>
          <w:p w14:paraId="150152A1"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[-0.162,-0.127]</w:t>
            </w:r>
          </w:p>
        </w:tc>
        <w:tc>
          <w:tcPr>
            <w:tcW w:w="1440" w:type="dxa"/>
            <w:tcBorders>
              <w:top w:val="nil"/>
              <w:left w:val="nil"/>
              <w:bottom w:val="nil"/>
              <w:right w:val="nil"/>
            </w:tcBorders>
            <w:shd w:val="clear" w:color="auto" w:fill="auto"/>
            <w:noWrap/>
            <w:vAlign w:val="bottom"/>
            <w:hideMark/>
          </w:tcPr>
          <w:p w14:paraId="6ECB94D2"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[0.196,0.214]</w:t>
            </w:r>
          </w:p>
        </w:tc>
        <w:tc>
          <w:tcPr>
            <w:tcW w:w="1440" w:type="dxa"/>
            <w:tcBorders>
              <w:top w:val="nil"/>
              <w:left w:val="nil"/>
              <w:bottom w:val="nil"/>
              <w:right w:val="nil"/>
            </w:tcBorders>
            <w:shd w:val="clear" w:color="auto" w:fill="auto"/>
            <w:noWrap/>
            <w:vAlign w:val="bottom"/>
            <w:hideMark/>
          </w:tcPr>
          <w:p w14:paraId="13192E2F"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[-0.086,-0.074]</w:t>
            </w:r>
          </w:p>
        </w:tc>
      </w:tr>
      <w:tr w:rsidR="00025200" w:rsidRPr="004E2853" w14:paraId="42481F65" w14:textId="77777777" w:rsidTr="002218B1">
        <w:trPr>
          <w:gridAfter w:val="1"/>
          <w:wAfter w:w="576" w:type="dxa"/>
          <w:trHeight w:val="20"/>
        </w:trPr>
        <w:tc>
          <w:tcPr>
            <w:tcW w:w="2160" w:type="dxa"/>
            <w:vMerge w:val="restart"/>
            <w:tcBorders>
              <w:top w:val="nil"/>
              <w:left w:val="nil"/>
              <w:bottom w:val="nil"/>
              <w:right w:val="nil"/>
            </w:tcBorders>
            <w:shd w:val="clear" w:color="auto" w:fill="auto"/>
            <w:noWrap/>
            <w:hideMark/>
          </w:tcPr>
          <w:p w14:paraId="47C710B0" w14:textId="77777777" w:rsidR="00BB39C9" w:rsidRPr="004E2853" w:rsidRDefault="00BB39C9" w:rsidP="00BB39C9">
            <w:pPr>
              <w:rPr>
                <w:rFonts w:ascii="Arial" w:hAnsi="Arial" w:cs="Arial"/>
                <w:color w:val="000000"/>
                <w:sz w:val="18"/>
                <w:szCs w:val="18"/>
              </w:rPr>
            </w:pPr>
            <w:r w:rsidRPr="004E2853">
              <w:rPr>
                <w:rFonts w:ascii="Arial" w:hAnsi="Arial" w:cs="Arial"/>
                <w:color w:val="000000"/>
                <w:sz w:val="18"/>
                <w:szCs w:val="18"/>
              </w:rPr>
              <w:t>% AFDC/capita</w:t>
            </w:r>
          </w:p>
        </w:tc>
        <w:tc>
          <w:tcPr>
            <w:tcW w:w="1530" w:type="dxa"/>
            <w:tcBorders>
              <w:top w:val="nil"/>
              <w:left w:val="nil"/>
              <w:bottom w:val="nil"/>
              <w:right w:val="nil"/>
            </w:tcBorders>
            <w:shd w:val="clear" w:color="auto" w:fill="auto"/>
            <w:noWrap/>
            <w:vAlign w:val="bottom"/>
            <w:hideMark/>
          </w:tcPr>
          <w:p w14:paraId="3AD80355"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79.200</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0C04B417"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-2.316</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2B7D9286"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1.797</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0B6AF30D"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0.519</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20FB016E"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0.115</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5872AC48"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0.685</w:t>
            </w:r>
            <w:r w:rsidRPr="004E2853">
              <w:rPr>
                <w:rFonts w:ascii="Arial" w:hAnsi="Arial" w:cs="Arial"/>
                <w:color w:val="000000"/>
                <w:sz w:val="18"/>
                <w:szCs w:val="18"/>
                <w:vertAlign w:val="superscript"/>
              </w:rPr>
              <w:t>***</w:t>
            </w:r>
          </w:p>
        </w:tc>
      </w:tr>
      <w:tr w:rsidR="00025200" w:rsidRPr="004E2853" w14:paraId="12B59111" w14:textId="77777777" w:rsidTr="002218B1">
        <w:trPr>
          <w:gridAfter w:val="1"/>
          <w:wAfter w:w="576" w:type="dxa"/>
          <w:trHeight w:val="20"/>
        </w:trPr>
        <w:tc>
          <w:tcPr>
            <w:tcW w:w="2160" w:type="dxa"/>
            <w:vMerge/>
            <w:tcBorders>
              <w:top w:val="nil"/>
              <w:left w:val="nil"/>
              <w:bottom w:val="nil"/>
              <w:right w:val="nil"/>
            </w:tcBorders>
            <w:hideMark/>
          </w:tcPr>
          <w:p w14:paraId="63E94C57" w14:textId="77777777" w:rsidR="00BB39C9" w:rsidRPr="004E2853" w:rsidRDefault="00BB39C9" w:rsidP="00BB39C9">
            <w:pPr>
              <w:rPr>
                <w:rFonts w:ascii="Arial" w:hAnsi="Arial" w:cs="Arial"/>
                <w:color w:val="000000"/>
                <w:sz w:val="18"/>
                <w:szCs w:val="18"/>
              </w:rPr>
            </w:pPr>
          </w:p>
        </w:tc>
        <w:tc>
          <w:tcPr>
            <w:tcW w:w="1530" w:type="dxa"/>
            <w:tcBorders>
              <w:top w:val="nil"/>
              <w:left w:val="nil"/>
              <w:bottom w:val="nil"/>
              <w:right w:val="nil"/>
            </w:tcBorders>
            <w:shd w:val="clear" w:color="auto" w:fill="auto"/>
            <w:noWrap/>
            <w:vAlign w:val="bottom"/>
            <w:hideMark/>
          </w:tcPr>
          <w:p w14:paraId="08229FF8"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[78.131,80.269]</w:t>
            </w:r>
          </w:p>
        </w:tc>
        <w:tc>
          <w:tcPr>
            <w:tcW w:w="1440" w:type="dxa"/>
            <w:tcBorders>
              <w:top w:val="nil"/>
              <w:left w:val="nil"/>
              <w:bottom w:val="nil"/>
              <w:right w:val="nil"/>
            </w:tcBorders>
            <w:shd w:val="clear" w:color="auto" w:fill="auto"/>
            <w:noWrap/>
            <w:vAlign w:val="bottom"/>
            <w:hideMark/>
          </w:tcPr>
          <w:p w14:paraId="335F91F6"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[-2.378,-2.254]</w:t>
            </w:r>
          </w:p>
        </w:tc>
        <w:tc>
          <w:tcPr>
            <w:tcW w:w="1440" w:type="dxa"/>
            <w:tcBorders>
              <w:top w:val="nil"/>
              <w:left w:val="nil"/>
              <w:bottom w:val="nil"/>
              <w:right w:val="nil"/>
            </w:tcBorders>
            <w:shd w:val="clear" w:color="auto" w:fill="auto"/>
            <w:noWrap/>
            <w:vAlign w:val="bottom"/>
            <w:hideMark/>
          </w:tcPr>
          <w:p w14:paraId="746F4BED"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[1.735,1.859]</w:t>
            </w:r>
          </w:p>
        </w:tc>
        <w:tc>
          <w:tcPr>
            <w:tcW w:w="1440" w:type="dxa"/>
            <w:tcBorders>
              <w:top w:val="nil"/>
              <w:left w:val="nil"/>
              <w:bottom w:val="nil"/>
              <w:right w:val="nil"/>
            </w:tcBorders>
            <w:shd w:val="clear" w:color="auto" w:fill="auto"/>
            <w:noWrap/>
            <w:vAlign w:val="bottom"/>
            <w:hideMark/>
          </w:tcPr>
          <w:p w14:paraId="6CC0C0D3"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[0.436,0.602]</w:t>
            </w:r>
          </w:p>
        </w:tc>
        <w:tc>
          <w:tcPr>
            <w:tcW w:w="1440" w:type="dxa"/>
            <w:tcBorders>
              <w:top w:val="nil"/>
              <w:left w:val="nil"/>
              <w:bottom w:val="nil"/>
              <w:right w:val="nil"/>
            </w:tcBorders>
            <w:shd w:val="clear" w:color="auto" w:fill="auto"/>
            <w:noWrap/>
            <w:vAlign w:val="bottom"/>
            <w:hideMark/>
          </w:tcPr>
          <w:p w14:paraId="39B25710"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[0.073,0.158]</w:t>
            </w:r>
          </w:p>
        </w:tc>
        <w:tc>
          <w:tcPr>
            <w:tcW w:w="1440" w:type="dxa"/>
            <w:tcBorders>
              <w:top w:val="nil"/>
              <w:left w:val="nil"/>
              <w:bottom w:val="nil"/>
              <w:right w:val="nil"/>
            </w:tcBorders>
            <w:shd w:val="clear" w:color="auto" w:fill="auto"/>
            <w:noWrap/>
            <w:vAlign w:val="bottom"/>
            <w:hideMark/>
          </w:tcPr>
          <w:p w14:paraId="09C2D6C2"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[0.655,0.715]</w:t>
            </w:r>
          </w:p>
        </w:tc>
      </w:tr>
      <w:tr w:rsidR="00025200" w:rsidRPr="004E2853" w14:paraId="737657E6" w14:textId="77777777" w:rsidTr="002218B1">
        <w:trPr>
          <w:gridAfter w:val="1"/>
          <w:wAfter w:w="576" w:type="dxa"/>
          <w:trHeight w:val="20"/>
        </w:trPr>
        <w:tc>
          <w:tcPr>
            <w:tcW w:w="2160" w:type="dxa"/>
            <w:vMerge w:val="restart"/>
            <w:tcBorders>
              <w:top w:val="nil"/>
              <w:left w:val="nil"/>
              <w:bottom w:val="nil"/>
              <w:right w:val="nil"/>
            </w:tcBorders>
            <w:shd w:val="clear" w:color="auto" w:fill="auto"/>
            <w:noWrap/>
            <w:hideMark/>
          </w:tcPr>
          <w:p w14:paraId="5A8B02AE" w14:textId="77777777" w:rsidR="00BB39C9" w:rsidRPr="004E2853" w:rsidRDefault="00BB39C9" w:rsidP="00BB39C9">
            <w:pPr>
              <w:rPr>
                <w:rFonts w:ascii="Arial" w:hAnsi="Arial" w:cs="Arial"/>
                <w:color w:val="000000"/>
                <w:sz w:val="18"/>
                <w:szCs w:val="18"/>
              </w:rPr>
            </w:pPr>
            <w:r w:rsidRPr="004E2853">
              <w:rPr>
                <w:rFonts w:ascii="Arial" w:hAnsi="Arial" w:cs="Arial"/>
                <w:color w:val="000000"/>
                <w:sz w:val="18"/>
                <w:szCs w:val="18"/>
              </w:rPr>
              <w:t>EITC rate</w:t>
            </w:r>
          </w:p>
        </w:tc>
        <w:tc>
          <w:tcPr>
            <w:tcW w:w="1530" w:type="dxa"/>
            <w:tcBorders>
              <w:top w:val="nil"/>
              <w:left w:val="nil"/>
              <w:bottom w:val="nil"/>
              <w:right w:val="nil"/>
            </w:tcBorders>
            <w:shd w:val="clear" w:color="auto" w:fill="auto"/>
            <w:noWrap/>
            <w:vAlign w:val="bottom"/>
            <w:hideMark/>
          </w:tcPr>
          <w:p w14:paraId="21F2AE52"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1.138</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761642D9"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-0.022</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4F0F6E79"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0.028</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1E0E0AAD"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-0.006</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1BBC45D9"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-0.008</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20D055C0"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-0.006</w:t>
            </w:r>
            <w:r w:rsidRPr="004E2853">
              <w:rPr>
                <w:rFonts w:ascii="Arial" w:hAnsi="Arial" w:cs="Arial"/>
                <w:color w:val="000000"/>
                <w:sz w:val="18"/>
                <w:szCs w:val="18"/>
                <w:vertAlign w:val="superscript"/>
              </w:rPr>
              <w:t>***</w:t>
            </w:r>
          </w:p>
        </w:tc>
      </w:tr>
      <w:tr w:rsidR="00025200" w:rsidRPr="004E2853" w14:paraId="3D6AC1B7" w14:textId="77777777" w:rsidTr="002218B1">
        <w:trPr>
          <w:gridAfter w:val="1"/>
          <w:wAfter w:w="576" w:type="dxa"/>
          <w:trHeight w:val="20"/>
        </w:trPr>
        <w:tc>
          <w:tcPr>
            <w:tcW w:w="2160" w:type="dxa"/>
            <w:vMerge/>
            <w:tcBorders>
              <w:top w:val="nil"/>
              <w:left w:val="nil"/>
              <w:bottom w:val="nil"/>
              <w:right w:val="nil"/>
            </w:tcBorders>
            <w:hideMark/>
          </w:tcPr>
          <w:p w14:paraId="1E1718C1" w14:textId="77777777" w:rsidR="00BB39C9" w:rsidRPr="004E2853" w:rsidRDefault="00BB39C9" w:rsidP="00BB39C9">
            <w:pPr>
              <w:rPr>
                <w:rFonts w:ascii="Arial" w:hAnsi="Arial" w:cs="Arial"/>
                <w:color w:val="000000"/>
                <w:sz w:val="18"/>
                <w:szCs w:val="18"/>
              </w:rPr>
            </w:pPr>
          </w:p>
        </w:tc>
        <w:tc>
          <w:tcPr>
            <w:tcW w:w="1530" w:type="dxa"/>
            <w:tcBorders>
              <w:top w:val="nil"/>
              <w:left w:val="nil"/>
              <w:bottom w:val="nil"/>
              <w:right w:val="nil"/>
            </w:tcBorders>
            <w:shd w:val="clear" w:color="auto" w:fill="auto"/>
            <w:noWrap/>
            <w:vAlign w:val="bottom"/>
            <w:hideMark/>
          </w:tcPr>
          <w:p w14:paraId="771D63E0"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[1.095,1.181]</w:t>
            </w:r>
          </w:p>
        </w:tc>
        <w:tc>
          <w:tcPr>
            <w:tcW w:w="1440" w:type="dxa"/>
            <w:tcBorders>
              <w:top w:val="nil"/>
              <w:left w:val="nil"/>
              <w:bottom w:val="nil"/>
              <w:right w:val="nil"/>
            </w:tcBorders>
            <w:shd w:val="clear" w:color="auto" w:fill="auto"/>
            <w:noWrap/>
            <w:vAlign w:val="bottom"/>
            <w:hideMark/>
          </w:tcPr>
          <w:p w14:paraId="3D8D7851"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[-0.025,-0.020]</w:t>
            </w:r>
          </w:p>
        </w:tc>
        <w:tc>
          <w:tcPr>
            <w:tcW w:w="1440" w:type="dxa"/>
            <w:tcBorders>
              <w:top w:val="nil"/>
              <w:left w:val="nil"/>
              <w:bottom w:val="nil"/>
              <w:right w:val="nil"/>
            </w:tcBorders>
            <w:shd w:val="clear" w:color="auto" w:fill="auto"/>
            <w:noWrap/>
            <w:vAlign w:val="bottom"/>
            <w:hideMark/>
          </w:tcPr>
          <w:p w14:paraId="774DA3A6"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[0.025,0.030]</w:t>
            </w:r>
          </w:p>
        </w:tc>
        <w:tc>
          <w:tcPr>
            <w:tcW w:w="1440" w:type="dxa"/>
            <w:tcBorders>
              <w:top w:val="nil"/>
              <w:left w:val="nil"/>
              <w:bottom w:val="nil"/>
              <w:right w:val="nil"/>
            </w:tcBorders>
            <w:shd w:val="clear" w:color="auto" w:fill="auto"/>
            <w:noWrap/>
            <w:vAlign w:val="bottom"/>
            <w:hideMark/>
          </w:tcPr>
          <w:p w14:paraId="788C0A8B"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[-0.009,-0.002]</w:t>
            </w:r>
          </w:p>
        </w:tc>
        <w:tc>
          <w:tcPr>
            <w:tcW w:w="1440" w:type="dxa"/>
            <w:tcBorders>
              <w:top w:val="nil"/>
              <w:left w:val="nil"/>
              <w:bottom w:val="nil"/>
              <w:right w:val="nil"/>
            </w:tcBorders>
            <w:shd w:val="clear" w:color="auto" w:fill="auto"/>
            <w:noWrap/>
            <w:vAlign w:val="bottom"/>
            <w:hideMark/>
          </w:tcPr>
          <w:p w14:paraId="2F7D5E6C"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[-0.010,-0.006]</w:t>
            </w:r>
          </w:p>
        </w:tc>
        <w:tc>
          <w:tcPr>
            <w:tcW w:w="1440" w:type="dxa"/>
            <w:tcBorders>
              <w:top w:val="nil"/>
              <w:left w:val="nil"/>
              <w:bottom w:val="nil"/>
              <w:right w:val="nil"/>
            </w:tcBorders>
            <w:shd w:val="clear" w:color="auto" w:fill="auto"/>
            <w:noWrap/>
            <w:vAlign w:val="bottom"/>
            <w:hideMark/>
          </w:tcPr>
          <w:p w14:paraId="779C2CAC"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[-0.008,-0.005]</w:t>
            </w:r>
          </w:p>
        </w:tc>
      </w:tr>
      <w:tr w:rsidR="00025200" w:rsidRPr="004E2853" w14:paraId="01AC3AF6" w14:textId="77777777" w:rsidTr="002218B1">
        <w:trPr>
          <w:gridAfter w:val="1"/>
          <w:wAfter w:w="576" w:type="dxa"/>
          <w:trHeight w:val="20"/>
        </w:trPr>
        <w:tc>
          <w:tcPr>
            <w:tcW w:w="2160" w:type="dxa"/>
            <w:vMerge w:val="restart"/>
            <w:tcBorders>
              <w:top w:val="nil"/>
              <w:left w:val="nil"/>
              <w:bottom w:val="nil"/>
              <w:right w:val="nil"/>
            </w:tcBorders>
            <w:shd w:val="clear" w:color="auto" w:fill="auto"/>
            <w:noWrap/>
            <w:hideMark/>
          </w:tcPr>
          <w:p w14:paraId="43964D71" w14:textId="77777777" w:rsidR="00BB39C9" w:rsidRPr="004E2853" w:rsidRDefault="00BB39C9" w:rsidP="00BB39C9">
            <w:pPr>
              <w:rPr>
                <w:rFonts w:ascii="Arial" w:hAnsi="Arial" w:cs="Arial"/>
                <w:color w:val="000000"/>
                <w:sz w:val="18"/>
                <w:szCs w:val="18"/>
              </w:rPr>
            </w:pPr>
            <w:r w:rsidRPr="004E2853">
              <w:rPr>
                <w:rFonts w:ascii="Arial" w:hAnsi="Arial" w:cs="Arial"/>
                <w:color w:val="000000"/>
                <w:sz w:val="18"/>
                <w:szCs w:val="18"/>
              </w:rPr>
              <w:t>Medicaid eligibility income cutoff</w:t>
            </w:r>
          </w:p>
        </w:tc>
        <w:tc>
          <w:tcPr>
            <w:tcW w:w="1530" w:type="dxa"/>
            <w:tcBorders>
              <w:top w:val="nil"/>
              <w:left w:val="nil"/>
              <w:bottom w:val="nil"/>
              <w:right w:val="nil"/>
            </w:tcBorders>
            <w:shd w:val="clear" w:color="auto" w:fill="auto"/>
            <w:noWrap/>
            <w:vAlign w:val="bottom"/>
            <w:hideMark/>
          </w:tcPr>
          <w:p w14:paraId="7825B839"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-0.381</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5A194A2F"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0.013</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173FC112"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-0.014</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03DE9AC5"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0.001</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0DE43922"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w:t>
            </w:r>
          </w:p>
        </w:tc>
        <w:tc>
          <w:tcPr>
            <w:tcW w:w="1440" w:type="dxa"/>
            <w:tcBorders>
              <w:top w:val="nil"/>
              <w:left w:val="nil"/>
              <w:bottom w:val="nil"/>
              <w:right w:val="nil"/>
            </w:tcBorders>
            <w:shd w:val="clear" w:color="auto" w:fill="auto"/>
            <w:noWrap/>
            <w:vAlign w:val="bottom"/>
            <w:hideMark/>
          </w:tcPr>
          <w:p w14:paraId="07707E5C"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-0.006</w:t>
            </w:r>
            <w:r w:rsidRPr="004E2853">
              <w:rPr>
                <w:rFonts w:ascii="Arial" w:hAnsi="Arial" w:cs="Arial"/>
                <w:color w:val="000000"/>
                <w:sz w:val="18"/>
                <w:szCs w:val="18"/>
                <w:vertAlign w:val="superscript"/>
              </w:rPr>
              <w:t>***</w:t>
            </w:r>
          </w:p>
        </w:tc>
      </w:tr>
      <w:tr w:rsidR="00025200" w:rsidRPr="004E2853" w14:paraId="709619D5" w14:textId="77777777" w:rsidTr="002218B1">
        <w:trPr>
          <w:gridAfter w:val="1"/>
          <w:wAfter w:w="576" w:type="dxa"/>
          <w:trHeight w:val="20"/>
        </w:trPr>
        <w:tc>
          <w:tcPr>
            <w:tcW w:w="2160" w:type="dxa"/>
            <w:vMerge/>
            <w:tcBorders>
              <w:top w:val="nil"/>
              <w:left w:val="nil"/>
              <w:bottom w:val="nil"/>
              <w:right w:val="nil"/>
            </w:tcBorders>
            <w:hideMark/>
          </w:tcPr>
          <w:p w14:paraId="475E90EF" w14:textId="77777777" w:rsidR="00BB39C9" w:rsidRPr="004E2853" w:rsidRDefault="00BB39C9" w:rsidP="00BB39C9">
            <w:pPr>
              <w:rPr>
                <w:rFonts w:ascii="Arial" w:hAnsi="Arial" w:cs="Arial"/>
                <w:color w:val="000000"/>
                <w:sz w:val="18"/>
                <w:szCs w:val="18"/>
              </w:rPr>
            </w:pPr>
          </w:p>
        </w:tc>
        <w:tc>
          <w:tcPr>
            <w:tcW w:w="1530" w:type="dxa"/>
            <w:tcBorders>
              <w:top w:val="nil"/>
              <w:left w:val="nil"/>
              <w:bottom w:val="nil"/>
              <w:right w:val="nil"/>
            </w:tcBorders>
            <w:shd w:val="clear" w:color="auto" w:fill="auto"/>
            <w:noWrap/>
            <w:vAlign w:val="bottom"/>
            <w:hideMark/>
          </w:tcPr>
          <w:p w14:paraId="11EB090E"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[-0.393,-0.368]</w:t>
            </w:r>
          </w:p>
        </w:tc>
        <w:tc>
          <w:tcPr>
            <w:tcW w:w="1440" w:type="dxa"/>
            <w:tcBorders>
              <w:top w:val="nil"/>
              <w:left w:val="nil"/>
              <w:bottom w:val="nil"/>
              <w:right w:val="nil"/>
            </w:tcBorders>
            <w:shd w:val="clear" w:color="auto" w:fill="auto"/>
            <w:noWrap/>
            <w:vAlign w:val="bottom"/>
            <w:hideMark/>
          </w:tcPr>
          <w:p w14:paraId="00C71B9B"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[0.012,0.014]</w:t>
            </w:r>
          </w:p>
        </w:tc>
        <w:tc>
          <w:tcPr>
            <w:tcW w:w="1440" w:type="dxa"/>
            <w:tcBorders>
              <w:top w:val="nil"/>
              <w:left w:val="nil"/>
              <w:bottom w:val="nil"/>
              <w:right w:val="nil"/>
            </w:tcBorders>
            <w:shd w:val="clear" w:color="auto" w:fill="auto"/>
            <w:noWrap/>
            <w:vAlign w:val="bottom"/>
            <w:hideMark/>
          </w:tcPr>
          <w:p w14:paraId="717AC1A7"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[-0.015,-0.013]</w:t>
            </w:r>
          </w:p>
        </w:tc>
        <w:tc>
          <w:tcPr>
            <w:tcW w:w="1440" w:type="dxa"/>
            <w:tcBorders>
              <w:top w:val="nil"/>
              <w:left w:val="nil"/>
              <w:bottom w:val="nil"/>
              <w:right w:val="nil"/>
            </w:tcBorders>
            <w:shd w:val="clear" w:color="auto" w:fill="auto"/>
            <w:noWrap/>
            <w:vAlign w:val="bottom"/>
            <w:hideMark/>
          </w:tcPr>
          <w:p w14:paraId="0D64144A"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[0.000,0.002]</w:t>
            </w:r>
          </w:p>
        </w:tc>
        <w:tc>
          <w:tcPr>
            <w:tcW w:w="1440" w:type="dxa"/>
            <w:tcBorders>
              <w:top w:val="nil"/>
              <w:left w:val="nil"/>
              <w:bottom w:val="nil"/>
              <w:right w:val="nil"/>
            </w:tcBorders>
            <w:shd w:val="clear" w:color="auto" w:fill="auto"/>
            <w:noWrap/>
            <w:vAlign w:val="bottom"/>
            <w:hideMark/>
          </w:tcPr>
          <w:p w14:paraId="536B1A32"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[-0.001,0.000]</w:t>
            </w:r>
          </w:p>
        </w:tc>
        <w:tc>
          <w:tcPr>
            <w:tcW w:w="1440" w:type="dxa"/>
            <w:tcBorders>
              <w:top w:val="nil"/>
              <w:left w:val="nil"/>
              <w:bottom w:val="nil"/>
              <w:right w:val="nil"/>
            </w:tcBorders>
            <w:shd w:val="clear" w:color="auto" w:fill="auto"/>
            <w:noWrap/>
            <w:vAlign w:val="bottom"/>
            <w:hideMark/>
          </w:tcPr>
          <w:p w14:paraId="4ED8DCA9"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[-0.006,-0.005]</w:t>
            </w:r>
          </w:p>
        </w:tc>
      </w:tr>
      <w:tr w:rsidR="00025200" w:rsidRPr="004E2853" w14:paraId="31EC8076" w14:textId="77777777" w:rsidTr="002218B1">
        <w:trPr>
          <w:gridAfter w:val="1"/>
          <w:wAfter w:w="576" w:type="dxa"/>
          <w:trHeight w:val="20"/>
        </w:trPr>
        <w:tc>
          <w:tcPr>
            <w:tcW w:w="2160" w:type="dxa"/>
            <w:vMerge w:val="restart"/>
            <w:tcBorders>
              <w:top w:val="nil"/>
              <w:left w:val="nil"/>
              <w:bottom w:val="nil"/>
              <w:right w:val="nil"/>
            </w:tcBorders>
            <w:shd w:val="clear" w:color="auto" w:fill="auto"/>
            <w:noWrap/>
            <w:hideMark/>
          </w:tcPr>
          <w:p w14:paraId="4969E36F" w14:textId="77777777" w:rsidR="00BB39C9" w:rsidRPr="004E2853" w:rsidRDefault="00BB39C9" w:rsidP="00BB39C9">
            <w:pPr>
              <w:rPr>
                <w:rFonts w:ascii="Arial" w:hAnsi="Arial" w:cs="Arial"/>
                <w:color w:val="000000"/>
                <w:sz w:val="18"/>
                <w:szCs w:val="18"/>
              </w:rPr>
            </w:pPr>
            <w:r w:rsidRPr="004E2853">
              <w:rPr>
                <w:rFonts w:ascii="Arial" w:hAnsi="Arial" w:cs="Arial"/>
                <w:color w:val="000000"/>
                <w:sz w:val="18"/>
                <w:szCs w:val="18"/>
              </w:rPr>
              <w:t>Constant</w:t>
            </w:r>
          </w:p>
        </w:tc>
        <w:tc>
          <w:tcPr>
            <w:tcW w:w="1530" w:type="dxa"/>
            <w:tcBorders>
              <w:top w:val="nil"/>
              <w:left w:val="nil"/>
              <w:bottom w:val="nil"/>
              <w:right w:val="nil"/>
            </w:tcBorders>
            <w:shd w:val="clear" w:color="auto" w:fill="auto"/>
            <w:noWrap/>
            <w:vAlign w:val="bottom"/>
            <w:hideMark/>
          </w:tcPr>
          <w:p w14:paraId="7E46F841"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34.363</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03AEDB24"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0.150</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66199B90"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0.110</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7F71D8F2"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0.740</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4D9CC2DC"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0.123</w:t>
            </w:r>
            <w:r w:rsidRPr="004E2853">
              <w:rPr>
                <w:rFonts w:ascii="Arial" w:hAnsi="Arial" w:cs="Arial"/>
                <w:color w:val="000000"/>
                <w:sz w:val="18"/>
                <w:szCs w:val="18"/>
                <w:vertAlign w:val="superscript"/>
              </w:rPr>
              <w:t>***</w:t>
            </w:r>
          </w:p>
        </w:tc>
        <w:tc>
          <w:tcPr>
            <w:tcW w:w="1440" w:type="dxa"/>
            <w:tcBorders>
              <w:top w:val="nil"/>
              <w:left w:val="nil"/>
              <w:bottom w:val="nil"/>
              <w:right w:val="nil"/>
            </w:tcBorders>
            <w:shd w:val="clear" w:color="auto" w:fill="auto"/>
            <w:noWrap/>
            <w:vAlign w:val="bottom"/>
            <w:hideMark/>
          </w:tcPr>
          <w:p w14:paraId="11EC5102"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0.411</w:t>
            </w:r>
            <w:r w:rsidRPr="004E2853">
              <w:rPr>
                <w:rFonts w:ascii="Arial" w:hAnsi="Arial" w:cs="Arial"/>
                <w:color w:val="000000"/>
                <w:sz w:val="18"/>
                <w:szCs w:val="18"/>
                <w:vertAlign w:val="superscript"/>
              </w:rPr>
              <w:t>***</w:t>
            </w:r>
          </w:p>
        </w:tc>
      </w:tr>
      <w:tr w:rsidR="00025200" w:rsidRPr="004E2853" w14:paraId="0836042C" w14:textId="77777777" w:rsidTr="002218B1">
        <w:trPr>
          <w:gridAfter w:val="1"/>
          <w:wAfter w:w="576" w:type="dxa"/>
          <w:trHeight w:val="20"/>
        </w:trPr>
        <w:tc>
          <w:tcPr>
            <w:tcW w:w="2160" w:type="dxa"/>
            <w:vMerge/>
            <w:tcBorders>
              <w:top w:val="nil"/>
              <w:left w:val="nil"/>
              <w:bottom w:val="nil"/>
              <w:right w:val="nil"/>
            </w:tcBorders>
            <w:hideMark/>
          </w:tcPr>
          <w:p w14:paraId="5908F453" w14:textId="77777777" w:rsidR="00BB39C9" w:rsidRPr="004E2853" w:rsidRDefault="00BB39C9" w:rsidP="00BB39C9">
            <w:pPr>
              <w:rPr>
                <w:rFonts w:ascii="Arial" w:hAnsi="Arial" w:cs="Arial"/>
                <w:color w:val="000000"/>
                <w:sz w:val="18"/>
                <w:szCs w:val="18"/>
              </w:rPr>
            </w:pPr>
          </w:p>
        </w:tc>
        <w:tc>
          <w:tcPr>
            <w:tcW w:w="1530" w:type="dxa"/>
            <w:tcBorders>
              <w:top w:val="nil"/>
              <w:left w:val="nil"/>
              <w:bottom w:val="nil"/>
              <w:right w:val="nil"/>
            </w:tcBorders>
            <w:shd w:val="clear" w:color="auto" w:fill="auto"/>
            <w:noWrap/>
            <w:vAlign w:val="bottom"/>
            <w:hideMark/>
          </w:tcPr>
          <w:p w14:paraId="4791FC9A"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[34.257,34.470]</w:t>
            </w:r>
          </w:p>
        </w:tc>
        <w:tc>
          <w:tcPr>
            <w:tcW w:w="1440" w:type="dxa"/>
            <w:tcBorders>
              <w:top w:val="nil"/>
              <w:left w:val="nil"/>
              <w:bottom w:val="nil"/>
              <w:right w:val="nil"/>
            </w:tcBorders>
            <w:shd w:val="clear" w:color="auto" w:fill="auto"/>
            <w:noWrap/>
            <w:vAlign w:val="bottom"/>
            <w:hideMark/>
          </w:tcPr>
          <w:p w14:paraId="469481BA"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[0.144,0.156]</w:t>
            </w:r>
          </w:p>
        </w:tc>
        <w:tc>
          <w:tcPr>
            <w:tcW w:w="1440" w:type="dxa"/>
            <w:tcBorders>
              <w:top w:val="nil"/>
              <w:left w:val="nil"/>
              <w:bottom w:val="nil"/>
              <w:right w:val="nil"/>
            </w:tcBorders>
            <w:shd w:val="clear" w:color="auto" w:fill="auto"/>
            <w:noWrap/>
            <w:vAlign w:val="bottom"/>
            <w:hideMark/>
          </w:tcPr>
          <w:p w14:paraId="4A4197FC"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[0.104,0.116]</w:t>
            </w:r>
          </w:p>
        </w:tc>
        <w:tc>
          <w:tcPr>
            <w:tcW w:w="1440" w:type="dxa"/>
            <w:tcBorders>
              <w:top w:val="nil"/>
              <w:left w:val="nil"/>
              <w:bottom w:val="nil"/>
              <w:right w:val="nil"/>
            </w:tcBorders>
            <w:shd w:val="clear" w:color="auto" w:fill="auto"/>
            <w:noWrap/>
            <w:vAlign w:val="bottom"/>
            <w:hideMark/>
          </w:tcPr>
          <w:p w14:paraId="5170691A"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[0.732,0.749]</w:t>
            </w:r>
          </w:p>
        </w:tc>
        <w:tc>
          <w:tcPr>
            <w:tcW w:w="1440" w:type="dxa"/>
            <w:tcBorders>
              <w:top w:val="nil"/>
              <w:left w:val="nil"/>
              <w:bottom w:val="nil"/>
              <w:right w:val="nil"/>
            </w:tcBorders>
            <w:shd w:val="clear" w:color="auto" w:fill="auto"/>
            <w:noWrap/>
            <w:vAlign w:val="bottom"/>
            <w:hideMark/>
          </w:tcPr>
          <w:p w14:paraId="607CDA04"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[0.119,0.128]</w:t>
            </w:r>
          </w:p>
        </w:tc>
        <w:tc>
          <w:tcPr>
            <w:tcW w:w="1440" w:type="dxa"/>
            <w:tcBorders>
              <w:top w:val="nil"/>
              <w:left w:val="nil"/>
              <w:bottom w:val="nil"/>
              <w:right w:val="nil"/>
            </w:tcBorders>
            <w:shd w:val="clear" w:color="auto" w:fill="auto"/>
            <w:noWrap/>
            <w:vAlign w:val="bottom"/>
            <w:hideMark/>
          </w:tcPr>
          <w:p w14:paraId="30C4C7E9"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[0.408,0.414]</w:t>
            </w:r>
          </w:p>
        </w:tc>
      </w:tr>
      <w:tr w:rsidR="00025200" w:rsidRPr="004E2853" w14:paraId="2AB4DFB3" w14:textId="77777777" w:rsidTr="002218B1">
        <w:trPr>
          <w:gridAfter w:val="1"/>
          <w:wAfter w:w="576" w:type="dxa"/>
          <w:trHeight w:val="20"/>
        </w:trPr>
        <w:tc>
          <w:tcPr>
            <w:tcW w:w="2160" w:type="dxa"/>
            <w:tcBorders>
              <w:top w:val="nil"/>
              <w:left w:val="nil"/>
              <w:bottom w:val="nil"/>
              <w:right w:val="nil"/>
            </w:tcBorders>
            <w:shd w:val="clear" w:color="auto" w:fill="auto"/>
            <w:hideMark/>
          </w:tcPr>
          <w:p w14:paraId="1B4ACD40" w14:textId="77777777" w:rsidR="00BB39C9" w:rsidRPr="004E2853" w:rsidRDefault="00BB39C9" w:rsidP="00BB39C9">
            <w:pPr>
              <w:rPr>
                <w:rFonts w:ascii="Arial" w:hAnsi="Arial" w:cs="Arial"/>
                <w:color w:val="000000"/>
                <w:sz w:val="18"/>
                <w:szCs w:val="18"/>
              </w:rPr>
            </w:pPr>
            <w:r w:rsidRPr="004E2853">
              <w:rPr>
                <w:rFonts w:ascii="Arial" w:hAnsi="Arial" w:cs="Arial"/>
                <w:color w:val="000000"/>
                <w:sz w:val="18"/>
                <w:szCs w:val="18"/>
              </w:rPr>
              <w:t>N</w:t>
            </w:r>
          </w:p>
        </w:tc>
        <w:tc>
          <w:tcPr>
            <w:tcW w:w="1530" w:type="dxa"/>
            <w:tcBorders>
              <w:top w:val="nil"/>
              <w:left w:val="nil"/>
              <w:bottom w:val="nil"/>
              <w:right w:val="nil"/>
            </w:tcBorders>
            <w:shd w:val="clear" w:color="auto" w:fill="auto"/>
            <w:vAlign w:val="center"/>
            <w:hideMark/>
          </w:tcPr>
          <w:p w14:paraId="1FB0CBBF"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11,855,417</w:t>
            </w:r>
          </w:p>
        </w:tc>
        <w:tc>
          <w:tcPr>
            <w:tcW w:w="1440" w:type="dxa"/>
            <w:tcBorders>
              <w:top w:val="nil"/>
              <w:left w:val="nil"/>
              <w:bottom w:val="nil"/>
              <w:right w:val="nil"/>
            </w:tcBorders>
            <w:shd w:val="clear" w:color="auto" w:fill="auto"/>
            <w:vAlign w:val="center"/>
            <w:hideMark/>
          </w:tcPr>
          <w:p w14:paraId="5C851A67"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11,855,417</w:t>
            </w:r>
          </w:p>
        </w:tc>
        <w:tc>
          <w:tcPr>
            <w:tcW w:w="1440" w:type="dxa"/>
            <w:tcBorders>
              <w:top w:val="nil"/>
              <w:left w:val="nil"/>
              <w:bottom w:val="nil"/>
              <w:right w:val="nil"/>
            </w:tcBorders>
            <w:shd w:val="clear" w:color="auto" w:fill="auto"/>
            <w:vAlign w:val="center"/>
            <w:hideMark/>
          </w:tcPr>
          <w:p w14:paraId="7952CE36"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11,855,417</w:t>
            </w:r>
          </w:p>
        </w:tc>
        <w:tc>
          <w:tcPr>
            <w:tcW w:w="1440" w:type="dxa"/>
            <w:tcBorders>
              <w:top w:val="nil"/>
              <w:left w:val="nil"/>
              <w:bottom w:val="nil"/>
              <w:right w:val="nil"/>
            </w:tcBorders>
            <w:shd w:val="clear" w:color="auto" w:fill="auto"/>
            <w:vAlign w:val="center"/>
            <w:hideMark/>
          </w:tcPr>
          <w:p w14:paraId="78BDE3ED"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11,855,417</w:t>
            </w:r>
          </w:p>
        </w:tc>
        <w:tc>
          <w:tcPr>
            <w:tcW w:w="1440" w:type="dxa"/>
            <w:tcBorders>
              <w:top w:val="nil"/>
              <w:left w:val="nil"/>
              <w:bottom w:val="nil"/>
              <w:right w:val="nil"/>
            </w:tcBorders>
            <w:shd w:val="clear" w:color="auto" w:fill="auto"/>
            <w:vAlign w:val="center"/>
            <w:hideMark/>
          </w:tcPr>
          <w:p w14:paraId="27DDF41C"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11,824,402</w:t>
            </w:r>
          </w:p>
        </w:tc>
        <w:tc>
          <w:tcPr>
            <w:tcW w:w="1440" w:type="dxa"/>
            <w:tcBorders>
              <w:top w:val="nil"/>
              <w:left w:val="nil"/>
              <w:bottom w:val="nil"/>
              <w:right w:val="nil"/>
            </w:tcBorders>
            <w:shd w:val="clear" w:color="auto" w:fill="auto"/>
            <w:vAlign w:val="center"/>
            <w:hideMark/>
          </w:tcPr>
          <w:p w14:paraId="08EA9723"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11,246,710</w:t>
            </w:r>
          </w:p>
        </w:tc>
      </w:tr>
      <w:tr w:rsidR="00025200" w:rsidRPr="004E2853" w14:paraId="0BD52A12" w14:textId="77777777" w:rsidTr="002218B1">
        <w:trPr>
          <w:gridAfter w:val="1"/>
          <w:wAfter w:w="576" w:type="dxa"/>
          <w:trHeight w:val="20"/>
        </w:trPr>
        <w:tc>
          <w:tcPr>
            <w:tcW w:w="2160" w:type="dxa"/>
            <w:tcBorders>
              <w:top w:val="nil"/>
              <w:left w:val="nil"/>
              <w:bottom w:val="single" w:sz="4" w:space="0" w:color="auto"/>
              <w:right w:val="nil"/>
            </w:tcBorders>
            <w:shd w:val="clear" w:color="auto" w:fill="auto"/>
            <w:hideMark/>
          </w:tcPr>
          <w:p w14:paraId="77F6A287" w14:textId="77777777" w:rsidR="00BB39C9" w:rsidRPr="004E2853" w:rsidRDefault="00BB39C9" w:rsidP="00BB39C9">
            <w:pPr>
              <w:rPr>
                <w:rFonts w:ascii="Arial" w:hAnsi="Arial" w:cs="Arial"/>
                <w:color w:val="000000"/>
                <w:sz w:val="18"/>
                <w:szCs w:val="18"/>
              </w:rPr>
            </w:pPr>
            <w:r w:rsidRPr="004E2853">
              <w:rPr>
                <w:rFonts w:ascii="Arial" w:hAnsi="Arial" w:cs="Arial"/>
                <w:color w:val="000000"/>
                <w:sz w:val="18"/>
                <w:szCs w:val="18"/>
              </w:rPr>
              <w:t>Baseline mean</w:t>
            </w:r>
          </w:p>
        </w:tc>
        <w:tc>
          <w:tcPr>
            <w:tcW w:w="1530" w:type="dxa"/>
            <w:tcBorders>
              <w:top w:val="nil"/>
              <w:left w:val="nil"/>
              <w:bottom w:val="single" w:sz="4" w:space="0" w:color="auto"/>
              <w:right w:val="nil"/>
            </w:tcBorders>
            <w:shd w:val="clear" w:color="auto" w:fill="auto"/>
            <w:vAlign w:val="center"/>
            <w:hideMark/>
          </w:tcPr>
          <w:p w14:paraId="4BC60057"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3,248</w:t>
            </w:r>
          </w:p>
        </w:tc>
        <w:tc>
          <w:tcPr>
            <w:tcW w:w="1440" w:type="dxa"/>
            <w:tcBorders>
              <w:top w:val="nil"/>
              <w:left w:val="nil"/>
              <w:bottom w:val="single" w:sz="4" w:space="0" w:color="auto"/>
              <w:right w:val="nil"/>
            </w:tcBorders>
            <w:shd w:val="clear" w:color="auto" w:fill="auto"/>
            <w:vAlign w:val="center"/>
            <w:hideMark/>
          </w:tcPr>
          <w:p w14:paraId="0607E7A5"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12.0</w:t>
            </w:r>
          </w:p>
        </w:tc>
        <w:tc>
          <w:tcPr>
            <w:tcW w:w="1440" w:type="dxa"/>
            <w:tcBorders>
              <w:top w:val="nil"/>
              <w:left w:val="nil"/>
              <w:bottom w:val="single" w:sz="4" w:space="0" w:color="auto"/>
              <w:right w:val="nil"/>
            </w:tcBorders>
            <w:shd w:val="clear" w:color="auto" w:fill="auto"/>
            <w:vAlign w:val="center"/>
            <w:hideMark/>
          </w:tcPr>
          <w:p w14:paraId="784E56D7"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9.6</w:t>
            </w:r>
          </w:p>
        </w:tc>
        <w:tc>
          <w:tcPr>
            <w:tcW w:w="1440" w:type="dxa"/>
            <w:tcBorders>
              <w:top w:val="nil"/>
              <w:left w:val="nil"/>
              <w:bottom w:val="single" w:sz="4" w:space="0" w:color="auto"/>
              <w:right w:val="nil"/>
            </w:tcBorders>
            <w:shd w:val="clear" w:color="auto" w:fill="auto"/>
            <w:vAlign w:val="center"/>
            <w:hideMark/>
          </w:tcPr>
          <w:p w14:paraId="70667542"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78.4</w:t>
            </w:r>
          </w:p>
        </w:tc>
        <w:tc>
          <w:tcPr>
            <w:tcW w:w="1440" w:type="dxa"/>
            <w:tcBorders>
              <w:top w:val="nil"/>
              <w:left w:val="nil"/>
              <w:bottom w:val="single" w:sz="4" w:space="0" w:color="auto"/>
              <w:right w:val="nil"/>
            </w:tcBorders>
            <w:shd w:val="clear" w:color="auto" w:fill="auto"/>
            <w:vAlign w:val="center"/>
            <w:hideMark/>
          </w:tcPr>
          <w:p w14:paraId="25AD4842"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3.8</w:t>
            </w:r>
          </w:p>
        </w:tc>
        <w:tc>
          <w:tcPr>
            <w:tcW w:w="1440" w:type="dxa"/>
            <w:tcBorders>
              <w:top w:val="nil"/>
              <w:left w:val="nil"/>
              <w:bottom w:val="single" w:sz="4" w:space="0" w:color="auto"/>
              <w:right w:val="nil"/>
            </w:tcBorders>
            <w:shd w:val="clear" w:color="auto" w:fill="auto"/>
            <w:vAlign w:val="center"/>
            <w:hideMark/>
          </w:tcPr>
          <w:p w14:paraId="03B9D962" w14:textId="77777777" w:rsidR="00BB39C9" w:rsidRPr="004E2853" w:rsidRDefault="00BB39C9">
            <w:pPr>
              <w:jc w:val="center"/>
              <w:rPr>
                <w:rFonts w:ascii="Arial" w:hAnsi="Arial" w:cs="Arial"/>
                <w:color w:val="000000"/>
                <w:sz w:val="18"/>
                <w:szCs w:val="18"/>
              </w:rPr>
            </w:pPr>
            <w:r w:rsidRPr="004E2853">
              <w:rPr>
                <w:rFonts w:ascii="Arial" w:hAnsi="Arial" w:cs="Arial"/>
                <w:color w:val="000000"/>
                <w:sz w:val="18"/>
                <w:szCs w:val="18"/>
              </w:rPr>
              <w:t>29.7</w:t>
            </w:r>
          </w:p>
        </w:tc>
      </w:tr>
      <w:tr w:rsidR="00025200" w:rsidRPr="004E2853" w14:paraId="3820FF06" w14:textId="77777777" w:rsidTr="002218B1">
        <w:trPr>
          <w:trHeight w:val="20"/>
        </w:trPr>
        <w:tc>
          <w:tcPr>
            <w:tcW w:w="11466" w:type="dxa"/>
            <w:gridSpan w:val="8"/>
            <w:tcBorders>
              <w:left w:val="nil"/>
              <w:bottom w:val="nil"/>
              <w:right w:val="nil"/>
            </w:tcBorders>
            <w:shd w:val="clear" w:color="auto" w:fill="auto"/>
            <w:hideMark/>
          </w:tcPr>
          <w:p w14:paraId="0BBBA120" w14:textId="77777777" w:rsidR="00BB39C9" w:rsidRPr="004E2853" w:rsidRDefault="00BB39C9">
            <w:pPr>
              <w:rPr>
                <w:rFonts w:ascii="Arial" w:hAnsi="Arial" w:cs="Arial"/>
                <w:color w:val="000000"/>
                <w:sz w:val="16"/>
                <w:szCs w:val="16"/>
              </w:rPr>
            </w:pPr>
            <w:r w:rsidRPr="004E2853">
              <w:rPr>
                <w:rFonts w:ascii="Arial" w:hAnsi="Arial" w:cs="Arial"/>
                <w:color w:val="000000"/>
                <w:sz w:val="16"/>
                <w:szCs w:val="16"/>
              </w:rPr>
              <w:t>95% confidence intervals in brackets.  * p &lt; 0.05, ** p &lt; 0.01, *** p &lt; 0.001</w:t>
            </w:r>
          </w:p>
        </w:tc>
      </w:tr>
      <w:tr w:rsidR="00025200" w:rsidRPr="004E2853" w14:paraId="27F9D107" w14:textId="77777777" w:rsidTr="002218B1">
        <w:trPr>
          <w:trHeight w:val="20"/>
        </w:trPr>
        <w:tc>
          <w:tcPr>
            <w:tcW w:w="11466" w:type="dxa"/>
            <w:gridSpan w:val="8"/>
            <w:tcBorders>
              <w:top w:val="nil"/>
              <w:left w:val="nil"/>
              <w:bottom w:val="nil"/>
              <w:right w:val="nil"/>
            </w:tcBorders>
            <w:shd w:val="clear" w:color="auto" w:fill="auto"/>
            <w:hideMark/>
          </w:tcPr>
          <w:p w14:paraId="64E45E12" w14:textId="5066EC2D" w:rsidR="00BB39C9" w:rsidRPr="004E2853" w:rsidRDefault="00BB39C9">
            <w:pPr>
              <w:rPr>
                <w:rFonts w:ascii="Arial" w:hAnsi="Arial" w:cs="Arial"/>
                <w:color w:val="000000"/>
                <w:sz w:val="16"/>
                <w:szCs w:val="16"/>
              </w:rPr>
            </w:pPr>
            <w:r w:rsidRPr="004E2853">
              <w:rPr>
                <w:rFonts w:ascii="Arial" w:hAnsi="Arial" w:cs="Arial"/>
                <w:color w:val="000000"/>
                <w:sz w:val="16"/>
                <w:szCs w:val="16"/>
              </w:rPr>
              <w:t>Notes: Data were drawn from 2008-2012 US birth certificates (N = 11,855,417 women in 27 states). WIC eligibility was imputed using self-reported demographics. Coefficients for binary outcomes were multiplied by 100 and therefore represent a change in percentage points. All models include individual characteristics (mother's age, race/ethnicity, nativity, education, marital status, and parity), state characteristics (birth rate, unemployment rate, % SNAP/capita, % AFDC/capita, EITC rate, and Medicaid income eligibility threshold), and fixed effects for time (year-month) and state. Robust standard errors were used to address possible heteroskedasticity. Baseline mean or % represents mean or % of outcomes among WIC-eligible mothers before the 2009 WIC revision.</w:t>
            </w:r>
          </w:p>
        </w:tc>
      </w:tr>
    </w:tbl>
    <w:p w14:paraId="07A5F6EC" w14:textId="77777777" w:rsidR="002F4230" w:rsidRPr="004E2853" w:rsidRDefault="002F4230" w:rsidP="004E3739">
      <w:pPr>
        <w:rPr>
          <w:rFonts w:ascii="Arial" w:hAnsi="Arial" w:cs="Arial"/>
          <w:color w:val="000000" w:themeColor="text1"/>
          <w:sz w:val="20"/>
          <w:szCs w:val="20"/>
        </w:rPr>
        <w:sectPr w:rsidR="002F4230" w:rsidRPr="004E2853" w:rsidSect="00BB39C9">
          <w:pgSz w:w="12240" w:h="15840"/>
          <w:pgMar w:top="1440" w:right="1440" w:bottom="1440" w:left="1440" w:header="720" w:footer="720" w:gutter="0"/>
          <w:cols w:space="720"/>
          <w:docGrid w:linePitch="360"/>
        </w:sectPr>
      </w:pPr>
    </w:p>
    <w:p w14:paraId="04FE804C" w14:textId="77777777" w:rsidR="004E3739" w:rsidRPr="004E2853" w:rsidRDefault="004E3739" w:rsidP="004E3739">
      <w:pPr>
        <w:rPr>
          <w:rFonts w:ascii="Arial" w:hAnsi="Arial" w:cs="Arial"/>
          <w:b/>
          <w:bCs/>
          <w:color w:val="000000" w:themeColor="text1"/>
          <w:sz w:val="20"/>
          <w:szCs w:val="20"/>
        </w:rPr>
      </w:pPr>
      <w:r w:rsidRPr="004E2853">
        <w:rPr>
          <w:rFonts w:ascii="Arial" w:hAnsi="Arial" w:cs="Arial"/>
          <w:b/>
          <w:bCs/>
          <w:color w:val="000000" w:themeColor="text1"/>
          <w:sz w:val="20"/>
          <w:szCs w:val="20"/>
        </w:rPr>
        <w:lastRenderedPageBreak/>
        <w:t>Supplemental References</w:t>
      </w:r>
    </w:p>
    <w:p w14:paraId="328C9ECE" w14:textId="77777777" w:rsidR="004E3739" w:rsidRPr="004E2853" w:rsidRDefault="004E3739" w:rsidP="004E3739">
      <w:pPr>
        <w:rPr>
          <w:rFonts w:ascii="Arial" w:hAnsi="Arial" w:cs="Arial"/>
          <w:color w:val="000000" w:themeColor="text1"/>
          <w:sz w:val="20"/>
          <w:szCs w:val="20"/>
        </w:rPr>
      </w:pPr>
    </w:p>
    <w:p w14:paraId="3E114129" w14:textId="77777777" w:rsidR="00861334" w:rsidRPr="00861334" w:rsidRDefault="004E3739" w:rsidP="00861334">
      <w:pPr>
        <w:pStyle w:val="EndNoteBibliography"/>
        <w:ind w:left="720" w:hanging="720"/>
        <w:rPr>
          <w:noProof/>
        </w:rPr>
      </w:pPr>
      <w:r w:rsidRPr="004E2853">
        <w:rPr>
          <w:rFonts w:ascii="Arial" w:hAnsi="Arial" w:cs="Arial"/>
          <w:color w:val="000000" w:themeColor="text1"/>
          <w:sz w:val="20"/>
          <w:szCs w:val="20"/>
        </w:rPr>
        <w:fldChar w:fldCharType="begin"/>
      </w:r>
      <w:r w:rsidRPr="004E2853">
        <w:rPr>
          <w:rFonts w:ascii="Arial" w:hAnsi="Arial" w:cs="Arial"/>
          <w:color w:val="000000" w:themeColor="text1"/>
          <w:sz w:val="20"/>
          <w:szCs w:val="20"/>
        </w:rPr>
        <w:instrText xml:space="preserve"> ADDIN EN.REFLIST </w:instrText>
      </w:r>
      <w:r w:rsidRPr="004E2853">
        <w:rPr>
          <w:rFonts w:ascii="Arial" w:hAnsi="Arial" w:cs="Arial"/>
          <w:color w:val="000000" w:themeColor="text1"/>
          <w:sz w:val="20"/>
          <w:szCs w:val="20"/>
        </w:rPr>
        <w:fldChar w:fldCharType="separate"/>
      </w:r>
      <w:r w:rsidR="00861334" w:rsidRPr="00861334">
        <w:rPr>
          <w:noProof/>
        </w:rPr>
        <w:t xml:space="preserve">Bitler, M. P., &amp; Seifoddini, A. (2019). Health impacts of food assistance: evidence from the United States. </w:t>
      </w:r>
      <w:r w:rsidR="00861334" w:rsidRPr="00861334">
        <w:rPr>
          <w:i/>
          <w:noProof/>
        </w:rPr>
        <w:t>Annual Review of Resource Economics</w:t>
      </w:r>
      <w:r w:rsidR="00861334" w:rsidRPr="00861334">
        <w:rPr>
          <w:noProof/>
        </w:rPr>
        <w:t>,</w:t>
      </w:r>
      <w:r w:rsidR="00861334" w:rsidRPr="00861334">
        <w:rPr>
          <w:i/>
          <w:noProof/>
        </w:rPr>
        <w:t xml:space="preserve"> 11</w:t>
      </w:r>
      <w:r w:rsidR="00861334" w:rsidRPr="00861334">
        <w:rPr>
          <w:noProof/>
        </w:rPr>
        <w:t xml:space="preserve">, 261-287. </w:t>
      </w:r>
    </w:p>
    <w:p w14:paraId="43EF0842" w14:textId="77777777" w:rsidR="00861334" w:rsidRPr="00861334" w:rsidRDefault="00861334" w:rsidP="00861334">
      <w:pPr>
        <w:pStyle w:val="EndNoteBibliography"/>
        <w:ind w:left="720" w:hanging="720"/>
        <w:rPr>
          <w:noProof/>
        </w:rPr>
      </w:pPr>
      <w:r w:rsidRPr="00861334">
        <w:rPr>
          <w:noProof/>
        </w:rPr>
        <w:t xml:space="preserve">Callaway, B., &amp; Sant’Anna, P. H. (2021). Difference-in-differences with multiple time periods. </w:t>
      </w:r>
      <w:r w:rsidRPr="00861334">
        <w:rPr>
          <w:i/>
          <w:noProof/>
        </w:rPr>
        <w:t>Journal of Econometrics</w:t>
      </w:r>
      <w:r w:rsidRPr="00861334">
        <w:rPr>
          <w:noProof/>
        </w:rPr>
        <w:t>,</w:t>
      </w:r>
      <w:r w:rsidRPr="00861334">
        <w:rPr>
          <w:i/>
          <w:noProof/>
        </w:rPr>
        <w:t xml:space="preserve"> 225</w:t>
      </w:r>
      <w:r w:rsidRPr="00861334">
        <w:rPr>
          <w:noProof/>
        </w:rPr>
        <w:t xml:space="preserve">(2), 200-230. </w:t>
      </w:r>
    </w:p>
    <w:p w14:paraId="19293F13" w14:textId="77777777" w:rsidR="00861334" w:rsidRPr="00861334" w:rsidRDefault="00861334" w:rsidP="00861334">
      <w:pPr>
        <w:pStyle w:val="EndNoteBibliography"/>
        <w:ind w:left="720" w:hanging="720"/>
        <w:rPr>
          <w:noProof/>
        </w:rPr>
      </w:pPr>
      <w:r w:rsidRPr="00861334">
        <w:rPr>
          <w:noProof/>
        </w:rPr>
        <w:t xml:space="preserve">Clarke, D., &amp; Tapia-Schythe, K. (2021). Implementing the panel event study. </w:t>
      </w:r>
      <w:r w:rsidRPr="00861334">
        <w:rPr>
          <w:i/>
          <w:noProof/>
        </w:rPr>
        <w:t>The Stata Journal</w:t>
      </w:r>
      <w:r w:rsidRPr="00861334">
        <w:rPr>
          <w:noProof/>
        </w:rPr>
        <w:t>,</w:t>
      </w:r>
      <w:r w:rsidRPr="00861334">
        <w:rPr>
          <w:i/>
          <w:noProof/>
        </w:rPr>
        <w:t xml:space="preserve"> 21</w:t>
      </w:r>
      <w:r w:rsidRPr="00861334">
        <w:rPr>
          <w:noProof/>
        </w:rPr>
        <w:t xml:space="preserve">(4), 853-884. </w:t>
      </w:r>
    </w:p>
    <w:p w14:paraId="642AA070" w14:textId="77777777" w:rsidR="00861334" w:rsidRPr="00861334" w:rsidRDefault="00861334" w:rsidP="00861334">
      <w:pPr>
        <w:pStyle w:val="EndNoteBibliography"/>
        <w:ind w:left="720" w:hanging="720"/>
        <w:rPr>
          <w:noProof/>
        </w:rPr>
      </w:pPr>
      <w:r w:rsidRPr="00861334">
        <w:rPr>
          <w:noProof/>
        </w:rPr>
        <w:t xml:space="preserve">De Chaisemartin, C., &amp; D’Haultfoeuille, X. (2020). Two-way fixed effects estimators with heterogeneous treatment effects. </w:t>
      </w:r>
      <w:r w:rsidRPr="00861334">
        <w:rPr>
          <w:i/>
          <w:noProof/>
        </w:rPr>
        <w:t>American Economic Review</w:t>
      </w:r>
      <w:r w:rsidRPr="00861334">
        <w:rPr>
          <w:noProof/>
        </w:rPr>
        <w:t>,</w:t>
      </w:r>
      <w:r w:rsidRPr="00861334">
        <w:rPr>
          <w:i/>
          <w:noProof/>
        </w:rPr>
        <w:t xml:space="preserve"> 110</w:t>
      </w:r>
      <w:r w:rsidRPr="00861334">
        <w:rPr>
          <w:noProof/>
        </w:rPr>
        <w:t xml:space="preserve">(9), 2964-2996. </w:t>
      </w:r>
    </w:p>
    <w:p w14:paraId="5962FCE3" w14:textId="77777777" w:rsidR="00861334" w:rsidRPr="00861334" w:rsidRDefault="00861334" w:rsidP="00861334">
      <w:pPr>
        <w:pStyle w:val="EndNoteBibliography"/>
        <w:ind w:left="720" w:hanging="720"/>
        <w:rPr>
          <w:noProof/>
        </w:rPr>
      </w:pPr>
      <w:r w:rsidRPr="00861334">
        <w:rPr>
          <w:noProof/>
        </w:rPr>
        <w:t xml:space="preserve">Miller, D. L. (2023). An Introductory Guide to Event Study Models. </w:t>
      </w:r>
      <w:r w:rsidRPr="00861334">
        <w:rPr>
          <w:i/>
          <w:noProof/>
        </w:rPr>
        <w:t>Journal of Economic Perspectives</w:t>
      </w:r>
      <w:r w:rsidRPr="00861334">
        <w:rPr>
          <w:noProof/>
        </w:rPr>
        <w:t>,</w:t>
      </w:r>
      <w:r w:rsidRPr="00861334">
        <w:rPr>
          <w:i/>
          <w:noProof/>
        </w:rPr>
        <w:t xml:space="preserve"> 37</w:t>
      </w:r>
      <w:r w:rsidRPr="00861334">
        <w:rPr>
          <w:noProof/>
        </w:rPr>
        <w:t xml:space="preserve">(2), 203-230. </w:t>
      </w:r>
    </w:p>
    <w:p w14:paraId="2D005FF5" w14:textId="77777777" w:rsidR="00861334" w:rsidRPr="00861334" w:rsidRDefault="00861334" w:rsidP="00861334">
      <w:pPr>
        <w:pStyle w:val="EndNoteBibliography"/>
        <w:ind w:left="720" w:hanging="720"/>
        <w:rPr>
          <w:noProof/>
        </w:rPr>
      </w:pPr>
      <w:r w:rsidRPr="00861334">
        <w:rPr>
          <w:noProof/>
        </w:rPr>
        <w:t xml:space="preserve">Rambachan, A., &amp; Roth, J. (2023). A more credible approach to parallel trends. </w:t>
      </w:r>
      <w:r w:rsidRPr="00861334">
        <w:rPr>
          <w:i/>
          <w:noProof/>
        </w:rPr>
        <w:t>Review of Economic Studies</w:t>
      </w:r>
      <w:r w:rsidRPr="00861334">
        <w:rPr>
          <w:noProof/>
        </w:rPr>
        <w:t xml:space="preserve">, rdad018. </w:t>
      </w:r>
    </w:p>
    <w:p w14:paraId="52F0C32B" w14:textId="77777777" w:rsidR="00861334" w:rsidRPr="00861334" w:rsidRDefault="00861334" w:rsidP="00861334">
      <w:pPr>
        <w:pStyle w:val="EndNoteBibliography"/>
        <w:ind w:left="720" w:hanging="720"/>
        <w:rPr>
          <w:noProof/>
        </w:rPr>
      </w:pPr>
      <w:r w:rsidRPr="00861334">
        <w:rPr>
          <w:noProof/>
        </w:rPr>
        <w:t xml:space="preserve">Sun, L., &amp; Abraham, S. (2021). Estimating dynamic treatment effects in event studies with heterogeneous treatment effects. </w:t>
      </w:r>
      <w:r w:rsidRPr="00861334">
        <w:rPr>
          <w:i/>
          <w:noProof/>
        </w:rPr>
        <w:t>Journal of Econometrics</w:t>
      </w:r>
      <w:r w:rsidRPr="00861334">
        <w:rPr>
          <w:noProof/>
        </w:rPr>
        <w:t>,</w:t>
      </w:r>
      <w:r w:rsidRPr="00861334">
        <w:rPr>
          <w:i/>
          <w:noProof/>
        </w:rPr>
        <w:t xml:space="preserve"> 225</w:t>
      </w:r>
      <w:r w:rsidRPr="00861334">
        <w:rPr>
          <w:noProof/>
        </w:rPr>
        <w:t xml:space="preserve">(2), 175-199. </w:t>
      </w:r>
    </w:p>
    <w:p w14:paraId="2832A52C" w14:textId="64BE7B85" w:rsidR="00861334" w:rsidRPr="00861334" w:rsidRDefault="00861334" w:rsidP="00861334">
      <w:pPr>
        <w:pStyle w:val="EndNoteBibliography"/>
        <w:ind w:left="720" w:hanging="720"/>
        <w:rPr>
          <w:noProof/>
        </w:rPr>
      </w:pPr>
      <w:r w:rsidRPr="00861334">
        <w:rPr>
          <w:noProof/>
        </w:rPr>
        <w:t xml:space="preserve">United States Department of Agriculture. (04/04/2023). </w:t>
      </w:r>
      <w:r w:rsidRPr="00861334">
        <w:rPr>
          <w:i/>
          <w:noProof/>
        </w:rPr>
        <w:t>WIC Eligibility Requirements</w:t>
      </w:r>
      <w:r w:rsidRPr="00861334">
        <w:rPr>
          <w:noProof/>
        </w:rPr>
        <w:t xml:space="preserve">. Retrieved Oct 31 from </w:t>
      </w:r>
      <w:hyperlink r:id="rId23" w:history="1">
        <w:r w:rsidRPr="00861334">
          <w:rPr>
            <w:rStyle w:val="Hyperlink"/>
            <w:noProof/>
          </w:rPr>
          <w:t>https://www.fns.usda.gov/wic/wic-eligibility-requirements</w:t>
        </w:r>
      </w:hyperlink>
    </w:p>
    <w:p w14:paraId="448EE4DC" w14:textId="2A2352F7" w:rsidR="004E3739" w:rsidRPr="00BB39C9" w:rsidRDefault="004E3739" w:rsidP="004E3739">
      <w:pPr>
        <w:rPr>
          <w:rFonts w:ascii="Arial" w:hAnsi="Arial" w:cs="Arial"/>
          <w:color w:val="000000" w:themeColor="text1"/>
          <w:sz w:val="20"/>
          <w:szCs w:val="20"/>
        </w:rPr>
      </w:pPr>
      <w:r w:rsidRPr="004E2853">
        <w:rPr>
          <w:rFonts w:ascii="Arial" w:hAnsi="Arial" w:cs="Arial"/>
          <w:color w:val="000000" w:themeColor="text1"/>
          <w:sz w:val="20"/>
          <w:szCs w:val="20"/>
        </w:rPr>
        <w:fldChar w:fldCharType="end"/>
      </w:r>
    </w:p>
    <w:p w14:paraId="38EEAFA7" w14:textId="77777777" w:rsidR="004E3739" w:rsidRPr="00BB39C9" w:rsidRDefault="004E3739" w:rsidP="004E3739">
      <w:pPr>
        <w:rPr>
          <w:rFonts w:ascii="Arial" w:hAnsi="Arial" w:cs="Arial"/>
          <w:color w:val="000000" w:themeColor="text1"/>
          <w:sz w:val="20"/>
          <w:szCs w:val="20"/>
        </w:rPr>
      </w:pPr>
    </w:p>
    <w:p w14:paraId="37D56A71" w14:textId="77777777" w:rsidR="00B057AD" w:rsidRPr="00BB39C9" w:rsidRDefault="00B057AD">
      <w:pPr>
        <w:rPr>
          <w:rFonts w:ascii="Arial" w:hAnsi="Arial" w:cs="Arial"/>
          <w:sz w:val="20"/>
          <w:szCs w:val="20"/>
        </w:rPr>
      </w:pPr>
    </w:p>
    <w:sectPr w:rsidR="00B057AD" w:rsidRPr="00BB39C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BC8FCF" w14:textId="77777777" w:rsidR="00B22D91" w:rsidRDefault="00B22D91" w:rsidP="005F6A44">
      <w:r>
        <w:separator/>
      </w:r>
    </w:p>
  </w:endnote>
  <w:endnote w:type="continuationSeparator" w:id="0">
    <w:p w14:paraId="4D95485E" w14:textId="77777777" w:rsidR="00B22D91" w:rsidRDefault="00B22D91" w:rsidP="005F6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51027569"/>
      <w:docPartObj>
        <w:docPartGallery w:val="Page Numbers (Bottom of Page)"/>
        <w:docPartUnique/>
      </w:docPartObj>
    </w:sdtPr>
    <w:sdtContent>
      <w:p w14:paraId="557D03A5" w14:textId="3AA1998F" w:rsidR="005F6A44" w:rsidRDefault="005F6A44" w:rsidP="003176D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54CCB">
          <w:rPr>
            <w:rStyle w:val="PageNumber"/>
            <w:noProof/>
          </w:rPr>
          <w:t>9</w:t>
        </w:r>
        <w:r>
          <w:rPr>
            <w:rStyle w:val="PageNumber"/>
          </w:rPr>
          <w:fldChar w:fldCharType="end"/>
        </w:r>
      </w:p>
    </w:sdtContent>
  </w:sdt>
  <w:p w14:paraId="6CA6C914" w14:textId="77777777" w:rsidR="005F6A44" w:rsidRDefault="005F6A44" w:rsidP="005F6A4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113124907"/>
      <w:docPartObj>
        <w:docPartGallery w:val="Page Numbers (Bottom of Page)"/>
        <w:docPartUnique/>
      </w:docPartObj>
    </w:sdtPr>
    <w:sdtContent>
      <w:p w14:paraId="2BE904F8" w14:textId="77CA13A3" w:rsidR="005F6A44" w:rsidRDefault="005F6A44" w:rsidP="003176D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11DB657" w14:textId="77777777" w:rsidR="005F6A44" w:rsidRDefault="005F6A44" w:rsidP="005F6A4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0CDDAE" w14:textId="77777777" w:rsidR="00B22D91" w:rsidRDefault="00B22D91" w:rsidP="005F6A44">
      <w:r>
        <w:separator/>
      </w:r>
    </w:p>
  </w:footnote>
  <w:footnote w:type="continuationSeparator" w:id="0">
    <w:p w14:paraId="0BA38DE8" w14:textId="77777777" w:rsidR="00B22D91" w:rsidRDefault="00B22D91" w:rsidP="005F6A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24EF1"/>
    <w:multiLevelType w:val="hybridMultilevel"/>
    <w:tmpl w:val="8CBA57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D95D95"/>
    <w:multiLevelType w:val="hybridMultilevel"/>
    <w:tmpl w:val="A9B2B54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2EF1085"/>
    <w:multiLevelType w:val="hybridMultilevel"/>
    <w:tmpl w:val="DE7CDF70"/>
    <w:lvl w:ilvl="0" w:tplc="04090001">
      <w:start w:val="1"/>
      <w:numFmt w:val="bullet"/>
      <w:lvlText w:val=""/>
      <w:lvlJc w:val="left"/>
      <w:pPr>
        <w:ind w:left="1048" w:hanging="360"/>
      </w:pPr>
      <w:rPr>
        <w:rFonts w:ascii="Symbol" w:hAnsi="Symbol" w:hint="default"/>
      </w:rPr>
    </w:lvl>
    <w:lvl w:ilvl="1" w:tplc="04090003">
      <w:start w:val="1"/>
      <w:numFmt w:val="bullet"/>
      <w:lvlText w:val="o"/>
      <w:lvlJc w:val="left"/>
      <w:pPr>
        <w:ind w:left="1768" w:hanging="360"/>
      </w:pPr>
      <w:rPr>
        <w:rFonts w:ascii="Courier New" w:hAnsi="Courier New" w:cs="Courier New" w:hint="default"/>
      </w:rPr>
    </w:lvl>
    <w:lvl w:ilvl="2" w:tplc="04090005">
      <w:start w:val="1"/>
      <w:numFmt w:val="bullet"/>
      <w:lvlText w:val=""/>
      <w:lvlJc w:val="left"/>
      <w:pPr>
        <w:ind w:left="2488" w:hanging="360"/>
      </w:pPr>
      <w:rPr>
        <w:rFonts w:ascii="Wingdings" w:hAnsi="Wingdings" w:hint="default"/>
      </w:rPr>
    </w:lvl>
    <w:lvl w:ilvl="3" w:tplc="04090001" w:tentative="1">
      <w:start w:val="1"/>
      <w:numFmt w:val="bullet"/>
      <w:lvlText w:val=""/>
      <w:lvlJc w:val="left"/>
      <w:pPr>
        <w:ind w:left="3208" w:hanging="360"/>
      </w:pPr>
      <w:rPr>
        <w:rFonts w:ascii="Symbol" w:hAnsi="Symbol" w:hint="default"/>
      </w:rPr>
    </w:lvl>
    <w:lvl w:ilvl="4" w:tplc="04090003" w:tentative="1">
      <w:start w:val="1"/>
      <w:numFmt w:val="bullet"/>
      <w:lvlText w:val="o"/>
      <w:lvlJc w:val="left"/>
      <w:pPr>
        <w:ind w:left="3928" w:hanging="360"/>
      </w:pPr>
      <w:rPr>
        <w:rFonts w:ascii="Courier New" w:hAnsi="Courier New" w:cs="Courier New" w:hint="default"/>
      </w:rPr>
    </w:lvl>
    <w:lvl w:ilvl="5" w:tplc="04090005" w:tentative="1">
      <w:start w:val="1"/>
      <w:numFmt w:val="bullet"/>
      <w:lvlText w:val=""/>
      <w:lvlJc w:val="left"/>
      <w:pPr>
        <w:ind w:left="4648" w:hanging="360"/>
      </w:pPr>
      <w:rPr>
        <w:rFonts w:ascii="Wingdings" w:hAnsi="Wingdings" w:hint="default"/>
      </w:rPr>
    </w:lvl>
    <w:lvl w:ilvl="6" w:tplc="04090001" w:tentative="1">
      <w:start w:val="1"/>
      <w:numFmt w:val="bullet"/>
      <w:lvlText w:val=""/>
      <w:lvlJc w:val="left"/>
      <w:pPr>
        <w:ind w:left="5368" w:hanging="360"/>
      </w:pPr>
      <w:rPr>
        <w:rFonts w:ascii="Symbol" w:hAnsi="Symbol" w:hint="default"/>
      </w:rPr>
    </w:lvl>
    <w:lvl w:ilvl="7" w:tplc="04090003" w:tentative="1">
      <w:start w:val="1"/>
      <w:numFmt w:val="bullet"/>
      <w:lvlText w:val="o"/>
      <w:lvlJc w:val="left"/>
      <w:pPr>
        <w:ind w:left="6088" w:hanging="360"/>
      </w:pPr>
      <w:rPr>
        <w:rFonts w:ascii="Courier New" w:hAnsi="Courier New" w:cs="Courier New" w:hint="default"/>
      </w:rPr>
    </w:lvl>
    <w:lvl w:ilvl="8" w:tplc="04090005" w:tentative="1">
      <w:start w:val="1"/>
      <w:numFmt w:val="bullet"/>
      <w:lvlText w:val=""/>
      <w:lvlJc w:val="left"/>
      <w:pPr>
        <w:ind w:left="6808" w:hanging="360"/>
      </w:pPr>
      <w:rPr>
        <w:rFonts w:ascii="Wingdings" w:hAnsi="Wingdings" w:hint="default"/>
      </w:rPr>
    </w:lvl>
  </w:abstractNum>
  <w:abstractNum w:abstractNumId="3" w15:restartNumberingAfterBreak="0">
    <w:nsid w:val="4BBE7775"/>
    <w:multiLevelType w:val="hybridMultilevel"/>
    <w:tmpl w:val="1706A112"/>
    <w:lvl w:ilvl="0" w:tplc="C12687BA">
      <w:start w:val="1"/>
      <w:numFmt w:val="bullet"/>
      <w:lvlText w:val="•"/>
      <w:lvlJc w:val="left"/>
      <w:pPr>
        <w:tabs>
          <w:tab w:val="num" w:pos="720"/>
        </w:tabs>
        <w:ind w:left="720" w:hanging="360"/>
      </w:pPr>
      <w:rPr>
        <w:rFonts w:ascii="Arial" w:hAnsi="Arial" w:hint="default"/>
      </w:rPr>
    </w:lvl>
    <w:lvl w:ilvl="1" w:tplc="7DA23122">
      <w:numFmt w:val="bullet"/>
      <w:lvlText w:val="•"/>
      <w:lvlJc w:val="left"/>
      <w:pPr>
        <w:tabs>
          <w:tab w:val="num" w:pos="1440"/>
        </w:tabs>
        <w:ind w:left="1440" w:hanging="360"/>
      </w:pPr>
      <w:rPr>
        <w:rFonts w:ascii="Arial" w:hAnsi="Arial" w:hint="default"/>
      </w:rPr>
    </w:lvl>
    <w:lvl w:ilvl="2" w:tplc="75D87B54" w:tentative="1">
      <w:start w:val="1"/>
      <w:numFmt w:val="bullet"/>
      <w:lvlText w:val="•"/>
      <w:lvlJc w:val="left"/>
      <w:pPr>
        <w:tabs>
          <w:tab w:val="num" w:pos="2160"/>
        </w:tabs>
        <w:ind w:left="2160" w:hanging="360"/>
      </w:pPr>
      <w:rPr>
        <w:rFonts w:ascii="Arial" w:hAnsi="Arial" w:hint="default"/>
      </w:rPr>
    </w:lvl>
    <w:lvl w:ilvl="3" w:tplc="D65C1C14" w:tentative="1">
      <w:start w:val="1"/>
      <w:numFmt w:val="bullet"/>
      <w:lvlText w:val="•"/>
      <w:lvlJc w:val="left"/>
      <w:pPr>
        <w:tabs>
          <w:tab w:val="num" w:pos="2880"/>
        </w:tabs>
        <w:ind w:left="2880" w:hanging="360"/>
      </w:pPr>
      <w:rPr>
        <w:rFonts w:ascii="Arial" w:hAnsi="Arial" w:hint="default"/>
      </w:rPr>
    </w:lvl>
    <w:lvl w:ilvl="4" w:tplc="81FC0922" w:tentative="1">
      <w:start w:val="1"/>
      <w:numFmt w:val="bullet"/>
      <w:lvlText w:val="•"/>
      <w:lvlJc w:val="left"/>
      <w:pPr>
        <w:tabs>
          <w:tab w:val="num" w:pos="3600"/>
        </w:tabs>
        <w:ind w:left="3600" w:hanging="360"/>
      </w:pPr>
      <w:rPr>
        <w:rFonts w:ascii="Arial" w:hAnsi="Arial" w:hint="default"/>
      </w:rPr>
    </w:lvl>
    <w:lvl w:ilvl="5" w:tplc="B5B8DD32" w:tentative="1">
      <w:start w:val="1"/>
      <w:numFmt w:val="bullet"/>
      <w:lvlText w:val="•"/>
      <w:lvlJc w:val="left"/>
      <w:pPr>
        <w:tabs>
          <w:tab w:val="num" w:pos="4320"/>
        </w:tabs>
        <w:ind w:left="4320" w:hanging="360"/>
      </w:pPr>
      <w:rPr>
        <w:rFonts w:ascii="Arial" w:hAnsi="Arial" w:hint="default"/>
      </w:rPr>
    </w:lvl>
    <w:lvl w:ilvl="6" w:tplc="5F0CB21C" w:tentative="1">
      <w:start w:val="1"/>
      <w:numFmt w:val="bullet"/>
      <w:lvlText w:val="•"/>
      <w:lvlJc w:val="left"/>
      <w:pPr>
        <w:tabs>
          <w:tab w:val="num" w:pos="5040"/>
        </w:tabs>
        <w:ind w:left="5040" w:hanging="360"/>
      </w:pPr>
      <w:rPr>
        <w:rFonts w:ascii="Arial" w:hAnsi="Arial" w:hint="default"/>
      </w:rPr>
    </w:lvl>
    <w:lvl w:ilvl="7" w:tplc="89480830" w:tentative="1">
      <w:start w:val="1"/>
      <w:numFmt w:val="bullet"/>
      <w:lvlText w:val="•"/>
      <w:lvlJc w:val="left"/>
      <w:pPr>
        <w:tabs>
          <w:tab w:val="num" w:pos="5760"/>
        </w:tabs>
        <w:ind w:left="5760" w:hanging="360"/>
      </w:pPr>
      <w:rPr>
        <w:rFonts w:ascii="Arial" w:hAnsi="Arial" w:hint="default"/>
      </w:rPr>
    </w:lvl>
    <w:lvl w:ilvl="8" w:tplc="8110AA8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96F2F02"/>
    <w:multiLevelType w:val="hybridMultilevel"/>
    <w:tmpl w:val="524CAEF4"/>
    <w:lvl w:ilvl="0" w:tplc="5D00564A">
      <w:start w:val="1"/>
      <w:numFmt w:val="bullet"/>
      <w:lvlText w:val="•"/>
      <w:lvlJc w:val="left"/>
      <w:pPr>
        <w:tabs>
          <w:tab w:val="num" w:pos="720"/>
        </w:tabs>
        <w:ind w:left="720" w:hanging="360"/>
      </w:pPr>
      <w:rPr>
        <w:rFonts w:ascii="Arial" w:hAnsi="Arial" w:hint="default"/>
      </w:rPr>
    </w:lvl>
    <w:lvl w:ilvl="1" w:tplc="DAA0BF52">
      <w:start w:val="1"/>
      <w:numFmt w:val="bullet"/>
      <w:lvlText w:val="•"/>
      <w:lvlJc w:val="left"/>
      <w:pPr>
        <w:tabs>
          <w:tab w:val="num" w:pos="1440"/>
        </w:tabs>
        <w:ind w:left="1440" w:hanging="360"/>
      </w:pPr>
      <w:rPr>
        <w:rFonts w:ascii="Arial" w:hAnsi="Arial" w:hint="default"/>
      </w:rPr>
    </w:lvl>
    <w:lvl w:ilvl="2" w:tplc="23E68674">
      <w:start w:val="1"/>
      <w:numFmt w:val="decimal"/>
      <w:lvlText w:val="%3."/>
      <w:lvlJc w:val="left"/>
      <w:pPr>
        <w:tabs>
          <w:tab w:val="num" w:pos="2160"/>
        </w:tabs>
        <w:ind w:left="2160" w:hanging="360"/>
      </w:pPr>
    </w:lvl>
    <w:lvl w:ilvl="3" w:tplc="73ECBEE8" w:tentative="1">
      <w:start w:val="1"/>
      <w:numFmt w:val="bullet"/>
      <w:lvlText w:val="•"/>
      <w:lvlJc w:val="left"/>
      <w:pPr>
        <w:tabs>
          <w:tab w:val="num" w:pos="2880"/>
        </w:tabs>
        <w:ind w:left="2880" w:hanging="360"/>
      </w:pPr>
      <w:rPr>
        <w:rFonts w:ascii="Arial" w:hAnsi="Arial" w:hint="default"/>
      </w:rPr>
    </w:lvl>
    <w:lvl w:ilvl="4" w:tplc="4A923620" w:tentative="1">
      <w:start w:val="1"/>
      <w:numFmt w:val="bullet"/>
      <w:lvlText w:val="•"/>
      <w:lvlJc w:val="left"/>
      <w:pPr>
        <w:tabs>
          <w:tab w:val="num" w:pos="3600"/>
        </w:tabs>
        <w:ind w:left="3600" w:hanging="360"/>
      </w:pPr>
      <w:rPr>
        <w:rFonts w:ascii="Arial" w:hAnsi="Arial" w:hint="default"/>
      </w:rPr>
    </w:lvl>
    <w:lvl w:ilvl="5" w:tplc="C16E4A96" w:tentative="1">
      <w:start w:val="1"/>
      <w:numFmt w:val="bullet"/>
      <w:lvlText w:val="•"/>
      <w:lvlJc w:val="left"/>
      <w:pPr>
        <w:tabs>
          <w:tab w:val="num" w:pos="4320"/>
        </w:tabs>
        <w:ind w:left="4320" w:hanging="360"/>
      </w:pPr>
      <w:rPr>
        <w:rFonts w:ascii="Arial" w:hAnsi="Arial" w:hint="default"/>
      </w:rPr>
    </w:lvl>
    <w:lvl w:ilvl="6" w:tplc="D6E46AD6" w:tentative="1">
      <w:start w:val="1"/>
      <w:numFmt w:val="bullet"/>
      <w:lvlText w:val="•"/>
      <w:lvlJc w:val="left"/>
      <w:pPr>
        <w:tabs>
          <w:tab w:val="num" w:pos="5040"/>
        </w:tabs>
        <w:ind w:left="5040" w:hanging="360"/>
      </w:pPr>
      <w:rPr>
        <w:rFonts w:ascii="Arial" w:hAnsi="Arial" w:hint="default"/>
      </w:rPr>
    </w:lvl>
    <w:lvl w:ilvl="7" w:tplc="16E2375C" w:tentative="1">
      <w:start w:val="1"/>
      <w:numFmt w:val="bullet"/>
      <w:lvlText w:val="•"/>
      <w:lvlJc w:val="left"/>
      <w:pPr>
        <w:tabs>
          <w:tab w:val="num" w:pos="5760"/>
        </w:tabs>
        <w:ind w:left="5760" w:hanging="360"/>
      </w:pPr>
      <w:rPr>
        <w:rFonts w:ascii="Arial" w:hAnsi="Arial" w:hint="default"/>
      </w:rPr>
    </w:lvl>
    <w:lvl w:ilvl="8" w:tplc="0CB84AE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6BDB7FB6"/>
    <w:multiLevelType w:val="hybridMultilevel"/>
    <w:tmpl w:val="69929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1F7FF1"/>
    <w:multiLevelType w:val="hybridMultilevel"/>
    <w:tmpl w:val="1576C8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F31FD7"/>
    <w:multiLevelType w:val="hybridMultilevel"/>
    <w:tmpl w:val="E18C42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7A6A4A"/>
    <w:multiLevelType w:val="hybridMultilevel"/>
    <w:tmpl w:val="B39E3E58"/>
    <w:lvl w:ilvl="0" w:tplc="10981CAE">
      <w:start w:val="1"/>
      <w:numFmt w:val="bullet"/>
      <w:lvlText w:val="•"/>
      <w:lvlJc w:val="left"/>
      <w:pPr>
        <w:tabs>
          <w:tab w:val="num" w:pos="720"/>
        </w:tabs>
        <w:ind w:left="720" w:hanging="360"/>
      </w:pPr>
      <w:rPr>
        <w:rFonts w:ascii="Arial" w:hAnsi="Arial" w:hint="default"/>
      </w:rPr>
    </w:lvl>
    <w:lvl w:ilvl="1" w:tplc="9F7611C6">
      <w:numFmt w:val="bullet"/>
      <w:lvlText w:val="•"/>
      <w:lvlJc w:val="left"/>
      <w:pPr>
        <w:tabs>
          <w:tab w:val="num" w:pos="1440"/>
        </w:tabs>
        <w:ind w:left="1440" w:hanging="360"/>
      </w:pPr>
      <w:rPr>
        <w:rFonts w:ascii="Arial" w:hAnsi="Arial" w:hint="default"/>
      </w:rPr>
    </w:lvl>
    <w:lvl w:ilvl="2" w:tplc="5AD2A3C4" w:tentative="1">
      <w:start w:val="1"/>
      <w:numFmt w:val="bullet"/>
      <w:lvlText w:val="•"/>
      <w:lvlJc w:val="left"/>
      <w:pPr>
        <w:tabs>
          <w:tab w:val="num" w:pos="2160"/>
        </w:tabs>
        <w:ind w:left="2160" w:hanging="360"/>
      </w:pPr>
      <w:rPr>
        <w:rFonts w:ascii="Arial" w:hAnsi="Arial" w:hint="default"/>
      </w:rPr>
    </w:lvl>
    <w:lvl w:ilvl="3" w:tplc="3CD07854" w:tentative="1">
      <w:start w:val="1"/>
      <w:numFmt w:val="bullet"/>
      <w:lvlText w:val="•"/>
      <w:lvlJc w:val="left"/>
      <w:pPr>
        <w:tabs>
          <w:tab w:val="num" w:pos="2880"/>
        </w:tabs>
        <w:ind w:left="2880" w:hanging="360"/>
      </w:pPr>
      <w:rPr>
        <w:rFonts w:ascii="Arial" w:hAnsi="Arial" w:hint="default"/>
      </w:rPr>
    </w:lvl>
    <w:lvl w:ilvl="4" w:tplc="A7B691F2" w:tentative="1">
      <w:start w:val="1"/>
      <w:numFmt w:val="bullet"/>
      <w:lvlText w:val="•"/>
      <w:lvlJc w:val="left"/>
      <w:pPr>
        <w:tabs>
          <w:tab w:val="num" w:pos="3600"/>
        </w:tabs>
        <w:ind w:left="3600" w:hanging="360"/>
      </w:pPr>
      <w:rPr>
        <w:rFonts w:ascii="Arial" w:hAnsi="Arial" w:hint="default"/>
      </w:rPr>
    </w:lvl>
    <w:lvl w:ilvl="5" w:tplc="7C7C3684" w:tentative="1">
      <w:start w:val="1"/>
      <w:numFmt w:val="bullet"/>
      <w:lvlText w:val="•"/>
      <w:lvlJc w:val="left"/>
      <w:pPr>
        <w:tabs>
          <w:tab w:val="num" w:pos="4320"/>
        </w:tabs>
        <w:ind w:left="4320" w:hanging="360"/>
      </w:pPr>
      <w:rPr>
        <w:rFonts w:ascii="Arial" w:hAnsi="Arial" w:hint="default"/>
      </w:rPr>
    </w:lvl>
    <w:lvl w:ilvl="6" w:tplc="C87267B0" w:tentative="1">
      <w:start w:val="1"/>
      <w:numFmt w:val="bullet"/>
      <w:lvlText w:val="•"/>
      <w:lvlJc w:val="left"/>
      <w:pPr>
        <w:tabs>
          <w:tab w:val="num" w:pos="5040"/>
        </w:tabs>
        <w:ind w:left="5040" w:hanging="360"/>
      </w:pPr>
      <w:rPr>
        <w:rFonts w:ascii="Arial" w:hAnsi="Arial" w:hint="default"/>
      </w:rPr>
    </w:lvl>
    <w:lvl w:ilvl="7" w:tplc="58CE56D2" w:tentative="1">
      <w:start w:val="1"/>
      <w:numFmt w:val="bullet"/>
      <w:lvlText w:val="•"/>
      <w:lvlJc w:val="left"/>
      <w:pPr>
        <w:tabs>
          <w:tab w:val="num" w:pos="5760"/>
        </w:tabs>
        <w:ind w:left="5760" w:hanging="360"/>
      </w:pPr>
      <w:rPr>
        <w:rFonts w:ascii="Arial" w:hAnsi="Arial" w:hint="default"/>
      </w:rPr>
    </w:lvl>
    <w:lvl w:ilvl="8" w:tplc="42448C66" w:tentative="1">
      <w:start w:val="1"/>
      <w:numFmt w:val="bullet"/>
      <w:lvlText w:val="•"/>
      <w:lvlJc w:val="left"/>
      <w:pPr>
        <w:tabs>
          <w:tab w:val="num" w:pos="6480"/>
        </w:tabs>
        <w:ind w:left="6480" w:hanging="360"/>
      </w:pPr>
      <w:rPr>
        <w:rFonts w:ascii="Arial" w:hAnsi="Arial" w:hint="default"/>
      </w:rPr>
    </w:lvl>
  </w:abstractNum>
  <w:num w:numId="1" w16cid:durableId="1892765843">
    <w:abstractNumId w:val="5"/>
  </w:num>
  <w:num w:numId="2" w16cid:durableId="184945590">
    <w:abstractNumId w:val="0"/>
  </w:num>
  <w:num w:numId="3" w16cid:durableId="386682061">
    <w:abstractNumId w:val="1"/>
  </w:num>
  <w:num w:numId="4" w16cid:durableId="1948655967">
    <w:abstractNumId w:val="4"/>
  </w:num>
  <w:num w:numId="5" w16cid:durableId="1726945848">
    <w:abstractNumId w:val="8"/>
  </w:num>
  <w:num w:numId="6" w16cid:durableId="1292588929">
    <w:abstractNumId w:val="2"/>
  </w:num>
  <w:num w:numId="7" w16cid:durableId="82266616">
    <w:abstractNumId w:val="6"/>
  </w:num>
  <w:num w:numId="8" w16cid:durableId="790441505">
    <w:abstractNumId w:val="3"/>
  </w:num>
  <w:num w:numId="9" w16cid:durableId="12152409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6"/>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PA 7th&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xswwdxf4wp52jev9aq50t5ft9wfzzv9xass&quot;&gt;My EndNote Library&lt;record-ids&gt;&lt;item&gt;251&lt;/item&gt;&lt;item&gt;256&lt;/item&gt;&lt;item&gt;367&lt;/item&gt;&lt;item&gt;394&lt;/item&gt;&lt;item&gt;397&lt;/item&gt;&lt;item&gt;414&lt;/item&gt;&lt;item&gt;420&lt;/item&gt;&lt;item&gt;475&lt;/item&gt;&lt;/record-ids&gt;&lt;/item&gt;&lt;/Libraries&gt;"/>
  </w:docVars>
  <w:rsids>
    <w:rsidRoot w:val="004E3739"/>
    <w:rsid w:val="00006826"/>
    <w:rsid w:val="00011B66"/>
    <w:rsid w:val="00020FDB"/>
    <w:rsid w:val="00021590"/>
    <w:rsid w:val="00025200"/>
    <w:rsid w:val="00034F32"/>
    <w:rsid w:val="00036047"/>
    <w:rsid w:val="0003694C"/>
    <w:rsid w:val="00046096"/>
    <w:rsid w:val="00063E50"/>
    <w:rsid w:val="000662AC"/>
    <w:rsid w:val="00096FBF"/>
    <w:rsid w:val="000A194C"/>
    <w:rsid w:val="000A38E2"/>
    <w:rsid w:val="000A519C"/>
    <w:rsid w:val="000B51C9"/>
    <w:rsid w:val="000C67AC"/>
    <w:rsid w:val="000D325F"/>
    <w:rsid w:val="000F1162"/>
    <w:rsid w:val="00105010"/>
    <w:rsid w:val="00137DAF"/>
    <w:rsid w:val="00154CCB"/>
    <w:rsid w:val="001646FE"/>
    <w:rsid w:val="00191892"/>
    <w:rsid w:val="001A2D1F"/>
    <w:rsid w:val="001A5867"/>
    <w:rsid w:val="001B1E5A"/>
    <w:rsid w:val="001C215E"/>
    <w:rsid w:val="001C245C"/>
    <w:rsid w:val="001C54CC"/>
    <w:rsid w:val="001C7624"/>
    <w:rsid w:val="001D5563"/>
    <w:rsid w:val="001F072C"/>
    <w:rsid w:val="00215732"/>
    <w:rsid w:val="002210DD"/>
    <w:rsid w:val="002218B1"/>
    <w:rsid w:val="0023270C"/>
    <w:rsid w:val="00240CAA"/>
    <w:rsid w:val="00243B3A"/>
    <w:rsid w:val="002A2482"/>
    <w:rsid w:val="002A66D6"/>
    <w:rsid w:val="002D10C0"/>
    <w:rsid w:val="002F4230"/>
    <w:rsid w:val="00300DE9"/>
    <w:rsid w:val="00305833"/>
    <w:rsid w:val="00312DC9"/>
    <w:rsid w:val="00314615"/>
    <w:rsid w:val="0033405D"/>
    <w:rsid w:val="003417E0"/>
    <w:rsid w:val="00357D73"/>
    <w:rsid w:val="00373559"/>
    <w:rsid w:val="003757A2"/>
    <w:rsid w:val="003B4FD5"/>
    <w:rsid w:val="003B6E6D"/>
    <w:rsid w:val="003C5206"/>
    <w:rsid w:val="003D5F13"/>
    <w:rsid w:val="003D7663"/>
    <w:rsid w:val="003E67B6"/>
    <w:rsid w:val="003F1A9F"/>
    <w:rsid w:val="003F3728"/>
    <w:rsid w:val="003F7646"/>
    <w:rsid w:val="004021BD"/>
    <w:rsid w:val="00416173"/>
    <w:rsid w:val="004231BE"/>
    <w:rsid w:val="0043233A"/>
    <w:rsid w:val="00436EEC"/>
    <w:rsid w:val="00454243"/>
    <w:rsid w:val="0045487E"/>
    <w:rsid w:val="004B5274"/>
    <w:rsid w:val="004C0E96"/>
    <w:rsid w:val="004C2E14"/>
    <w:rsid w:val="004C4F3C"/>
    <w:rsid w:val="004D1B89"/>
    <w:rsid w:val="004D38DC"/>
    <w:rsid w:val="004D7F98"/>
    <w:rsid w:val="004E22FF"/>
    <w:rsid w:val="004E2853"/>
    <w:rsid w:val="004E3739"/>
    <w:rsid w:val="00510F4C"/>
    <w:rsid w:val="005161EB"/>
    <w:rsid w:val="005343AE"/>
    <w:rsid w:val="005521C9"/>
    <w:rsid w:val="00555A31"/>
    <w:rsid w:val="0056426E"/>
    <w:rsid w:val="00573781"/>
    <w:rsid w:val="005750A9"/>
    <w:rsid w:val="005B01DC"/>
    <w:rsid w:val="005C4334"/>
    <w:rsid w:val="005C7E6B"/>
    <w:rsid w:val="005D5BBB"/>
    <w:rsid w:val="005F3873"/>
    <w:rsid w:val="005F6A44"/>
    <w:rsid w:val="00600678"/>
    <w:rsid w:val="0060158C"/>
    <w:rsid w:val="00651888"/>
    <w:rsid w:val="00667188"/>
    <w:rsid w:val="0067299A"/>
    <w:rsid w:val="006836CB"/>
    <w:rsid w:val="006C4598"/>
    <w:rsid w:val="006D56CC"/>
    <w:rsid w:val="006E05BA"/>
    <w:rsid w:val="006E1B7F"/>
    <w:rsid w:val="007048CB"/>
    <w:rsid w:val="0071553C"/>
    <w:rsid w:val="0072678F"/>
    <w:rsid w:val="007343C9"/>
    <w:rsid w:val="00743EE1"/>
    <w:rsid w:val="00750137"/>
    <w:rsid w:val="00754BF6"/>
    <w:rsid w:val="007561F3"/>
    <w:rsid w:val="0075700F"/>
    <w:rsid w:val="007A6A90"/>
    <w:rsid w:val="007C0084"/>
    <w:rsid w:val="007C5B77"/>
    <w:rsid w:val="007D4C7D"/>
    <w:rsid w:val="007F4CCD"/>
    <w:rsid w:val="007F701A"/>
    <w:rsid w:val="007F7260"/>
    <w:rsid w:val="008133BE"/>
    <w:rsid w:val="00822371"/>
    <w:rsid w:val="008276F2"/>
    <w:rsid w:val="008479C7"/>
    <w:rsid w:val="00860266"/>
    <w:rsid w:val="00861334"/>
    <w:rsid w:val="00866B9B"/>
    <w:rsid w:val="00882EEF"/>
    <w:rsid w:val="00891BFC"/>
    <w:rsid w:val="00894925"/>
    <w:rsid w:val="008B522B"/>
    <w:rsid w:val="008C1635"/>
    <w:rsid w:val="008D5F4C"/>
    <w:rsid w:val="008D6515"/>
    <w:rsid w:val="00901497"/>
    <w:rsid w:val="00906C17"/>
    <w:rsid w:val="009128B4"/>
    <w:rsid w:val="00914CD7"/>
    <w:rsid w:val="00927D35"/>
    <w:rsid w:val="00964EC1"/>
    <w:rsid w:val="00973077"/>
    <w:rsid w:val="00974B56"/>
    <w:rsid w:val="00982C6A"/>
    <w:rsid w:val="009A37CD"/>
    <w:rsid w:val="009B348A"/>
    <w:rsid w:val="009B3703"/>
    <w:rsid w:val="009D7CE7"/>
    <w:rsid w:val="00A3015C"/>
    <w:rsid w:val="00A35765"/>
    <w:rsid w:val="00A35C5C"/>
    <w:rsid w:val="00A407E8"/>
    <w:rsid w:val="00A524D0"/>
    <w:rsid w:val="00A567AD"/>
    <w:rsid w:val="00A62435"/>
    <w:rsid w:val="00A67036"/>
    <w:rsid w:val="00A679C1"/>
    <w:rsid w:val="00A7019B"/>
    <w:rsid w:val="00A776D3"/>
    <w:rsid w:val="00A83CE2"/>
    <w:rsid w:val="00A87524"/>
    <w:rsid w:val="00A93FC6"/>
    <w:rsid w:val="00A94B85"/>
    <w:rsid w:val="00AB7FF9"/>
    <w:rsid w:val="00AD42D2"/>
    <w:rsid w:val="00AE4166"/>
    <w:rsid w:val="00B057AD"/>
    <w:rsid w:val="00B1296E"/>
    <w:rsid w:val="00B22D91"/>
    <w:rsid w:val="00B31D7A"/>
    <w:rsid w:val="00B37086"/>
    <w:rsid w:val="00B4014A"/>
    <w:rsid w:val="00B456CD"/>
    <w:rsid w:val="00B45C60"/>
    <w:rsid w:val="00B477E7"/>
    <w:rsid w:val="00B8203F"/>
    <w:rsid w:val="00B82EE0"/>
    <w:rsid w:val="00B87478"/>
    <w:rsid w:val="00BA4ADC"/>
    <w:rsid w:val="00BB0DDC"/>
    <w:rsid w:val="00BB39C9"/>
    <w:rsid w:val="00BC057F"/>
    <w:rsid w:val="00BE7EF6"/>
    <w:rsid w:val="00C1327F"/>
    <w:rsid w:val="00C527F5"/>
    <w:rsid w:val="00C5540F"/>
    <w:rsid w:val="00CA03CC"/>
    <w:rsid w:val="00CD7A8A"/>
    <w:rsid w:val="00CE618F"/>
    <w:rsid w:val="00CF1D89"/>
    <w:rsid w:val="00D15930"/>
    <w:rsid w:val="00D34324"/>
    <w:rsid w:val="00D366CF"/>
    <w:rsid w:val="00D43E31"/>
    <w:rsid w:val="00D83EBE"/>
    <w:rsid w:val="00D94C37"/>
    <w:rsid w:val="00DA7028"/>
    <w:rsid w:val="00DB1F95"/>
    <w:rsid w:val="00DC0291"/>
    <w:rsid w:val="00DD2AC5"/>
    <w:rsid w:val="00DE2E3E"/>
    <w:rsid w:val="00DF695B"/>
    <w:rsid w:val="00E04E14"/>
    <w:rsid w:val="00E12D36"/>
    <w:rsid w:val="00E20DE4"/>
    <w:rsid w:val="00E303C5"/>
    <w:rsid w:val="00E41DF0"/>
    <w:rsid w:val="00E5737D"/>
    <w:rsid w:val="00E67E76"/>
    <w:rsid w:val="00E718D6"/>
    <w:rsid w:val="00E73EEF"/>
    <w:rsid w:val="00E74DF3"/>
    <w:rsid w:val="00E76F61"/>
    <w:rsid w:val="00E80B9E"/>
    <w:rsid w:val="00EA1B8C"/>
    <w:rsid w:val="00EB1999"/>
    <w:rsid w:val="00EB67BE"/>
    <w:rsid w:val="00EC20F8"/>
    <w:rsid w:val="00ED5AD7"/>
    <w:rsid w:val="00EE799B"/>
    <w:rsid w:val="00EF229B"/>
    <w:rsid w:val="00EF3DED"/>
    <w:rsid w:val="00EF695C"/>
    <w:rsid w:val="00F030A3"/>
    <w:rsid w:val="00F05E88"/>
    <w:rsid w:val="00F07BB5"/>
    <w:rsid w:val="00F21A44"/>
    <w:rsid w:val="00F21BED"/>
    <w:rsid w:val="00F5329C"/>
    <w:rsid w:val="00F54C29"/>
    <w:rsid w:val="00F84A48"/>
    <w:rsid w:val="00FA4588"/>
    <w:rsid w:val="00FA6700"/>
    <w:rsid w:val="00FB2562"/>
    <w:rsid w:val="00FC2B61"/>
    <w:rsid w:val="00FD4A64"/>
    <w:rsid w:val="00FF02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690B9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3C9"/>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E37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37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37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37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37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373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373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373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373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7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37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37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37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37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37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37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37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3739"/>
    <w:rPr>
      <w:rFonts w:eastAsiaTheme="majorEastAsia" w:cstheme="majorBidi"/>
      <w:color w:val="272727" w:themeColor="text1" w:themeTint="D8"/>
    </w:rPr>
  </w:style>
  <w:style w:type="paragraph" w:styleId="Title">
    <w:name w:val="Title"/>
    <w:basedOn w:val="Normal"/>
    <w:next w:val="Normal"/>
    <w:link w:val="TitleChar"/>
    <w:uiPriority w:val="10"/>
    <w:qFormat/>
    <w:rsid w:val="004E373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7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37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37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3739"/>
    <w:pPr>
      <w:spacing w:before="160"/>
      <w:jc w:val="center"/>
    </w:pPr>
    <w:rPr>
      <w:i/>
      <w:iCs/>
      <w:color w:val="404040" w:themeColor="text1" w:themeTint="BF"/>
    </w:rPr>
  </w:style>
  <w:style w:type="character" w:customStyle="1" w:styleId="QuoteChar">
    <w:name w:val="Quote Char"/>
    <w:basedOn w:val="DefaultParagraphFont"/>
    <w:link w:val="Quote"/>
    <w:uiPriority w:val="29"/>
    <w:rsid w:val="004E3739"/>
    <w:rPr>
      <w:i/>
      <w:iCs/>
      <w:color w:val="404040" w:themeColor="text1" w:themeTint="BF"/>
    </w:rPr>
  </w:style>
  <w:style w:type="paragraph" w:styleId="ListParagraph">
    <w:name w:val="List Paragraph"/>
    <w:basedOn w:val="Normal"/>
    <w:uiPriority w:val="34"/>
    <w:qFormat/>
    <w:rsid w:val="004E3739"/>
    <w:pPr>
      <w:ind w:left="720"/>
      <w:contextualSpacing/>
    </w:pPr>
  </w:style>
  <w:style w:type="character" w:styleId="IntenseEmphasis">
    <w:name w:val="Intense Emphasis"/>
    <w:basedOn w:val="DefaultParagraphFont"/>
    <w:uiPriority w:val="21"/>
    <w:qFormat/>
    <w:rsid w:val="004E3739"/>
    <w:rPr>
      <w:i/>
      <w:iCs/>
      <w:color w:val="0F4761" w:themeColor="accent1" w:themeShade="BF"/>
    </w:rPr>
  </w:style>
  <w:style w:type="paragraph" w:styleId="IntenseQuote">
    <w:name w:val="Intense Quote"/>
    <w:basedOn w:val="Normal"/>
    <w:next w:val="Normal"/>
    <w:link w:val="IntenseQuoteChar"/>
    <w:uiPriority w:val="30"/>
    <w:qFormat/>
    <w:rsid w:val="004E37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3739"/>
    <w:rPr>
      <w:i/>
      <w:iCs/>
      <w:color w:val="0F4761" w:themeColor="accent1" w:themeShade="BF"/>
    </w:rPr>
  </w:style>
  <w:style w:type="character" w:styleId="IntenseReference">
    <w:name w:val="Intense Reference"/>
    <w:basedOn w:val="DefaultParagraphFont"/>
    <w:uiPriority w:val="32"/>
    <w:qFormat/>
    <w:rsid w:val="004E3739"/>
    <w:rPr>
      <w:b/>
      <w:bCs/>
      <w:smallCaps/>
      <w:color w:val="0F4761" w:themeColor="accent1" w:themeShade="BF"/>
      <w:spacing w:val="5"/>
    </w:rPr>
  </w:style>
  <w:style w:type="character" w:styleId="CommentReference">
    <w:name w:val="annotation reference"/>
    <w:basedOn w:val="DefaultParagraphFont"/>
    <w:uiPriority w:val="99"/>
    <w:semiHidden/>
    <w:unhideWhenUsed/>
    <w:rsid w:val="004E3739"/>
    <w:rPr>
      <w:sz w:val="16"/>
      <w:szCs w:val="16"/>
    </w:rPr>
  </w:style>
  <w:style w:type="paragraph" w:styleId="CommentText">
    <w:name w:val="annotation text"/>
    <w:basedOn w:val="Normal"/>
    <w:link w:val="CommentTextChar"/>
    <w:uiPriority w:val="99"/>
    <w:unhideWhenUsed/>
    <w:rsid w:val="004E3739"/>
    <w:rPr>
      <w:sz w:val="20"/>
      <w:szCs w:val="20"/>
    </w:rPr>
  </w:style>
  <w:style w:type="character" w:customStyle="1" w:styleId="CommentTextChar">
    <w:name w:val="Comment Text Char"/>
    <w:basedOn w:val="DefaultParagraphFont"/>
    <w:link w:val="CommentText"/>
    <w:uiPriority w:val="99"/>
    <w:rsid w:val="004E3739"/>
    <w:rPr>
      <w:rFonts w:ascii="Times New Roman" w:eastAsia="Times New Roman" w:hAnsi="Times New Roman" w:cs="Times New Roman"/>
      <w:kern w:val="0"/>
      <w:sz w:val="20"/>
      <w:szCs w:val="20"/>
      <w14:ligatures w14:val="none"/>
    </w:rPr>
  </w:style>
  <w:style w:type="paragraph" w:customStyle="1" w:styleId="Default">
    <w:name w:val="Default"/>
    <w:rsid w:val="004E3739"/>
    <w:pPr>
      <w:autoSpaceDE w:val="0"/>
      <w:autoSpaceDN w:val="0"/>
      <w:adjustRightInd w:val="0"/>
      <w:spacing w:after="0" w:line="240" w:lineRule="auto"/>
    </w:pPr>
    <w:rPr>
      <w:rFonts w:ascii="Times New Roman" w:hAnsi="Times New Roman" w:cs="Times New Roman"/>
      <w:color w:val="000000"/>
      <w:kern w:val="0"/>
      <w14:ligatures w14:val="none"/>
    </w:rPr>
  </w:style>
  <w:style w:type="table" w:styleId="TableGrid">
    <w:name w:val="Table Grid"/>
    <w:basedOn w:val="TableNormal"/>
    <w:uiPriority w:val="39"/>
    <w:rsid w:val="004E373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4E3739"/>
    <w:rPr>
      <w:b/>
      <w:bCs/>
    </w:rPr>
  </w:style>
  <w:style w:type="character" w:customStyle="1" w:styleId="CommentSubjectChar">
    <w:name w:val="Comment Subject Char"/>
    <w:basedOn w:val="CommentTextChar"/>
    <w:link w:val="CommentSubject"/>
    <w:uiPriority w:val="99"/>
    <w:semiHidden/>
    <w:rsid w:val="004E3739"/>
    <w:rPr>
      <w:rFonts w:ascii="Times New Roman" w:eastAsia="Times New Roman" w:hAnsi="Times New Roman" w:cs="Times New Roman"/>
      <w:b/>
      <w:bCs/>
      <w:kern w:val="0"/>
      <w:sz w:val="20"/>
      <w:szCs w:val="20"/>
      <w14:ligatures w14:val="none"/>
    </w:rPr>
  </w:style>
  <w:style w:type="paragraph" w:customStyle="1" w:styleId="p">
    <w:name w:val="p"/>
    <w:basedOn w:val="Normal"/>
    <w:rsid w:val="004E3739"/>
    <w:pPr>
      <w:spacing w:before="100" w:beforeAutospacing="1" w:after="100" w:afterAutospacing="1"/>
    </w:pPr>
  </w:style>
  <w:style w:type="character" w:styleId="Hyperlink">
    <w:name w:val="Hyperlink"/>
    <w:basedOn w:val="DefaultParagraphFont"/>
    <w:uiPriority w:val="99"/>
    <w:unhideWhenUsed/>
    <w:rsid w:val="004E3739"/>
    <w:rPr>
      <w:color w:val="0000FF"/>
      <w:u w:val="single"/>
    </w:rPr>
  </w:style>
  <w:style w:type="paragraph" w:styleId="NormalWeb">
    <w:name w:val="Normal (Web)"/>
    <w:basedOn w:val="Normal"/>
    <w:uiPriority w:val="99"/>
    <w:semiHidden/>
    <w:unhideWhenUsed/>
    <w:rsid w:val="004E3739"/>
    <w:pPr>
      <w:spacing w:before="100" w:beforeAutospacing="1" w:after="100" w:afterAutospacing="1"/>
    </w:pPr>
  </w:style>
  <w:style w:type="paragraph" w:customStyle="1" w:styleId="EndNoteBibliographyTitle">
    <w:name w:val="EndNote Bibliography Title"/>
    <w:basedOn w:val="Normal"/>
    <w:link w:val="EndNoteBibliographyTitleChar"/>
    <w:rsid w:val="004E3739"/>
    <w:pPr>
      <w:jc w:val="center"/>
    </w:pPr>
    <w:rPr>
      <w:rFonts w:ascii="Calibri" w:eastAsiaTheme="minorEastAsia" w:hAnsi="Calibri" w:cs="Calibri"/>
    </w:rPr>
  </w:style>
  <w:style w:type="character" w:customStyle="1" w:styleId="EndNoteBibliographyTitleChar">
    <w:name w:val="EndNote Bibliography Title Char"/>
    <w:basedOn w:val="DefaultParagraphFont"/>
    <w:link w:val="EndNoteBibliographyTitle"/>
    <w:rsid w:val="004E3739"/>
    <w:rPr>
      <w:rFonts w:ascii="Calibri" w:hAnsi="Calibri" w:cs="Calibri"/>
      <w:kern w:val="0"/>
      <w14:ligatures w14:val="none"/>
    </w:rPr>
  </w:style>
  <w:style w:type="paragraph" w:customStyle="1" w:styleId="EndNoteBibliography">
    <w:name w:val="EndNote Bibliography"/>
    <w:basedOn w:val="Normal"/>
    <w:link w:val="EndNoteBibliographyChar"/>
    <w:rsid w:val="004E3739"/>
    <w:rPr>
      <w:rFonts w:ascii="Calibri" w:eastAsiaTheme="minorEastAsia" w:hAnsi="Calibri" w:cs="Calibri"/>
    </w:rPr>
  </w:style>
  <w:style w:type="character" w:customStyle="1" w:styleId="EndNoteBibliographyChar">
    <w:name w:val="EndNote Bibliography Char"/>
    <w:basedOn w:val="DefaultParagraphFont"/>
    <w:link w:val="EndNoteBibliography"/>
    <w:rsid w:val="004E3739"/>
    <w:rPr>
      <w:rFonts w:ascii="Calibri" w:hAnsi="Calibri" w:cs="Calibri"/>
      <w:kern w:val="0"/>
      <w14:ligatures w14:val="none"/>
    </w:rPr>
  </w:style>
  <w:style w:type="character" w:styleId="UnresolvedMention">
    <w:name w:val="Unresolved Mention"/>
    <w:basedOn w:val="DefaultParagraphFont"/>
    <w:uiPriority w:val="99"/>
    <w:semiHidden/>
    <w:unhideWhenUsed/>
    <w:rsid w:val="004E3739"/>
    <w:rPr>
      <w:color w:val="605E5C"/>
      <w:shd w:val="clear" w:color="auto" w:fill="E1DFDD"/>
    </w:rPr>
  </w:style>
  <w:style w:type="character" w:styleId="FollowedHyperlink">
    <w:name w:val="FollowedHyperlink"/>
    <w:basedOn w:val="DefaultParagraphFont"/>
    <w:uiPriority w:val="99"/>
    <w:semiHidden/>
    <w:unhideWhenUsed/>
    <w:rsid w:val="004E3739"/>
    <w:rPr>
      <w:color w:val="96607D" w:themeColor="followedHyperlink"/>
      <w:u w:val="single"/>
    </w:rPr>
  </w:style>
  <w:style w:type="paragraph" w:styleId="Revision">
    <w:name w:val="Revision"/>
    <w:hidden/>
    <w:uiPriority w:val="99"/>
    <w:semiHidden/>
    <w:rsid w:val="004E3739"/>
    <w:pPr>
      <w:spacing w:after="0" w:line="240" w:lineRule="auto"/>
    </w:pPr>
    <w:rPr>
      <w:kern w:val="0"/>
      <w14:ligatures w14:val="none"/>
    </w:rPr>
  </w:style>
  <w:style w:type="paragraph" w:styleId="FootnoteText">
    <w:name w:val="footnote text"/>
    <w:basedOn w:val="Normal"/>
    <w:link w:val="FootnoteTextChar"/>
    <w:uiPriority w:val="99"/>
    <w:semiHidden/>
    <w:unhideWhenUsed/>
    <w:rsid w:val="004E3739"/>
    <w:rPr>
      <w:sz w:val="20"/>
      <w:szCs w:val="20"/>
    </w:rPr>
  </w:style>
  <w:style w:type="character" w:customStyle="1" w:styleId="FootnoteTextChar">
    <w:name w:val="Footnote Text Char"/>
    <w:basedOn w:val="DefaultParagraphFont"/>
    <w:link w:val="FootnoteText"/>
    <w:uiPriority w:val="99"/>
    <w:semiHidden/>
    <w:rsid w:val="004E3739"/>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4E3739"/>
    <w:rPr>
      <w:vertAlign w:val="superscript"/>
    </w:rPr>
  </w:style>
  <w:style w:type="character" w:styleId="PlaceholderText">
    <w:name w:val="Placeholder Text"/>
    <w:basedOn w:val="DefaultParagraphFont"/>
    <w:uiPriority w:val="99"/>
    <w:semiHidden/>
    <w:rsid w:val="004E3739"/>
    <w:rPr>
      <w:color w:val="808080"/>
    </w:rPr>
  </w:style>
  <w:style w:type="paragraph" w:styleId="z-TopofForm">
    <w:name w:val="HTML Top of Form"/>
    <w:basedOn w:val="Normal"/>
    <w:next w:val="Normal"/>
    <w:link w:val="z-TopofFormChar"/>
    <w:hidden/>
    <w:uiPriority w:val="99"/>
    <w:semiHidden/>
    <w:unhideWhenUsed/>
    <w:rsid w:val="004E3739"/>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4E3739"/>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4E3739"/>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4E3739"/>
    <w:rPr>
      <w:rFonts w:ascii="Arial" w:eastAsia="Times New Roman" w:hAnsi="Arial" w:cs="Arial"/>
      <w:vanish/>
      <w:kern w:val="0"/>
      <w:sz w:val="16"/>
      <w:szCs w:val="16"/>
      <w14:ligatures w14:val="none"/>
    </w:rPr>
  </w:style>
  <w:style w:type="character" w:styleId="Strong">
    <w:name w:val="Strong"/>
    <w:basedOn w:val="DefaultParagraphFont"/>
    <w:uiPriority w:val="22"/>
    <w:qFormat/>
    <w:rsid w:val="004E3739"/>
    <w:rPr>
      <w:b/>
      <w:bCs/>
    </w:rPr>
  </w:style>
  <w:style w:type="character" w:styleId="LineNumber">
    <w:name w:val="line number"/>
    <w:basedOn w:val="DefaultParagraphFont"/>
    <w:uiPriority w:val="99"/>
    <w:semiHidden/>
    <w:unhideWhenUsed/>
    <w:rsid w:val="00F84A48"/>
  </w:style>
  <w:style w:type="paragraph" w:styleId="Footer">
    <w:name w:val="footer"/>
    <w:basedOn w:val="Normal"/>
    <w:link w:val="FooterChar"/>
    <w:uiPriority w:val="99"/>
    <w:unhideWhenUsed/>
    <w:rsid w:val="005F6A44"/>
    <w:pPr>
      <w:tabs>
        <w:tab w:val="center" w:pos="4680"/>
        <w:tab w:val="right" w:pos="9360"/>
      </w:tabs>
    </w:pPr>
  </w:style>
  <w:style w:type="character" w:customStyle="1" w:styleId="FooterChar">
    <w:name w:val="Footer Char"/>
    <w:basedOn w:val="DefaultParagraphFont"/>
    <w:link w:val="Footer"/>
    <w:uiPriority w:val="99"/>
    <w:rsid w:val="005F6A44"/>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5F6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9019568">
      <w:bodyDiv w:val="1"/>
      <w:marLeft w:val="0"/>
      <w:marRight w:val="0"/>
      <w:marTop w:val="0"/>
      <w:marBottom w:val="0"/>
      <w:divBdr>
        <w:top w:val="none" w:sz="0" w:space="0" w:color="auto"/>
        <w:left w:val="none" w:sz="0" w:space="0" w:color="auto"/>
        <w:bottom w:val="none" w:sz="0" w:space="0" w:color="auto"/>
        <w:right w:val="none" w:sz="0" w:space="0" w:color="auto"/>
      </w:divBdr>
    </w:div>
    <w:div w:id="1198545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microsoft.com/office/2007/relationships/diagramDrawing" Target="diagrams/drawing1.xml"/><Relationship Id="rId18" Type="http://schemas.microsoft.com/office/2007/relationships/diagramDrawing" Target="diagrams/drawing2.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footer" Target="footer1.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diagramQuickStyle" Target="diagrams/quickStyle2.xml"/><Relationship Id="rId20"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diagramLayout" Target="diagrams/layout2.xml"/><Relationship Id="rId23" Type="http://schemas.openxmlformats.org/officeDocument/2006/relationships/hyperlink" Target="https://www.fns.usda.gov/wic/wic-eligibility-requirements" TargetMode="External"/><Relationship Id="rId10" Type="http://schemas.openxmlformats.org/officeDocument/2006/relationships/diagramLayout" Target="diagrams/layout1.xml"/><Relationship Id="rId19"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image" Target="media/image4.emf"/></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65199FB-BF47-CF4F-A1C4-3638102292C5}" type="doc">
      <dgm:prSet loTypeId="urn:microsoft.com/office/officeart/2005/8/layout/process4" loCatId="" qsTypeId="urn:microsoft.com/office/officeart/2005/8/quickstyle/simple1" qsCatId="simple" csTypeId="urn:microsoft.com/office/officeart/2005/8/colors/accent0_1" csCatId="mainScheme" phldr="1"/>
      <dgm:spPr/>
    </dgm:pt>
    <dgm:pt modelId="{4AD34301-366A-0E4E-8A5A-7423621FB365}">
      <dgm:prSet phldrT="[Text]"/>
      <dgm:spPr/>
      <dgm:t>
        <a:bodyPr/>
        <a:lstStyle/>
        <a:p>
          <a:r>
            <a:rPr lang="en-US"/>
            <a:t>drop missing race/ethnicity (n=12,113,364)</a:t>
          </a:r>
        </a:p>
      </dgm:t>
    </dgm:pt>
    <dgm:pt modelId="{98F8821E-B538-F843-89DC-07FC0A5A5EC8}" type="parTrans" cxnId="{4AAB14D7-98F6-5244-A46E-708582B64E0E}">
      <dgm:prSet/>
      <dgm:spPr/>
      <dgm:t>
        <a:bodyPr/>
        <a:lstStyle/>
        <a:p>
          <a:endParaRPr lang="en-US"/>
        </a:p>
      </dgm:t>
    </dgm:pt>
    <dgm:pt modelId="{AC24E0BC-323D-354B-9D10-4DA91F775B45}" type="sibTrans" cxnId="{4AAB14D7-98F6-5244-A46E-708582B64E0E}">
      <dgm:prSet/>
      <dgm:spPr/>
      <dgm:t>
        <a:bodyPr/>
        <a:lstStyle/>
        <a:p>
          <a:endParaRPr lang="en-US"/>
        </a:p>
      </dgm:t>
    </dgm:pt>
    <dgm:pt modelId="{071A7B76-8780-294E-98BA-AE4BE0D7C36D}">
      <dgm:prSet phldrT="[Text]"/>
      <dgm:spPr/>
      <dgm:t>
        <a:bodyPr/>
        <a:lstStyle/>
        <a:p>
          <a:r>
            <a:rPr lang="en-US"/>
            <a:t>drop missing age(n=12,113,364)</a:t>
          </a:r>
        </a:p>
      </dgm:t>
    </dgm:pt>
    <dgm:pt modelId="{24D61A02-81AB-6840-A799-7433B3FD9224}" type="parTrans" cxnId="{19F12087-5192-0743-BF99-323173EE661F}">
      <dgm:prSet/>
      <dgm:spPr/>
      <dgm:t>
        <a:bodyPr/>
        <a:lstStyle/>
        <a:p>
          <a:endParaRPr lang="en-US"/>
        </a:p>
      </dgm:t>
    </dgm:pt>
    <dgm:pt modelId="{47B2F439-8FED-2743-841D-F1BC76ED6C05}" type="sibTrans" cxnId="{19F12087-5192-0743-BF99-323173EE661F}">
      <dgm:prSet/>
      <dgm:spPr/>
      <dgm:t>
        <a:bodyPr/>
        <a:lstStyle/>
        <a:p>
          <a:endParaRPr lang="en-US"/>
        </a:p>
      </dgm:t>
    </dgm:pt>
    <dgm:pt modelId="{D80254DF-A728-3942-94F8-CC4595A85C6E}">
      <dgm:prSet phldrT="[Text]"/>
      <dgm:spPr/>
      <dgm:t>
        <a:bodyPr/>
        <a:lstStyle/>
        <a:p>
          <a:r>
            <a:rPr lang="en-US"/>
            <a:t>drop missing education(n=11,923,652)</a:t>
          </a:r>
        </a:p>
      </dgm:t>
    </dgm:pt>
    <dgm:pt modelId="{40FD9713-DE21-E84F-A0B2-9F2481903E3E}" type="parTrans" cxnId="{B46128EE-CAFF-9048-AD9F-0C3F41A39A45}">
      <dgm:prSet/>
      <dgm:spPr/>
      <dgm:t>
        <a:bodyPr/>
        <a:lstStyle/>
        <a:p>
          <a:endParaRPr lang="en-US"/>
        </a:p>
      </dgm:t>
    </dgm:pt>
    <dgm:pt modelId="{21122993-E640-0944-8961-93F0E25FFCD7}" type="sibTrans" cxnId="{B46128EE-CAFF-9048-AD9F-0C3F41A39A45}">
      <dgm:prSet/>
      <dgm:spPr/>
      <dgm:t>
        <a:bodyPr/>
        <a:lstStyle/>
        <a:p>
          <a:endParaRPr lang="en-US"/>
        </a:p>
      </dgm:t>
    </dgm:pt>
    <dgm:pt modelId="{141F73E0-7408-2446-9CDD-EFFDA736114A}">
      <dgm:prSet phldrT="[Text]"/>
      <dgm:spPr/>
      <dgm:t>
        <a:bodyPr/>
        <a:lstStyle/>
        <a:p>
          <a:r>
            <a:rPr lang="en-US"/>
            <a:t>drop missing marital status(n=11,855,417)</a:t>
          </a:r>
        </a:p>
      </dgm:t>
    </dgm:pt>
    <dgm:pt modelId="{3EC77301-87F2-394E-801D-47A4E612B643}" type="parTrans" cxnId="{E4F6C41E-9437-DD45-9FFD-8CA6DF244D20}">
      <dgm:prSet/>
      <dgm:spPr/>
      <dgm:t>
        <a:bodyPr/>
        <a:lstStyle/>
        <a:p>
          <a:endParaRPr lang="en-US"/>
        </a:p>
      </dgm:t>
    </dgm:pt>
    <dgm:pt modelId="{86EF84EF-5277-3F49-A5F3-77BA4DD197B5}" type="sibTrans" cxnId="{E4F6C41E-9437-DD45-9FFD-8CA6DF244D20}">
      <dgm:prSet/>
      <dgm:spPr/>
      <dgm:t>
        <a:bodyPr/>
        <a:lstStyle/>
        <a:p>
          <a:endParaRPr lang="en-US"/>
        </a:p>
      </dgm:t>
    </dgm:pt>
    <dgm:pt modelId="{3B482F2D-9E90-3241-9B01-99821E5137FA}">
      <dgm:prSet phldrT="[Text]"/>
      <dgm:spPr/>
      <dgm:t>
        <a:bodyPr/>
        <a:lstStyle/>
        <a:p>
          <a:r>
            <a:rPr lang="en-US"/>
            <a:t>drop missing nativity(n=11,855,417)</a:t>
          </a:r>
        </a:p>
      </dgm:t>
    </dgm:pt>
    <dgm:pt modelId="{97F2D9A9-06D7-B34B-8C05-D91021C1B96D}" type="parTrans" cxnId="{215758B2-A7C7-0641-A75A-DA7BADE9F983}">
      <dgm:prSet/>
      <dgm:spPr/>
      <dgm:t>
        <a:bodyPr/>
        <a:lstStyle/>
        <a:p>
          <a:endParaRPr lang="en-US"/>
        </a:p>
      </dgm:t>
    </dgm:pt>
    <dgm:pt modelId="{462359F7-DE73-F345-98A7-59F937696FA4}" type="sibTrans" cxnId="{215758B2-A7C7-0641-A75A-DA7BADE9F983}">
      <dgm:prSet/>
      <dgm:spPr/>
      <dgm:t>
        <a:bodyPr/>
        <a:lstStyle/>
        <a:p>
          <a:endParaRPr lang="en-US"/>
        </a:p>
      </dgm:t>
    </dgm:pt>
    <dgm:pt modelId="{B2C87C3A-586C-EF45-A121-E98296313FD5}">
      <dgm:prSet phldrT="[Text]"/>
      <dgm:spPr/>
      <dgm:t>
        <a:bodyPr/>
        <a:lstStyle/>
        <a:p>
          <a:r>
            <a:rPr lang="en-US"/>
            <a:t>drop missing parity(n=11,855,417)</a:t>
          </a:r>
        </a:p>
      </dgm:t>
    </dgm:pt>
    <dgm:pt modelId="{64CA1475-361D-404B-B336-071D54DE37B0}" type="parTrans" cxnId="{F0E98A5C-F614-504C-A081-AF0CEF167535}">
      <dgm:prSet/>
      <dgm:spPr/>
      <dgm:t>
        <a:bodyPr/>
        <a:lstStyle/>
        <a:p>
          <a:endParaRPr lang="en-US"/>
        </a:p>
      </dgm:t>
    </dgm:pt>
    <dgm:pt modelId="{44119FC9-2629-BB43-870C-5469F92FD097}" type="sibTrans" cxnId="{F0E98A5C-F614-504C-A081-AF0CEF167535}">
      <dgm:prSet/>
      <dgm:spPr/>
      <dgm:t>
        <a:bodyPr/>
        <a:lstStyle/>
        <a:p>
          <a:endParaRPr lang="en-US"/>
        </a:p>
      </dgm:t>
    </dgm:pt>
    <dgm:pt modelId="{618A2D12-1C25-4444-841E-87721AACB19F}">
      <dgm:prSet phldrT="[Text]"/>
      <dgm:spPr/>
      <dgm:t>
        <a:bodyPr/>
        <a:lstStyle/>
        <a:p>
          <a:r>
            <a:rPr lang="en-US"/>
            <a:t>drop missing state characteristics(n=11,855,417)</a:t>
          </a:r>
        </a:p>
      </dgm:t>
    </dgm:pt>
    <dgm:pt modelId="{5E15D19C-6933-B043-B10F-6875AC9CB3A2}" type="parTrans" cxnId="{B22D014A-0F36-CC44-9B7F-E51C37B122E7}">
      <dgm:prSet/>
      <dgm:spPr/>
      <dgm:t>
        <a:bodyPr/>
        <a:lstStyle/>
        <a:p>
          <a:endParaRPr lang="en-US"/>
        </a:p>
      </dgm:t>
    </dgm:pt>
    <dgm:pt modelId="{CA3EDB0E-0BA7-F44F-A4BD-53014AE38DE5}" type="sibTrans" cxnId="{B22D014A-0F36-CC44-9B7F-E51C37B122E7}">
      <dgm:prSet/>
      <dgm:spPr/>
      <dgm:t>
        <a:bodyPr/>
        <a:lstStyle/>
        <a:p>
          <a:endParaRPr lang="en-US"/>
        </a:p>
      </dgm:t>
    </dgm:pt>
    <dgm:pt modelId="{0C60A392-DA41-CC49-A5D9-7A45CD8F4E5C}" type="pres">
      <dgm:prSet presAssocID="{F65199FB-BF47-CF4F-A1C4-3638102292C5}" presName="Name0" presStyleCnt="0">
        <dgm:presLayoutVars>
          <dgm:dir/>
          <dgm:animLvl val="lvl"/>
          <dgm:resizeHandles val="exact"/>
        </dgm:presLayoutVars>
      </dgm:prSet>
      <dgm:spPr/>
    </dgm:pt>
    <dgm:pt modelId="{5F546733-7C73-464F-9C12-7D5B3725D2EA}" type="pres">
      <dgm:prSet presAssocID="{618A2D12-1C25-4444-841E-87721AACB19F}" presName="boxAndChildren" presStyleCnt="0"/>
      <dgm:spPr/>
    </dgm:pt>
    <dgm:pt modelId="{3AD1C795-B7B5-5B4E-8957-958B075BBDD6}" type="pres">
      <dgm:prSet presAssocID="{618A2D12-1C25-4444-841E-87721AACB19F}" presName="parentTextBox" presStyleLbl="node1" presStyleIdx="0" presStyleCnt="7"/>
      <dgm:spPr/>
    </dgm:pt>
    <dgm:pt modelId="{19257B28-1EC6-7548-97F8-6ABA1E694948}" type="pres">
      <dgm:prSet presAssocID="{44119FC9-2629-BB43-870C-5469F92FD097}" presName="sp" presStyleCnt="0"/>
      <dgm:spPr/>
    </dgm:pt>
    <dgm:pt modelId="{B6B5BDC0-CB9A-1446-991B-855DC9840AA9}" type="pres">
      <dgm:prSet presAssocID="{B2C87C3A-586C-EF45-A121-E98296313FD5}" presName="arrowAndChildren" presStyleCnt="0"/>
      <dgm:spPr/>
    </dgm:pt>
    <dgm:pt modelId="{52504B85-3B26-7044-8ECE-1B673A978B27}" type="pres">
      <dgm:prSet presAssocID="{B2C87C3A-586C-EF45-A121-E98296313FD5}" presName="parentTextArrow" presStyleLbl="node1" presStyleIdx="1" presStyleCnt="7"/>
      <dgm:spPr/>
    </dgm:pt>
    <dgm:pt modelId="{44282142-A4C7-6C47-AE1E-738B52DD5C35}" type="pres">
      <dgm:prSet presAssocID="{86EF84EF-5277-3F49-A5F3-77BA4DD197B5}" presName="sp" presStyleCnt="0"/>
      <dgm:spPr/>
    </dgm:pt>
    <dgm:pt modelId="{FCC5DB36-F139-1D40-B8A3-51597F550775}" type="pres">
      <dgm:prSet presAssocID="{141F73E0-7408-2446-9CDD-EFFDA736114A}" presName="arrowAndChildren" presStyleCnt="0"/>
      <dgm:spPr/>
    </dgm:pt>
    <dgm:pt modelId="{DED09C2C-7F30-C442-BF93-ED74ADB1BE88}" type="pres">
      <dgm:prSet presAssocID="{141F73E0-7408-2446-9CDD-EFFDA736114A}" presName="parentTextArrow" presStyleLbl="node1" presStyleIdx="2" presStyleCnt="7"/>
      <dgm:spPr/>
    </dgm:pt>
    <dgm:pt modelId="{C6F8B770-42C9-1943-8470-5FE14BF4721C}" type="pres">
      <dgm:prSet presAssocID="{462359F7-DE73-F345-98A7-59F937696FA4}" presName="sp" presStyleCnt="0"/>
      <dgm:spPr/>
    </dgm:pt>
    <dgm:pt modelId="{8B90EB79-EAF3-7C4F-AEA7-6E621D5771C6}" type="pres">
      <dgm:prSet presAssocID="{3B482F2D-9E90-3241-9B01-99821E5137FA}" presName="arrowAndChildren" presStyleCnt="0"/>
      <dgm:spPr/>
    </dgm:pt>
    <dgm:pt modelId="{EBFF9117-09C7-274E-A95A-656AFF050745}" type="pres">
      <dgm:prSet presAssocID="{3B482F2D-9E90-3241-9B01-99821E5137FA}" presName="parentTextArrow" presStyleLbl="node1" presStyleIdx="3" presStyleCnt="7"/>
      <dgm:spPr/>
    </dgm:pt>
    <dgm:pt modelId="{D72D1712-2634-7C48-87EA-5F2BAB43EE5C}" type="pres">
      <dgm:prSet presAssocID="{21122993-E640-0944-8961-93F0E25FFCD7}" presName="sp" presStyleCnt="0"/>
      <dgm:spPr/>
    </dgm:pt>
    <dgm:pt modelId="{C17655ED-B301-D34F-84ED-04AA295A5543}" type="pres">
      <dgm:prSet presAssocID="{D80254DF-A728-3942-94F8-CC4595A85C6E}" presName="arrowAndChildren" presStyleCnt="0"/>
      <dgm:spPr/>
    </dgm:pt>
    <dgm:pt modelId="{CD8A8CA3-DFB2-834F-8FEE-E4828C4984B2}" type="pres">
      <dgm:prSet presAssocID="{D80254DF-A728-3942-94F8-CC4595A85C6E}" presName="parentTextArrow" presStyleLbl="node1" presStyleIdx="4" presStyleCnt="7"/>
      <dgm:spPr/>
    </dgm:pt>
    <dgm:pt modelId="{2B196927-AAA1-234A-A93C-8E1088E7C7BF}" type="pres">
      <dgm:prSet presAssocID="{47B2F439-8FED-2743-841D-F1BC76ED6C05}" presName="sp" presStyleCnt="0"/>
      <dgm:spPr/>
    </dgm:pt>
    <dgm:pt modelId="{AB80458A-7D64-B347-BDF1-5F9B07A87AF4}" type="pres">
      <dgm:prSet presAssocID="{071A7B76-8780-294E-98BA-AE4BE0D7C36D}" presName="arrowAndChildren" presStyleCnt="0"/>
      <dgm:spPr/>
    </dgm:pt>
    <dgm:pt modelId="{0A62A38A-57A5-4A4C-BF97-213F5D3018E5}" type="pres">
      <dgm:prSet presAssocID="{071A7B76-8780-294E-98BA-AE4BE0D7C36D}" presName="parentTextArrow" presStyleLbl="node1" presStyleIdx="5" presStyleCnt="7"/>
      <dgm:spPr/>
    </dgm:pt>
    <dgm:pt modelId="{000F368F-E83D-6343-A1A2-57962431A2E0}" type="pres">
      <dgm:prSet presAssocID="{AC24E0BC-323D-354B-9D10-4DA91F775B45}" presName="sp" presStyleCnt="0"/>
      <dgm:spPr/>
    </dgm:pt>
    <dgm:pt modelId="{47AE409A-1C8F-0441-9091-08AEDC5368B6}" type="pres">
      <dgm:prSet presAssocID="{4AD34301-366A-0E4E-8A5A-7423621FB365}" presName="arrowAndChildren" presStyleCnt="0"/>
      <dgm:spPr/>
    </dgm:pt>
    <dgm:pt modelId="{66364D57-DD63-134B-B1C6-AEEAA0C4D9F8}" type="pres">
      <dgm:prSet presAssocID="{4AD34301-366A-0E4E-8A5A-7423621FB365}" presName="parentTextArrow" presStyleLbl="node1" presStyleIdx="6" presStyleCnt="7" custLinFactY="-100000" custLinFactNeighborY="-133999"/>
      <dgm:spPr/>
    </dgm:pt>
  </dgm:ptLst>
  <dgm:cxnLst>
    <dgm:cxn modelId="{76D1E80A-5AA3-4840-AD0E-2674AC116936}" type="presOf" srcId="{B2C87C3A-586C-EF45-A121-E98296313FD5}" destId="{52504B85-3B26-7044-8ECE-1B673A978B27}" srcOrd="0" destOrd="0" presId="urn:microsoft.com/office/officeart/2005/8/layout/process4"/>
    <dgm:cxn modelId="{7EA9FC11-747E-3843-9873-1DE790BA04AE}" type="presOf" srcId="{618A2D12-1C25-4444-841E-87721AACB19F}" destId="{3AD1C795-B7B5-5B4E-8957-958B075BBDD6}" srcOrd="0" destOrd="0" presId="urn:microsoft.com/office/officeart/2005/8/layout/process4"/>
    <dgm:cxn modelId="{E4F6C41E-9437-DD45-9FFD-8CA6DF244D20}" srcId="{F65199FB-BF47-CF4F-A1C4-3638102292C5}" destId="{141F73E0-7408-2446-9CDD-EFFDA736114A}" srcOrd="4" destOrd="0" parTransId="{3EC77301-87F2-394E-801D-47A4E612B643}" sibTransId="{86EF84EF-5277-3F49-A5F3-77BA4DD197B5}"/>
    <dgm:cxn modelId="{B22D014A-0F36-CC44-9B7F-E51C37B122E7}" srcId="{F65199FB-BF47-CF4F-A1C4-3638102292C5}" destId="{618A2D12-1C25-4444-841E-87721AACB19F}" srcOrd="6" destOrd="0" parTransId="{5E15D19C-6933-B043-B10F-6875AC9CB3A2}" sibTransId="{CA3EDB0E-0BA7-F44F-A4BD-53014AE38DE5}"/>
    <dgm:cxn modelId="{614CDD56-9C7C-8C4A-9E0F-A1F67D03F8BA}" type="presOf" srcId="{D80254DF-A728-3942-94F8-CC4595A85C6E}" destId="{CD8A8CA3-DFB2-834F-8FEE-E4828C4984B2}" srcOrd="0" destOrd="0" presId="urn:microsoft.com/office/officeart/2005/8/layout/process4"/>
    <dgm:cxn modelId="{F0E98A5C-F614-504C-A081-AF0CEF167535}" srcId="{F65199FB-BF47-CF4F-A1C4-3638102292C5}" destId="{B2C87C3A-586C-EF45-A121-E98296313FD5}" srcOrd="5" destOrd="0" parTransId="{64CA1475-361D-404B-B336-071D54DE37B0}" sibTransId="{44119FC9-2629-BB43-870C-5469F92FD097}"/>
    <dgm:cxn modelId="{886EB486-BF5F-4B49-BE00-764E97B0B914}" type="presOf" srcId="{071A7B76-8780-294E-98BA-AE4BE0D7C36D}" destId="{0A62A38A-57A5-4A4C-BF97-213F5D3018E5}" srcOrd="0" destOrd="0" presId="urn:microsoft.com/office/officeart/2005/8/layout/process4"/>
    <dgm:cxn modelId="{19F12087-5192-0743-BF99-323173EE661F}" srcId="{F65199FB-BF47-CF4F-A1C4-3638102292C5}" destId="{071A7B76-8780-294E-98BA-AE4BE0D7C36D}" srcOrd="1" destOrd="0" parTransId="{24D61A02-81AB-6840-A799-7433B3FD9224}" sibTransId="{47B2F439-8FED-2743-841D-F1BC76ED6C05}"/>
    <dgm:cxn modelId="{1144D088-C59B-EB4C-A4B7-678FAD4ADCFE}" type="presOf" srcId="{3B482F2D-9E90-3241-9B01-99821E5137FA}" destId="{EBFF9117-09C7-274E-A95A-656AFF050745}" srcOrd="0" destOrd="0" presId="urn:microsoft.com/office/officeart/2005/8/layout/process4"/>
    <dgm:cxn modelId="{215758B2-A7C7-0641-A75A-DA7BADE9F983}" srcId="{F65199FB-BF47-CF4F-A1C4-3638102292C5}" destId="{3B482F2D-9E90-3241-9B01-99821E5137FA}" srcOrd="3" destOrd="0" parTransId="{97F2D9A9-06D7-B34B-8C05-D91021C1B96D}" sibTransId="{462359F7-DE73-F345-98A7-59F937696FA4}"/>
    <dgm:cxn modelId="{8B5EBAB5-D9D0-5F4A-88FE-DD23BBA5FFB6}" type="presOf" srcId="{F65199FB-BF47-CF4F-A1C4-3638102292C5}" destId="{0C60A392-DA41-CC49-A5D9-7A45CD8F4E5C}" srcOrd="0" destOrd="0" presId="urn:microsoft.com/office/officeart/2005/8/layout/process4"/>
    <dgm:cxn modelId="{BC1F23CE-6241-5B40-9A99-95E27661961F}" type="presOf" srcId="{4AD34301-366A-0E4E-8A5A-7423621FB365}" destId="{66364D57-DD63-134B-B1C6-AEEAA0C4D9F8}" srcOrd="0" destOrd="0" presId="urn:microsoft.com/office/officeart/2005/8/layout/process4"/>
    <dgm:cxn modelId="{4AAB14D7-98F6-5244-A46E-708582B64E0E}" srcId="{F65199FB-BF47-CF4F-A1C4-3638102292C5}" destId="{4AD34301-366A-0E4E-8A5A-7423621FB365}" srcOrd="0" destOrd="0" parTransId="{98F8821E-B538-F843-89DC-07FC0A5A5EC8}" sibTransId="{AC24E0BC-323D-354B-9D10-4DA91F775B45}"/>
    <dgm:cxn modelId="{7212F7E5-84E2-0E4A-8A13-4D7ED73A3804}" type="presOf" srcId="{141F73E0-7408-2446-9CDD-EFFDA736114A}" destId="{DED09C2C-7F30-C442-BF93-ED74ADB1BE88}" srcOrd="0" destOrd="0" presId="urn:microsoft.com/office/officeart/2005/8/layout/process4"/>
    <dgm:cxn modelId="{B46128EE-CAFF-9048-AD9F-0C3F41A39A45}" srcId="{F65199FB-BF47-CF4F-A1C4-3638102292C5}" destId="{D80254DF-A728-3942-94F8-CC4595A85C6E}" srcOrd="2" destOrd="0" parTransId="{40FD9713-DE21-E84F-A0B2-9F2481903E3E}" sibTransId="{21122993-E640-0944-8961-93F0E25FFCD7}"/>
    <dgm:cxn modelId="{CF239BC2-CBAA-594D-ADCB-3E8159890529}" type="presParOf" srcId="{0C60A392-DA41-CC49-A5D9-7A45CD8F4E5C}" destId="{5F546733-7C73-464F-9C12-7D5B3725D2EA}" srcOrd="0" destOrd="0" presId="urn:microsoft.com/office/officeart/2005/8/layout/process4"/>
    <dgm:cxn modelId="{A3E6E9C7-3BD8-4844-B0F6-185DB63F965E}" type="presParOf" srcId="{5F546733-7C73-464F-9C12-7D5B3725D2EA}" destId="{3AD1C795-B7B5-5B4E-8957-958B075BBDD6}" srcOrd="0" destOrd="0" presId="urn:microsoft.com/office/officeart/2005/8/layout/process4"/>
    <dgm:cxn modelId="{352A7710-768C-9D46-BF07-51DA1F3FBA6A}" type="presParOf" srcId="{0C60A392-DA41-CC49-A5D9-7A45CD8F4E5C}" destId="{19257B28-1EC6-7548-97F8-6ABA1E694948}" srcOrd="1" destOrd="0" presId="urn:microsoft.com/office/officeart/2005/8/layout/process4"/>
    <dgm:cxn modelId="{3B73817F-DAC9-0246-B246-49FA323A8532}" type="presParOf" srcId="{0C60A392-DA41-CC49-A5D9-7A45CD8F4E5C}" destId="{B6B5BDC0-CB9A-1446-991B-855DC9840AA9}" srcOrd="2" destOrd="0" presId="urn:microsoft.com/office/officeart/2005/8/layout/process4"/>
    <dgm:cxn modelId="{5E972ED6-24C7-AE4B-BC5C-40951B97DEC9}" type="presParOf" srcId="{B6B5BDC0-CB9A-1446-991B-855DC9840AA9}" destId="{52504B85-3B26-7044-8ECE-1B673A978B27}" srcOrd="0" destOrd="0" presId="urn:microsoft.com/office/officeart/2005/8/layout/process4"/>
    <dgm:cxn modelId="{F7B79A5C-9EBF-8144-82AF-D5E53B534F47}" type="presParOf" srcId="{0C60A392-DA41-CC49-A5D9-7A45CD8F4E5C}" destId="{44282142-A4C7-6C47-AE1E-738B52DD5C35}" srcOrd="3" destOrd="0" presId="urn:microsoft.com/office/officeart/2005/8/layout/process4"/>
    <dgm:cxn modelId="{9AD49A9A-E603-E64A-A8F9-A5EEAFD6DECE}" type="presParOf" srcId="{0C60A392-DA41-CC49-A5D9-7A45CD8F4E5C}" destId="{FCC5DB36-F139-1D40-B8A3-51597F550775}" srcOrd="4" destOrd="0" presId="urn:microsoft.com/office/officeart/2005/8/layout/process4"/>
    <dgm:cxn modelId="{BA165717-1F3B-2A4E-BC9C-4C7D60624786}" type="presParOf" srcId="{FCC5DB36-F139-1D40-B8A3-51597F550775}" destId="{DED09C2C-7F30-C442-BF93-ED74ADB1BE88}" srcOrd="0" destOrd="0" presId="urn:microsoft.com/office/officeart/2005/8/layout/process4"/>
    <dgm:cxn modelId="{96330717-BA34-FD4F-943D-74AB6B5CDB52}" type="presParOf" srcId="{0C60A392-DA41-CC49-A5D9-7A45CD8F4E5C}" destId="{C6F8B770-42C9-1943-8470-5FE14BF4721C}" srcOrd="5" destOrd="0" presId="urn:microsoft.com/office/officeart/2005/8/layout/process4"/>
    <dgm:cxn modelId="{7E95BFE6-796E-BB4B-B8CC-B135C4C778D3}" type="presParOf" srcId="{0C60A392-DA41-CC49-A5D9-7A45CD8F4E5C}" destId="{8B90EB79-EAF3-7C4F-AEA7-6E621D5771C6}" srcOrd="6" destOrd="0" presId="urn:microsoft.com/office/officeart/2005/8/layout/process4"/>
    <dgm:cxn modelId="{1DDC7B46-BE06-014A-9E1C-DA68DDD4D17C}" type="presParOf" srcId="{8B90EB79-EAF3-7C4F-AEA7-6E621D5771C6}" destId="{EBFF9117-09C7-274E-A95A-656AFF050745}" srcOrd="0" destOrd="0" presId="urn:microsoft.com/office/officeart/2005/8/layout/process4"/>
    <dgm:cxn modelId="{6477D77B-D539-754C-BC7E-C46288D7341E}" type="presParOf" srcId="{0C60A392-DA41-CC49-A5D9-7A45CD8F4E5C}" destId="{D72D1712-2634-7C48-87EA-5F2BAB43EE5C}" srcOrd="7" destOrd="0" presId="urn:microsoft.com/office/officeart/2005/8/layout/process4"/>
    <dgm:cxn modelId="{BE6C429B-FE6D-494E-9384-785FA8CD48C0}" type="presParOf" srcId="{0C60A392-DA41-CC49-A5D9-7A45CD8F4E5C}" destId="{C17655ED-B301-D34F-84ED-04AA295A5543}" srcOrd="8" destOrd="0" presId="urn:microsoft.com/office/officeart/2005/8/layout/process4"/>
    <dgm:cxn modelId="{B3B7059E-61D6-F84B-B0A9-8F02D9094A1A}" type="presParOf" srcId="{C17655ED-B301-D34F-84ED-04AA295A5543}" destId="{CD8A8CA3-DFB2-834F-8FEE-E4828C4984B2}" srcOrd="0" destOrd="0" presId="urn:microsoft.com/office/officeart/2005/8/layout/process4"/>
    <dgm:cxn modelId="{BD422527-E69A-C944-BCD9-ED48061A2A67}" type="presParOf" srcId="{0C60A392-DA41-CC49-A5D9-7A45CD8F4E5C}" destId="{2B196927-AAA1-234A-A93C-8E1088E7C7BF}" srcOrd="9" destOrd="0" presId="urn:microsoft.com/office/officeart/2005/8/layout/process4"/>
    <dgm:cxn modelId="{339BA67F-7B39-8D40-9320-EE476F70F02C}" type="presParOf" srcId="{0C60A392-DA41-CC49-A5D9-7A45CD8F4E5C}" destId="{AB80458A-7D64-B347-BDF1-5F9B07A87AF4}" srcOrd="10" destOrd="0" presId="urn:microsoft.com/office/officeart/2005/8/layout/process4"/>
    <dgm:cxn modelId="{C2C3108A-26C6-8040-9418-78BB0CD81483}" type="presParOf" srcId="{AB80458A-7D64-B347-BDF1-5F9B07A87AF4}" destId="{0A62A38A-57A5-4A4C-BF97-213F5D3018E5}" srcOrd="0" destOrd="0" presId="urn:microsoft.com/office/officeart/2005/8/layout/process4"/>
    <dgm:cxn modelId="{F3634B8A-5A81-C343-8980-321984DF5781}" type="presParOf" srcId="{0C60A392-DA41-CC49-A5D9-7A45CD8F4E5C}" destId="{000F368F-E83D-6343-A1A2-57962431A2E0}" srcOrd="11" destOrd="0" presId="urn:microsoft.com/office/officeart/2005/8/layout/process4"/>
    <dgm:cxn modelId="{398CBBD9-0E7B-C740-9C01-10497BF97AC4}" type="presParOf" srcId="{0C60A392-DA41-CC49-A5D9-7A45CD8F4E5C}" destId="{47AE409A-1C8F-0441-9091-08AEDC5368B6}" srcOrd="12" destOrd="0" presId="urn:microsoft.com/office/officeart/2005/8/layout/process4"/>
    <dgm:cxn modelId="{A746D2BB-5FB8-AF41-B3CC-3985A8EA3E7B}" type="presParOf" srcId="{47AE409A-1C8F-0441-9091-08AEDC5368B6}" destId="{66364D57-DD63-134B-B1C6-AEEAA0C4D9F8}" srcOrd="0" destOrd="0" presId="urn:microsoft.com/office/officeart/2005/8/layout/process4"/>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976082A-34C1-0E4A-814B-5FCA633CAC77}" type="doc">
      <dgm:prSet loTypeId="urn:microsoft.com/office/officeart/2005/8/layout/process2" loCatId="" qsTypeId="urn:microsoft.com/office/officeart/2005/8/quickstyle/simple1" qsCatId="simple" csTypeId="urn:microsoft.com/office/officeart/2005/8/colors/accent0_1" csCatId="mainScheme" phldr="1"/>
      <dgm:spPr/>
    </dgm:pt>
    <dgm:pt modelId="{FF1EC461-BD5C-4A47-BBDC-BF07994335ED}">
      <dgm:prSet custT="1"/>
      <dgm:spPr/>
      <dgm:t>
        <a:bodyPr/>
        <a:lstStyle/>
        <a:p>
          <a:r>
            <a:rPr lang="en-US" sz="1100">
              <a:latin typeface="Arial" panose="020B0604020202020204" pitchFamily="34" charset="0"/>
              <a:cs typeface="Arial" panose="020B0604020202020204" pitchFamily="34" charset="0"/>
            </a:rPr>
            <a:t>Living in states that implemented new birth ceritificate in or before 2008 </a:t>
          </a:r>
        </a:p>
        <a:p>
          <a:r>
            <a:rPr lang="en-US" sz="1100">
              <a:latin typeface="Arial" panose="020B0604020202020204" pitchFamily="34" charset="0"/>
              <a:cs typeface="Arial" panose="020B0604020202020204" pitchFamily="34" charset="0"/>
            </a:rPr>
            <a:t>(n = 24,908,337)</a:t>
          </a:r>
        </a:p>
      </dgm:t>
    </dgm:pt>
    <dgm:pt modelId="{EE2A2F3B-5E14-5F40-ACD6-A62BC30BEFE8}" type="parTrans" cxnId="{5C16ABD6-DDD6-3A43-8D64-D80B3FFF1131}">
      <dgm:prSet/>
      <dgm:spPr/>
      <dgm:t>
        <a:bodyPr/>
        <a:lstStyle/>
        <a:p>
          <a:endParaRPr lang="en-US" sz="1200"/>
        </a:p>
      </dgm:t>
    </dgm:pt>
    <dgm:pt modelId="{974ADEE8-D191-9348-A346-60410B8429F1}" type="sibTrans" cxnId="{5C16ABD6-DDD6-3A43-8D64-D80B3FFF1131}">
      <dgm:prSet custT="1"/>
      <dgm:spPr/>
      <dgm:t>
        <a:bodyPr/>
        <a:lstStyle/>
        <a:p>
          <a:endParaRPr lang="en-US" sz="1200"/>
        </a:p>
      </dgm:t>
    </dgm:pt>
    <dgm:pt modelId="{F0420A69-E86B-BC43-88FD-2630C83E22B2}">
      <dgm:prSet custT="1"/>
      <dgm:spPr/>
      <dgm:t>
        <a:bodyPr/>
        <a:lstStyle/>
        <a:p>
          <a:r>
            <a:rPr lang="en-US" sz="1100">
              <a:latin typeface="Arial" panose="020B0604020202020204" pitchFamily="34" charset="0"/>
              <a:cs typeface="Arial" panose="020B0604020202020204" pitchFamily="34" charset="0"/>
            </a:rPr>
            <a:t>No missing covariates </a:t>
          </a:r>
        </a:p>
        <a:p>
          <a:r>
            <a:rPr lang="en-US" sz="1100">
              <a:latin typeface="Arial" panose="020B0604020202020204" pitchFamily="34" charset="0"/>
              <a:cs typeface="Arial" panose="020B0604020202020204" pitchFamily="34" charset="0"/>
            </a:rPr>
            <a:t>(n = 11,855,417)</a:t>
          </a:r>
        </a:p>
      </dgm:t>
    </dgm:pt>
    <dgm:pt modelId="{332B839D-EE63-2249-90A8-18FF6111A385}" type="parTrans" cxnId="{BF3139CB-2478-3C4F-81EE-2DFD5B582420}">
      <dgm:prSet/>
      <dgm:spPr/>
      <dgm:t>
        <a:bodyPr/>
        <a:lstStyle/>
        <a:p>
          <a:endParaRPr lang="en-US" sz="1200"/>
        </a:p>
      </dgm:t>
    </dgm:pt>
    <dgm:pt modelId="{5E7C96CA-E744-6943-A164-5704C4EBCBFB}" type="sibTrans" cxnId="{BF3139CB-2478-3C4F-81EE-2DFD5B582420}">
      <dgm:prSet/>
      <dgm:spPr/>
      <dgm:t>
        <a:bodyPr/>
        <a:lstStyle/>
        <a:p>
          <a:endParaRPr lang="en-US" sz="1200"/>
        </a:p>
      </dgm:t>
    </dgm:pt>
    <dgm:pt modelId="{21B88BD2-8F0F-EE44-BA9D-129F115AE4DC}">
      <dgm:prSet custT="1"/>
      <dgm:spPr/>
      <dgm:t>
        <a:bodyPr/>
        <a:lstStyle/>
        <a:p>
          <a:r>
            <a:rPr lang="en-US" sz="1100">
              <a:latin typeface="Arial" panose="020B0604020202020204" pitchFamily="34" charset="0"/>
              <a:cs typeface="Arial" panose="020B0604020202020204" pitchFamily="34" charset="0"/>
            </a:rPr>
            <a:t>Second trimester starting between January 2008 and December 2012 </a:t>
          </a:r>
        </a:p>
        <a:p>
          <a:r>
            <a:rPr lang="en-US" sz="1100">
              <a:latin typeface="Arial" panose="020B0604020202020204" pitchFamily="34" charset="0"/>
              <a:cs typeface="Arial" panose="020B0604020202020204" pitchFamily="34" charset="0"/>
            </a:rPr>
            <a:t>(n = 12,215,949)</a:t>
          </a:r>
        </a:p>
      </dgm:t>
    </dgm:pt>
    <dgm:pt modelId="{BF1DB8CA-142C-6042-B750-F996A315C084}" type="parTrans" cxnId="{8F2EFB49-2E3A-F746-832D-B13B5983E38B}">
      <dgm:prSet/>
      <dgm:spPr/>
      <dgm:t>
        <a:bodyPr/>
        <a:lstStyle/>
        <a:p>
          <a:endParaRPr lang="en-US" sz="1200"/>
        </a:p>
      </dgm:t>
    </dgm:pt>
    <dgm:pt modelId="{B62545EA-38CE-7E46-878C-09E1CE34BC1B}" type="sibTrans" cxnId="{8F2EFB49-2E3A-F746-832D-B13B5983E38B}">
      <dgm:prSet custT="1"/>
      <dgm:spPr/>
      <dgm:t>
        <a:bodyPr/>
        <a:lstStyle/>
        <a:p>
          <a:endParaRPr lang="en-US" sz="1200"/>
        </a:p>
      </dgm:t>
    </dgm:pt>
    <dgm:pt modelId="{199013FD-4CF7-B94E-A84E-718FE3FAFF00}" type="pres">
      <dgm:prSet presAssocID="{C976082A-34C1-0E4A-814B-5FCA633CAC77}" presName="linearFlow" presStyleCnt="0">
        <dgm:presLayoutVars>
          <dgm:resizeHandles val="exact"/>
        </dgm:presLayoutVars>
      </dgm:prSet>
      <dgm:spPr/>
    </dgm:pt>
    <dgm:pt modelId="{A978A63B-B14D-5B45-AEA2-A463D311A76B}" type="pres">
      <dgm:prSet presAssocID="{FF1EC461-BD5C-4A47-BBDC-BF07994335ED}" presName="node" presStyleLbl="node1" presStyleIdx="0" presStyleCnt="3" custScaleX="208596">
        <dgm:presLayoutVars>
          <dgm:bulletEnabled val="1"/>
        </dgm:presLayoutVars>
      </dgm:prSet>
      <dgm:spPr/>
    </dgm:pt>
    <dgm:pt modelId="{4EF4C9B4-0450-C64B-B428-1570307A3765}" type="pres">
      <dgm:prSet presAssocID="{974ADEE8-D191-9348-A346-60410B8429F1}" presName="sibTrans" presStyleLbl="sibTrans2D1" presStyleIdx="0" presStyleCnt="2"/>
      <dgm:spPr/>
    </dgm:pt>
    <dgm:pt modelId="{70240EDC-5E1F-3440-B5ED-0ED91D0C0DAD}" type="pres">
      <dgm:prSet presAssocID="{974ADEE8-D191-9348-A346-60410B8429F1}" presName="connectorText" presStyleLbl="sibTrans2D1" presStyleIdx="0" presStyleCnt="2"/>
      <dgm:spPr/>
    </dgm:pt>
    <dgm:pt modelId="{F3434339-11D3-3740-8930-E2C4C8F65156}" type="pres">
      <dgm:prSet presAssocID="{21B88BD2-8F0F-EE44-BA9D-129F115AE4DC}" presName="node" presStyleLbl="node1" presStyleIdx="1" presStyleCnt="3" custScaleX="209710">
        <dgm:presLayoutVars>
          <dgm:bulletEnabled val="1"/>
        </dgm:presLayoutVars>
      </dgm:prSet>
      <dgm:spPr/>
    </dgm:pt>
    <dgm:pt modelId="{A85F1BBB-A24A-6A4B-91D8-6D193E44F2E5}" type="pres">
      <dgm:prSet presAssocID="{B62545EA-38CE-7E46-878C-09E1CE34BC1B}" presName="sibTrans" presStyleLbl="sibTrans2D1" presStyleIdx="1" presStyleCnt="2"/>
      <dgm:spPr/>
    </dgm:pt>
    <dgm:pt modelId="{B2488D85-E8A7-804B-BFF7-EE2A1E7FDE40}" type="pres">
      <dgm:prSet presAssocID="{B62545EA-38CE-7E46-878C-09E1CE34BC1B}" presName="connectorText" presStyleLbl="sibTrans2D1" presStyleIdx="1" presStyleCnt="2"/>
      <dgm:spPr/>
    </dgm:pt>
    <dgm:pt modelId="{06A46CE3-694E-2C46-B9BB-4A791121291E}" type="pres">
      <dgm:prSet presAssocID="{F0420A69-E86B-BC43-88FD-2630C83E22B2}" presName="node" presStyleLbl="node1" presStyleIdx="2" presStyleCnt="3" custScaleX="210143">
        <dgm:presLayoutVars>
          <dgm:bulletEnabled val="1"/>
        </dgm:presLayoutVars>
      </dgm:prSet>
      <dgm:spPr/>
    </dgm:pt>
  </dgm:ptLst>
  <dgm:cxnLst>
    <dgm:cxn modelId="{EC56D502-52AC-694F-A48E-ED9F401C1A67}" type="presOf" srcId="{C976082A-34C1-0E4A-814B-5FCA633CAC77}" destId="{199013FD-4CF7-B94E-A84E-718FE3FAFF00}" srcOrd="0" destOrd="0" presId="urn:microsoft.com/office/officeart/2005/8/layout/process2"/>
    <dgm:cxn modelId="{D7B30217-0396-0347-8BA1-C71F03048525}" type="presOf" srcId="{974ADEE8-D191-9348-A346-60410B8429F1}" destId="{70240EDC-5E1F-3440-B5ED-0ED91D0C0DAD}" srcOrd="1" destOrd="0" presId="urn:microsoft.com/office/officeart/2005/8/layout/process2"/>
    <dgm:cxn modelId="{C9E74E29-2B53-D542-8312-EC3150DDFAFD}" type="presOf" srcId="{974ADEE8-D191-9348-A346-60410B8429F1}" destId="{4EF4C9B4-0450-C64B-B428-1570307A3765}" srcOrd="0" destOrd="0" presId="urn:microsoft.com/office/officeart/2005/8/layout/process2"/>
    <dgm:cxn modelId="{8F2EFB49-2E3A-F746-832D-B13B5983E38B}" srcId="{C976082A-34C1-0E4A-814B-5FCA633CAC77}" destId="{21B88BD2-8F0F-EE44-BA9D-129F115AE4DC}" srcOrd="1" destOrd="0" parTransId="{BF1DB8CA-142C-6042-B750-F996A315C084}" sibTransId="{B62545EA-38CE-7E46-878C-09E1CE34BC1B}"/>
    <dgm:cxn modelId="{1E12055D-50D3-F044-A743-B6EA8FD11DDF}" type="presOf" srcId="{F0420A69-E86B-BC43-88FD-2630C83E22B2}" destId="{06A46CE3-694E-2C46-B9BB-4A791121291E}" srcOrd="0" destOrd="0" presId="urn:microsoft.com/office/officeart/2005/8/layout/process2"/>
    <dgm:cxn modelId="{BD18C281-51A5-D946-8EA5-103830A680CE}" type="presOf" srcId="{FF1EC461-BD5C-4A47-BBDC-BF07994335ED}" destId="{A978A63B-B14D-5B45-AEA2-A463D311A76B}" srcOrd="0" destOrd="0" presId="urn:microsoft.com/office/officeart/2005/8/layout/process2"/>
    <dgm:cxn modelId="{35A99AA8-7CC7-664E-927F-D96C173498C2}" type="presOf" srcId="{B62545EA-38CE-7E46-878C-09E1CE34BC1B}" destId="{A85F1BBB-A24A-6A4B-91D8-6D193E44F2E5}" srcOrd="0" destOrd="0" presId="urn:microsoft.com/office/officeart/2005/8/layout/process2"/>
    <dgm:cxn modelId="{BF3139CB-2478-3C4F-81EE-2DFD5B582420}" srcId="{C976082A-34C1-0E4A-814B-5FCA633CAC77}" destId="{F0420A69-E86B-BC43-88FD-2630C83E22B2}" srcOrd="2" destOrd="0" parTransId="{332B839D-EE63-2249-90A8-18FF6111A385}" sibTransId="{5E7C96CA-E744-6943-A164-5704C4EBCBFB}"/>
    <dgm:cxn modelId="{236D4BCB-F0F4-424F-88A4-CEB7429BE08F}" type="presOf" srcId="{B62545EA-38CE-7E46-878C-09E1CE34BC1B}" destId="{B2488D85-E8A7-804B-BFF7-EE2A1E7FDE40}" srcOrd="1" destOrd="0" presId="urn:microsoft.com/office/officeart/2005/8/layout/process2"/>
    <dgm:cxn modelId="{5C16ABD6-DDD6-3A43-8D64-D80B3FFF1131}" srcId="{C976082A-34C1-0E4A-814B-5FCA633CAC77}" destId="{FF1EC461-BD5C-4A47-BBDC-BF07994335ED}" srcOrd="0" destOrd="0" parTransId="{EE2A2F3B-5E14-5F40-ACD6-A62BC30BEFE8}" sibTransId="{974ADEE8-D191-9348-A346-60410B8429F1}"/>
    <dgm:cxn modelId="{79E6D1F9-5B5F-7649-9B18-40C312A76CD3}" type="presOf" srcId="{21B88BD2-8F0F-EE44-BA9D-129F115AE4DC}" destId="{F3434339-11D3-3740-8930-E2C4C8F65156}" srcOrd="0" destOrd="0" presId="urn:microsoft.com/office/officeart/2005/8/layout/process2"/>
    <dgm:cxn modelId="{34EB5088-C2A1-D14E-BF08-51C734A04D99}" type="presParOf" srcId="{199013FD-4CF7-B94E-A84E-718FE3FAFF00}" destId="{A978A63B-B14D-5B45-AEA2-A463D311A76B}" srcOrd="0" destOrd="0" presId="urn:microsoft.com/office/officeart/2005/8/layout/process2"/>
    <dgm:cxn modelId="{8BB3B9B2-D8D3-DF44-BC7C-9C77AE4C9E46}" type="presParOf" srcId="{199013FD-4CF7-B94E-A84E-718FE3FAFF00}" destId="{4EF4C9B4-0450-C64B-B428-1570307A3765}" srcOrd="1" destOrd="0" presId="urn:microsoft.com/office/officeart/2005/8/layout/process2"/>
    <dgm:cxn modelId="{15CA0C92-F57A-6A40-B80C-C75A95F24BBF}" type="presParOf" srcId="{4EF4C9B4-0450-C64B-B428-1570307A3765}" destId="{70240EDC-5E1F-3440-B5ED-0ED91D0C0DAD}" srcOrd="0" destOrd="0" presId="urn:microsoft.com/office/officeart/2005/8/layout/process2"/>
    <dgm:cxn modelId="{4062B1D7-F15A-8948-A59B-8A148F4AE297}" type="presParOf" srcId="{199013FD-4CF7-B94E-A84E-718FE3FAFF00}" destId="{F3434339-11D3-3740-8930-E2C4C8F65156}" srcOrd="2" destOrd="0" presId="urn:microsoft.com/office/officeart/2005/8/layout/process2"/>
    <dgm:cxn modelId="{3D4CD5B9-366D-6348-A0E6-8630B81F97A7}" type="presParOf" srcId="{199013FD-4CF7-B94E-A84E-718FE3FAFF00}" destId="{A85F1BBB-A24A-6A4B-91D8-6D193E44F2E5}" srcOrd="3" destOrd="0" presId="urn:microsoft.com/office/officeart/2005/8/layout/process2"/>
    <dgm:cxn modelId="{E6AB5790-53D3-634F-AD91-537DF9D9B016}" type="presParOf" srcId="{A85F1BBB-A24A-6A4B-91D8-6D193E44F2E5}" destId="{B2488D85-E8A7-804B-BFF7-EE2A1E7FDE40}" srcOrd="0" destOrd="0" presId="urn:microsoft.com/office/officeart/2005/8/layout/process2"/>
    <dgm:cxn modelId="{51327097-3F94-D448-8D5E-87537ABBE864}" type="presParOf" srcId="{199013FD-4CF7-B94E-A84E-718FE3FAFF00}" destId="{06A46CE3-694E-2C46-B9BB-4A791121291E}" srcOrd="4" destOrd="0" presId="urn:microsoft.com/office/officeart/2005/8/layout/process2"/>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D1C795-B7B5-5B4E-8957-958B075BBDD6}">
      <dsp:nvSpPr>
        <dsp:cNvPr id="0" name=""/>
        <dsp:cNvSpPr/>
      </dsp:nvSpPr>
      <dsp:spPr>
        <a:xfrm>
          <a:off x="0" y="2815956"/>
          <a:ext cx="2506132" cy="30814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t>drop missing state characteristics(n=11,855,417)</a:t>
          </a:r>
        </a:p>
      </dsp:txBody>
      <dsp:txXfrm>
        <a:off x="0" y="2815956"/>
        <a:ext cx="2506132" cy="308148"/>
      </dsp:txXfrm>
    </dsp:sp>
    <dsp:sp modelId="{52504B85-3B26-7044-8ECE-1B673A978B27}">
      <dsp:nvSpPr>
        <dsp:cNvPr id="0" name=""/>
        <dsp:cNvSpPr/>
      </dsp:nvSpPr>
      <dsp:spPr>
        <a:xfrm rot="10800000">
          <a:off x="0" y="2346646"/>
          <a:ext cx="2506132" cy="473932"/>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t>drop missing parity(n=11,855,417)</a:t>
          </a:r>
        </a:p>
      </dsp:txBody>
      <dsp:txXfrm rot="10800000">
        <a:off x="0" y="2346646"/>
        <a:ext cx="2506132" cy="307947"/>
      </dsp:txXfrm>
    </dsp:sp>
    <dsp:sp modelId="{DED09C2C-7F30-C442-BF93-ED74ADB1BE88}">
      <dsp:nvSpPr>
        <dsp:cNvPr id="0" name=""/>
        <dsp:cNvSpPr/>
      </dsp:nvSpPr>
      <dsp:spPr>
        <a:xfrm rot="10800000">
          <a:off x="0" y="1877336"/>
          <a:ext cx="2506132" cy="473932"/>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t>drop missing marital status(n=11,855,417)</a:t>
          </a:r>
        </a:p>
      </dsp:txBody>
      <dsp:txXfrm rot="10800000">
        <a:off x="0" y="1877336"/>
        <a:ext cx="2506132" cy="307947"/>
      </dsp:txXfrm>
    </dsp:sp>
    <dsp:sp modelId="{EBFF9117-09C7-274E-A95A-656AFF050745}">
      <dsp:nvSpPr>
        <dsp:cNvPr id="0" name=""/>
        <dsp:cNvSpPr/>
      </dsp:nvSpPr>
      <dsp:spPr>
        <a:xfrm rot="10800000">
          <a:off x="0" y="1408025"/>
          <a:ext cx="2506132" cy="473932"/>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t>drop missing nativity(n=11,855,417)</a:t>
          </a:r>
        </a:p>
      </dsp:txBody>
      <dsp:txXfrm rot="10800000">
        <a:off x="0" y="1408025"/>
        <a:ext cx="2506132" cy="307947"/>
      </dsp:txXfrm>
    </dsp:sp>
    <dsp:sp modelId="{CD8A8CA3-DFB2-834F-8FEE-E4828C4984B2}">
      <dsp:nvSpPr>
        <dsp:cNvPr id="0" name=""/>
        <dsp:cNvSpPr/>
      </dsp:nvSpPr>
      <dsp:spPr>
        <a:xfrm rot="10800000">
          <a:off x="0" y="938715"/>
          <a:ext cx="2506132" cy="473932"/>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t>drop missing education(n=11,923,652)</a:t>
          </a:r>
        </a:p>
      </dsp:txBody>
      <dsp:txXfrm rot="10800000">
        <a:off x="0" y="938715"/>
        <a:ext cx="2506132" cy="307947"/>
      </dsp:txXfrm>
    </dsp:sp>
    <dsp:sp modelId="{0A62A38A-57A5-4A4C-BF97-213F5D3018E5}">
      <dsp:nvSpPr>
        <dsp:cNvPr id="0" name=""/>
        <dsp:cNvSpPr/>
      </dsp:nvSpPr>
      <dsp:spPr>
        <a:xfrm rot="10800000">
          <a:off x="0" y="469404"/>
          <a:ext cx="2506132" cy="473932"/>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t>drop missing age(n=12,113,364)</a:t>
          </a:r>
        </a:p>
      </dsp:txBody>
      <dsp:txXfrm rot="10800000">
        <a:off x="0" y="469404"/>
        <a:ext cx="2506132" cy="307947"/>
      </dsp:txXfrm>
    </dsp:sp>
    <dsp:sp modelId="{66364D57-DD63-134B-B1C6-AEEAA0C4D9F8}">
      <dsp:nvSpPr>
        <dsp:cNvPr id="0" name=""/>
        <dsp:cNvSpPr/>
      </dsp:nvSpPr>
      <dsp:spPr>
        <a:xfrm rot="10800000">
          <a:off x="0" y="0"/>
          <a:ext cx="2506132" cy="473932"/>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t>drop missing race/ethnicity (n=12,113,364)</a:t>
          </a:r>
        </a:p>
      </dsp:txBody>
      <dsp:txXfrm rot="10800000">
        <a:off x="0" y="0"/>
        <a:ext cx="2506132" cy="30794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978A63B-B14D-5B45-AEA2-A463D311A76B}">
      <dsp:nvSpPr>
        <dsp:cNvPr id="0" name=""/>
        <dsp:cNvSpPr/>
      </dsp:nvSpPr>
      <dsp:spPr>
        <a:xfrm>
          <a:off x="7398" y="2269"/>
          <a:ext cx="2770735" cy="116091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Living in states that implemented new birth ceritificate in or before 2008 </a:t>
          </a:r>
        </a:p>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(n = 24,908,337)</a:t>
          </a:r>
        </a:p>
      </dsp:txBody>
      <dsp:txXfrm>
        <a:off x="41400" y="36271"/>
        <a:ext cx="2702731" cy="1092911"/>
      </dsp:txXfrm>
    </dsp:sp>
    <dsp:sp modelId="{4EF4C9B4-0450-C64B-B428-1570307A3765}">
      <dsp:nvSpPr>
        <dsp:cNvPr id="0" name=""/>
        <dsp:cNvSpPr/>
      </dsp:nvSpPr>
      <dsp:spPr>
        <a:xfrm rot="5400000">
          <a:off x="1175094" y="1192207"/>
          <a:ext cx="435343" cy="522411"/>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p>
      </dsp:txBody>
      <dsp:txXfrm rot="-5400000">
        <a:off x="1236043" y="1235741"/>
        <a:ext cx="313447" cy="304740"/>
      </dsp:txXfrm>
    </dsp:sp>
    <dsp:sp modelId="{F3434339-11D3-3740-8930-E2C4C8F65156}">
      <dsp:nvSpPr>
        <dsp:cNvPr id="0" name=""/>
        <dsp:cNvSpPr/>
      </dsp:nvSpPr>
      <dsp:spPr>
        <a:xfrm>
          <a:off x="0" y="1743642"/>
          <a:ext cx="2785533" cy="116091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Second trimester starting between January 2008 and December 2012 </a:t>
          </a:r>
        </a:p>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(n = 12,215,949)</a:t>
          </a:r>
        </a:p>
      </dsp:txBody>
      <dsp:txXfrm>
        <a:off x="34002" y="1777644"/>
        <a:ext cx="2717529" cy="1092911"/>
      </dsp:txXfrm>
    </dsp:sp>
    <dsp:sp modelId="{A85F1BBB-A24A-6A4B-91D8-6D193E44F2E5}">
      <dsp:nvSpPr>
        <dsp:cNvPr id="0" name=""/>
        <dsp:cNvSpPr/>
      </dsp:nvSpPr>
      <dsp:spPr>
        <a:xfrm rot="5400000">
          <a:off x="1175094" y="2933580"/>
          <a:ext cx="435343" cy="522411"/>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p>
      </dsp:txBody>
      <dsp:txXfrm rot="-5400000">
        <a:off x="1236043" y="2977114"/>
        <a:ext cx="313447" cy="304740"/>
      </dsp:txXfrm>
    </dsp:sp>
    <dsp:sp modelId="{06A46CE3-694E-2C46-B9BB-4A791121291E}">
      <dsp:nvSpPr>
        <dsp:cNvPr id="0" name=""/>
        <dsp:cNvSpPr/>
      </dsp:nvSpPr>
      <dsp:spPr>
        <a:xfrm>
          <a:off x="-2875" y="3485015"/>
          <a:ext cx="2791284" cy="116091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No missing covariates </a:t>
          </a:r>
        </a:p>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(n = 11,855,417)</a:t>
          </a:r>
        </a:p>
      </dsp:txBody>
      <dsp:txXfrm>
        <a:off x="31127" y="3519017"/>
        <a:ext cx="2723280" cy="1092911"/>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5880</Words>
  <Characters>33516</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39318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2025-03-24T04:05:00Z</dcterms:created>
  <dcterms:modified xsi:type="dcterms:W3CDTF">2025-03-24T04:05:00Z</dcterms:modified>
  <cp:category/>
</cp:coreProperties>
</file>