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9548" w14:textId="666F5B01" w:rsidR="00954F2B" w:rsidRPr="00A40D17" w:rsidRDefault="00954F2B">
      <w:pPr>
        <w:rPr>
          <w:b/>
          <w:bCs/>
        </w:rPr>
      </w:pPr>
      <w:r w:rsidRPr="00954F2B">
        <w:rPr>
          <w:b/>
          <w:bCs/>
        </w:rPr>
        <w:t>Supplemental materials</w:t>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486"/>
        <w:gridCol w:w="2300"/>
        <w:gridCol w:w="2408"/>
        <w:gridCol w:w="2156"/>
      </w:tblGrid>
      <w:tr w:rsidR="00954F2B" w:rsidRPr="005F3218" w14:paraId="4DEE247E" w14:textId="77777777" w:rsidTr="00591C8A">
        <w:trPr>
          <w:trHeight w:val="937"/>
        </w:trPr>
        <w:tc>
          <w:tcPr>
            <w:tcW w:w="0" w:type="auto"/>
            <w:gridSpan w:val="4"/>
          </w:tcPr>
          <w:p w14:paraId="7658F64F" w14:textId="264FC87A" w:rsidR="00954F2B" w:rsidRPr="005F3218" w:rsidRDefault="00333DBF" w:rsidP="00591C8A">
            <w:pPr>
              <w:rPr>
                <w:b/>
                <w:bCs/>
              </w:rPr>
            </w:pPr>
            <w:r>
              <w:rPr>
                <w:b/>
                <w:bCs/>
              </w:rPr>
              <w:t>Appendix 1</w:t>
            </w:r>
            <w:r w:rsidR="00954F2B" w:rsidRPr="005F3218">
              <w:rPr>
                <w:b/>
                <w:bCs/>
              </w:rPr>
              <w:t xml:space="preserve">. </w:t>
            </w:r>
            <w:r w:rsidR="00954F2B">
              <w:rPr>
                <w:b/>
                <w:bCs/>
              </w:rPr>
              <w:t xml:space="preserve">Agreement of same-day HIV </w:t>
            </w:r>
            <w:r w:rsidR="00954F2B" w:rsidRPr="00AD4B19">
              <w:rPr>
                <w:b/>
                <w:bCs/>
              </w:rPr>
              <w:t>antigen/antibody (</w:t>
            </w:r>
            <w:r w:rsidR="00954F2B">
              <w:rPr>
                <w:b/>
                <w:bCs/>
              </w:rPr>
              <w:t>Ag/Ab</w:t>
            </w:r>
            <w:r w:rsidR="00954F2B" w:rsidRPr="00AD4B19">
              <w:rPr>
                <w:b/>
                <w:bCs/>
              </w:rPr>
              <w:t>)</w:t>
            </w:r>
            <w:r w:rsidR="00954F2B">
              <w:rPr>
                <w:b/>
                <w:bCs/>
              </w:rPr>
              <w:t xml:space="preserve"> and RNA test results in a cohort of cabotegravir</w:t>
            </w:r>
            <w:r w:rsidR="00954F2B" w:rsidRPr="002A615D">
              <w:rPr>
                <w:b/>
                <w:bCs/>
              </w:rPr>
              <w:t xml:space="preserve"> </w:t>
            </w:r>
            <w:r w:rsidR="00954F2B">
              <w:rPr>
                <w:b/>
                <w:bCs/>
              </w:rPr>
              <w:t>long-acting injectable PrEP users in the United States, HealthVerity, January 2022 - August 2023</w:t>
            </w:r>
          </w:p>
        </w:tc>
      </w:tr>
      <w:tr w:rsidR="004B1F1C" w:rsidRPr="005F3218" w14:paraId="1E43565A" w14:textId="77777777" w:rsidTr="00591C8A">
        <w:trPr>
          <w:trHeight w:val="320"/>
        </w:trPr>
        <w:tc>
          <w:tcPr>
            <w:tcW w:w="2452" w:type="dxa"/>
          </w:tcPr>
          <w:p w14:paraId="43FACFEA" w14:textId="77777777" w:rsidR="00954F2B" w:rsidRPr="005F3218" w:rsidRDefault="00954F2B" w:rsidP="00591C8A">
            <w:pPr>
              <w:rPr>
                <w:b/>
                <w:bCs/>
              </w:rPr>
            </w:pPr>
          </w:p>
        </w:tc>
        <w:tc>
          <w:tcPr>
            <w:tcW w:w="2247" w:type="dxa"/>
          </w:tcPr>
          <w:p w14:paraId="08070B32" w14:textId="77777777" w:rsidR="00954F2B" w:rsidRPr="005F3218" w:rsidRDefault="00954F2B" w:rsidP="00591C8A">
            <w:pPr>
              <w:jc w:val="center"/>
              <w:rPr>
                <w:b/>
                <w:bCs/>
              </w:rPr>
            </w:pPr>
            <w:r w:rsidRPr="005F3218">
              <w:rPr>
                <w:b/>
                <w:bCs/>
              </w:rPr>
              <w:t>RNA Positive</w:t>
            </w:r>
          </w:p>
        </w:tc>
        <w:tc>
          <w:tcPr>
            <w:tcW w:w="2316" w:type="dxa"/>
          </w:tcPr>
          <w:p w14:paraId="11451FB6" w14:textId="77777777" w:rsidR="00954F2B" w:rsidRPr="005F3218" w:rsidRDefault="00954F2B" w:rsidP="00591C8A">
            <w:pPr>
              <w:jc w:val="center"/>
              <w:rPr>
                <w:b/>
                <w:bCs/>
              </w:rPr>
            </w:pPr>
            <w:r w:rsidRPr="005F3218">
              <w:rPr>
                <w:b/>
                <w:bCs/>
              </w:rPr>
              <w:t>RNA Negative</w:t>
            </w:r>
          </w:p>
        </w:tc>
        <w:tc>
          <w:tcPr>
            <w:tcW w:w="2335" w:type="dxa"/>
          </w:tcPr>
          <w:p w14:paraId="23DE327B" w14:textId="77777777" w:rsidR="00954F2B" w:rsidRPr="005F3218" w:rsidRDefault="00954F2B" w:rsidP="00591C8A">
            <w:pPr>
              <w:jc w:val="center"/>
              <w:rPr>
                <w:b/>
                <w:bCs/>
              </w:rPr>
            </w:pPr>
            <w:r w:rsidRPr="005F3218">
              <w:rPr>
                <w:b/>
                <w:bCs/>
              </w:rPr>
              <w:t>Total</w:t>
            </w:r>
          </w:p>
        </w:tc>
      </w:tr>
      <w:tr w:rsidR="004B1F1C" w:rsidRPr="005F3218" w14:paraId="70C91E4F" w14:textId="77777777" w:rsidTr="00591C8A">
        <w:trPr>
          <w:trHeight w:val="306"/>
        </w:trPr>
        <w:tc>
          <w:tcPr>
            <w:tcW w:w="2452" w:type="dxa"/>
          </w:tcPr>
          <w:p w14:paraId="185480FB" w14:textId="77777777" w:rsidR="00954F2B" w:rsidRPr="005F3218" w:rsidRDefault="00954F2B" w:rsidP="00591C8A">
            <w:pPr>
              <w:rPr>
                <w:b/>
                <w:bCs/>
              </w:rPr>
            </w:pPr>
            <w:r w:rsidRPr="005F3218">
              <w:rPr>
                <w:b/>
                <w:bCs/>
              </w:rPr>
              <w:t xml:space="preserve">Ag/Ab </w:t>
            </w:r>
            <w:r>
              <w:rPr>
                <w:b/>
                <w:bCs/>
              </w:rPr>
              <w:t>p</w:t>
            </w:r>
            <w:r w:rsidRPr="005F3218">
              <w:rPr>
                <w:b/>
                <w:bCs/>
              </w:rPr>
              <w:t>ositive</w:t>
            </w:r>
          </w:p>
        </w:tc>
        <w:tc>
          <w:tcPr>
            <w:tcW w:w="2247" w:type="dxa"/>
          </w:tcPr>
          <w:p w14:paraId="7CE4DF31" w14:textId="77777777" w:rsidR="00954F2B" w:rsidRPr="00454DCA" w:rsidRDefault="00954F2B" w:rsidP="00591C8A">
            <w:pPr>
              <w:jc w:val="center"/>
            </w:pPr>
            <w:r w:rsidRPr="00454DCA">
              <w:t>1</w:t>
            </w:r>
          </w:p>
        </w:tc>
        <w:tc>
          <w:tcPr>
            <w:tcW w:w="2316" w:type="dxa"/>
          </w:tcPr>
          <w:p w14:paraId="73535BF9" w14:textId="77777777" w:rsidR="00954F2B" w:rsidRPr="00454DCA" w:rsidRDefault="00954F2B" w:rsidP="00591C8A">
            <w:pPr>
              <w:jc w:val="center"/>
            </w:pPr>
            <w:r w:rsidRPr="00454DCA">
              <w:t>1</w:t>
            </w:r>
          </w:p>
        </w:tc>
        <w:tc>
          <w:tcPr>
            <w:tcW w:w="2335" w:type="dxa"/>
          </w:tcPr>
          <w:p w14:paraId="5FFC655A" w14:textId="77777777" w:rsidR="00954F2B" w:rsidRPr="00094A3D" w:rsidRDefault="00954F2B" w:rsidP="00591C8A">
            <w:pPr>
              <w:jc w:val="center"/>
              <w:rPr>
                <w:b/>
                <w:bCs/>
              </w:rPr>
            </w:pPr>
            <w:r w:rsidRPr="00094A3D">
              <w:rPr>
                <w:b/>
                <w:bCs/>
              </w:rPr>
              <w:t>2</w:t>
            </w:r>
          </w:p>
        </w:tc>
      </w:tr>
      <w:tr w:rsidR="004B1F1C" w:rsidRPr="005F3218" w14:paraId="3F6D08B1" w14:textId="77777777" w:rsidTr="00591C8A">
        <w:trPr>
          <w:trHeight w:val="306"/>
        </w:trPr>
        <w:tc>
          <w:tcPr>
            <w:tcW w:w="2452" w:type="dxa"/>
          </w:tcPr>
          <w:p w14:paraId="6E9CBD20" w14:textId="77777777" w:rsidR="00954F2B" w:rsidRPr="005F3218" w:rsidRDefault="00954F2B" w:rsidP="00591C8A">
            <w:pPr>
              <w:rPr>
                <w:b/>
                <w:bCs/>
              </w:rPr>
            </w:pPr>
            <w:r w:rsidRPr="005F3218">
              <w:rPr>
                <w:b/>
                <w:bCs/>
              </w:rPr>
              <w:t xml:space="preserve">Ag/Ab </w:t>
            </w:r>
            <w:r>
              <w:rPr>
                <w:b/>
                <w:bCs/>
              </w:rPr>
              <w:t>n</w:t>
            </w:r>
            <w:r w:rsidRPr="005F3218">
              <w:rPr>
                <w:b/>
                <w:bCs/>
              </w:rPr>
              <w:t>egative</w:t>
            </w:r>
          </w:p>
        </w:tc>
        <w:tc>
          <w:tcPr>
            <w:tcW w:w="2247" w:type="dxa"/>
          </w:tcPr>
          <w:p w14:paraId="0E105B5B" w14:textId="77777777" w:rsidR="00954F2B" w:rsidRPr="00454DCA" w:rsidRDefault="00954F2B" w:rsidP="00591C8A">
            <w:pPr>
              <w:jc w:val="center"/>
            </w:pPr>
            <w:r w:rsidRPr="00454DCA">
              <w:t>1</w:t>
            </w:r>
          </w:p>
        </w:tc>
        <w:tc>
          <w:tcPr>
            <w:tcW w:w="2316" w:type="dxa"/>
          </w:tcPr>
          <w:p w14:paraId="248D66BC" w14:textId="77777777" w:rsidR="00954F2B" w:rsidRPr="00454DCA" w:rsidRDefault="00954F2B" w:rsidP="00591C8A">
            <w:pPr>
              <w:jc w:val="center"/>
            </w:pPr>
            <w:r w:rsidRPr="00454DCA">
              <w:t>7</w:t>
            </w:r>
            <w:r>
              <w:t>66</w:t>
            </w:r>
          </w:p>
        </w:tc>
        <w:tc>
          <w:tcPr>
            <w:tcW w:w="2335" w:type="dxa"/>
          </w:tcPr>
          <w:p w14:paraId="5FAB085F" w14:textId="77777777" w:rsidR="00954F2B" w:rsidRPr="00094A3D" w:rsidRDefault="00954F2B" w:rsidP="00591C8A">
            <w:pPr>
              <w:jc w:val="center"/>
              <w:rPr>
                <w:b/>
                <w:bCs/>
              </w:rPr>
            </w:pPr>
            <w:r w:rsidRPr="00094A3D">
              <w:rPr>
                <w:b/>
                <w:bCs/>
              </w:rPr>
              <w:t>767</w:t>
            </w:r>
          </w:p>
        </w:tc>
      </w:tr>
      <w:tr w:rsidR="004B1F1C" w:rsidRPr="005F3218" w14:paraId="62599769" w14:textId="77777777" w:rsidTr="00591C8A">
        <w:trPr>
          <w:trHeight w:val="306"/>
        </w:trPr>
        <w:tc>
          <w:tcPr>
            <w:tcW w:w="2452" w:type="dxa"/>
          </w:tcPr>
          <w:p w14:paraId="54F34285" w14:textId="77777777" w:rsidR="00954F2B" w:rsidRPr="005F3218" w:rsidRDefault="00954F2B" w:rsidP="00591C8A">
            <w:pPr>
              <w:rPr>
                <w:b/>
                <w:bCs/>
              </w:rPr>
            </w:pPr>
            <w:r w:rsidRPr="005F3218">
              <w:rPr>
                <w:b/>
                <w:bCs/>
              </w:rPr>
              <w:t>Total</w:t>
            </w:r>
          </w:p>
        </w:tc>
        <w:tc>
          <w:tcPr>
            <w:tcW w:w="2247" w:type="dxa"/>
          </w:tcPr>
          <w:p w14:paraId="134BC874" w14:textId="77777777" w:rsidR="00954F2B" w:rsidRPr="00094A3D" w:rsidRDefault="00954F2B" w:rsidP="00591C8A">
            <w:pPr>
              <w:jc w:val="center"/>
              <w:rPr>
                <w:b/>
                <w:bCs/>
              </w:rPr>
            </w:pPr>
            <w:r w:rsidRPr="00094A3D">
              <w:rPr>
                <w:b/>
                <w:bCs/>
              </w:rPr>
              <w:t>2</w:t>
            </w:r>
          </w:p>
        </w:tc>
        <w:tc>
          <w:tcPr>
            <w:tcW w:w="2316" w:type="dxa"/>
          </w:tcPr>
          <w:p w14:paraId="5D55BF57" w14:textId="77777777" w:rsidR="00954F2B" w:rsidRPr="00094A3D" w:rsidRDefault="00954F2B" w:rsidP="00591C8A">
            <w:pPr>
              <w:jc w:val="center"/>
              <w:rPr>
                <w:b/>
                <w:bCs/>
              </w:rPr>
            </w:pPr>
            <w:r w:rsidRPr="00094A3D">
              <w:rPr>
                <w:b/>
                <w:bCs/>
              </w:rPr>
              <w:t>767</w:t>
            </w:r>
          </w:p>
        </w:tc>
        <w:tc>
          <w:tcPr>
            <w:tcW w:w="2335" w:type="dxa"/>
          </w:tcPr>
          <w:p w14:paraId="3D9A4519" w14:textId="77777777" w:rsidR="00954F2B" w:rsidRPr="00094A3D" w:rsidRDefault="00954F2B" w:rsidP="00591C8A">
            <w:pPr>
              <w:jc w:val="center"/>
              <w:rPr>
                <w:b/>
                <w:bCs/>
              </w:rPr>
            </w:pPr>
            <w:r w:rsidRPr="00094A3D">
              <w:rPr>
                <w:b/>
                <w:bCs/>
              </w:rPr>
              <w:t>769</w:t>
            </w:r>
          </w:p>
        </w:tc>
      </w:tr>
      <w:tr w:rsidR="00954F2B" w:rsidRPr="005F3218" w14:paraId="037E73AD" w14:textId="77777777" w:rsidTr="00591C8A">
        <w:trPr>
          <w:trHeight w:val="937"/>
        </w:trPr>
        <w:tc>
          <w:tcPr>
            <w:tcW w:w="0" w:type="auto"/>
            <w:gridSpan w:val="4"/>
          </w:tcPr>
          <w:p w14:paraId="2212945A" w14:textId="77777777" w:rsidR="00954F2B" w:rsidRDefault="00954F2B" w:rsidP="00591C8A">
            <w:pPr>
              <w:rPr>
                <w:b/>
                <w:bCs/>
              </w:rPr>
            </w:pPr>
            <w:r>
              <w:rPr>
                <w:b/>
                <w:bCs/>
              </w:rPr>
              <w:t xml:space="preserve">Overall agreement: </w:t>
            </w:r>
            <w:r w:rsidRPr="00A74161">
              <w:t>99</w:t>
            </w:r>
            <w:r>
              <w:t>.</w:t>
            </w:r>
            <w:r w:rsidRPr="00A74161">
              <w:t>7% (95% CI: 99</w:t>
            </w:r>
            <w:r>
              <w:t>.</w:t>
            </w:r>
            <w:r w:rsidRPr="00A74161">
              <w:t>1% - 99</w:t>
            </w:r>
            <w:r>
              <w:t>.</w:t>
            </w:r>
            <w:r w:rsidRPr="00A74161">
              <w:t>9%</w:t>
            </w:r>
            <w:r>
              <w:t>)</w:t>
            </w:r>
          </w:p>
          <w:p w14:paraId="3DD2082D" w14:textId="77777777" w:rsidR="00954F2B" w:rsidRDefault="00954F2B" w:rsidP="00591C8A">
            <w:r>
              <w:rPr>
                <w:b/>
                <w:bCs/>
              </w:rPr>
              <w:t xml:space="preserve">Positive agreement: </w:t>
            </w:r>
            <w:r w:rsidRPr="00A74161">
              <w:t>50</w:t>
            </w:r>
            <w:r>
              <w:t>.</w:t>
            </w:r>
            <w:r w:rsidRPr="00A74161">
              <w:t>0% (95%</w:t>
            </w:r>
            <w:r>
              <w:t xml:space="preserve"> </w:t>
            </w:r>
            <w:r w:rsidRPr="00A74161">
              <w:t>CI: 4</w:t>
            </w:r>
            <w:r>
              <w:t>.</w:t>
            </w:r>
            <w:r w:rsidRPr="00A74161">
              <w:t xml:space="preserve">4% - </w:t>
            </w:r>
            <w:r>
              <w:t>89.0</w:t>
            </w:r>
            <w:r w:rsidRPr="00A74161">
              <w:t>%)</w:t>
            </w:r>
          </w:p>
          <w:p w14:paraId="3D908B20" w14:textId="77777777" w:rsidR="00954F2B" w:rsidRDefault="00954F2B" w:rsidP="00591C8A">
            <w:r w:rsidRPr="00170F2D">
              <w:rPr>
                <w:b/>
                <w:bCs/>
              </w:rPr>
              <w:t xml:space="preserve">Negative </w:t>
            </w:r>
            <w:r>
              <w:rPr>
                <w:b/>
                <w:bCs/>
              </w:rPr>
              <w:t>a</w:t>
            </w:r>
            <w:r w:rsidRPr="00170F2D">
              <w:rPr>
                <w:b/>
                <w:bCs/>
              </w:rPr>
              <w:t>greement:</w:t>
            </w:r>
            <w:r>
              <w:t xml:space="preserve"> 99.9% (95% CI: 99.6% - 100.0%)</w:t>
            </w:r>
          </w:p>
          <w:p w14:paraId="6D36303A" w14:textId="77777777" w:rsidR="00954F2B" w:rsidRDefault="00954F2B" w:rsidP="00591C8A">
            <w:r w:rsidRPr="00094A3D">
              <w:rPr>
                <w:b/>
                <w:bCs/>
              </w:rPr>
              <w:t>95% CI:</w:t>
            </w:r>
            <w:r>
              <w:t xml:space="preserve"> 95% credible interval </w:t>
            </w:r>
          </w:p>
          <w:p w14:paraId="52E50699" w14:textId="77777777" w:rsidR="00954F2B" w:rsidRDefault="00954F2B" w:rsidP="00591C8A">
            <w:pPr>
              <w:rPr>
                <w:b/>
                <w:bCs/>
              </w:rPr>
            </w:pPr>
            <w:r w:rsidRPr="00094A3D">
              <w:rPr>
                <w:b/>
                <w:bCs/>
              </w:rPr>
              <w:t xml:space="preserve">Detailed </w:t>
            </w:r>
            <w:r>
              <w:rPr>
                <w:b/>
                <w:bCs/>
              </w:rPr>
              <w:t xml:space="preserve">results </w:t>
            </w:r>
            <w:r w:rsidRPr="00094A3D">
              <w:rPr>
                <w:b/>
                <w:bCs/>
              </w:rPr>
              <w:t xml:space="preserve">for </w:t>
            </w:r>
            <w:r>
              <w:rPr>
                <w:b/>
                <w:bCs/>
              </w:rPr>
              <w:t xml:space="preserve">the two cases with </w:t>
            </w:r>
            <w:r w:rsidRPr="00094A3D">
              <w:rPr>
                <w:b/>
                <w:bCs/>
              </w:rPr>
              <w:t xml:space="preserve">discordant </w:t>
            </w:r>
            <w:r>
              <w:rPr>
                <w:b/>
                <w:bCs/>
              </w:rPr>
              <w:t xml:space="preserve">HIV RNA and Ag/Ab </w:t>
            </w:r>
            <w:r w:rsidRPr="00094A3D">
              <w:rPr>
                <w:b/>
                <w:bCs/>
              </w:rPr>
              <w:t>results:</w:t>
            </w:r>
            <w:r>
              <w:rPr>
                <w:b/>
                <w:bCs/>
              </w:rPr>
              <w:t xml:space="preserve"> </w:t>
            </w:r>
          </w:p>
          <w:p w14:paraId="373AFA38" w14:textId="77777777" w:rsidR="00954F2B" w:rsidRDefault="00954F2B" w:rsidP="00591C8A">
            <w:r w:rsidRPr="00094A3D">
              <w:rPr>
                <w:b/>
                <w:bCs/>
              </w:rPr>
              <w:t>RNA(+) &amp; Ag/Ab(-):</w:t>
            </w:r>
            <w:r>
              <w:t xml:space="preserve"> </w:t>
            </w:r>
            <w:r w:rsidRPr="008C0325">
              <w:t>HIV RNA: Detected,  &lt;20 copies/mL</w:t>
            </w:r>
            <w:r>
              <w:t xml:space="preserve">; </w:t>
            </w:r>
            <w:r w:rsidRPr="008C0325">
              <w:t>Ag/Ab: non-reactive</w:t>
            </w:r>
            <w:r>
              <w:t xml:space="preserve">. </w:t>
            </w:r>
          </w:p>
          <w:p w14:paraId="5FC9CB0B" w14:textId="77777777" w:rsidR="004B1F1C" w:rsidRDefault="00954F2B" w:rsidP="004B1F1C">
            <w:r w:rsidRPr="00094A3D">
              <w:rPr>
                <w:b/>
                <w:bCs/>
              </w:rPr>
              <w:t>RNA(</w:t>
            </w:r>
            <w:r>
              <w:rPr>
                <w:b/>
                <w:bCs/>
              </w:rPr>
              <w:t>-</w:t>
            </w:r>
            <w:r w:rsidRPr="00094A3D">
              <w:rPr>
                <w:b/>
                <w:bCs/>
              </w:rPr>
              <w:t>) &amp; Ag/Ab(+):</w:t>
            </w:r>
            <w:r>
              <w:t xml:space="preserve"> </w:t>
            </w:r>
            <w:r w:rsidRPr="000B3E38">
              <w:t>HIV-1 RNA</w:t>
            </w:r>
            <w:r>
              <w:t>:</w:t>
            </w:r>
            <w:r w:rsidRPr="000B3E38">
              <w:t xml:space="preserve"> non-reactive</w:t>
            </w:r>
            <w:r>
              <w:t>;</w:t>
            </w:r>
            <w:r w:rsidRPr="000B3E38">
              <w:t xml:space="preserve"> HIV-2 RNA</w:t>
            </w:r>
            <w:r>
              <w:t>:</w:t>
            </w:r>
            <w:r w:rsidRPr="000B3E38">
              <w:t xml:space="preserve"> non-reactive</w:t>
            </w:r>
            <w:r>
              <w:t>;</w:t>
            </w:r>
            <w:r w:rsidRPr="000B3E38">
              <w:t xml:space="preserve"> HIV-1 Ab</w:t>
            </w:r>
            <w:r>
              <w:t>:</w:t>
            </w:r>
            <w:r w:rsidRPr="000B3E38">
              <w:t xml:space="preserve"> Reactive</w:t>
            </w:r>
            <w:r>
              <w:t>;</w:t>
            </w:r>
            <w:r w:rsidRPr="000B3E38">
              <w:t xml:space="preserve"> Ag/Ab screening interpretation: HIV-Positive</w:t>
            </w:r>
            <w:r>
              <w:t>.</w:t>
            </w:r>
          </w:p>
          <w:p w14:paraId="467CD3FE" w14:textId="77777777" w:rsidR="006F1FC0" w:rsidRDefault="006F1FC0" w:rsidP="004B1F1C"/>
          <w:p w14:paraId="6C9DF9A1" w14:textId="1E772AED" w:rsidR="004B1F1C" w:rsidRPr="00564053" w:rsidRDefault="004B1F1C" w:rsidP="00591C8A">
            <w:pPr>
              <w:rPr>
                <w:b/>
                <w:bCs/>
              </w:rPr>
            </w:pPr>
            <w:r w:rsidRPr="00564053">
              <w:rPr>
                <w:b/>
                <w:bCs/>
              </w:rPr>
              <w:t>T</w:t>
            </w:r>
            <w:r w:rsidRPr="00564053">
              <w:rPr>
                <w:b/>
                <w:bCs/>
              </w:rPr>
              <w:t xml:space="preserve">he sample size of positive results (3 in total) is insufficient for a conclusive assessment of agreement of HIV Ag/Ab and RNA testing and the metrics in the table </w:t>
            </w:r>
            <w:r w:rsidR="00564053" w:rsidRPr="00564053">
              <w:rPr>
                <w:b/>
                <w:bCs/>
              </w:rPr>
              <w:t xml:space="preserve">are not </w:t>
            </w:r>
            <w:r w:rsidR="00BE4EB0">
              <w:rPr>
                <w:b/>
                <w:bCs/>
              </w:rPr>
              <w:t>conclusive</w:t>
            </w:r>
            <w:r w:rsidR="00564053" w:rsidRPr="00564053">
              <w:rPr>
                <w:b/>
                <w:bCs/>
              </w:rPr>
              <w:t xml:space="preserve"> estimates</w:t>
            </w:r>
            <w:r w:rsidRPr="00564053">
              <w:rPr>
                <w:b/>
                <w:bCs/>
              </w:rPr>
              <w:t>.</w:t>
            </w:r>
          </w:p>
        </w:tc>
      </w:tr>
    </w:tbl>
    <w:p w14:paraId="227CBDB6" w14:textId="77777777" w:rsidR="00954F2B" w:rsidRDefault="00954F2B"/>
    <w:p w14:paraId="25EDB453" w14:textId="535FB09B" w:rsidR="00202F92" w:rsidRDefault="00202F92" w:rsidP="00202F92">
      <w:pPr>
        <w:spacing w:line="360" w:lineRule="auto"/>
        <w:jc w:val="both"/>
      </w:pPr>
      <w:r w:rsidRPr="00202F92">
        <w:rPr>
          <w:b/>
          <w:bCs/>
        </w:rPr>
        <w:t xml:space="preserve">Note: </w:t>
      </w:r>
      <w:r>
        <w:t xml:space="preserve">We identified 769 HIV Ag/Ab and RNA test pairs from 365 CAB-LA PrEP users with the same date of specimen collection. Of these, Ag/Ab and RNA results agreed for 767 test pairs. One pair had positive(+) results on both the Ag/Ab and RNA tests, and 766 negative(-) results on both tests. </w:t>
      </w:r>
    </w:p>
    <w:p w14:paraId="6770279D" w14:textId="0BC37635" w:rsidR="008679C4" w:rsidRDefault="00202F92" w:rsidP="006F1FC0">
      <w:pPr>
        <w:spacing w:line="360" w:lineRule="auto"/>
        <w:jc w:val="both"/>
      </w:pPr>
      <w:r w:rsidRPr="006C68C8">
        <w:t xml:space="preserve">To assess the concordance between HIV Ag/Ab and RNA testing, we examined </w:t>
      </w:r>
      <w:r>
        <w:t xml:space="preserve">results of </w:t>
      </w:r>
      <w:r w:rsidRPr="006C68C8">
        <w:t xml:space="preserve">pairs of Ag/Ab and RNA tests </w:t>
      </w:r>
      <w:r>
        <w:t>with</w:t>
      </w:r>
      <w:r w:rsidRPr="006C68C8">
        <w:t xml:space="preserve"> the same date of specimen</w:t>
      </w:r>
      <w:r>
        <w:t xml:space="preserve"> </w:t>
      </w:r>
      <w:r w:rsidRPr="006C68C8">
        <w:t>collection. W</w:t>
      </w:r>
      <w:r>
        <w:t>e</w:t>
      </w:r>
      <w:r w:rsidRPr="006C68C8">
        <w:t xml:space="preserve"> calculated three agreement metrics</w:t>
      </w:r>
      <w:r>
        <w:t xml:space="preserve">: 1) the proportion of </w:t>
      </w:r>
      <w:r w:rsidRPr="006C68C8">
        <w:t>overall agreement</w:t>
      </w:r>
      <w:r>
        <w:t xml:space="preserve"> (OA)</w:t>
      </w:r>
      <w:r w:rsidRPr="006C68C8">
        <w:t xml:space="preserve">, </w:t>
      </w:r>
      <w:r>
        <w:t xml:space="preserve">2) </w:t>
      </w:r>
      <w:r w:rsidRPr="006C68C8">
        <w:t>agreement</w:t>
      </w:r>
      <w:r>
        <w:t xml:space="preserve"> of positive results (PA)</w:t>
      </w:r>
      <w:r w:rsidRPr="006C68C8">
        <w:t xml:space="preserve">, and </w:t>
      </w:r>
      <w:r>
        <w:t xml:space="preserve">3) </w:t>
      </w:r>
      <w:r w:rsidRPr="006C68C8">
        <w:t>agreement</w:t>
      </w:r>
      <w:r>
        <w:t xml:space="preserve"> of negative results (NA)</w:t>
      </w:r>
      <w:r w:rsidRPr="006C68C8">
        <w:t>.</w:t>
      </w:r>
      <w:r>
        <w:t xml:space="preserve"> In brief, we let p and n denote positive and negative, 1 and 2 denote two different tests, then N</w:t>
      </w:r>
      <w:r w:rsidRPr="00FA6060">
        <w:rPr>
          <w:vertAlign w:val="subscript"/>
        </w:rPr>
        <w:t>p1,p2</w:t>
      </w:r>
      <w:r>
        <w:rPr>
          <w:vertAlign w:val="subscript"/>
        </w:rPr>
        <w:t xml:space="preserve">  </w:t>
      </w:r>
      <w:r w:rsidRPr="00BC354C">
        <w:t xml:space="preserve">and </w:t>
      </w:r>
      <w:r>
        <w:t>N</w:t>
      </w:r>
      <w:r w:rsidRPr="00BC354C">
        <w:rPr>
          <w:vertAlign w:val="subscript"/>
        </w:rPr>
        <w:t>n1,n2</w:t>
      </w:r>
      <w:r>
        <w:t xml:space="preserve"> denote numbers of tests with concordant test pairs with dual positive and negative results, and N</w:t>
      </w:r>
      <w:r w:rsidRPr="00FA6060">
        <w:rPr>
          <w:vertAlign w:val="subscript"/>
        </w:rPr>
        <w:t>p1,</w:t>
      </w:r>
      <w:r>
        <w:rPr>
          <w:vertAlign w:val="subscript"/>
        </w:rPr>
        <w:t>n</w:t>
      </w:r>
      <w:r w:rsidRPr="00FA6060">
        <w:rPr>
          <w:vertAlign w:val="subscript"/>
        </w:rPr>
        <w:t>2</w:t>
      </w:r>
      <w:r>
        <w:rPr>
          <w:vertAlign w:val="subscript"/>
        </w:rPr>
        <w:t xml:space="preserve"> </w:t>
      </w:r>
      <w:r w:rsidRPr="00BC354C">
        <w:t xml:space="preserve">and </w:t>
      </w:r>
      <w:r>
        <w:t>N</w:t>
      </w:r>
      <w:r w:rsidRPr="00BC354C">
        <w:rPr>
          <w:vertAlign w:val="subscript"/>
        </w:rPr>
        <w:t>n1,</w:t>
      </w:r>
      <w:r>
        <w:rPr>
          <w:vertAlign w:val="subscript"/>
        </w:rPr>
        <w:t>p</w:t>
      </w:r>
      <w:r w:rsidRPr="00BC354C">
        <w:rPr>
          <w:vertAlign w:val="subscript"/>
        </w:rPr>
        <w:t>2</w:t>
      </w:r>
      <w:r>
        <w:rPr>
          <w:vertAlign w:val="subscript"/>
        </w:rPr>
        <w:t xml:space="preserve"> </w:t>
      </w:r>
      <w:r>
        <w:t>denote numbers of discordant test pairs, respectively. OA measures agreement among all testing pairs as (N</w:t>
      </w:r>
      <w:r w:rsidRPr="00FA6060">
        <w:rPr>
          <w:vertAlign w:val="subscript"/>
        </w:rPr>
        <w:t>p1,p2</w:t>
      </w:r>
      <w:r>
        <w:rPr>
          <w:vertAlign w:val="subscript"/>
        </w:rPr>
        <w:t xml:space="preserve">  </w:t>
      </w:r>
      <w:r>
        <w:t>+</w:t>
      </w:r>
      <w:r w:rsidRPr="00BC354C">
        <w:t xml:space="preserve"> </w:t>
      </w:r>
      <w:r>
        <w:t>N</w:t>
      </w:r>
      <w:r w:rsidRPr="00BC354C">
        <w:rPr>
          <w:vertAlign w:val="subscript"/>
        </w:rPr>
        <w:t>n1,n2</w:t>
      </w:r>
      <w:r>
        <w:t>)/(N</w:t>
      </w:r>
      <w:r w:rsidRPr="00FA6060">
        <w:rPr>
          <w:vertAlign w:val="subscript"/>
        </w:rPr>
        <w:t>p1,p2</w:t>
      </w:r>
      <w:r>
        <w:rPr>
          <w:vertAlign w:val="subscript"/>
        </w:rPr>
        <w:t xml:space="preserve"> </w:t>
      </w:r>
      <w:r>
        <w:t>+ N</w:t>
      </w:r>
      <w:r>
        <w:rPr>
          <w:vertAlign w:val="subscript"/>
        </w:rPr>
        <w:t>p</w:t>
      </w:r>
      <w:r w:rsidRPr="00BC354C">
        <w:rPr>
          <w:vertAlign w:val="subscript"/>
        </w:rPr>
        <w:t>1,n2</w:t>
      </w:r>
      <w:r>
        <w:t xml:space="preserve"> + N</w:t>
      </w:r>
      <w:r>
        <w:rPr>
          <w:vertAlign w:val="subscript"/>
        </w:rPr>
        <w:t>n</w:t>
      </w:r>
      <w:r w:rsidRPr="00FA6060">
        <w:rPr>
          <w:vertAlign w:val="subscript"/>
        </w:rPr>
        <w:t>1,p2</w:t>
      </w:r>
      <w:r>
        <w:t xml:space="preserve"> + N</w:t>
      </w:r>
      <w:r w:rsidRPr="00BC354C">
        <w:rPr>
          <w:vertAlign w:val="subscript"/>
        </w:rPr>
        <w:t>n1,n2</w:t>
      </w:r>
      <w:r>
        <w:t>), PA measures agreement among testing pairs with positive results as 2</w:t>
      </w:r>
      <w:r>
        <w:rPr>
          <w:rFonts w:cstheme="minorHAnsi"/>
        </w:rPr>
        <w:t>×</w:t>
      </w:r>
      <w:r>
        <w:t>N</w:t>
      </w:r>
      <w:r w:rsidRPr="00FA6060">
        <w:rPr>
          <w:vertAlign w:val="subscript"/>
        </w:rPr>
        <w:t>p1,p</w:t>
      </w:r>
      <w:r>
        <w:rPr>
          <w:vertAlign w:val="subscript"/>
        </w:rPr>
        <w:t>2</w:t>
      </w:r>
      <w:r>
        <w:t>/(2</w:t>
      </w:r>
      <w:r>
        <w:rPr>
          <w:rFonts w:cstheme="minorHAnsi"/>
        </w:rPr>
        <w:t>×</w:t>
      </w:r>
      <w:r>
        <w:t>N</w:t>
      </w:r>
      <w:r w:rsidRPr="00FA6060">
        <w:rPr>
          <w:vertAlign w:val="subscript"/>
        </w:rPr>
        <w:t>p1,p2</w:t>
      </w:r>
      <w:r>
        <w:t xml:space="preserve"> +</w:t>
      </w:r>
      <w:r w:rsidRPr="00BC354C">
        <w:t xml:space="preserve"> </w:t>
      </w:r>
      <w:r>
        <w:t>N</w:t>
      </w:r>
      <w:r>
        <w:rPr>
          <w:vertAlign w:val="subscript"/>
        </w:rPr>
        <w:t>p</w:t>
      </w:r>
      <w:r w:rsidRPr="00BC354C">
        <w:rPr>
          <w:vertAlign w:val="subscript"/>
        </w:rPr>
        <w:t>1,n2</w:t>
      </w:r>
      <w:r>
        <w:t xml:space="preserve"> + N</w:t>
      </w:r>
      <w:r>
        <w:rPr>
          <w:vertAlign w:val="subscript"/>
        </w:rPr>
        <w:t>n</w:t>
      </w:r>
      <w:r w:rsidRPr="00FA6060">
        <w:rPr>
          <w:vertAlign w:val="subscript"/>
        </w:rPr>
        <w:t>1,p2</w:t>
      </w:r>
      <w:r>
        <w:t>), and NA measures the agreement among testing pairs with negative results 2</w:t>
      </w:r>
      <w:r>
        <w:rPr>
          <w:rFonts w:cstheme="minorHAnsi"/>
        </w:rPr>
        <w:t>×</w:t>
      </w:r>
      <w:r>
        <w:t>N</w:t>
      </w:r>
      <w:r>
        <w:rPr>
          <w:vertAlign w:val="subscript"/>
        </w:rPr>
        <w:t>n</w:t>
      </w:r>
      <w:r w:rsidRPr="00FA6060">
        <w:rPr>
          <w:vertAlign w:val="subscript"/>
        </w:rPr>
        <w:t>1,</w:t>
      </w:r>
      <w:r>
        <w:rPr>
          <w:vertAlign w:val="subscript"/>
        </w:rPr>
        <w:t>n</w:t>
      </w:r>
      <w:r w:rsidRPr="00FA6060">
        <w:rPr>
          <w:vertAlign w:val="subscript"/>
        </w:rPr>
        <w:t>2</w:t>
      </w:r>
      <w:r>
        <w:t>/(2</w:t>
      </w:r>
      <w:r>
        <w:rPr>
          <w:rFonts w:cstheme="minorHAnsi"/>
        </w:rPr>
        <w:t>×</w:t>
      </w:r>
      <w:r>
        <w:t>N</w:t>
      </w:r>
      <w:r>
        <w:rPr>
          <w:vertAlign w:val="subscript"/>
        </w:rPr>
        <w:t>n</w:t>
      </w:r>
      <w:r w:rsidRPr="00FA6060">
        <w:rPr>
          <w:vertAlign w:val="subscript"/>
        </w:rPr>
        <w:t>1,</w:t>
      </w:r>
      <w:r>
        <w:rPr>
          <w:vertAlign w:val="subscript"/>
        </w:rPr>
        <w:t>n</w:t>
      </w:r>
      <w:r w:rsidRPr="00FA6060">
        <w:rPr>
          <w:vertAlign w:val="subscript"/>
        </w:rPr>
        <w:t>2</w:t>
      </w:r>
      <w:r>
        <w:t xml:space="preserve"> +</w:t>
      </w:r>
      <w:r w:rsidRPr="00BC354C">
        <w:t xml:space="preserve"> </w:t>
      </w:r>
      <w:r>
        <w:t>N</w:t>
      </w:r>
      <w:r>
        <w:rPr>
          <w:vertAlign w:val="subscript"/>
        </w:rPr>
        <w:t>p</w:t>
      </w:r>
      <w:r w:rsidRPr="00BC354C">
        <w:rPr>
          <w:vertAlign w:val="subscript"/>
        </w:rPr>
        <w:t>1,n2</w:t>
      </w:r>
      <w:r>
        <w:t xml:space="preserve"> + N</w:t>
      </w:r>
      <w:r>
        <w:rPr>
          <w:vertAlign w:val="subscript"/>
        </w:rPr>
        <w:t>n</w:t>
      </w:r>
      <w:r w:rsidRPr="00FA6060">
        <w:rPr>
          <w:vertAlign w:val="subscript"/>
        </w:rPr>
        <w:t>1,p2</w:t>
      </w:r>
      <w:r>
        <w:t xml:space="preserve">). We estimated the </w:t>
      </w:r>
      <w:r w:rsidRPr="006C68C8">
        <w:t xml:space="preserve">95% </w:t>
      </w:r>
      <w:r w:rsidRPr="000C7012">
        <w:t>credi</w:t>
      </w:r>
      <w:r>
        <w:t>ble</w:t>
      </w:r>
      <w:r w:rsidRPr="006C68C8">
        <w:t xml:space="preserve"> intervals (95% CI)</w:t>
      </w:r>
      <w:r>
        <w:t xml:space="preserve"> of these metrics with Bayesian method with a null prior.</w:t>
      </w:r>
      <w:r w:rsidR="00256D7D">
        <w:t xml:space="preserve"> (</w:t>
      </w:r>
      <w:r w:rsidR="00256D7D" w:rsidRPr="00256D7D">
        <w:t>Graham, Patrick, and Brian Bull. "Approximate standard errors and confidence intervals for indices of positive and negative agreement." Journal of Clinical Epidemiology 51, no. 9 (1998): 763-771.</w:t>
      </w:r>
      <w:r w:rsidR="00256D7D">
        <w:t>)</w:t>
      </w:r>
    </w:p>
    <w:p w14:paraId="0F38CFD2" w14:textId="77777777" w:rsidR="00333DBF" w:rsidRDefault="00333DBF" w:rsidP="008679C4">
      <w:pPr>
        <w:spacing w:line="360" w:lineRule="auto"/>
        <w:jc w:val="both"/>
        <w:rPr>
          <w:b/>
          <w:bCs/>
        </w:rPr>
      </w:pPr>
      <w:r w:rsidRPr="00333DBF">
        <w:rPr>
          <w:b/>
          <w:bCs/>
        </w:rPr>
        <w:lastRenderedPageBreak/>
        <w:t xml:space="preserve">Appendix 2. </w:t>
      </w:r>
      <w:r w:rsidR="008679C4" w:rsidRPr="00333DBF">
        <w:rPr>
          <w:b/>
          <w:bCs/>
        </w:rPr>
        <w:t>Estimation</w:t>
      </w:r>
      <w:r w:rsidRPr="00333DBF">
        <w:rPr>
          <w:b/>
          <w:bCs/>
        </w:rPr>
        <w:t xml:space="preserve"> of False Positive Rate and Positive Predict Value</w:t>
      </w:r>
    </w:p>
    <w:p w14:paraId="304D1FF9" w14:textId="19D05C24" w:rsidR="000C10F6" w:rsidRDefault="000C10F6" w:rsidP="00333DBF">
      <w:pPr>
        <w:spacing w:line="360" w:lineRule="auto"/>
        <w:jc w:val="both"/>
      </w:pPr>
      <w:r>
        <w:t>All available laboratory and prescription records of these PrEP users, without any time restrictions for lab testing, were reviewed by four experts in clinical HIV medicine, epidemiology, and laboratory science. Positive results were adjudicated as an HIV diagnosis, likely false positive, or inconclusive test result. We calculated the false positive rate (FPR) and positive predictive value (PPV) for Ag/Ab and RNA tests using adjudicated potential positive or false positive tests. We used exact method to obtain 95% confidence interval of FPR and PPV due to low expected number.</w:t>
      </w:r>
    </w:p>
    <w:p w14:paraId="7DE30D60" w14:textId="362AD4BB" w:rsidR="00F85A8E" w:rsidRDefault="00F85A8E" w:rsidP="00333DBF">
      <w:pPr>
        <w:spacing w:line="360" w:lineRule="auto"/>
        <w:jc w:val="both"/>
      </w:pPr>
      <w:r w:rsidRPr="00564053">
        <w:rPr>
          <w:b/>
          <w:bCs/>
        </w:rPr>
        <w:t xml:space="preserve">The sample size of positive results (3 in total) is insufficient for a conclusive assessment of agreement of HIV Ag/Ab and RNA testing and the metrics in the table are not </w:t>
      </w:r>
      <w:r>
        <w:rPr>
          <w:b/>
          <w:bCs/>
        </w:rPr>
        <w:t>conclusive</w:t>
      </w:r>
      <w:r w:rsidRPr="00564053">
        <w:rPr>
          <w:b/>
          <w:bCs/>
        </w:rPr>
        <w:t xml:space="preserve"> estimates.</w:t>
      </w:r>
    </w:p>
    <w:p w14:paraId="59E2E60E" w14:textId="4413D32D" w:rsidR="00333DBF" w:rsidRDefault="00333DBF" w:rsidP="00333DBF">
      <w:pPr>
        <w:spacing w:line="360" w:lineRule="auto"/>
        <w:jc w:val="both"/>
      </w:pPr>
      <w:r>
        <w:t xml:space="preserve">The </w:t>
      </w:r>
      <w:r w:rsidR="00F85A8E">
        <w:t xml:space="preserve">observed </w:t>
      </w:r>
      <w:r>
        <w:t>FPR of RNA testing was 0.09% (95%CI: 0.00%-0.52%), and the PPV was 50% (95%CI: 1%-99%). Excluding the inconclusive Ag/Ab(+) result, the FPR of Ag/Ab testing was 0.12% (95%CI: 0.00%-0.66%), and the PPV was 50% (95%CI: 1%-99%). In a sensitivity analysis, if we considered the inconclusive Ag/Ab(+) test as a true positive result, the FPR of Ag/Ab would be 0.12% (95%CI: 0.00%-0.66%), and the PPV would be 67% (95%CI: 9%-99%); whereas if we considered it a false positive test, the Ag/Ab FPR would be 0.24% (95%CI: 0.03%-0.85%) and the PPV would be 33% (95%CI: 1%-91%).</w:t>
      </w:r>
    </w:p>
    <w:p w14:paraId="27949FCE" w14:textId="19680D61" w:rsidR="00954F2B" w:rsidRPr="004939A0" w:rsidRDefault="00954F2B" w:rsidP="006F1FC0">
      <w:pPr>
        <w:spacing w:line="360" w:lineRule="auto"/>
        <w:jc w:val="both"/>
        <w:rPr>
          <w:b/>
          <w:bCs/>
        </w:rPr>
      </w:pPr>
    </w:p>
    <w:sectPr w:rsidR="00954F2B" w:rsidRPr="00493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03463"/>
    <w:multiLevelType w:val="hybridMultilevel"/>
    <w:tmpl w:val="D6E0E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911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F2B"/>
    <w:rsid w:val="000043BC"/>
    <w:rsid w:val="00016AC8"/>
    <w:rsid w:val="000C10F6"/>
    <w:rsid w:val="000F5C8F"/>
    <w:rsid w:val="00110E96"/>
    <w:rsid w:val="00202F92"/>
    <w:rsid w:val="00256D7D"/>
    <w:rsid w:val="00333DBF"/>
    <w:rsid w:val="00373E11"/>
    <w:rsid w:val="00411110"/>
    <w:rsid w:val="004939A0"/>
    <w:rsid w:val="004B1F1C"/>
    <w:rsid w:val="004D2C7E"/>
    <w:rsid w:val="00564053"/>
    <w:rsid w:val="005C73F5"/>
    <w:rsid w:val="006F1FC0"/>
    <w:rsid w:val="007128D2"/>
    <w:rsid w:val="008679C4"/>
    <w:rsid w:val="00876D61"/>
    <w:rsid w:val="00954F2B"/>
    <w:rsid w:val="00A40635"/>
    <w:rsid w:val="00A40D17"/>
    <w:rsid w:val="00A675D5"/>
    <w:rsid w:val="00A6775C"/>
    <w:rsid w:val="00B96631"/>
    <w:rsid w:val="00BE4EB0"/>
    <w:rsid w:val="00BF1702"/>
    <w:rsid w:val="00D21293"/>
    <w:rsid w:val="00F85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B7DD"/>
  <w15:chartTrackingRefBased/>
  <w15:docId w15:val="{1BA84B0E-E835-44D2-9448-FC02F126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F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F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F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F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F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F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F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F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F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F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F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F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F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F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F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F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F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F2B"/>
    <w:rPr>
      <w:rFonts w:eastAsiaTheme="majorEastAsia" w:cstheme="majorBidi"/>
      <w:color w:val="272727" w:themeColor="text1" w:themeTint="D8"/>
    </w:rPr>
  </w:style>
  <w:style w:type="paragraph" w:styleId="Title">
    <w:name w:val="Title"/>
    <w:basedOn w:val="Normal"/>
    <w:next w:val="Normal"/>
    <w:link w:val="TitleChar"/>
    <w:uiPriority w:val="10"/>
    <w:qFormat/>
    <w:rsid w:val="00954F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F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F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F2B"/>
    <w:pPr>
      <w:spacing w:before="160"/>
      <w:jc w:val="center"/>
    </w:pPr>
    <w:rPr>
      <w:i/>
      <w:iCs/>
      <w:color w:val="404040" w:themeColor="text1" w:themeTint="BF"/>
    </w:rPr>
  </w:style>
  <w:style w:type="character" w:customStyle="1" w:styleId="QuoteChar">
    <w:name w:val="Quote Char"/>
    <w:basedOn w:val="DefaultParagraphFont"/>
    <w:link w:val="Quote"/>
    <w:uiPriority w:val="29"/>
    <w:rsid w:val="00954F2B"/>
    <w:rPr>
      <w:i/>
      <w:iCs/>
      <w:color w:val="404040" w:themeColor="text1" w:themeTint="BF"/>
    </w:rPr>
  </w:style>
  <w:style w:type="paragraph" w:styleId="ListParagraph">
    <w:name w:val="List Paragraph"/>
    <w:basedOn w:val="Normal"/>
    <w:uiPriority w:val="34"/>
    <w:qFormat/>
    <w:rsid w:val="00954F2B"/>
    <w:pPr>
      <w:ind w:left="720"/>
      <w:contextualSpacing/>
    </w:pPr>
  </w:style>
  <w:style w:type="character" w:styleId="IntenseEmphasis">
    <w:name w:val="Intense Emphasis"/>
    <w:basedOn w:val="DefaultParagraphFont"/>
    <w:uiPriority w:val="21"/>
    <w:qFormat/>
    <w:rsid w:val="00954F2B"/>
    <w:rPr>
      <w:i/>
      <w:iCs/>
      <w:color w:val="0F4761" w:themeColor="accent1" w:themeShade="BF"/>
    </w:rPr>
  </w:style>
  <w:style w:type="paragraph" w:styleId="IntenseQuote">
    <w:name w:val="Intense Quote"/>
    <w:basedOn w:val="Normal"/>
    <w:next w:val="Normal"/>
    <w:link w:val="IntenseQuoteChar"/>
    <w:uiPriority w:val="30"/>
    <w:qFormat/>
    <w:rsid w:val="00954F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F2B"/>
    <w:rPr>
      <w:i/>
      <w:iCs/>
      <w:color w:val="0F4761" w:themeColor="accent1" w:themeShade="BF"/>
    </w:rPr>
  </w:style>
  <w:style w:type="character" w:styleId="IntenseReference">
    <w:name w:val="Intense Reference"/>
    <w:basedOn w:val="DefaultParagraphFont"/>
    <w:uiPriority w:val="32"/>
    <w:qFormat/>
    <w:rsid w:val="00954F2B"/>
    <w:rPr>
      <w:b/>
      <w:bCs/>
      <w:smallCaps/>
      <w:color w:val="0F4761" w:themeColor="accent1" w:themeShade="BF"/>
      <w:spacing w:val="5"/>
    </w:rPr>
  </w:style>
  <w:style w:type="table" w:styleId="TableGrid">
    <w:name w:val="Table Grid"/>
    <w:basedOn w:val="TableNormal"/>
    <w:uiPriority w:val="39"/>
    <w:rsid w:val="00954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Weiming (CDC/NCHHSTP/DHP)</dc:creator>
  <cp:keywords/>
  <dc:description/>
  <cp:lastModifiedBy>Zhu, Weiming (CDC/NCHHSTP/DHP)</cp:lastModifiedBy>
  <cp:revision>21</cp:revision>
  <dcterms:created xsi:type="dcterms:W3CDTF">2025-03-19T14:19:00Z</dcterms:created>
  <dcterms:modified xsi:type="dcterms:W3CDTF">2025-03-19T16:12:00Z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2025-03-19T14:22:58Z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8d21195f-ca7c-4b4e-bb2f-5b81501e14b9</vt:lpwstr>
  </property>
  <property fmtid="{D5CDD505-2E9C-101B-9397-08002B2CF9AE}" pid="8" name="MSIP_Label_7b94a7b8-f06c-4dfe-bdcc-9b548fd58c31_ContentBits">
    <vt:lpwstr>0</vt:lpwstr>
  </property>
</Properties>
</file>