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E503" w14:textId="70232018" w:rsidR="00ED17D5" w:rsidRDefault="006D359A">
      <w:pPr>
        <w:rPr>
          <w:rFonts w:ascii="Calibri" w:hAnsi="Calibri" w:cs="Calibri"/>
          <w:b/>
          <w:bCs/>
          <w:sz w:val="22"/>
          <w:szCs w:val="22"/>
        </w:rPr>
      </w:pPr>
      <w:r w:rsidRPr="00CB7EF6">
        <w:rPr>
          <w:rFonts w:ascii="Calibri" w:hAnsi="Calibri" w:cs="Calibri"/>
          <w:b/>
          <w:bCs/>
          <w:sz w:val="22"/>
          <w:szCs w:val="22"/>
        </w:rPr>
        <w:t xml:space="preserve">Online Supplemental </w:t>
      </w:r>
      <w:r w:rsidR="00ED17D5">
        <w:rPr>
          <w:rFonts w:ascii="Calibri" w:hAnsi="Calibri" w:cs="Calibri"/>
          <w:b/>
          <w:bCs/>
          <w:sz w:val="22"/>
          <w:szCs w:val="22"/>
        </w:rPr>
        <w:t>for Manuscript Titled "</w:t>
      </w:r>
      <w:r w:rsidR="00ED17D5" w:rsidRPr="00ED17D5">
        <w:rPr>
          <w:rFonts w:ascii="Calibri" w:hAnsi="Calibri" w:cs="Calibri"/>
          <w:b/>
          <w:bCs/>
          <w:sz w:val="22"/>
          <w:szCs w:val="22"/>
        </w:rPr>
        <w:t>Employer Compliance with OSHA Requirements for Immediate Reporting of Severe Injuries</w:t>
      </w:r>
      <w:r w:rsidR="00ED17D5">
        <w:rPr>
          <w:rFonts w:ascii="Calibri" w:hAnsi="Calibri" w:cs="Calibri"/>
          <w:b/>
          <w:bCs/>
          <w:sz w:val="22"/>
          <w:szCs w:val="22"/>
        </w:rPr>
        <w:t>"</w:t>
      </w:r>
    </w:p>
    <w:p w14:paraId="3564323E" w14:textId="5A0A16F6" w:rsidR="006204DE" w:rsidRPr="00CB7EF6" w:rsidRDefault="006D359A">
      <w:pPr>
        <w:rPr>
          <w:rFonts w:ascii="Calibri" w:hAnsi="Calibri" w:cs="Calibri"/>
          <w:b/>
          <w:bCs/>
          <w:sz w:val="22"/>
          <w:szCs w:val="22"/>
        </w:rPr>
      </w:pPr>
      <w:r w:rsidRPr="00CB7EF6">
        <w:rPr>
          <w:rFonts w:ascii="Calibri" w:hAnsi="Calibri" w:cs="Calibri"/>
          <w:b/>
          <w:bCs/>
          <w:sz w:val="22"/>
          <w:szCs w:val="22"/>
        </w:rPr>
        <w:t>Detailed Data Linkage Methodology</w:t>
      </w:r>
    </w:p>
    <w:p w14:paraId="3053375B" w14:textId="526B76E4" w:rsidR="006D359A" w:rsidRPr="00CB7EF6" w:rsidRDefault="006D359A" w:rsidP="006D359A">
      <w:pPr>
        <w:rPr>
          <w:rFonts w:ascii="Calibri" w:hAnsi="Calibri" w:cs="Calibri"/>
          <w:sz w:val="22"/>
          <w:szCs w:val="22"/>
        </w:rPr>
      </w:pPr>
      <w:r w:rsidRPr="00CB7EF6">
        <w:rPr>
          <w:rFonts w:ascii="Calibri" w:hAnsi="Calibri" w:cs="Calibri"/>
          <w:sz w:val="22"/>
          <w:szCs w:val="22"/>
        </w:rPr>
        <w:t>To evaluate the completeness of direct reporting of severe injuries/illnesses by employers to OSHA in compliance with the reporting rule</w:t>
      </w:r>
      <w:r w:rsidR="00BD1DF8" w:rsidRPr="00CB7EF6">
        <w:rPr>
          <w:rFonts w:ascii="Calibri" w:hAnsi="Calibri" w:cs="Calibri"/>
          <w:sz w:val="22"/>
          <w:szCs w:val="22"/>
        </w:rPr>
        <w:t xml:space="preserve"> 1904.39</w:t>
      </w:r>
      <w:r w:rsidRPr="00CB7EF6">
        <w:rPr>
          <w:rFonts w:ascii="Calibri" w:hAnsi="Calibri" w:cs="Calibri"/>
          <w:sz w:val="22"/>
          <w:szCs w:val="22"/>
        </w:rPr>
        <w:t>, we linked the OSHA data file with hospital data records</w:t>
      </w:r>
      <w:r w:rsidR="00BD1DF8" w:rsidRPr="00CB7EF6">
        <w:rPr>
          <w:rFonts w:ascii="Calibri" w:hAnsi="Calibri" w:cs="Calibri"/>
          <w:sz w:val="22"/>
          <w:szCs w:val="22"/>
        </w:rPr>
        <w:t xml:space="preserve"> for emergent ED visits and admissions</w:t>
      </w:r>
      <w:r w:rsidRPr="00CB7EF6">
        <w:rPr>
          <w:rFonts w:ascii="Calibri" w:hAnsi="Calibri" w:cs="Calibri"/>
          <w:sz w:val="22"/>
          <w:szCs w:val="22"/>
        </w:rPr>
        <w:t xml:space="preserve">. The daily linkage frame is very small. </w:t>
      </w:r>
      <w:r w:rsidR="00CE6FC9">
        <w:rPr>
          <w:rFonts w:ascii="Calibri" w:hAnsi="Calibri" w:cs="Calibri"/>
          <w:sz w:val="22"/>
          <w:szCs w:val="22"/>
        </w:rPr>
        <w:t>T</w:t>
      </w:r>
      <w:r w:rsidRPr="00CB7EF6">
        <w:rPr>
          <w:rFonts w:ascii="Calibri" w:hAnsi="Calibri" w:cs="Calibri"/>
          <w:sz w:val="22"/>
          <w:szCs w:val="22"/>
        </w:rPr>
        <w:t xml:space="preserve">here were an average of 2.5 </w:t>
      </w:r>
      <w:r w:rsidR="001B6EA2">
        <w:rPr>
          <w:rFonts w:ascii="Calibri" w:hAnsi="Calibri" w:cs="Calibri"/>
          <w:sz w:val="22"/>
          <w:szCs w:val="22"/>
        </w:rPr>
        <w:t>report</w:t>
      </w:r>
      <w:r w:rsidRPr="00CB7EF6">
        <w:rPr>
          <w:rFonts w:ascii="Calibri" w:hAnsi="Calibri" w:cs="Calibri"/>
          <w:sz w:val="22"/>
          <w:szCs w:val="22"/>
        </w:rPr>
        <w:t xml:space="preserve">s made to OSHA per day and an average of 4.0 reportable cases treated in all Illinois hospitals per day. Because neither dataset has personal identifiers of the workers, we used a multi-stage data linkage procedure to link the data file provided by OSHA with the hospital datasets (Friedman, 2012; </w:t>
      </w:r>
      <w:proofErr w:type="spellStart"/>
      <w:r w:rsidRPr="00CB7EF6">
        <w:rPr>
          <w:rFonts w:ascii="Calibri" w:hAnsi="Calibri" w:cs="Calibri"/>
          <w:sz w:val="22"/>
          <w:szCs w:val="22"/>
        </w:rPr>
        <w:t>Kyeremateng</w:t>
      </w:r>
      <w:proofErr w:type="spellEnd"/>
      <w:r w:rsidRPr="00CB7EF6">
        <w:rPr>
          <w:rFonts w:ascii="Calibri" w:hAnsi="Calibri" w:cs="Calibri"/>
          <w:sz w:val="22"/>
          <w:szCs w:val="22"/>
        </w:rPr>
        <w:t xml:space="preserve">-Amoah, 2020). The concept of using multiple passes is to allow for variations in the data by starting with the highest level of precision and then modifying the precision with each subsequent step, thereby, ensuring that higher probability matches are identified in the initial steps, and removed from the datasets prior to subsequent linkage steps, so that they </w:t>
      </w:r>
      <w:r w:rsidR="00CC23BF" w:rsidRPr="00CB7EF6">
        <w:rPr>
          <w:rFonts w:ascii="Calibri" w:hAnsi="Calibri" w:cs="Calibri"/>
          <w:sz w:val="22"/>
          <w:szCs w:val="22"/>
        </w:rPr>
        <w:t>do not</w:t>
      </w:r>
      <w:r w:rsidRPr="00CB7EF6">
        <w:rPr>
          <w:rFonts w:ascii="Calibri" w:hAnsi="Calibri" w:cs="Calibri"/>
          <w:sz w:val="22"/>
          <w:szCs w:val="22"/>
        </w:rPr>
        <w:t xml:space="preserve"> match again to another case when the matching criteria is less rigorous. In the initial pass, cases match exactly on all linkage variables. In the subsequent passes, we use “fuzzy” matching criteria (+/- 1 day of incident/admission) or omit variables that have substantial missing data to account for data entry errors and omissions.</w:t>
      </w:r>
    </w:p>
    <w:p w14:paraId="39E65449" w14:textId="4BA3B632" w:rsidR="00CE6FC9" w:rsidRPr="009467AB" w:rsidRDefault="00CE6FC9" w:rsidP="00B157AC">
      <w:pPr>
        <w:rPr>
          <w:rFonts w:ascii="Calibri" w:hAnsi="Calibri" w:cs="Calibri"/>
          <w:b/>
          <w:bCs/>
          <w:sz w:val="22"/>
          <w:szCs w:val="22"/>
        </w:rPr>
      </w:pPr>
      <w:r w:rsidRPr="00CE6FC9">
        <w:rPr>
          <w:rFonts w:ascii="Calibri" w:hAnsi="Calibri" w:cs="Calibri"/>
          <w:b/>
          <w:bCs/>
          <w:sz w:val="22"/>
          <w:szCs w:val="22"/>
        </w:rPr>
        <w:t>Standardization</w:t>
      </w:r>
      <w:r w:rsidRPr="009467AB">
        <w:rPr>
          <w:rFonts w:ascii="Calibri" w:hAnsi="Calibri" w:cs="Calibri"/>
          <w:b/>
          <w:bCs/>
          <w:sz w:val="22"/>
          <w:szCs w:val="22"/>
        </w:rPr>
        <w:t xml:space="preserve"> of variables</w:t>
      </w:r>
    </w:p>
    <w:p w14:paraId="5DE10E8F" w14:textId="0DF99CA5" w:rsidR="00B157AC" w:rsidRPr="00CB7EF6" w:rsidRDefault="006D359A" w:rsidP="00B157AC">
      <w:pPr>
        <w:rPr>
          <w:rFonts w:ascii="Calibri" w:hAnsi="Calibri" w:cs="Calibri"/>
          <w:sz w:val="22"/>
          <w:szCs w:val="22"/>
        </w:rPr>
      </w:pPr>
      <w:r w:rsidRPr="00CB7EF6">
        <w:rPr>
          <w:rFonts w:ascii="Calibri" w:hAnsi="Calibri" w:cs="Calibri"/>
          <w:sz w:val="22"/>
          <w:szCs w:val="22"/>
        </w:rPr>
        <w:t xml:space="preserve">We standardized the format of all the linkage variables in the datasets, ensuring that the variable types, lengths, and codes were equivalent. </w:t>
      </w:r>
      <w:r w:rsidR="00B157AC" w:rsidRPr="00CB7EF6">
        <w:rPr>
          <w:rFonts w:ascii="Calibri" w:hAnsi="Calibri" w:cs="Calibri"/>
          <w:sz w:val="22"/>
          <w:szCs w:val="22"/>
        </w:rPr>
        <w:t xml:space="preserve">Next, we used a combination of SQL and SAS code to link the two data files on the following variables: gender, age, date of admission/event date, vital status, nature of the injury/illness, body part affected, cause of injury, and hospital name. While completeness was 100% for the linkage variables in the hospital data, the completeness of the linkage variables in the OSHA data was as follows: gender, 66%; age, 38%; event date, 100%; vital status, 100%; nature of injury/illness, 90.9%; body part, 97%; cause of injury, 93.7%; treating hospital, 7.0%; incident location, 100%. Only 4.6% of OSHA </w:t>
      </w:r>
      <w:r w:rsidR="001B6EA2">
        <w:rPr>
          <w:rFonts w:ascii="Calibri" w:hAnsi="Calibri" w:cs="Calibri"/>
          <w:sz w:val="22"/>
          <w:szCs w:val="22"/>
        </w:rPr>
        <w:t>report</w:t>
      </w:r>
      <w:r w:rsidR="00B157AC" w:rsidRPr="00CB7EF6">
        <w:rPr>
          <w:rFonts w:ascii="Calibri" w:hAnsi="Calibri" w:cs="Calibri"/>
          <w:sz w:val="22"/>
          <w:szCs w:val="22"/>
        </w:rPr>
        <w:t xml:space="preserve">s were missing both body part and nature of injury or illness. </w:t>
      </w:r>
    </w:p>
    <w:p w14:paraId="4957EE83" w14:textId="19FFF88B" w:rsidR="00644AE1" w:rsidRPr="00732891" w:rsidRDefault="00644AE1" w:rsidP="00882489">
      <w:pPr>
        <w:rPr>
          <w:rFonts w:ascii="Calibri" w:hAnsi="Calibri" w:cs="Calibri"/>
          <w:b/>
          <w:bCs/>
          <w:sz w:val="22"/>
          <w:szCs w:val="22"/>
        </w:rPr>
      </w:pPr>
      <w:r w:rsidRPr="00732891">
        <w:rPr>
          <w:rFonts w:ascii="Calibri" w:hAnsi="Calibri" w:cs="Calibri"/>
          <w:b/>
          <w:bCs/>
          <w:sz w:val="22"/>
          <w:szCs w:val="22"/>
        </w:rPr>
        <w:t>Treating hospital</w:t>
      </w:r>
    </w:p>
    <w:p w14:paraId="026CF5D0" w14:textId="36DCFCAD" w:rsidR="006D359A" w:rsidRPr="00CB7EF6" w:rsidRDefault="006D359A" w:rsidP="00882489">
      <w:pPr>
        <w:rPr>
          <w:rFonts w:ascii="Calibri" w:hAnsi="Calibri" w:cs="Calibri"/>
          <w:sz w:val="22"/>
          <w:szCs w:val="22"/>
        </w:rPr>
      </w:pPr>
      <w:r w:rsidRPr="00CB7EF6">
        <w:rPr>
          <w:rFonts w:ascii="Calibri" w:hAnsi="Calibri" w:cs="Calibri"/>
          <w:sz w:val="22"/>
          <w:szCs w:val="22"/>
        </w:rPr>
        <w:t xml:space="preserve">Because 93% of </w:t>
      </w:r>
      <w:r w:rsidR="001B6EA2">
        <w:rPr>
          <w:rFonts w:ascii="Calibri" w:hAnsi="Calibri" w:cs="Calibri"/>
          <w:sz w:val="22"/>
          <w:szCs w:val="22"/>
        </w:rPr>
        <w:t>report</w:t>
      </w:r>
      <w:r w:rsidRPr="00CB7EF6">
        <w:rPr>
          <w:rFonts w:ascii="Calibri" w:hAnsi="Calibri" w:cs="Calibri"/>
          <w:sz w:val="22"/>
          <w:szCs w:val="22"/>
        </w:rPr>
        <w:t xml:space="preserve">s were missing data on the treating hospital in the OSHA dataset, we used injury site address/geolocation (99.7% complete) to identify the nearest hospitals for the linkage process. Among the 449 OSHA </w:t>
      </w:r>
      <w:r w:rsidR="001B6EA2">
        <w:rPr>
          <w:rFonts w:ascii="Calibri" w:hAnsi="Calibri" w:cs="Calibri"/>
          <w:sz w:val="22"/>
          <w:szCs w:val="22"/>
        </w:rPr>
        <w:t>report</w:t>
      </w:r>
      <w:r w:rsidRPr="00CB7EF6">
        <w:rPr>
          <w:rFonts w:ascii="Calibri" w:hAnsi="Calibri" w:cs="Calibri"/>
          <w:sz w:val="22"/>
          <w:szCs w:val="22"/>
        </w:rPr>
        <w:t xml:space="preserve">s that included data on treating hospital, the median distance traveled to the treating hospital was 5.9 miles (IQR: 1.6, 25.1), 16.0% of workers suffering traumatic injuries were treated in a trauma unit, and 6.2% were treated in out of state hospitals. In the OSHA file, we identified the nearest ten hospitals and the nearest five trauma units (if </w:t>
      </w:r>
      <w:r w:rsidR="00050CBD" w:rsidRPr="00CB7EF6">
        <w:rPr>
          <w:rFonts w:ascii="Calibri" w:hAnsi="Calibri" w:cs="Calibri"/>
          <w:sz w:val="22"/>
          <w:szCs w:val="22"/>
        </w:rPr>
        <w:t>different from</w:t>
      </w:r>
      <w:r w:rsidRPr="00CB7EF6">
        <w:rPr>
          <w:rFonts w:ascii="Calibri" w:hAnsi="Calibri" w:cs="Calibri"/>
          <w:sz w:val="22"/>
          <w:szCs w:val="22"/>
        </w:rPr>
        <w:t xml:space="preserve"> the nearest </w:t>
      </w:r>
      <w:r w:rsidR="00592504">
        <w:rPr>
          <w:rFonts w:ascii="Calibri" w:hAnsi="Calibri" w:cs="Calibri"/>
          <w:sz w:val="22"/>
          <w:szCs w:val="22"/>
        </w:rPr>
        <w:t xml:space="preserve">ten </w:t>
      </w:r>
      <w:r w:rsidRPr="00CB7EF6">
        <w:rPr>
          <w:rFonts w:ascii="Calibri" w:hAnsi="Calibri" w:cs="Calibri"/>
          <w:sz w:val="22"/>
          <w:szCs w:val="22"/>
        </w:rPr>
        <w:t xml:space="preserve">hospitals) by calculating the distance from the incident address to the hospital address. To validate this strategy, this approach resulted in a true match rate of 94.4% among the OSHA </w:t>
      </w:r>
      <w:r w:rsidR="001B6EA2">
        <w:rPr>
          <w:rFonts w:ascii="Calibri" w:hAnsi="Calibri" w:cs="Calibri"/>
          <w:sz w:val="22"/>
          <w:szCs w:val="22"/>
        </w:rPr>
        <w:t>report</w:t>
      </w:r>
      <w:r w:rsidRPr="00CB7EF6">
        <w:rPr>
          <w:rFonts w:ascii="Calibri" w:hAnsi="Calibri" w:cs="Calibri"/>
          <w:sz w:val="22"/>
          <w:szCs w:val="22"/>
        </w:rPr>
        <w:t>s with the hospital name reported (excluding those treated out of state and multiple casualty events</w:t>
      </w:r>
      <w:r w:rsidR="00C16D81" w:rsidRPr="00CB7EF6">
        <w:rPr>
          <w:rFonts w:ascii="Calibri" w:hAnsi="Calibri" w:cs="Calibri"/>
          <w:sz w:val="22"/>
          <w:szCs w:val="22"/>
        </w:rPr>
        <w:t xml:space="preserve"> – incidents where two or more workers are reported injured on the same </w:t>
      </w:r>
      <w:r w:rsidR="001B6EA2">
        <w:rPr>
          <w:rFonts w:ascii="Calibri" w:hAnsi="Calibri" w:cs="Calibri"/>
          <w:sz w:val="22"/>
          <w:szCs w:val="22"/>
        </w:rPr>
        <w:t>report</w:t>
      </w:r>
      <w:r w:rsidRPr="00CB7EF6">
        <w:rPr>
          <w:rFonts w:ascii="Calibri" w:hAnsi="Calibri" w:cs="Calibri"/>
          <w:sz w:val="22"/>
          <w:szCs w:val="22"/>
        </w:rPr>
        <w:t xml:space="preserve">). In the final linked dataset, the median distance traveled to a treating hospital was 20.3 miles (IQR: 5.6, 93.1) with 13.1% treated in a trauma unit. </w:t>
      </w:r>
    </w:p>
    <w:p w14:paraId="0EA654AB" w14:textId="46F45713" w:rsidR="00D53CE1" w:rsidRPr="00732891" w:rsidRDefault="00D53CE1" w:rsidP="00627098">
      <w:pPr>
        <w:rPr>
          <w:rFonts w:ascii="Calibri" w:hAnsi="Calibri" w:cs="Calibri"/>
          <w:b/>
          <w:bCs/>
          <w:sz w:val="22"/>
          <w:szCs w:val="22"/>
        </w:rPr>
      </w:pPr>
      <w:r w:rsidRPr="00732891">
        <w:rPr>
          <w:rFonts w:ascii="Calibri" w:hAnsi="Calibri" w:cs="Calibri"/>
          <w:b/>
          <w:bCs/>
          <w:sz w:val="22"/>
          <w:szCs w:val="22"/>
        </w:rPr>
        <w:t>Nature of Injury and Illness</w:t>
      </w:r>
    </w:p>
    <w:p w14:paraId="5455E330" w14:textId="0229801D" w:rsidR="005B4D2A" w:rsidRPr="00CB7EF6" w:rsidRDefault="006D359A" w:rsidP="00627098">
      <w:pPr>
        <w:rPr>
          <w:rFonts w:ascii="Calibri" w:hAnsi="Calibri" w:cs="Calibri"/>
          <w:sz w:val="22"/>
          <w:szCs w:val="22"/>
        </w:rPr>
      </w:pPr>
      <w:r w:rsidRPr="00CB7EF6">
        <w:rPr>
          <w:rFonts w:ascii="Calibri" w:hAnsi="Calibri" w:cs="Calibri"/>
          <w:sz w:val="22"/>
          <w:szCs w:val="22"/>
        </w:rPr>
        <w:lastRenderedPageBreak/>
        <w:t>We used hospital ICD-10 diagnostic coding to characterize nature of injury and illness</w:t>
      </w:r>
      <w:r w:rsidR="00345CB7" w:rsidRPr="00CB7EF6">
        <w:rPr>
          <w:rFonts w:ascii="Calibri" w:hAnsi="Calibri" w:cs="Calibri"/>
          <w:sz w:val="22"/>
          <w:szCs w:val="22"/>
        </w:rPr>
        <w:t xml:space="preserve">, </w:t>
      </w:r>
      <w:r w:rsidRPr="00CB7EF6">
        <w:rPr>
          <w:rFonts w:ascii="Calibri" w:hAnsi="Calibri" w:cs="Calibri"/>
          <w:sz w:val="22"/>
          <w:szCs w:val="22"/>
        </w:rPr>
        <w:t>associated affected body part</w:t>
      </w:r>
      <w:r w:rsidR="00592504">
        <w:rPr>
          <w:rFonts w:ascii="Calibri" w:hAnsi="Calibri" w:cs="Calibri"/>
          <w:sz w:val="22"/>
          <w:szCs w:val="22"/>
        </w:rPr>
        <w:t>,</w:t>
      </w:r>
      <w:r w:rsidR="00345CB7" w:rsidRPr="00CB7EF6">
        <w:rPr>
          <w:rFonts w:ascii="Calibri" w:hAnsi="Calibri" w:cs="Calibri"/>
          <w:sz w:val="22"/>
          <w:szCs w:val="22"/>
        </w:rPr>
        <w:t xml:space="preserve"> and cause of injury/illness</w:t>
      </w:r>
      <w:r w:rsidRPr="00CB7EF6">
        <w:rPr>
          <w:rFonts w:ascii="Calibri" w:hAnsi="Calibri" w:cs="Calibri"/>
          <w:sz w:val="22"/>
          <w:szCs w:val="22"/>
        </w:rPr>
        <w:t xml:space="preserve">.  However, the OSHA </w:t>
      </w:r>
      <w:r w:rsidR="001B6EA2">
        <w:rPr>
          <w:rFonts w:ascii="Calibri" w:hAnsi="Calibri" w:cs="Calibri"/>
          <w:sz w:val="22"/>
          <w:szCs w:val="22"/>
        </w:rPr>
        <w:t>report</w:t>
      </w:r>
      <w:r w:rsidRPr="00CB7EF6">
        <w:rPr>
          <w:rFonts w:ascii="Calibri" w:hAnsi="Calibri" w:cs="Calibri"/>
          <w:sz w:val="22"/>
          <w:szCs w:val="22"/>
        </w:rPr>
        <w:t xml:space="preserve">s do not code </w:t>
      </w:r>
      <w:r w:rsidR="00345CB7" w:rsidRPr="00CB7EF6">
        <w:rPr>
          <w:rFonts w:ascii="Calibri" w:hAnsi="Calibri" w:cs="Calibri"/>
          <w:sz w:val="22"/>
          <w:szCs w:val="22"/>
        </w:rPr>
        <w:t>this information</w:t>
      </w:r>
      <w:r w:rsidRPr="00CB7EF6">
        <w:rPr>
          <w:rFonts w:ascii="Calibri" w:hAnsi="Calibri" w:cs="Calibri"/>
          <w:sz w:val="22"/>
          <w:szCs w:val="22"/>
        </w:rPr>
        <w:t xml:space="preserve">. Instead the </w:t>
      </w:r>
      <w:r w:rsidR="001B6EA2">
        <w:rPr>
          <w:rFonts w:ascii="Calibri" w:hAnsi="Calibri" w:cs="Calibri"/>
          <w:sz w:val="22"/>
          <w:szCs w:val="22"/>
        </w:rPr>
        <w:t>report</w:t>
      </w:r>
      <w:r w:rsidRPr="00CB7EF6">
        <w:rPr>
          <w:rFonts w:ascii="Calibri" w:hAnsi="Calibri" w:cs="Calibri"/>
          <w:sz w:val="22"/>
          <w:szCs w:val="22"/>
        </w:rPr>
        <w:t xml:space="preserve">s have </w:t>
      </w:r>
      <w:r w:rsidR="002825B5" w:rsidRPr="00CB7EF6">
        <w:rPr>
          <w:rFonts w:ascii="Calibri" w:hAnsi="Calibri" w:cs="Calibri"/>
          <w:sz w:val="22"/>
          <w:szCs w:val="22"/>
        </w:rPr>
        <w:t>13 different text fields that potentially capture th</w:t>
      </w:r>
      <w:r w:rsidR="001E7831" w:rsidRPr="00CB7EF6">
        <w:rPr>
          <w:rFonts w:ascii="Calibri" w:hAnsi="Calibri" w:cs="Calibri"/>
          <w:sz w:val="22"/>
          <w:szCs w:val="22"/>
        </w:rPr>
        <w:t>ese</w:t>
      </w:r>
      <w:r w:rsidR="002825B5" w:rsidRPr="00CB7EF6">
        <w:rPr>
          <w:rFonts w:ascii="Calibri" w:hAnsi="Calibri" w:cs="Calibri"/>
          <w:sz w:val="22"/>
          <w:szCs w:val="22"/>
        </w:rPr>
        <w:t xml:space="preserve"> </w:t>
      </w:r>
      <w:r w:rsidR="00345CB7" w:rsidRPr="00CB7EF6">
        <w:rPr>
          <w:rFonts w:ascii="Calibri" w:hAnsi="Calibri" w:cs="Calibri"/>
          <w:sz w:val="22"/>
          <w:szCs w:val="22"/>
        </w:rPr>
        <w:t>data</w:t>
      </w:r>
      <w:r w:rsidR="002825B5" w:rsidRPr="00CB7EF6">
        <w:rPr>
          <w:rFonts w:ascii="Calibri" w:hAnsi="Calibri" w:cs="Calibri"/>
          <w:sz w:val="22"/>
          <w:szCs w:val="22"/>
        </w:rPr>
        <w:t xml:space="preserve">. Using an iterative text mining procedure, we analyzed the </w:t>
      </w:r>
      <w:r w:rsidR="001E7831" w:rsidRPr="00CB7EF6">
        <w:rPr>
          <w:rFonts w:ascii="Calibri" w:hAnsi="Calibri" w:cs="Calibri"/>
          <w:sz w:val="22"/>
          <w:szCs w:val="22"/>
        </w:rPr>
        <w:t xml:space="preserve">highly </w:t>
      </w:r>
      <w:r w:rsidR="002825B5" w:rsidRPr="00CB7EF6">
        <w:rPr>
          <w:rFonts w:ascii="Calibri" w:hAnsi="Calibri" w:cs="Calibri"/>
          <w:sz w:val="22"/>
          <w:szCs w:val="22"/>
        </w:rPr>
        <w:t xml:space="preserve">structured </w:t>
      </w:r>
      <w:r w:rsidR="00345CB7" w:rsidRPr="00CB7EF6">
        <w:rPr>
          <w:rFonts w:ascii="Calibri" w:hAnsi="Calibri" w:cs="Calibri"/>
          <w:sz w:val="22"/>
          <w:szCs w:val="22"/>
        </w:rPr>
        <w:t>information</w:t>
      </w:r>
      <w:r w:rsidR="001E7831" w:rsidRPr="00CB7EF6">
        <w:rPr>
          <w:rFonts w:ascii="Calibri" w:hAnsi="Calibri" w:cs="Calibri"/>
          <w:sz w:val="22"/>
          <w:szCs w:val="22"/>
        </w:rPr>
        <w:t xml:space="preserve"> in each </w:t>
      </w:r>
      <w:r w:rsidR="001B6EA2">
        <w:rPr>
          <w:rFonts w:ascii="Calibri" w:hAnsi="Calibri" w:cs="Calibri"/>
          <w:sz w:val="22"/>
          <w:szCs w:val="22"/>
        </w:rPr>
        <w:t>report</w:t>
      </w:r>
      <w:r w:rsidR="002825B5" w:rsidRPr="00CB7EF6">
        <w:rPr>
          <w:rFonts w:ascii="Calibri" w:hAnsi="Calibri" w:cs="Calibri"/>
          <w:sz w:val="22"/>
          <w:szCs w:val="22"/>
        </w:rPr>
        <w:t xml:space="preserve"> to extract information on </w:t>
      </w:r>
      <w:r w:rsidR="00345CB7" w:rsidRPr="00CB7EF6">
        <w:rPr>
          <w:rFonts w:ascii="Calibri" w:hAnsi="Calibri" w:cs="Calibri"/>
          <w:sz w:val="22"/>
          <w:szCs w:val="22"/>
        </w:rPr>
        <w:t>nature of injury and illness, associated affected body part, and cause of injury/illness</w:t>
      </w:r>
      <w:r w:rsidR="002825B5" w:rsidRPr="00CB7EF6">
        <w:rPr>
          <w:rFonts w:ascii="Calibri" w:hAnsi="Calibri" w:cs="Calibri"/>
          <w:sz w:val="22"/>
          <w:szCs w:val="22"/>
        </w:rPr>
        <w:t xml:space="preserve">. First, we parsed each section of the </w:t>
      </w:r>
      <w:r w:rsidR="001B6EA2">
        <w:rPr>
          <w:rFonts w:ascii="Calibri" w:hAnsi="Calibri" w:cs="Calibri"/>
          <w:sz w:val="22"/>
          <w:szCs w:val="22"/>
        </w:rPr>
        <w:t>report</w:t>
      </w:r>
      <w:r w:rsidR="001B1470" w:rsidRPr="00CB7EF6">
        <w:rPr>
          <w:rFonts w:ascii="Calibri" w:hAnsi="Calibri" w:cs="Calibri"/>
          <w:sz w:val="22"/>
          <w:szCs w:val="22"/>
        </w:rPr>
        <w:t>s</w:t>
      </w:r>
      <w:r w:rsidR="002825B5" w:rsidRPr="00CB7EF6">
        <w:rPr>
          <w:rFonts w:ascii="Calibri" w:hAnsi="Calibri" w:cs="Calibri"/>
          <w:sz w:val="22"/>
          <w:szCs w:val="22"/>
        </w:rPr>
        <w:t xml:space="preserve"> and identified all relevant keywords and phrases (linguistic categories). Second we systematically extracted text and created categories using SAS (v.9.4; Cary, NC) code written by the researchers. After each text mining stage, coded cases were validated by reviewing the notes to identify and eliminate keywords that resulted in false positives, as well as to add new keywords missed in previous rounds of coding.</w:t>
      </w:r>
      <w:r w:rsidR="002141C4" w:rsidRPr="00CB7EF6">
        <w:rPr>
          <w:rFonts w:ascii="Calibri" w:hAnsi="Calibri" w:cs="Calibri"/>
          <w:sz w:val="22"/>
          <w:szCs w:val="22"/>
        </w:rPr>
        <w:t xml:space="preserve"> </w:t>
      </w:r>
    </w:p>
    <w:p w14:paraId="015B905D" w14:textId="3F511EFF" w:rsidR="005B4D2A" w:rsidRPr="00CB7EF6" w:rsidRDefault="002141C4" w:rsidP="007E190C">
      <w:pPr>
        <w:rPr>
          <w:rFonts w:ascii="Calibri" w:hAnsi="Calibri" w:cs="Calibri"/>
          <w:sz w:val="22"/>
          <w:szCs w:val="22"/>
        </w:rPr>
      </w:pPr>
      <w:r w:rsidRPr="00CB7EF6">
        <w:rPr>
          <w:rFonts w:ascii="Calibri" w:hAnsi="Calibri" w:cs="Calibri"/>
          <w:sz w:val="22"/>
          <w:szCs w:val="22"/>
        </w:rPr>
        <w:t xml:space="preserve">We created categories </w:t>
      </w:r>
      <w:r w:rsidR="005E250A" w:rsidRPr="00CB7EF6">
        <w:rPr>
          <w:rFonts w:ascii="Calibri" w:hAnsi="Calibri" w:cs="Calibri"/>
          <w:sz w:val="22"/>
          <w:szCs w:val="22"/>
        </w:rPr>
        <w:t xml:space="preserve">from the narrative text that was </w:t>
      </w:r>
      <w:r w:rsidRPr="00CB7EF6">
        <w:rPr>
          <w:rFonts w:ascii="Calibri" w:hAnsi="Calibri" w:cs="Calibri"/>
          <w:sz w:val="22"/>
          <w:szCs w:val="22"/>
        </w:rPr>
        <w:t>consistent with ICD-10 coding</w:t>
      </w:r>
      <w:r w:rsidR="005E250A" w:rsidRPr="00CB7EF6">
        <w:rPr>
          <w:rFonts w:ascii="Calibri" w:hAnsi="Calibri" w:cs="Calibri"/>
          <w:sz w:val="22"/>
          <w:szCs w:val="22"/>
        </w:rPr>
        <w:t xml:space="preserve"> </w:t>
      </w:r>
      <w:r w:rsidR="00E82006" w:rsidRPr="00CB7EF6">
        <w:rPr>
          <w:rFonts w:ascii="Calibri" w:hAnsi="Calibri" w:cs="Calibri"/>
          <w:sz w:val="22"/>
          <w:szCs w:val="22"/>
        </w:rPr>
        <w:t xml:space="preserve">categories </w:t>
      </w:r>
      <w:r w:rsidR="005E250A" w:rsidRPr="00CB7EF6">
        <w:rPr>
          <w:rFonts w:ascii="Calibri" w:hAnsi="Calibri" w:cs="Calibri"/>
          <w:sz w:val="22"/>
          <w:szCs w:val="22"/>
        </w:rPr>
        <w:t>used in the hospital data</w:t>
      </w:r>
      <w:r w:rsidR="00CC23BF" w:rsidRPr="00CB7EF6">
        <w:rPr>
          <w:rFonts w:ascii="Calibri" w:hAnsi="Calibri" w:cs="Calibri"/>
          <w:sz w:val="22"/>
          <w:szCs w:val="22"/>
        </w:rPr>
        <w:t xml:space="preserve">. </w:t>
      </w:r>
      <w:r w:rsidRPr="00CB7EF6">
        <w:rPr>
          <w:rFonts w:ascii="Calibri" w:hAnsi="Calibri" w:cs="Calibri"/>
          <w:sz w:val="22"/>
          <w:szCs w:val="22"/>
        </w:rPr>
        <w:t xml:space="preserve">We used the Barrel Matrix </w:t>
      </w:r>
      <w:r w:rsidR="005B4D2A" w:rsidRPr="00CB7EF6">
        <w:rPr>
          <w:rFonts w:ascii="Calibri" w:hAnsi="Calibri" w:cs="Calibri"/>
          <w:sz w:val="22"/>
          <w:szCs w:val="22"/>
        </w:rPr>
        <w:t xml:space="preserve">to develop categories for </w:t>
      </w:r>
      <w:r w:rsidRPr="00CB7EF6">
        <w:rPr>
          <w:rFonts w:ascii="Calibri" w:hAnsi="Calibri" w:cs="Calibri"/>
          <w:sz w:val="22"/>
          <w:szCs w:val="22"/>
        </w:rPr>
        <w:t xml:space="preserve">major body parts and nature of injuries </w:t>
      </w:r>
      <w:r w:rsidR="005B4D2A" w:rsidRPr="00CB7EF6">
        <w:rPr>
          <w:rFonts w:ascii="Calibri" w:hAnsi="Calibri" w:cs="Calibri"/>
          <w:sz w:val="22"/>
          <w:szCs w:val="22"/>
        </w:rPr>
        <w:t>described in the</w:t>
      </w:r>
      <w:r w:rsidRPr="00CB7EF6">
        <w:rPr>
          <w:rFonts w:ascii="Calibri" w:hAnsi="Calibri" w:cs="Calibri"/>
          <w:sz w:val="22"/>
          <w:szCs w:val="22"/>
        </w:rPr>
        <w:t xml:space="preserve"> narrative fields.  </w:t>
      </w:r>
      <w:r w:rsidR="000D276E" w:rsidRPr="00CB7EF6">
        <w:rPr>
          <w:rFonts w:ascii="Calibri" w:hAnsi="Calibri" w:cs="Calibri"/>
          <w:sz w:val="22"/>
          <w:szCs w:val="22"/>
        </w:rPr>
        <w:t>We coded body parts into the following categories: head and neck, torso, spine and back, upper extremity, lower extremity, and systemic. We coded nature of injury into the following categories: fracture, amputation</w:t>
      </w:r>
      <w:r w:rsidR="00160CAF" w:rsidRPr="00CB7EF6">
        <w:rPr>
          <w:rFonts w:ascii="Calibri" w:hAnsi="Calibri" w:cs="Calibri"/>
          <w:sz w:val="22"/>
          <w:szCs w:val="22"/>
        </w:rPr>
        <w:t>s</w:t>
      </w:r>
      <w:r w:rsidR="000D276E" w:rsidRPr="00CB7EF6">
        <w:rPr>
          <w:rFonts w:ascii="Calibri" w:hAnsi="Calibri" w:cs="Calibri"/>
          <w:sz w:val="22"/>
          <w:szCs w:val="22"/>
        </w:rPr>
        <w:t xml:space="preserve">, </w:t>
      </w:r>
      <w:r w:rsidR="00160CAF" w:rsidRPr="00CB7EF6">
        <w:rPr>
          <w:rFonts w:ascii="Calibri" w:hAnsi="Calibri" w:cs="Calibri"/>
          <w:sz w:val="22"/>
          <w:szCs w:val="22"/>
        </w:rPr>
        <w:t xml:space="preserve">crush injuries, </w:t>
      </w:r>
      <w:r w:rsidR="000D276E" w:rsidRPr="00CB7EF6">
        <w:rPr>
          <w:rFonts w:ascii="Calibri" w:hAnsi="Calibri" w:cs="Calibri"/>
          <w:sz w:val="22"/>
          <w:szCs w:val="22"/>
        </w:rPr>
        <w:t>open wound</w:t>
      </w:r>
      <w:r w:rsidR="00160CAF" w:rsidRPr="00CB7EF6">
        <w:rPr>
          <w:rFonts w:ascii="Calibri" w:hAnsi="Calibri" w:cs="Calibri"/>
          <w:sz w:val="22"/>
          <w:szCs w:val="22"/>
        </w:rPr>
        <w:t>s</w:t>
      </w:r>
      <w:r w:rsidR="000D276E" w:rsidRPr="00CB7EF6">
        <w:rPr>
          <w:rFonts w:ascii="Calibri" w:hAnsi="Calibri" w:cs="Calibri"/>
          <w:sz w:val="22"/>
          <w:szCs w:val="22"/>
        </w:rPr>
        <w:t>, burn</w:t>
      </w:r>
      <w:r w:rsidR="00160CAF" w:rsidRPr="00CB7EF6">
        <w:rPr>
          <w:rFonts w:ascii="Calibri" w:hAnsi="Calibri" w:cs="Calibri"/>
          <w:sz w:val="22"/>
          <w:szCs w:val="22"/>
        </w:rPr>
        <w:t>s</w:t>
      </w:r>
      <w:r w:rsidR="000D276E" w:rsidRPr="00CB7EF6">
        <w:rPr>
          <w:rFonts w:ascii="Calibri" w:hAnsi="Calibri" w:cs="Calibri"/>
          <w:sz w:val="22"/>
          <w:szCs w:val="22"/>
        </w:rPr>
        <w:t>, traumatic brain injur</w:t>
      </w:r>
      <w:r w:rsidR="00160CAF" w:rsidRPr="00CB7EF6">
        <w:rPr>
          <w:rFonts w:ascii="Calibri" w:hAnsi="Calibri" w:cs="Calibri"/>
          <w:sz w:val="22"/>
          <w:szCs w:val="22"/>
        </w:rPr>
        <w:t>ies</w:t>
      </w:r>
      <w:r w:rsidR="000D276E" w:rsidRPr="00CB7EF6">
        <w:rPr>
          <w:rFonts w:ascii="Calibri" w:hAnsi="Calibri" w:cs="Calibri"/>
          <w:sz w:val="22"/>
          <w:szCs w:val="22"/>
        </w:rPr>
        <w:t xml:space="preserve"> (inc. concussion), superficial injuries or contusions, internal organs, sprain</w:t>
      </w:r>
      <w:r w:rsidR="00E82006" w:rsidRPr="00CB7EF6">
        <w:rPr>
          <w:rFonts w:ascii="Calibri" w:hAnsi="Calibri" w:cs="Calibri"/>
          <w:sz w:val="22"/>
          <w:szCs w:val="22"/>
        </w:rPr>
        <w:t>s</w:t>
      </w:r>
      <w:r w:rsidR="000D276E" w:rsidRPr="00CB7EF6">
        <w:rPr>
          <w:rFonts w:ascii="Calibri" w:hAnsi="Calibri" w:cs="Calibri"/>
          <w:sz w:val="22"/>
          <w:szCs w:val="22"/>
        </w:rPr>
        <w:t xml:space="preserve"> and strain</w:t>
      </w:r>
      <w:r w:rsidR="00E82006" w:rsidRPr="00CB7EF6">
        <w:rPr>
          <w:rFonts w:ascii="Calibri" w:hAnsi="Calibri" w:cs="Calibri"/>
          <w:sz w:val="22"/>
          <w:szCs w:val="22"/>
        </w:rPr>
        <w:t>s</w:t>
      </w:r>
      <w:r w:rsidR="000D276E" w:rsidRPr="00CB7EF6">
        <w:rPr>
          <w:rFonts w:ascii="Calibri" w:hAnsi="Calibri" w:cs="Calibri"/>
          <w:sz w:val="22"/>
          <w:szCs w:val="22"/>
        </w:rPr>
        <w:t>, dislocation</w:t>
      </w:r>
      <w:r w:rsidR="00160CAF" w:rsidRPr="00CB7EF6">
        <w:rPr>
          <w:rFonts w:ascii="Calibri" w:hAnsi="Calibri" w:cs="Calibri"/>
          <w:sz w:val="22"/>
          <w:szCs w:val="22"/>
        </w:rPr>
        <w:t>s</w:t>
      </w:r>
      <w:r w:rsidR="000D276E" w:rsidRPr="00CB7EF6">
        <w:rPr>
          <w:rFonts w:ascii="Calibri" w:hAnsi="Calibri" w:cs="Calibri"/>
          <w:sz w:val="22"/>
          <w:szCs w:val="22"/>
        </w:rPr>
        <w:t>, poisoning</w:t>
      </w:r>
      <w:r w:rsidR="00160CAF" w:rsidRPr="00CB7EF6">
        <w:rPr>
          <w:rFonts w:ascii="Calibri" w:hAnsi="Calibri" w:cs="Calibri"/>
          <w:sz w:val="22"/>
          <w:szCs w:val="22"/>
        </w:rPr>
        <w:t>s</w:t>
      </w:r>
      <w:r w:rsidR="000D276E" w:rsidRPr="00CB7EF6">
        <w:rPr>
          <w:rFonts w:ascii="Calibri" w:hAnsi="Calibri" w:cs="Calibri"/>
          <w:sz w:val="22"/>
          <w:szCs w:val="22"/>
        </w:rPr>
        <w:t xml:space="preserve">, </w:t>
      </w:r>
      <w:r w:rsidR="005E250A" w:rsidRPr="00CB7EF6">
        <w:rPr>
          <w:rFonts w:ascii="Calibri" w:hAnsi="Calibri" w:cs="Calibri"/>
          <w:sz w:val="22"/>
          <w:szCs w:val="22"/>
        </w:rPr>
        <w:t xml:space="preserve">lower back and vertebral injuries (musculoskeletal conditions), </w:t>
      </w:r>
      <w:r w:rsidR="000D276E" w:rsidRPr="00CB7EF6">
        <w:rPr>
          <w:rFonts w:ascii="Calibri" w:hAnsi="Calibri" w:cs="Calibri"/>
          <w:sz w:val="22"/>
          <w:szCs w:val="22"/>
        </w:rPr>
        <w:t>electrocution</w:t>
      </w:r>
      <w:r w:rsidR="00160CAF" w:rsidRPr="00CB7EF6">
        <w:rPr>
          <w:rFonts w:ascii="Calibri" w:hAnsi="Calibri" w:cs="Calibri"/>
          <w:sz w:val="22"/>
          <w:szCs w:val="22"/>
        </w:rPr>
        <w:t>s</w:t>
      </w:r>
      <w:r w:rsidR="000D276E" w:rsidRPr="00CB7EF6">
        <w:rPr>
          <w:rFonts w:ascii="Calibri" w:hAnsi="Calibri" w:cs="Calibri"/>
          <w:sz w:val="22"/>
          <w:szCs w:val="22"/>
        </w:rPr>
        <w:t>, asphyxia</w:t>
      </w:r>
      <w:r w:rsidR="00160CAF" w:rsidRPr="00CB7EF6">
        <w:rPr>
          <w:rFonts w:ascii="Calibri" w:hAnsi="Calibri" w:cs="Calibri"/>
          <w:sz w:val="22"/>
          <w:szCs w:val="22"/>
        </w:rPr>
        <w:t>tion/drowning/</w:t>
      </w:r>
      <w:r w:rsidR="000D276E" w:rsidRPr="00CB7EF6">
        <w:rPr>
          <w:rFonts w:ascii="Calibri" w:hAnsi="Calibri" w:cs="Calibri"/>
          <w:sz w:val="22"/>
          <w:szCs w:val="22"/>
        </w:rPr>
        <w:t>suffoc</w:t>
      </w:r>
      <w:r w:rsidR="00160CAF" w:rsidRPr="00CB7EF6">
        <w:rPr>
          <w:rFonts w:ascii="Calibri" w:hAnsi="Calibri" w:cs="Calibri"/>
          <w:sz w:val="22"/>
          <w:szCs w:val="22"/>
        </w:rPr>
        <w:t>ation, and enucleations of the eye</w:t>
      </w:r>
      <w:r w:rsidR="00CC23BF" w:rsidRPr="00CB7EF6">
        <w:rPr>
          <w:rFonts w:ascii="Calibri" w:hAnsi="Calibri" w:cs="Calibri"/>
          <w:sz w:val="22"/>
          <w:szCs w:val="22"/>
        </w:rPr>
        <w:t xml:space="preserve">. </w:t>
      </w:r>
    </w:p>
    <w:p w14:paraId="18ED4F09" w14:textId="7CA8C154" w:rsidR="00F1379B" w:rsidRPr="00CB7EF6" w:rsidRDefault="002141C4" w:rsidP="00F1379B">
      <w:pPr>
        <w:rPr>
          <w:rFonts w:ascii="Calibri" w:hAnsi="Calibri" w:cs="Calibri"/>
          <w:sz w:val="22"/>
          <w:szCs w:val="22"/>
        </w:rPr>
      </w:pPr>
      <w:r w:rsidRPr="00CB7EF6">
        <w:rPr>
          <w:rFonts w:ascii="Calibri" w:hAnsi="Calibri" w:cs="Calibri"/>
          <w:sz w:val="22"/>
          <w:szCs w:val="22"/>
        </w:rPr>
        <w:t xml:space="preserve">For illnesses, there were specific acute medical emergencies reported by employers. </w:t>
      </w:r>
      <w:r w:rsidR="00F1379B" w:rsidRPr="00CB7EF6">
        <w:rPr>
          <w:rFonts w:ascii="Calibri" w:hAnsi="Calibri" w:cs="Calibri"/>
          <w:sz w:val="22"/>
          <w:szCs w:val="22"/>
        </w:rPr>
        <w:t xml:space="preserve">Work-relatedness is defined differently by workers’ compensation and OSHA. For </w:t>
      </w:r>
      <w:r w:rsidR="00CC23BF" w:rsidRPr="00CB7EF6">
        <w:rPr>
          <w:rFonts w:ascii="Calibri" w:hAnsi="Calibri" w:cs="Calibri"/>
          <w:sz w:val="22"/>
          <w:szCs w:val="22"/>
        </w:rPr>
        <w:t>OSHA,</w:t>
      </w:r>
      <w:r w:rsidR="00F1379B" w:rsidRPr="00CB7EF6">
        <w:rPr>
          <w:rFonts w:ascii="Calibri" w:hAnsi="Calibri" w:cs="Calibri"/>
          <w:sz w:val="22"/>
          <w:szCs w:val="22"/>
        </w:rPr>
        <w:t xml:space="preserve"> all events that are caused by, contributed to, or significantly aggravated by work are determined to be reportable, including cases that are denied by workers’ compensation</w:t>
      </w:r>
      <w:r w:rsidR="00F6324E">
        <w:rPr>
          <w:rFonts w:ascii="Calibri" w:hAnsi="Calibri" w:cs="Calibri"/>
          <w:sz w:val="22"/>
          <w:szCs w:val="22"/>
        </w:rPr>
        <w:t xml:space="preserve">, with the exception of cases meeting exclusion criteria defined by OSHA rules </w:t>
      </w:r>
      <w:r w:rsidR="008F37BD">
        <w:rPr>
          <w:rFonts w:ascii="Calibri" w:hAnsi="Calibri" w:cs="Calibri"/>
          <w:sz w:val="22"/>
          <w:szCs w:val="22"/>
        </w:rPr>
        <w:t xml:space="preserve">(1904.5 and </w:t>
      </w:r>
      <w:r w:rsidR="008F37BD" w:rsidRPr="00CB7EF6">
        <w:rPr>
          <w:rFonts w:ascii="Calibri" w:hAnsi="Calibri" w:cs="Calibri"/>
          <w:sz w:val="22"/>
          <w:szCs w:val="22"/>
        </w:rPr>
        <w:t>1904.39</w:t>
      </w:r>
      <w:r w:rsidR="008F37BD">
        <w:rPr>
          <w:rFonts w:ascii="Calibri" w:hAnsi="Calibri" w:cs="Calibri"/>
          <w:sz w:val="22"/>
          <w:szCs w:val="22"/>
        </w:rPr>
        <w:t>)</w:t>
      </w:r>
      <w:r w:rsidR="00F1379B" w:rsidRPr="00CB7EF6">
        <w:rPr>
          <w:rFonts w:ascii="Calibri" w:hAnsi="Calibri" w:cs="Calibri"/>
          <w:sz w:val="22"/>
          <w:szCs w:val="22"/>
        </w:rPr>
        <w:t>. This includes cases requiring changes in medical treatment following a workplace event or exposure (</w:t>
      </w:r>
      <w:r w:rsidR="00CC23BF" w:rsidRPr="00CB7EF6">
        <w:rPr>
          <w:rFonts w:ascii="Calibri" w:hAnsi="Calibri" w:cs="Calibri"/>
          <w:sz w:val="22"/>
          <w:szCs w:val="22"/>
        </w:rPr>
        <w:t>e.g.,</w:t>
      </w:r>
      <w:r w:rsidR="00F1379B" w:rsidRPr="00CB7EF6">
        <w:rPr>
          <w:rFonts w:ascii="Calibri" w:hAnsi="Calibri" w:cs="Calibri"/>
          <w:sz w:val="22"/>
          <w:szCs w:val="22"/>
        </w:rPr>
        <w:t xml:space="preserve"> emergency dialysis). In fact, the 1904.39 reporting rule differs from the recordkeeping rule in that there is no time to determine pre-existing conditions or contributing causes. If a work-related event results in a hospitalization, it should be reported</w:t>
      </w:r>
      <w:r w:rsidR="008F37BD">
        <w:rPr>
          <w:rFonts w:ascii="Calibri" w:hAnsi="Calibri" w:cs="Calibri"/>
          <w:sz w:val="22"/>
          <w:szCs w:val="22"/>
        </w:rPr>
        <w:t xml:space="preserve"> (with the exception of cases meeting exclusion criteria defined by OSHA in rules 1904.5 and </w:t>
      </w:r>
      <w:r w:rsidR="008F37BD" w:rsidRPr="00CB7EF6">
        <w:rPr>
          <w:rFonts w:ascii="Calibri" w:hAnsi="Calibri" w:cs="Calibri"/>
          <w:sz w:val="22"/>
          <w:szCs w:val="22"/>
        </w:rPr>
        <w:t>1904.39</w:t>
      </w:r>
      <w:r w:rsidR="008F37BD">
        <w:rPr>
          <w:rFonts w:ascii="Calibri" w:hAnsi="Calibri" w:cs="Calibri"/>
          <w:sz w:val="22"/>
          <w:szCs w:val="22"/>
        </w:rPr>
        <w:t>)</w:t>
      </w:r>
      <w:r w:rsidR="00F1379B" w:rsidRPr="00CB7EF6">
        <w:rPr>
          <w:rFonts w:ascii="Calibri" w:hAnsi="Calibri" w:cs="Calibri"/>
          <w:sz w:val="22"/>
          <w:szCs w:val="22"/>
        </w:rPr>
        <w:t>.</w:t>
      </w:r>
      <w:r w:rsidR="00474DF9" w:rsidRPr="00CB7EF6">
        <w:rPr>
          <w:rFonts w:ascii="Calibri" w:hAnsi="Calibri" w:cs="Calibri"/>
          <w:sz w:val="22"/>
          <w:szCs w:val="22"/>
        </w:rPr>
        <w:t xml:space="preserve"> This includes </w:t>
      </w:r>
      <w:r w:rsidR="00F1379B" w:rsidRPr="00CB7EF6">
        <w:rPr>
          <w:rFonts w:ascii="Calibri" w:hAnsi="Calibri" w:cs="Calibri"/>
          <w:sz w:val="22"/>
          <w:szCs w:val="22"/>
        </w:rPr>
        <w:t>conditions that occur within 24 hours of the hospitalization</w:t>
      </w:r>
      <w:r w:rsidR="00474DF9" w:rsidRPr="00CB7EF6">
        <w:rPr>
          <w:rFonts w:ascii="Calibri" w:hAnsi="Calibri" w:cs="Calibri"/>
          <w:sz w:val="22"/>
          <w:szCs w:val="22"/>
        </w:rPr>
        <w:t xml:space="preserve"> and subsequently results in a hospital admission</w:t>
      </w:r>
      <w:r w:rsidR="00F1379B" w:rsidRPr="00CB7EF6">
        <w:rPr>
          <w:rFonts w:ascii="Calibri" w:hAnsi="Calibri" w:cs="Calibri"/>
          <w:sz w:val="22"/>
          <w:szCs w:val="22"/>
        </w:rPr>
        <w:t xml:space="preserve">. </w:t>
      </w:r>
    </w:p>
    <w:p w14:paraId="4A017A86" w14:textId="31011D40" w:rsidR="00627098" w:rsidRPr="00CB7EF6" w:rsidRDefault="002141C4" w:rsidP="00627098">
      <w:pPr>
        <w:rPr>
          <w:rFonts w:ascii="Calibri" w:hAnsi="Calibri" w:cs="Calibri"/>
          <w:sz w:val="22"/>
          <w:szCs w:val="22"/>
        </w:rPr>
      </w:pPr>
      <w:r w:rsidRPr="00CB7EF6">
        <w:rPr>
          <w:rFonts w:ascii="Calibri" w:hAnsi="Calibri" w:cs="Calibri"/>
          <w:sz w:val="22"/>
          <w:szCs w:val="22"/>
        </w:rPr>
        <w:t xml:space="preserve">The iterative text mining procedure described above was used to identify </w:t>
      </w:r>
      <w:r w:rsidR="002518F2" w:rsidRPr="00CB7EF6">
        <w:rPr>
          <w:rFonts w:ascii="Calibri" w:hAnsi="Calibri" w:cs="Calibri"/>
          <w:sz w:val="22"/>
          <w:szCs w:val="22"/>
        </w:rPr>
        <w:t>these</w:t>
      </w:r>
      <w:r w:rsidRPr="00CB7EF6">
        <w:rPr>
          <w:rFonts w:ascii="Calibri" w:hAnsi="Calibri" w:cs="Calibri"/>
          <w:sz w:val="22"/>
          <w:szCs w:val="22"/>
        </w:rPr>
        <w:t xml:space="preserve"> reported conditions which </w:t>
      </w:r>
      <w:r w:rsidR="00627098" w:rsidRPr="00CB7EF6">
        <w:rPr>
          <w:rFonts w:ascii="Calibri" w:hAnsi="Calibri" w:cs="Calibri"/>
          <w:sz w:val="22"/>
          <w:szCs w:val="22"/>
        </w:rPr>
        <w:t>included the following: COVID</w:t>
      </w:r>
      <w:r w:rsidR="000119F0" w:rsidRPr="00CB7EF6">
        <w:rPr>
          <w:rFonts w:ascii="Calibri" w:hAnsi="Calibri" w:cs="Calibri"/>
          <w:sz w:val="22"/>
          <w:szCs w:val="22"/>
        </w:rPr>
        <w:t xml:space="preserve"> illness</w:t>
      </w:r>
      <w:r w:rsidR="00627098" w:rsidRPr="00CB7EF6">
        <w:rPr>
          <w:rFonts w:ascii="Calibri" w:hAnsi="Calibri" w:cs="Calibri"/>
          <w:sz w:val="22"/>
          <w:szCs w:val="22"/>
        </w:rPr>
        <w:t>, acute myocardial infarction, heat related injury/illness (including syncope, exhaustion, heat stroke), cerebrovascular accident</w:t>
      </w:r>
      <w:r w:rsidR="000B32F7">
        <w:rPr>
          <w:rFonts w:ascii="Calibri" w:hAnsi="Calibri" w:cs="Calibri"/>
          <w:sz w:val="22"/>
          <w:szCs w:val="22"/>
        </w:rPr>
        <w:t>s</w:t>
      </w:r>
      <w:r w:rsidR="000119F0" w:rsidRPr="00CB7EF6">
        <w:rPr>
          <w:rFonts w:ascii="Calibri" w:hAnsi="Calibri" w:cs="Calibri"/>
          <w:sz w:val="22"/>
          <w:szCs w:val="22"/>
        </w:rPr>
        <w:t xml:space="preserve"> (inc. </w:t>
      </w:r>
      <w:r w:rsidR="00F1379B" w:rsidRPr="00CB7EF6">
        <w:rPr>
          <w:rFonts w:ascii="Calibri" w:hAnsi="Calibri" w:cs="Calibri"/>
          <w:sz w:val="22"/>
          <w:szCs w:val="22"/>
        </w:rPr>
        <w:t>“</w:t>
      </w:r>
      <w:r w:rsidR="000119F0" w:rsidRPr="00CB7EF6">
        <w:rPr>
          <w:rFonts w:ascii="Calibri" w:hAnsi="Calibri" w:cs="Calibri"/>
          <w:sz w:val="22"/>
          <w:szCs w:val="22"/>
        </w:rPr>
        <w:t>stroke”)</w:t>
      </w:r>
      <w:r w:rsidR="00627098" w:rsidRPr="00CB7EF6">
        <w:rPr>
          <w:rFonts w:ascii="Calibri" w:hAnsi="Calibri" w:cs="Calibri"/>
          <w:sz w:val="22"/>
          <w:szCs w:val="22"/>
        </w:rPr>
        <w:t>, seizure</w:t>
      </w:r>
      <w:r w:rsidR="000B32F7">
        <w:rPr>
          <w:rFonts w:ascii="Calibri" w:hAnsi="Calibri" w:cs="Calibri"/>
          <w:sz w:val="22"/>
          <w:szCs w:val="22"/>
        </w:rPr>
        <w:t>s</w:t>
      </w:r>
      <w:r w:rsidR="00627098" w:rsidRPr="00CB7EF6">
        <w:rPr>
          <w:rFonts w:ascii="Calibri" w:hAnsi="Calibri" w:cs="Calibri"/>
          <w:sz w:val="22"/>
          <w:szCs w:val="22"/>
        </w:rPr>
        <w:t xml:space="preserve">, cardiovascular </w:t>
      </w:r>
      <w:r w:rsidR="000B32F7" w:rsidRPr="00CB7EF6">
        <w:rPr>
          <w:rFonts w:ascii="Calibri" w:hAnsi="Calibri" w:cs="Calibri"/>
          <w:sz w:val="22"/>
          <w:szCs w:val="22"/>
        </w:rPr>
        <w:t>emergenc</w:t>
      </w:r>
      <w:r w:rsidR="000B32F7">
        <w:rPr>
          <w:rFonts w:ascii="Calibri" w:hAnsi="Calibri" w:cs="Calibri"/>
          <w:sz w:val="22"/>
          <w:szCs w:val="22"/>
        </w:rPr>
        <w:t>ies</w:t>
      </w:r>
      <w:r w:rsidR="000B32F7" w:rsidRPr="00CB7EF6">
        <w:rPr>
          <w:rFonts w:ascii="Calibri" w:hAnsi="Calibri" w:cs="Calibri"/>
          <w:sz w:val="22"/>
          <w:szCs w:val="22"/>
        </w:rPr>
        <w:t xml:space="preserve"> </w:t>
      </w:r>
      <w:r w:rsidR="00627098" w:rsidRPr="00CB7EF6">
        <w:rPr>
          <w:rFonts w:ascii="Calibri" w:hAnsi="Calibri" w:cs="Calibri"/>
          <w:sz w:val="22"/>
          <w:szCs w:val="22"/>
        </w:rPr>
        <w:t>(e.g. high blood pressure</w:t>
      </w:r>
      <w:r w:rsidR="00A260DE" w:rsidRPr="00CB7EF6">
        <w:rPr>
          <w:rFonts w:ascii="Calibri" w:hAnsi="Calibri" w:cs="Calibri"/>
          <w:sz w:val="22"/>
          <w:szCs w:val="22"/>
        </w:rPr>
        <w:t xml:space="preserve">, coronary artery disease, </w:t>
      </w:r>
      <w:r w:rsidR="006022B1" w:rsidRPr="00CB7EF6">
        <w:rPr>
          <w:rFonts w:ascii="Calibri" w:hAnsi="Calibri" w:cs="Calibri"/>
          <w:sz w:val="22"/>
          <w:szCs w:val="22"/>
        </w:rPr>
        <w:t>angina</w:t>
      </w:r>
      <w:r w:rsidR="00627098" w:rsidRPr="00CB7EF6">
        <w:rPr>
          <w:rFonts w:ascii="Calibri" w:hAnsi="Calibri" w:cs="Calibri"/>
          <w:sz w:val="22"/>
          <w:szCs w:val="22"/>
        </w:rPr>
        <w:t>), infection</w:t>
      </w:r>
      <w:r w:rsidR="000B32F7">
        <w:rPr>
          <w:rFonts w:ascii="Calibri" w:hAnsi="Calibri" w:cs="Calibri"/>
          <w:sz w:val="22"/>
          <w:szCs w:val="22"/>
        </w:rPr>
        <w:t>s</w:t>
      </w:r>
      <w:r w:rsidR="00627098" w:rsidRPr="00CB7EF6">
        <w:rPr>
          <w:rFonts w:ascii="Calibri" w:hAnsi="Calibri" w:cs="Calibri"/>
          <w:sz w:val="22"/>
          <w:szCs w:val="22"/>
        </w:rPr>
        <w:t>, pregnancy complications, respiratory condition</w:t>
      </w:r>
      <w:r w:rsidR="000B32F7">
        <w:rPr>
          <w:rFonts w:ascii="Calibri" w:hAnsi="Calibri" w:cs="Calibri"/>
          <w:sz w:val="22"/>
          <w:szCs w:val="22"/>
        </w:rPr>
        <w:t>s</w:t>
      </w:r>
      <w:r w:rsidR="00627098" w:rsidRPr="00CB7EF6">
        <w:rPr>
          <w:rFonts w:ascii="Calibri" w:hAnsi="Calibri" w:cs="Calibri"/>
          <w:sz w:val="22"/>
          <w:szCs w:val="22"/>
        </w:rPr>
        <w:t xml:space="preserve"> (inc. asthma, COPD, pneumoconiosis</w:t>
      </w:r>
      <w:r w:rsidR="006022B1" w:rsidRPr="00CB7EF6">
        <w:rPr>
          <w:rFonts w:ascii="Calibri" w:hAnsi="Calibri" w:cs="Calibri"/>
          <w:sz w:val="22"/>
          <w:szCs w:val="22"/>
        </w:rPr>
        <w:t>, pneumothorax</w:t>
      </w:r>
      <w:r w:rsidR="00627098" w:rsidRPr="00CB7EF6">
        <w:rPr>
          <w:rFonts w:ascii="Calibri" w:hAnsi="Calibri" w:cs="Calibri"/>
          <w:sz w:val="22"/>
          <w:szCs w:val="22"/>
        </w:rPr>
        <w:t xml:space="preserve">), dehydration, diabetes related medical </w:t>
      </w:r>
      <w:r w:rsidR="000B32F7" w:rsidRPr="00CB7EF6">
        <w:rPr>
          <w:rFonts w:ascii="Calibri" w:hAnsi="Calibri" w:cs="Calibri"/>
          <w:sz w:val="22"/>
          <w:szCs w:val="22"/>
        </w:rPr>
        <w:t>emergenc</w:t>
      </w:r>
      <w:r w:rsidR="000B32F7">
        <w:rPr>
          <w:rFonts w:ascii="Calibri" w:hAnsi="Calibri" w:cs="Calibri"/>
          <w:sz w:val="22"/>
          <w:szCs w:val="22"/>
        </w:rPr>
        <w:t>ies</w:t>
      </w:r>
      <w:r w:rsidR="000B32F7" w:rsidRPr="00CB7EF6">
        <w:rPr>
          <w:rFonts w:ascii="Calibri" w:hAnsi="Calibri" w:cs="Calibri"/>
          <w:sz w:val="22"/>
          <w:szCs w:val="22"/>
        </w:rPr>
        <w:t xml:space="preserve"> </w:t>
      </w:r>
      <w:r w:rsidR="005B4D2A" w:rsidRPr="00CB7EF6">
        <w:rPr>
          <w:rFonts w:ascii="Calibri" w:hAnsi="Calibri" w:cs="Calibri"/>
          <w:sz w:val="22"/>
          <w:szCs w:val="22"/>
        </w:rPr>
        <w:t>(e.g. low blood sugar)</w:t>
      </w:r>
      <w:r w:rsidR="00627098" w:rsidRPr="00CB7EF6">
        <w:rPr>
          <w:rFonts w:ascii="Calibri" w:hAnsi="Calibri" w:cs="Calibri"/>
          <w:sz w:val="22"/>
          <w:szCs w:val="22"/>
        </w:rPr>
        <w:t>, cancer, and allergic reaction</w:t>
      </w:r>
      <w:r w:rsidR="000B32F7">
        <w:rPr>
          <w:rFonts w:ascii="Calibri" w:hAnsi="Calibri" w:cs="Calibri"/>
          <w:sz w:val="22"/>
          <w:szCs w:val="22"/>
        </w:rPr>
        <w:t>s</w:t>
      </w:r>
      <w:r w:rsidR="005B4D2A" w:rsidRPr="00CB7EF6">
        <w:rPr>
          <w:rFonts w:ascii="Calibri" w:hAnsi="Calibri" w:cs="Calibri"/>
          <w:sz w:val="22"/>
          <w:szCs w:val="22"/>
        </w:rPr>
        <w:t xml:space="preserve">. </w:t>
      </w:r>
      <w:r w:rsidR="00627098" w:rsidRPr="00CB7EF6">
        <w:rPr>
          <w:rFonts w:ascii="Calibri" w:hAnsi="Calibri" w:cs="Calibri"/>
          <w:sz w:val="22"/>
          <w:szCs w:val="22"/>
        </w:rPr>
        <w:t xml:space="preserve"> </w:t>
      </w:r>
    </w:p>
    <w:p w14:paraId="4C9FCEFE" w14:textId="526F001C" w:rsidR="006D359A" w:rsidRPr="00CB7EF6" w:rsidRDefault="007E190C" w:rsidP="006D359A">
      <w:pPr>
        <w:rPr>
          <w:rFonts w:ascii="Calibri" w:hAnsi="Calibri" w:cs="Calibri"/>
          <w:sz w:val="22"/>
          <w:szCs w:val="22"/>
        </w:rPr>
      </w:pPr>
      <w:r w:rsidRPr="00CB7EF6">
        <w:rPr>
          <w:rFonts w:ascii="Calibri" w:hAnsi="Calibri" w:cs="Calibri"/>
          <w:sz w:val="22"/>
          <w:szCs w:val="22"/>
        </w:rPr>
        <w:t>For cause of injury</w:t>
      </w:r>
      <w:r w:rsidR="00A260DE" w:rsidRPr="00CB7EF6">
        <w:rPr>
          <w:rFonts w:ascii="Calibri" w:hAnsi="Calibri" w:cs="Calibri"/>
          <w:sz w:val="22"/>
          <w:szCs w:val="22"/>
        </w:rPr>
        <w:t xml:space="preserve">, </w:t>
      </w:r>
      <w:r w:rsidRPr="00CB7EF6">
        <w:rPr>
          <w:rFonts w:ascii="Calibri" w:hAnsi="Calibri" w:cs="Calibri"/>
          <w:sz w:val="22"/>
          <w:szCs w:val="22"/>
        </w:rPr>
        <w:t>we coded the narrative text into the following categories</w:t>
      </w:r>
      <w:r w:rsidR="003C1090" w:rsidRPr="00CB7EF6">
        <w:rPr>
          <w:rFonts w:ascii="Calibri" w:hAnsi="Calibri" w:cs="Calibri"/>
          <w:sz w:val="22"/>
          <w:szCs w:val="22"/>
        </w:rPr>
        <w:t xml:space="preserve"> which aligned with the schema used in the ICD-10-CM</w:t>
      </w:r>
      <w:r w:rsidRPr="00CB7EF6">
        <w:rPr>
          <w:rFonts w:ascii="Calibri" w:hAnsi="Calibri" w:cs="Calibri"/>
          <w:sz w:val="22"/>
          <w:szCs w:val="22"/>
        </w:rPr>
        <w:t xml:space="preserve">: </w:t>
      </w:r>
    </w:p>
    <w:tbl>
      <w:tblPr>
        <w:tblW w:w="9535" w:type="dxa"/>
        <w:tblLook w:val="04A0" w:firstRow="1" w:lastRow="0" w:firstColumn="1" w:lastColumn="0" w:noHBand="0" w:noVBand="1"/>
      </w:tblPr>
      <w:tblGrid>
        <w:gridCol w:w="3505"/>
        <w:gridCol w:w="6030"/>
      </w:tblGrid>
      <w:tr w:rsidR="00130248" w:rsidRPr="00644B9B" w14:paraId="758E5569" w14:textId="77777777" w:rsidTr="00331840">
        <w:trPr>
          <w:trHeight w:val="276"/>
        </w:trPr>
        <w:tc>
          <w:tcPr>
            <w:tcW w:w="350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A72D3" w14:textId="77777777" w:rsidR="00644B9B" w:rsidRPr="00644B9B" w:rsidRDefault="00644B9B" w:rsidP="00644B9B">
            <w:pPr>
              <w:spacing w:after="0" w:line="240" w:lineRule="auto"/>
              <w:rPr>
                <w:rFonts w:ascii="Calibri" w:eastAsia="Times New Roman" w:hAnsi="Calibri" w:cs="Calibri"/>
                <w:b/>
                <w:bCs/>
                <w:color w:val="000000"/>
                <w:kern w:val="0"/>
                <w:sz w:val="20"/>
                <w:szCs w:val="20"/>
                <w14:ligatures w14:val="none"/>
              </w:rPr>
            </w:pPr>
            <w:r w:rsidRPr="00644B9B">
              <w:rPr>
                <w:rFonts w:ascii="Calibri" w:eastAsia="Times New Roman" w:hAnsi="Calibri" w:cs="Calibri"/>
                <w:b/>
                <w:bCs/>
                <w:color w:val="000000"/>
                <w:kern w:val="0"/>
                <w:sz w:val="20"/>
                <w:szCs w:val="20"/>
                <w14:ligatures w14:val="none"/>
              </w:rPr>
              <w:t>Cause of Injury Description</w:t>
            </w:r>
          </w:p>
        </w:tc>
        <w:tc>
          <w:tcPr>
            <w:tcW w:w="6030" w:type="dxa"/>
            <w:tcBorders>
              <w:top w:val="single" w:sz="4" w:space="0" w:color="auto"/>
              <w:left w:val="nil"/>
              <w:bottom w:val="single" w:sz="4" w:space="0" w:color="auto"/>
              <w:right w:val="single" w:sz="4" w:space="0" w:color="auto"/>
            </w:tcBorders>
            <w:shd w:val="clear" w:color="auto" w:fill="auto"/>
            <w:vAlign w:val="bottom"/>
            <w:hideMark/>
          </w:tcPr>
          <w:p w14:paraId="5AE3F080" w14:textId="77777777" w:rsidR="00644B9B" w:rsidRPr="00644B9B" w:rsidRDefault="00644B9B" w:rsidP="00644B9B">
            <w:pPr>
              <w:spacing w:after="0" w:line="240" w:lineRule="auto"/>
              <w:rPr>
                <w:rFonts w:ascii="Calibri" w:eastAsia="Times New Roman" w:hAnsi="Calibri" w:cs="Calibri"/>
                <w:b/>
                <w:bCs/>
                <w:color w:val="000000"/>
                <w:kern w:val="0"/>
                <w:sz w:val="20"/>
                <w:szCs w:val="20"/>
                <w14:ligatures w14:val="none"/>
              </w:rPr>
            </w:pPr>
            <w:r w:rsidRPr="00644B9B">
              <w:rPr>
                <w:rFonts w:ascii="Calibri" w:eastAsia="Times New Roman" w:hAnsi="Calibri" w:cs="Calibri"/>
                <w:b/>
                <w:bCs/>
                <w:color w:val="000000"/>
                <w:kern w:val="0"/>
                <w:sz w:val="20"/>
                <w:szCs w:val="20"/>
                <w14:ligatures w14:val="none"/>
              </w:rPr>
              <w:t>Related ICD-10-CM Codes</w:t>
            </w:r>
          </w:p>
        </w:tc>
      </w:tr>
      <w:tr w:rsidR="00130248" w:rsidRPr="00644B9B" w14:paraId="415C9BCA"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706F8119"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Falls - Slips, trips, at level, one level to another</w:t>
            </w:r>
          </w:p>
        </w:tc>
        <w:tc>
          <w:tcPr>
            <w:tcW w:w="6030" w:type="dxa"/>
            <w:tcBorders>
              <w:top w:val="nil"/>
              <w:left w:val="nil"/>
              <w:bottom w:val="single" w:sz="4" w:space="0" w:color="auto"/>
              <w:right w:val="single" w:sz="4" w:space="0" w:color="auto"/>
            </w:tcBorders>
            <w:shd w:val="clear" w:color="auto" w:fill="auto"/>
            <w:vAlign w:val="bottom"/>
            <w:hideMark/>
          </w:tcPr>
          <w:p w14:paraId="00B881EA" w14:textId="11464C3B"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W00, W01, W03, W04, W05, W06, W07, W08, W09, W10, W11, W12, W13, W14, W15, W16, W17, W18, W19, Y30</w:t>
            </w:r>
          </w:p>
        </w:tc>
      </w:tr>
      <w:tr w:rsidR="00130248" w:rsidRPr="00644B9B" w14:paraId="6B693FD3"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18D16D8D"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lastRenderedPageBreak/>
              <w:t>Struck by or against or Caught, crushed, jammed or pinched in or between objects</w:t>
            </w:r>
          </w:p>
        </w:tc>
        <w:tc>
          <w:tcPr>
            <w:tcW w:w="6030" w:type="dxa"/>
            <w:tcBorders>
              <w:top w:val="nil"/>
              <w:left w:val="nil"/>
              <w:bottom w:val="single" w:sz="4" w:space="0" w:color="auto"/>
              <w:right w:val="single" w:sz="4" w:space="0" w:color="auto"/>
            </w:tcBorders>
            <w:shd w:val="clear" w:color="auto" w:fill="auto"/>
            <w:vAlign w:val="bottom"/>
            <w:hideMark/>
          </w:tcPr>
          <w:p w14:paraId="35647F02" w14:textId="6198E76F"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W20, W21, W22</w:t>
            </w:r>
            <w:r w:rsidR="00F249E3">
              <w:rPr>
                <w:rFonts w:ascii="Calibri" w:eastAsia="Times New Roman" w:hAnsi="Calibri" w:cs="Calibri"/>
                <w:color w:val="000000"/>
                <w:kern w:val="0"/>
                <w:sz w:val="20"/>
                <w:szCs w:val="20"/>
                <w14:ligatures w14:val="none"/>
              </w:rPr>
              <w:t>.0</w:t>
            </w:r>
            <w:r w:rsidRPr="00644B9B">
              <w:rPr>
                <w:rFonts w:ascii="Calibri" w:eastAsia="Times New Roman" w:hAnsi="Calibri" w:cs="Calibri"/>
                <w:color w:val="000000"/>
                <w:kern w:val="0"/>
                <w:sz w:val="20"/>
                <w:szCs w:val="20"/>
                <w14:ligatures w14:val="none"/>
              </w:rPr>
              <w:t xml:space="preserve">, </w:t>
            </w:r>
            <w:r w:rsidR="00F249E3" w:rsidRPr="00644B9B">
              <w:rPr>
                <w:rFonts w:ascii="Calibri" w:eastAsia="Times New Roman" w:hAnsi="Calibri" w:cs="Calibri"/>
                <w:color w:val="000000"/>
                <w:kern w:val="0"/>
                <w:sz w:val="20"/>
                <w:szCs w:val="20"/>
                <w14:ligatures w14:val="none"/>
              </w:rPr>
              <w:t>W22</w:t>
            </w:r>
            <w:r w:rsidR="00F249E3">
              <w:rPr>
                <w:rFonts w:ascii="Calibri" w:eastAsia="Times New Roman" w:hAnsi="Calibri" w:cs="Calibri"/>
                <w:color w:val="000000"/>
                <w:kern w:val="0"/>
                <w:sz w:val="20"/>
                <w:szCs w:val="20"/>
                <w14:ligatures w14:val="none"/>
              </w:rPr>
              <w:t>.8</w:t>
            </w:r>
            <w:r w:rsidR="00F249E3" w:rsidRPr="00644B9B">
              <w:rPr>
                <w:rFonts w:ascii="Calibri" w:eastAsia="Times New Roman" w:hAnsi="Calibri" w:cs="Calibri"/>
                <w:color w:val="000000"/>
                <w:kern w:val="0"/>
                <w:sz w:val="20"/>
                <w:szCs w:val="20"/>
                <w14:ligatures w14:val="none"/>
              </w:rPr>
              <w:t xml:space="preserve">, </w:t>
            </w:r>
            <w:r w:rsidRPr="00644B9B">
              <w:rPr>
                <w:rFonts w:ascii="Calibri" w:eastAsia="Times New Roman" w:hAnsi="Calibri" w:cs="Calibri"/>
                <w:color w:val="000000"/>
                <w:kern w:val="0"/>
                <w:sz w:val="20"/>
                <w:szCs w:val="20"/>
                <w14:ligatures w14:val="none"/>
              </w:rPr>
              <w:t>W23, W50, W51, W52, Y31</w:t>
            </w:r>
          </w:p>
        </w:tc>
      </w:tr>
      <w:tr w:rsidR="00130248" w:rsidRPr="00644B9B" w14:paraId="72773912"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3FC26229"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Machinery</w:t>
            </w:r>
          </w:p>
        </w:tc>
        <w:tc>
          <w:tcPr>
            <w:tcW w:w="6030" w:type="dxa"/>
            <w:tcBorders>
              <w:top w:val="nil"/>
              <w:left w:val="nil"/>
              <w:bottom w:val="single" w:sz="4" w:space="0" w:color="auto"/>
              <w:right w:val="single" w:sz="4" w:space="0" w:color="auto"/>
            </w:tcBorders>
            <w:shd w:val="clear" w:color="auto" w:fill="auto"/>
            <w:vAlign w:val="bottom"/>
            <w:hideMark/>
          </w:tcPr>
          <w:p w14:paraId="1F3C96F0" w14:textId="012AB652"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W24, W28, W29,  W30, W31</w:t>
            </w:r>
          </w:p>
        </w:tc>
      </w:tr>
      <w:tr w:rsidR="00D012C3" w:rsidRPr="00644B9B" w14:paraId="325E1480" w14:textId="77777777" w:rsidTr="00331840">
        <w:trPr>
          <w:trHeight w:val="828"/>
        </w:trPr>
        <w:tc>
          <w:tcPr>
            <w:tcW w:w="3505" w:type="dxa"/>
            <w:tcBorders>
              <w:top w:val="nil"/>
              <w:left w:val="single" w:sz="4" w:space="0" w:color="auto"/>
              <w:bottom w:val="single" w:sz="4" w:space="0" w:color="auto"/>
              <w:right w:val="single" w:sz="4" w:space="0" w:color="auto"/>
            </w:tcBorders>
            <w:shd w:val="clear" w:color="auto" w:fill="auto"/>
            <w:vAlign w:val="bottom"/>
          </w:tcPr>
          <w:p w14:paraId="243B1D8C" w14:textId="1FBF690C" w:rsidR="00D012C3" w:rsidRPr="00644B9B" w:rsidRDefault="00D012C3" w:rsidP="00D012C3">
            <w:pPr>
              <w:spacing w:after="0" w:line="240" w:lineRule="auto"/>
              <w:rPr>
                <w:rFonts w:ascii="Calibri" w:eastAsia="Times New Roman" w:hAnsi="Calibri" w:cs="Calibri"/>
                <w:color w:val="000000"/>
                <w:kern w:val="0"/>
                <w:sz w:val="20"/>
                <w:szCs w:val="20"/>
                <w14:ligatures w14:val="none"/>
              </w:rPr>
            </w:pPr>
            <w:r>
              <w:rPr>
                <w:rFonts w:ascii="Calibri" w:hAnsi="Calibri" w:cs="Calibri"/>
                <w:color w:val="000000"/>
                <w:sz w:val="20"/>
                <w:szCs w:val="20"/>
              </w:rPr>
              <w:t>Motor vehicle collisions on public roadways that occurred on construction sites or work zones</w:t>
            </w:r>
          </w:p>
        </w:tc>
        <w:tc>
          <w:tcPr>
            <w:tcW w:w="6030" w:type="dxa"/>
            <w:tcBorders>
              <w:top w:val="nil"/>
              <w:left w:val="nil"/>
              <w:bottom w:val="single" w:sz="4" w:space="0" w:color="auto"/>
              <w:right w:val="single" w:sz="4" w:space="0" w:color="auto"/>
            </w:tcBorders>
            <w:shd w:val="clear" w:color="auto" w:fill="auto"/>
            <w:vAlign w:val="bottom"/>
          </w:tcPr>
          <w:p w14:paraId="0AE94739" w14:textId="481E9150" w:rsidR="00D012C3" w:rsidRPr="00644B9B" w:rsidRDefault="00D012C3" w:rsidP="00D012C3">
            <w:pPr>
              <w:spacing w:after="0" w:line="240" w:lineRule="auto"/>
              <w:rPr>
                <w:rFonts w:ascii="Calibri" w:eastAsia="Times New Roman" w:hAnsi="Calibri" w:cs="Calibri"/>
                <w:color w:val="000000"/>
                <w:kern w:val="0"/>
                <w:sz w:val="20"/>
                <w:szCs w:val="20"/>
                <w14:ligatures w14:val="none"/>
              </w:rPr>
            </w:pPr>
            <w:r>
              <w:rPr>
                <w:rFonts w:ascii="Calibri" w:hAnsi="Calibri" w:cs="Calibri"/>
                <w:color w:val="000000"/>
                <w:sz w:val="20"/>
                <w:szCs w:val="20"/>
              </w:rPr>
              <w:t xml:space="preserve">Any V-Code </w:t>
            </w:r>
            <w:r w:rsidR="004E4852">
              <w:rPr>
                <w:rFonts w:ascii="Calibri" w:hAnsi="Calibri" w:cs="Calibri"/>
                <w:color w:val="000000"/>
                <w:sz w:val="20"/>
                <w:szCs w:val="20"/>
              </w:rPr>
              <w:t xml:space="preserve">not shown below </w:t>
            </w:r>
            <w:r>
              <w:rPr>
                <w:rFonts w:ascii="Calibri" w:hAnsi="Calibri" w:cs="Calibri"/>
                <w:color w:val="000000"/>
                <w:sz w:val="20"/>
                <w:szCs w:val="20"/>
              </w:rPr>
              <w:t>relating to motor vehicle collision on a public roadway with a corresponding Y92.6 place of injury code noting industrial and construction area as the place of occurrence of the external cause.  OSHA standard requires reporting of collisions occurring in a construction work zone.</w:t>
            </w:r>
          </w:p>
        </w:tc>
      </w:tr>
      <w:tr w:rsidR="00130248" w:rsidRPr="00644B9B" w14:paraId="78AF5332" w14:textId="77777777" w:rsidTr="00331840">
        <w:trPr>
          <w:trHeight w:val="828"/>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62D5571B"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Transportation incident - excluding motor vehicle collisions on public roadways and passengers on public transportation</w:t>
            </w:r>
          </w:p>
        </w:tc>
        <w:tc>
          <w:tcPr>
            <w:tcW w:w="6030" w:type="dxa"/>
            <w:tcBorders>
              <w:top w:val="nil"/>
              <w:left w:val="nil"/>
              <w:bottom w:val="single" w:sz="4" w:space="0" w:color="auto"/>
              <w:right w:val="single" w:sz="4" w:space="0" w:color="auto"/>
            </w:tcBorders>
            <w:shd w:val="clear" w:color="auto" w:fill="auto"/>
            <w:vAlign w:val="bottom"/>
            <w:hideMark/>
          </w:tcPr>
          <w:p w14:paraId="2D7B927B" w14:textId="6B313FEB"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 xml:space="preserve">V05, </w:t>
            </w:r>
            <w:r w:rsidR="003D2CC1" w:rsidRPr="00644B9B">
              <w:rPr>
                <w:rFonts w:ascii="Calibri" w:eastAsia="Times New Roman" w:hAnsi="Calibri" w:cs="Calibri"/>
                <w:color w:val="000000"/>
                <w:kern w:val="0"/>
                <w:sz w:val="20"/>
                <w:szCs w:val="20"/>
                <w14:ligatures w14:val="none"/>
              </w:rPr>
              <w:t xml:space="preserve">V06, </w:t>
            </w:r>
            <w:r w:rsidRPr="00644B9B">
              <w:rPr>
                <w:rFonts w:ascii="Calibri" w:eastAsia="Times New Roman" w:hAnsi="Calibri" w:cs="Calibri"/>
                <w:color w:val="000000"/>
                <w:kern w:val="0"/>
                <w:sz w:val="20"/>
                <w:szCs w:val="20"/>
                <w14:ligatures w14:val="none"/>
              </w:rPr>
              <w:t>V09</w:t>
            </w:r>
            <w:r w:rsidR="002C60D1">
              <w:rPr>
                <w:rFonts w:ascii="Calibri" w:eastAsia="Times New Roman" w:hAnsi="Calibri" w:cs="Calibri"/>
                <w:color w:val="000000"/>
                <w:kern w:val="0"/>
                <w:sz w:val="20"/>
                <w:szCs w:val="20"/>
                <w14:ligatures w14:val="none"/>
              </w:rPr>
              <w:t xml:space="preserve"> (exc. V09</w:t>
            </w:r>
            <w:r w:rsidR="000E60AB">
              <w:rPr>
                <w:rFonts w:ascii="Calibri" w:eastAsia="Times New Roman" w:hAnsi="Calibri" w:cs="Calibri"/>
                <w:color w:val="000000"/>
                <w:kern w:val="0"/>
                <w:sz w:val="20"/>
                <w:szCs w:val="20"/>
                <w14:ligatures w14:val="none"/>
              </w:rPr>
              <w:t>.</w:t>
            </w:r>
            <w:r w:rsidR="002C60D1">
              <w:rPr>
                <w:rFonts w:ascii="Calibri" w:eastAsia="Times New Roman" w:hAnsi="Calibri" w:cs="Calibri"/>
                <w:color w:val="000000"/>
                <w:kern w:val="0"/>
                <w:sz w:val="20"/>
                <w:szCs w:val="20"/>
                <w14:ligatures w14:val="none"/>
              </w:rPr>
              <w:t>3)</w:t>
            </w:r>
            <w:r w:rsidRPr="00644B9B">
              <w:rPr>
                <w:rFonts w:ascii="Calibri" w:eastAsia="Times New Roman" w:hAnsi="Calibri" w:cs="Calibri"/>
                <w:color w:val="000000"/>
                <w:kern w:val="0"/>
                <w:sz w:val="20"/>
                <w:szCs w:val="20"/>
                <w14:ligatures w14:val="none"/>
              </w:rPr>
              <w:t>, V80, V83, V84, V85, V86, V87, V88, V89, V90, V91, V92, V93, V94, V98, V99</w:t>
            </w:r>
          </w:p>
        </w:tc>
      </w:tr>
      <w:tr w:rsidR="00130248" w:rsidRPr="00644B9B" w14:paraId="143639FE"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79178F2F"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Cut or Piercing Instrument</w:t>
            </w:r>
          </w:p>
        </w:tc>
        <w:tc>
          <w:tcPr>
            <w:tcW w:w="6030" w:type="dxa"/>
            <w:tcBorders>
              <w:top w:val="nil"/>
              <w:left w:val="nil"/>
              <w:bottom w:val="single" w:sz="4" w:space="0" w:color="auto"/>
              <w:right w:val="single" w:sz="4" w:space="0" w:color="auto"/>
            </w:tcBorders>
            <w:shd w:val="clear" w:color="auto" w:fill="auto"/>
            <w:vAlign w:val="bottom"/>
            <w:hideMark/>
          </w:tcPr>
          <w:p w14:paraId="17DCFF2E" w14:textId="15C63D6A"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W25, W26, W45, W46</w:t>
            </w:r>
            <w:r w:rsidR="00DC3FA3">
              <w:rPr>
                <w:rFonts w:ascii="Calibri" w:eastAsia="Times New Roman" w:hAnsi="Calibri" w:cs="Calibri"/>
                <w:color w:val="000000"/>
                <w:kern w:val="0"/>
                <w:sz w:val="20"/>
                <w:szCs w:val="20"/>
                <w14:ligatures w14:val="none"/>
              </w:rPr>
              <w:t>,</w:t>
            </w:r>
            <w:r w:rsidRPr="00644B9B">
              <w:rPr>
                <w:rFonts w:ascii="Calibri" w:eastAsia="Times New Roman" w:hAnsi="Calibri" w:cs="Calibri"/>
                <w:color w:val="000000"/>
                <w:kern w:val="0"/>
                <w:sz w:val="20"/>
                <w:szCs w:val="20"/>
                <w14:ligatures w14:val="none"/>
              </w:rPr>
              <w:t xml:space="preserve"> </w:t>
            </w:r>
            <w:r w:rsidR="00DC3FA3" w:rsidRPr="00644B9B">
              <w:rPr>
                <w:rFonts w:ascii="Calibri" w:eastAsia="Times New Roman" w:hAnsi="Calibri" w:cs="Calibri"/>
                <w:color w:val="000000"/>
                <w:kern w:val="0"/>
                <w:sz w:val="20"/>
                <w:szCs w:val="20"/>
                <w14:ligatures w14:val="none"/>
              </w:rPr>
              <w:t>Y28</w:t>
            </w:r>
          </w:p>
        </w:tc>
      </w:tr>
      <w:tr w:rsidR="00130248" w:rsidRPr="009215B3" w14:paraId="6D44E05E" w14:textId="77777777" w:rsidTr="00331840">
        <w:trPr>
          <w:trHeight w:val="1380"/>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7F5B742D"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Poisoning or Toxic Effects</w:t>
            </w:r>
          </w:p>
        </w:tc>
        <w:tc>
          <w:tcPr>
            <w:tcW w:w="6030" w:type="dxa"/>
            <w:tcBorders>
              <w:top w:val="nil"/>
              <w:left w:val="nil"/>
              <w:bottom w:val="single" w:sz="4" w:space="0" w:color="auto"/>
              <w:right w:val="single" w:sz="4" w:space="0" w:color="auto"/>
            </w:tcBorders>
            <w:shd w:val="clear" w:color="auto" w:fill="auto"/>
            <w:vAlign w:val="bottom"/>
            <w:hideMark/>
          </w:tcPr>
          <w:p w14:paraId="7284D74F" w14:textId="1A40F557" w:rsidR="00644B9B" w:rsidRPr="009215B3" w:rsidRDefault="00644B9B" w:rsidP="00644B9B">
            <w:pPr>
              <w:spacing w:after="0" w:line="240" w:lineRule="auto"/>
              <w:rPr>
                <w:rFonts w:ascii="Calibri" w:eastAsia="Times New Roman" w:hAnsi="Calibri" w:cs="Calibri"/>
                <w:color w:val="000000"/>
                <w:kern w:val="0"/>
                <w:sz w:val="20"/>
                <w:szCs w:val="20"/>
                <w:lang w:val="fr-FR"/>
                <w14:ligatures w14:val="none"/>
              </w:rPr>
            </w:pPr>
            <w:r w:rsidRPr="009215B3">
              <w:rPr>
                <w:rFonts w:ascii="Calibri" w:eastAsia="Times New Roman" w:hAnsi="Calibri" w:cs="Calibri"/>
                <w:color w:val="000000"/>
                <w:kern w:val="0"/>
                <w:sz w:val="20"/>
                <w:szCs w:val="20"/>
                <w:lang w:val="fr-FR"/>
                <w14:ligatures w14:val="none"/>
              </w:rPr>
              <w:t xml:space="preserve">T36, T37, T38, T39,T40, T41, T42, T43, T44, T45, T46, T47, T48, T49, T50, T51, T52, T53, T54, T55, T56, T57, T59,T60, T61, T62, T63, T64, T65, </w:t>
            </w:r>
            <w:r w:rsidR="00F11E5D" w:rsidRPr="009215B3">
              <w:rPr>
                <w:rFonts w:ascii="Calibri" w:eastAsia="Times New Roman" w:hAnsi="Calibri" w:cs="Calibri"/>
                <w:color w:val="000000"/>
                <w:kern w:val="0"/>
                <w:sz w:val="20"/>
                <w:szCs w:val="20"/>
                <w:lang w:val="fr-FR"/>
                <w14:ligatures w14:val="none"/>
              </w:rPr>
              <w:t xml:space="preserve">X40, X41, X42, X43, X44, X45, X46, X47, X48, X49, Y10, Y11, Y12, Y13, Y14, Y15, </w:t>
            </w:r>
            <w:r w:rsidRPr="009215B3">
              <w:rPr>
                <w:rFonts w:ascii="Calibri" w:eastAsia="Times New Roman" w:hAnsi="Calibri" w:cs="Calibri"/>
                <w:color w:val="000000"/>
                <w:kern w:val="0"/>
                <w:sz w:val="20"/>
                <w:szCs w:val="20"/>
                <w:lang w:val="fr-FR"/>
                <w14:ligatures w14:val="none"/>
              </w:rPr>
              <w:t>Y16, Y17, Y18, Y19, Y40, Y41, Y42, Y43, Y44, Y45, Y46, Y47, Y48, Y49, Y50, Y51, Y52, Y53, Y54, Y55, Y56, Y57, Y58, Y59</w:t>
            </w:r>
          </w:p>
        </w:tc>
      </w:tr>
      <w:tr w:rsidR="00130248" w:rsidRPr="009215B3" w14:paraId="756F676C"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06605AEE"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Heat Sources</w:t>
            </w:r>
          </w:p>
        </w:tc>
        <w:tc>
          <w:tcPr>
            <w:tcW w:w="6030" w:type="dxa"/>
            <w:tcBorders>
              <w:top w:val="nil"/>
              <w:left w:val="nil"/>
              <w:bottom w:val="single" w:sz="4" w:space="0" w:color="auto"/>
              <w:right w:val="single" w:sz="4" w:space="0" w:color="auto"/>
            </w:tcBorders>
            <w:shd w:val="clear" w:color="auto" w:fill="auto"/>
            <w:vAlign w:val="bottom"/>
            <w:hideMark/>
          </w:tcPr>
          <w:p w14:paraId="398D1BC7" w14:textId="511C4084" w:rsidR="00644B9B" w:rsidRPr="009215B3" w:rsidRDefault="00644B9B" w:rsidP="00644B9B">
            <w:pPr>
              <w:spacing w:after="0" w:line="240" w:lineRule="auto"/>
              <w:rPr>
                <w:rFonts w:ascii="Calibri" w:eastAsia="Times New Roman" w:hAnsi="Calibri" w:cs="Calibri"/>
                <w:color w:val="000000"/>
                <w:kern w:val="0"/>
                <w:sz w:val="20"/>
                <w:szCs w:val="20"/>
                <w:lang w:val="es-ES"/>
                <w14:ligatures w14:val="none"/>
              </w:rPr>
            </w:pPr>
            <w:r w:rsidRPr="009215B3">
              <w:rPr>
                <w:rFonts w:ascii="Calibri" w:eastAsia="Times New Roman" w:hAnsi="Calibri" w:cs="Calibri"/>
                <w:color w:val="000000"/>
                <w:kern w:val="0"/>
                <w:sz w:val="20"/>
                <w:szCs w:val="20"/>
                <w:lang w:val="es-ES"/>
                <w14:ligatures w14:val="none"/>
              </w:rPr>
              <w:t>X00, X01, X02, X03, X04, X05, X06, X07, X08, X09, X10, X11, X12, X13, X14, X15, X16, X17, X18, X19, X20, Y26, Y27</w:t>
            </w:r>
          </w:p>
        </w:tc>
      </w:tr>
      <w:tr w:rsidR="00130248" w:rsidRPr="00644B9B" w14:paraId="6B2FADCE"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4DDF9B09"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Animals - contact with or bitten</w:t>
            </w:r>
          </w:p>
        </w:tc>
        <w:tc>
          <w:tcPr>
            <w:tcW w:w="6030" w:type="dxa"/>
            <w:tcBorders>
              <w:top w:val="nil"/>
              <w:left w:val="nil"/>
              <w:bottom w:val="single" w:sz="4" w:space="0" w:color="auto"/>
              <w:right w:val="single" w:sz="4" w:space="0" w:color="auto"/>
            </w:tcBorders>
            <w:shd w:val="clear" w:color="auto" w:fill="auto"/>
            <w:vAlign w:val="bottom"/>
            <w:hideMark/>
          </w:tcPr>
          <w:p w14:paraId="164B8B67" w14:textId="71F9932D"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W53, W54, W55, W56, W57, W58, W59, W61, W62, W64, X20, X21, X22, X23, X24, X25, X26, X27, X28, X29</w:t>
            </w:r>
          </w:p>
        </w:tc>
      </w:tr>
      <w:tr w:rsidR="00130248" w:rsidRPr="009215B3" w14:paraId="5CBDFD2F"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1F2BAB4E"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Assault or homicide (inc. firearms)</w:t>
            </w:r>
          </w:p>
        </w:tc>
        <w:tc>
          <w:tcPr>
            <w:tcW w:w="6030" w:type="dxa"/>
            <w:tcBorders>
              <w:top w:val="nil"/>
              <w:left w:val="nil"/>
              <w:bottom w:val="single" w:sz="4" w:space="0" w:color="auto"/>
              <w:right w:val="single" w:sz="4" w:space="0" w:color="auto"/>
            </w:tcBorders>
            <w:shd w:val="clear" w:color="auto" w:fill="auto"/>
            <w:vAlign w:val="bottom"/>
            <w:hideMark/>
          </w:tcPr>
          <w:p w14:paraId="69577F5D" w14:textId="69D89645" w:rsidR="00644B9B" w:rsidRPr="009215B3" w:rsidRDefault="00644B9B" w:rsidP="00644B9B">
            <w:pPr>
              <w:spacing w:after="0" w:line="240" w:lineRule="auto"/>
              <w:rPr>
                <w:rFonts w:ascii="Calibri" w:eastAsia="Times New Roman" w:hAnsi="Calibri" w:cs="Calibri"/>
                <w:color w:val="000000"/>
                <w:kern w:val="0"/>
                <w:sz w:val="20"/>
                <w:szCs w:val="20"/>
                <w:lang w:val="es-ES"/>
                <w14:ligatures w14:val="none"/>
              </w:rPr>
            </w:pPr>
            <w:r w:rsidRPr="009215B3">
              <w:rPr>
                <w:rFonts w:ascii="Calibri" w:eastAsia="Times New Roman" w:hAnsi="Calibri" w:cs="Calibri"/>
                <w:color w:val="000000"/>
                <w:kern w:val="0"/>
                <w:sz w:val="20"/>
                <w:szCs w:val="20"/>
                <w:lang w:val="es-ES"/>
                <w14:ligatures w14:val="none"/>
              </w:rPr>
              <w:t>X85, X86, X87, X88, X89, X90, X91, X92, X93, X94, X95, X96, X97, X98, X99,</w:t>
            </w:r>
            <w:r w:rsidR="00BE2779" w:rsidRPr="009215B3">
              <w:rPr>
                <w:rFonts w:ascii="Calibri" w:eastAsia="Times New Roman" w:hAnsi="Calibri" w:cs="Calibri"/>
                <w:color w:val="000000"/>
                <w:kern w:val="0"/>
                <w:sz w:val="20"/>
                <w:szCs w:val="20"/>
                <w:lang w:val="es-ES"/>
                <w14:ligatures w14:val="none"/>
              </w:rPr>
              <w:t xml:space="preserve"> </w:t>
            </w:r>
            <w:r w:rsidRPr="009215B3">
              <w:rPr>
                <w:rFonts w:ascii="Calibri" w:eastAsia="Times New Roman" w:hAnsi="Calibri" w:cs="Calibri"/>
                <w:color w:val="000000"/>
                <w:kern w:val="0"/>
                <w:sz w:val="20"/>
                <w:szCs w:val="20"/>
                <w:lang w:val="es-ES"/>
                <w14:ligatures w14:val="none"/>
              </w:rPr>
              <w:t>Y00, Y01, Y02, Y03, Y04, Y07, Y08, Y09</w:t>
            </w:r>
          </w:p>
        </w:tc>
      </w:tr>
      <w:tr w:rsidR="00130248" w:rsidRPr="00644B9B" w14:paraId="678117AF"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7FA6CB36"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Asphyxiation, Drowning, Suffocation</w:t>
            </w:r>
          </w:p>
        </w:tc>
        <w:tc>
          <w:tcPr>
            <w:tcW w:w="6030" w:type="dxa"/>
            <w:tcBorders>
              <w:top w:val="nil"/>
              <w:left w:val="nil"/>
              <w:bottom w:val="single" w:sz="4" w:space="0" w:color="auto"/>
              <w:right w:val="single" w:sz="4" w:space="0" w:color="auto"/>
            </w:tcBorders>
            <w:shd w:val="clear" w:color="auto" w:fill="auto"/>
            <w:vAlign w:val="bottom"/>
            <w:hideMark/>
          </w:tcPr>
          <w:p w14:paraId="3CCEE056" w14:textId="7E92212F"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 xml:space="preserve">W65, W67, W69, W73, W74, W75, W76, W77, W78, W79,W80, W81, W82, W83, W84, </w:t>
            </w:r>
            <w:r w:rsidR="00BE2779" w:rsidRPr="00644B9B">
              <w:rPr>
                <w:rFonts w:ascii="Calibri" w:eastAsia="Times New Roman" w:hAnsi="Calibri" w:cs="Calibri"/>
                <w:color w:val="000000"/>
                <w:kern w:val="0"/>
                <w:sz w:val="20"/>
                <w:szCs w:val="20"/>
                <w14:ligatures w14:val="none"/>
              </w:rPr>
              <w:t>Y21,</w:t>
            </w:r>
            <w:r w:rsidR="006358CC">
              <w:rPr>
                <w:rFonts w:ascii="Calibri" w:eastAsia="Times New Roman" w:hAnsi="Calibri" w:cs="Calibri"/>
                <w:color w:val="000000"/>
                <w:kern w:val="0"/>
                <w:sz w:val="20"/>
                <w:szCs w:val="20"/>
                <w14:ligatures w14:val="none"/>
              </w:rPr>
              <w:t xml:space="preserve"> T17,</w:t>
            </w:r>
            <w:r w:rsidR="00BE2779" w:rsidRPr="00644B9B">
              <w:rPr>
                <w:rFonts w:ascii="Calibri" w:eastAsia="Times New Roman" w:hAnsi="Calibri" w:cs="Calibri"/>
                <w:color w:val="000000"/>
                <w:kern w:val="0"/>
                <w:sz w:val="20"/>
                <w:szCs w:val="20"/>
                <w14:ligatures w14:val="none"/>
              </w:rPr>
              <w:t xml:space="preserve"> T58</w:t>
            </w:r>
            <w:r w:rsidR="00BE2779">
              <w:rPr>
                <w:rFonts w:ascii="Calibri" w:eastAsia="Times New Roman" w:hAnsi="Calibri" w:cs="Calibri"/>
                <w:color w:val="000000"/>
                <w:kern w:val="0"/>
                <w:sz w:val="20"/>
                <w:szCs w:val="20"/>
                <w14:ligatures w14:val="none"/>
              </w:rPr>
              <w:t xml:space="preserve">, </w:t>
            </w:r>
            <w:r w:rsidRPr="00644B9B">
              <w:rPr>
                <w:rFonts w:ascii="Calibri" w:eastAsia="Times New Roman" w:hAnsi="Calibri" w:cs="Calibri"/>
                <w:color w:val="000000"/>
                <w:kern w:val="0"/>
                <w:sz w:val="20"/>
                <w:szCs w:val="20"/>
                <w14:ligatures w14:val="none"/>
              </w:rPr>
              <w:t xml:space="preserve">T71, </w:t>
            </w:r>
            <w:r w:rsidR="00BE2779" w:rsidRPr="00644B9B">
              <w:rPr>
                <w:rFonts w:ascii="Calibri" w:eastAsia="Times New Roman" w:hAnsi="Calibri" w:cs="Calibri"/>
                <w:color w:val="000000"/>
                <w:kern w:val="0"/>
                <w:sz w:val="20"/>
                <w:szCs w:val="20"/>
                <w14:ligatures w14:val="none"/>
              </w:rPr>
              <w:t>R09</w:t>
            </w:r>
            <w:r w:rsidR="000E60AB">
              <w:rPr>
                <w:rFonts w:ascii="Calibri" w:eastAsia="Times New Roman" w:hAnsi="Calibri" w:cs="Calibri"/>
                <w:color w:val="000000"/>
                <w:kern w:val="0"/>
                <w:sz w:val="20"/>
                <w:szCs w:val="20"/>
                <w14:ligatures w14:val="none"/>
              </w:rPr>
              <w:t>.</w:t>
            </w:r>
            <w:r w:rsidR="00BE2779" w:rsidRPr="00644B9B">
              <w:rPr>
                <w:rFonts w:ascii="Calibri" w:eastAsia="Times New Roman" w:hAnsi="Calibri" w:cs="Calibri"/>
                <w:color w:val="000000"/>
                <w:kern w:val="0"/>
                <w:sz w:val="20"/>
                <w:szCs w:val="20"/>
                <w14:ligatures w14:val="none"/>
              </w:rPr>
              <w:t>0</w:t>
            </w:r>
          </w:p>
        </w:tc>
      </w:tr>
      <w:tr w:rsidR="00130248" w:rsidRPr="00644B9B" w14:paraId="4143A669"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5E76899C"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Contact with non-powered hand tool</w:t>
            </w:r>
          </w:p>
        </w:tc>
        <w:tc>
          <w:tcPr>
            <w:tcW w:w="6030" w:type="dxa"/>
            <w:tcBorders>
              <w:top w:val="nil"/>
              <w:left w:val="nil"/>
              <w:bottom w:val="single" w:sz="4" w:space="0" w:color="auto"/>
              <w:right w:val="single" w:sz="4" w:space="0" w:color="auto"/>
            </w:tcBorders>
            <w:shd w:val="clear" w:color="auto" w:fill="auto"/>
            <w:vAlign w:val="bottom"/>
            <w:hideMark/>
          </w:tcPr>
          <w:p w14:paraId="048A1B3D" w14:textId="1CF3152B"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W27</w:t>
            </w:r>
          </w:p>
        </w:tc>
      </w:tr>
      <w:tr w:rsidR="00130248" w:rsidRPr="00644B9B" w14:paraId="6922E42C"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5B53ED46"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Electric Current</w:t>
            </w:r>
          </w:p>
        </w:tc>
        <w:tc>
          <w:tcPr>
            <w:tcW w:w="6030" w:type="dxa"/>
            <w:tcBorders>
              <w:top w:val="nil"/>
              <w:left w:val="nil"/>
              <w:bottom w:val="single" w:sz="4" w:space="0" w:color="auto"/>
              <w:right w:val="single" w:sz="4" w:space="0" w:color="auto"/>
            </w:tcBorders>
            <w:shd w:val="clear" w:color="auto" w:fill="auto"/>
            <w:vAlign w:val="bottom"/>
            <w:hideMark/>
          </w:tcPr>
          <w:p w14:paraId="3DC27C2F" w14:textId="0BC469C5"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W85, W86, T754</w:t>
            </w:r>
          </w:p>
        </w:tc>
      </w:tr>
      <w:tr w:rsidR="00130248" w:rsidRPr="00644B9B" w14:paraId="08437DC7"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7A9868A9"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 xml:space="preserve">Ergonomic and motion related hazards </w:t>
            </w:r>
          </w:p>
        </w:tc>
        <w:tc>
          <w:tcPr>
            <w:tcW w:w="6030" w:type="dxa"/>
            <w:tcBorders>
              <w:top w:val="nil"/>
              <w:left w:val="nil"/>
              <w:bottom w:val="single" w:sz="4" w:space="0" w:color="auto"/>
              <w:right w:val="single" w:sz="4" w:space="0" w:color="auto"/>
            </w:tcBorders>
            <w:shd w:val="clear" w:color="auto" w:fill="auto"/>
            <w:vAlign w:val="bottom"/>
            <w:hideMark/>
          </w:tcPr>
          <w:p w14:paraId="43F42530"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X50</w:t>
            </w:r>
          </w:p>
        </w:tc>
      </w:tr>
      <w:tr w:rsidR="00130248" w:rsidRPr="00644B9B" w14:paraId="3D11650B"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203CFEE1"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Accidental explosion high pressure or explosive materials</w:t>
            </w:r>
          </w:p>
        </w:tc>
        <w:tc>
          <w:tcPr>
            <w:tcW w:w="6030" w:type="dxa"/>
            <w:tcBorders>
              <w:top w:val="nil"/>
              <w:left w:val="nil"/>
              <w:bottom w:val="single" w:sz="4" w:space="0" w:color="auto"/>
              <w:right w:val="single" w:sz="4" w:space="0" w:color="auto"/>
            </w:tcBorders>
            <w:shd w:val="clear" w:color="auto" w:fill="auto"/>
            <w:vAlign w:val="bottom"/>
            <w:hideMark/>
          </w:tcPr>
          <w:p w14:paraId="5F0AD16E" w14:textId="5143C078"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W35, W36, W37, W38, W39,</w:t>
            </w:r>
            <w:r w:rsidR="000E60AB">
              <w:rPr>
                <w:rFonts w:ascii="Calibri" w:eastAsia="Times New Roman" w:hAnsi="Calibri" w:cs="Calibri"/>
                <w:color w:val="000000"/>
                <w:kern w:val="0"/>
                <w:sz w:val="20"/>
                <w:szCs w:val="20"/>
                <w14:ligatures w14:val="none"/>
              </w:rPr>
              <w:t xml:space="preserve"> </w:t>
            </w:r>
            <w:r w:rsidRPr="00644B9B">
              <w:rPr>
                <w:rFonts w:ascii="Calibri" w:eastAsia="Times New Roman" w:hAnsi="Calibri" w:cs="Calibri"/>
                <w:color w:val="000000"/>
                <w:kern w:val="0"/>
                <w:sz w:val="20"/>
                <w:szCs w:val="20"/>
                <w14:ligatures w14:val="none"/>
              </w:rPr>
              <w:t>W40, Y25</w:t>
            </w:r>
          </w:p>
        </w:tc>
      </w:tr>
      <w:tr w:rsidR="00130248" w:rsidRPr="00644B9B" w14:paraId="11E5DE45"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5F5E290A"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Firearm - Accidental and undetermined intent</w:t>
            </w:r>
          </w:p>
        </w:tc>
        <w:tc>
          <w:tcPr>
            <w:tcW w:w="6030" w:type="dxa"/>
            <w:tcBorders>
              <w:top w:val="nil"/>
              <w:left w:val="nil"/>
              <w:bottom w:val="single" w:sz="4" w:space="0" w:color="auto"/>
              <w:right w:val="single" w:sz="4" w:space="0" w:color="auto"/>
            </w:tcBorders>
            <w:shd w:val="clear" w:color="auto" w:fill="auto"/>
            <w:vAlign w:val="bottom"/>
            <w:hideMark/>
          </w:tcPr>
          <w:p w14:paraId="3A5960DD" w14:textId="52904FC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W32,</w:t>
            </w:r>
            <w:r w:rsidR="00BE2779">
              <w:rPr>
                <w:rFonts w:ascii="Calibri" w:eastAsia="Times New Roman" w:hAnsi="Calibri" w:cs="Calibri"/>
                <w:color w:val="000000"/>
                <w:kern w:val="0"/>
                <w:sz w:val="20"/>
                <w:szCs w:val="20"/>
                <w14:ligatures w14:val="none"/>
              </w:rPr>
              <w:t xml:space="preserve"> </w:t>
            </w:r>
            <w:r w:rsidRPr="00644B9B">
              <w:rPr>
                <w:rFonts w:ascii="Calibri" w:eastAsia="Times New Roman" w:hAnsi="Calibri" w:cs="Calibri"/>
                <w:color w:val="000000"/>
                <w:kern w:val="0"/>
                <w:sz w:val="20"/>
                <w:szCs w:val="20"/>
                <w14:ligatures w14:val="none"/>
              </w:rPr>
              <w:t>W33,</w:t>
            </w:r>
            <w:r w:rsidR="00BE2779">
              <w:rPr>
                <w:rFonts w:ascii="Calibri" w:eastAsia="Times New Roman" w:hAnsi="Calibri" w:cs="Calibri"/>
                <w:color w:val="000000"/>
                <w:kern w:val="0"/>
                <w:sz w:val="20"/>
                <w:szCs w:val="20"/>
                <w14:ligatures w14:val="none"/>
              </w:rPr>
              <w:t xml:space="preserve"> </w:t>
            </w:r>
            <w:r w:rsidRPr="00644B9B">
              <w:rPr>
                <w:rFonts w:ascii="Calibri" w:eastAsia="Times New Roman" w:hAnsi="Calibri" w:cs="Calibri"/>
                <w:color w:val="000000"/>
                <w:kern w:val="0"/>
                <w:sz w:val="20"/>
                <w:szCs w:val="20"/>
                <w14:ligatures w14:val="none"/>
              </w:rPr>
              <w:t>W34,</w:t>
            </w:r>
            <w:r w:rsidR="00BE2779">
              <w:rPr>
                <w:rFonts w:ascii="Calibri" w:eastAsia="Times New Roman" w:hAnsi="Calibri" w:cs="Calibri"/>
                <w:color w:val="000000"/>
                <w:kern w:val="0"/>
                <w:sz w:val="20"/>
                <w:szCs w:val="20"/>
                <w14:ligatures w14:val="none"/>
              </w:rPr>
              <w:t xml:space="preserve"> </w:t>
            </w:r>
            <w:r w:rsidRPr="00644B9B">
              <w:rPr>
                <w:rFonts w:ascii="Calibri" w:eastAsia="Times New Roman" w:hAnsi="Calibri" w:cs="Calibri"/>
                <w:color w:val="000000"/>
                <w:kern w:val="0"/>
                <w:sz w:val="20"/>
                <w:szCs w:val="20"/>
                <w14:ligatures w14:val="none"/>
              </w:rPr>
              <w:t>Y22, Y23, Y24,</w:t>
            </w:r>
            <w:r w:rsidR="00BE2779">
              <w:rPr>
                <w:rFonts w:ascii="Calibri" w:eastAsia="Times New Roman" w:hAnsi="Calibri" w:cs="Calibri"/>
                <w:color w:val="000000"/>
                <w:kern w:val="0"/>
                <w:sz w:val="20"/>
                <w:szCs w:val="20"/>
                <w14:ligatures w14:val="none"/>
              </w:rPr>
              <w:t xml:space="preserve"> </w:t>
            </w:r>
            <w:r w:rsidR="00BE2779" w:rsidRPr="00644B9B">
              <w:rPr>
                <w:rFonts w:ascii="Calibri" w:eastAsia="Times New Roman" w:hAnsi="Calibri" w:cs="Calibri"/>
                <w:color w:val="000000"/>
                <w:kern w:val="0"/>
                <w:sz w:val="20"/>
                <w:szCs w:val="20"/>
                <w14:ligatures w14:val="none"/>
              </w:rPr>
              <w:t>Y35</w:t>
            </w:r>
            <w:r w:rsidR="000E60AB">
              <w:rPr>
                <w:rFonts w:ascii="Calibri" w:eastAsia="Times New Roman" w:hAnsi="Calibri" w:cs="Calibri"/>
                <w:color w:val="000000"/>
                <w:kern w:val="0"/>
                <w:sz w:val="20"/>
                <w:szCs w:val="20"/>
                <w14:ligatures w14:val="none"/>
              </w:rPr>
              <w:t>.</w:t>
            </w:r>
            <w:r w:rsidR="00BE2779" w:rsidRPr="00644B9B">
              <w:rPr>
                <w:rFonts w:ascii="Calibri" w:eastAsia="Times New Roman" w:hAnsi="Calibri" w:cs="Calibri"/>
                <w:color w:val="000000"/>
                <w:kern w:val="0"/>
                <w:sz w:val="20"/>
                <w:szCs w:val="20"/>
                <w14:ligatures w14:val="none"/>
              </w:rPr>
              <w:t>0</w:t>
            </w:r>
          </w:p>
        </w:tc>
      </w:tr>
      <w:tr w:rsidR="00130248" w:rsidRPr="00644B9B" w14:paraId="715524D9" w14:textId="77777777" w:rsidTr="00331840">
        <w:trPr>
          <w:trHeight w:val="276"/>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3A8CCAB1"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Heat or Cold Related Injury (inc. hypothermia, heat stroke)</w:t>
            </w:r>
          </w:p>
        </w:tc>
        <w:tc>
          <w:tcPr>
            <w:tcW w:w="6030" w:type="dxa"/>
            <w:tcBorders>
              <w:top w:val="nil"/>
              <w:left w:val="nil"/>
              <w:bottom w:val="single" w:sz="4" w:space="0" w:color="auto"/>
              <w:right w:val="single" w:sz="4" w:space="0" w:color="auto"/>
            </w:tcBorders>
            <w:shd w:val="clear" w:color="auto" w:fill="auto"/>
            <w:vAlign w:val="bottom"/>
            <w:hideMark/>
          </w:tcPr>
          <w:p w14:paraId="4648C908" w14:textId="59629AED"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T33, T34, T67, T68, T69, W92, W93, X30, X31</w:t>
            </w:r>
          </w:p>
        </w:tc>
      </w:tr>
      <w:tr w:rsidR="00130248" w:rsidRPr="00644B9B" w14:paraId="60278FE8" w14:textId="77777777" w:rsidTr="00331840">
        <w:trPr>
          <w:trHeight w:val="55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6A739D14"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Nature or Environment - Cataclysmic storms, tornadoes, earthquakes, volcano, avalanche, floods</w:t>
            </w:r>
          </w:p>
        </w:tc>
        <w:tc>
          <w:tcPr>
            <w:tcW w:w="6030" w:type="dxa"/>
            <w:tcBorders>
              <w:top w:val="nil"/>
              <w:left w:val="nil"/>
              <w:bottom w:val="single" w:sz="4" w:space="0" w:color="auto"/>
              <w:right w:val="single" w:sz="4" w:space="0" w:color="auto"/>
            </w:tcBorders>
            <w:shd w:val="clear" w:color="auto" w:fill="auto"/>
            <w:vAlign w:val="bottom"/>
            <w:hideMark/>
          </w:tcPr>
          <w:p w14:paraId="705DF908" w14:textId="6CA3181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t>X34, X35,  X36,  X37, X38</w:t>
            </w:r>
            <w:r w:rsidR="00414ECE">
              <w:rPr>
                <w:rFonts w:ascii="Calibri" w:eastAsia="Times New Roman" w:hAnsi="Calibri" w:cs="Calibri"/>
                <w:color w:val="000000"/>
                <w:kern w:val="0"/>
                <w:sz w:val="20"/>
                <w:szCs w:val="20"/>
                <w14:ligatures w14:val="none"/>
              </w:rPr>
              <w:t>, X39</w:t>
            </w:r>
          </w:p>
        </w:tc>
      </w:tr>
      <w:tr w:rsidR="00130248" w:rsidRPr="009215B3" w14:paraId="681432A7" w14:textId="77777777" w:rsidTr="00331840">
        <w:trPr>
          <w:trHeight w:val="8192"/>
        </w:trPr>
        <w:tc>
          <w:tcPr>
            <w:tcW w:w="3505" w:type="dxa"/>
            <w:tcBorders>
              <w:top w:val="nil"/>
              <w:left w:val="single" w:sz="4" w:space="0" w:color="auto"/>
              <w:bottom w:val="single" w:sz="4" w:space="0" w:color="auto"/>
              <w:right w:val="single" w:sz="4" w:space="0" w:color="auto"/>
            </w:tcBorders>
            <w:shd w:val="clear" w:color="auto" w:fill="auto"/>
            <w:vAlign w:val="bottom"/>
            <w:hideMark/>
          </w:tcPr>
          <w:p w14:paraId="68C8959D" w14:textId="77777777" w:rsidR="00644B9B" w:rsidRPr="00644B9B" w:rsidRDefault="00644B9B" w:rsidP="00644B9B">
            <w:pPr>
              <w:spacing w:after="0" w:line="240" w:lineRule="auto"/>
              <w:rPr>
                <w:rFonts w:ascii="Calibri" w:eastAsia="Times New Roman" w:hAnsi="Calibri" w:cs="Calibri"/>
                <w:color w:val="000000"/>
                <w:kern w:val="0"/>
                <w:sz w:val="20"/>
                <w:szCs w:val="20"/>
                <w14:ligatures w14:val="none"/>
              </w:rPr>
            </w:pPr>
            <w:r w:rsidRPr="00644B9B">
              <w:rPr>
                <w:rFonts w:ascii="Calibri" w:eastAsia="Times New Roman" w:hAnsi="Calibri" w:cs="Calibri"/>
                <w:color w:val="000000"/>
                <w:kern w:val="0"/>
                <w:sz w:val="20"/>
                <w:szCs w:val="20"/>
                <w14:ligatures w14:val="none"/>
              </w:rPr>
              <w:lastRenderedPageBreak/>
              <w:t>Suicide</w:t>
            </w:r>
          </w:p>
        </w:tc>
        <w:tc>
          <w:tcPr>
            <w:tcW w:w="6030" w:type="dxa"/>
            <w:tcBorders>
              <w:top w:val="nil"/>
              <w:left w:val="nil"/>
              <w:bottom w:val="single" w:sz="4" w:space="0" w:color="auto"/>
              <w:right w:val="single" w:sz="4" w:space="0" w:color="auto"/>
            </w:tcBorders>
            <w:shd w:val="clear" w:color="auto" w:fill="auto"/>
            <w:vAlign w:val="center"/>
            <w:hideMark/>
          </w:tcPr>
          <w:p w14:paraId="72209C2C" w14:textId="6F0AA859" w:rsidR="00644B9B" w:rsidRPr="009215B3" w:rsidRDefault="00644B9B" w:rsidP="00644B9B">
            <w:pPr>
              <w:spacing w:after="0" w:line="240" w:lineRule="auto"/>
              <w:rPr>
                <w:rFonts w:ascii="Calibri" w:eastAsia="Times New Roman" w:hAnsi="Calibri" w:cs="Calibri"/>
                <w:color w:val="000000"/>
                <w:kern w:val="0"/>
                <w:sz w:val="20"/>
                <w:szCs w:val="20"/>
                <w:lang w:val="fr-FR"/>
                <w14:ligatures w14:val="none"/>
              </w:rPr>
            </w:pPr>
            <w:r w:rsidRPr="009215B3">
              <w:rPr>
                <w:rFonts w:ascii="Calibri" w:eastAsia="Times New Roman" w:hAnsi="Calibri" w:cs="Calibri"/>
                <w:color w:val="000000"/>
                <w:kern w:val="0"/>
                <w:sz w:val="20"/>
                <w:szCs w:val="20"/>
                <w:lang w:val="fr-FR"/>
                <w14:ligatures w14:val="none"/>
              </w:rPr>
              <w:t>T360X2, T361X2, T362X2, T363X2, T364X2, T365X2, T366X2, T367X2, T368X2, T3692, T370X2, T371X2, T372X2, T373X2, T374X2, T375X2, T376X2, T377X2, T378X2, T3792, T380X2, T381X2, T382X2, T383X2, T384X2, T385X2, T386X2, T387X2, T38802, T38812, T38892, T38902, T38992, T39012, T39092, T391X2, T392X2, T39312, T39392,T394X2, T398X2, T3992, T400X2, T401X2, T402X2, T403X2, T404X2, T405X2, T40602, T40692, T407X2, T408X2, T40902, T40992, T410X2, T411X2, T41202, T41292, T413X2, T4142, T415X2, T420X2, T421X2, T422X2, T423X2, T424X2, T425X2, T426X2, T4272, T428X2, T43012, T43022, T431X2, T43202, 43212, T43222, T43292, T433X2, T434X2, T43512, T43592, T43602, T43612, T43622, T43632, T43692, T438X2, T4392, T440X2, T441X2, T442X2,T443X2, T444X2, T445X2, T446X2, T447X2, T448X2, T44902, T44992, T450X2, T451X2, T452X2, T453X2, T454X2,T45512, T45522, T45602, T45612, T45622, T45692, T457X2, T458X2, T4592, T460X2, T461X2, T462X2, T463X2,T464X2, T465X2, T466X2, T467X2, T468X2, T46902, T46992, T470X2, T471X2, T472X2, T473X2, T474X2, T475X2, T476X2, T477X2, T478X2, T4792, T480X2, T481X2, T48202, T48292, T483X2, T484X2, T485X2, T486X2, T48902, T48992, T490X2, T491X2, T492X2, T493X2, T494X2, T495X2, T496X2, T497X2, T498X2, T4992, T500X2, T501X2, T502X2, T503X2, T504X2, T505X2, T506X2, T507X2, T508X2, T50A12, T50A22, T50A92, T50B12, T50B22, T50B92, T50Z12, T50Z22, T50Z92,T50902, T50992, T510X2, T511X2, T512X2, T513X2, T518X2, T5192, T520X2, T521X2, T522X2, T523X2, T524X2, T528X2, T5292, T530X2, T531X2, T532X2, T533X2, T534X2, T535X2, T536X2, T5392, T540X2, T541X2, T542X2, T543X2, T5492,T550X2, T551X2, T560X2, T561X2, T562X2, T563X2, T564X2, T565X2, T566X2, T567X2, T56812, T56892, T5692, T570X2,T571X2, T572X2, T573X2, T578X2, T5792, T5802, T5812, T582X2, T588X2, T5892, T590X2, T591X2, T592X2, T593X2,T594X2, T595X2, T596X2, T597X2, T59812, T59892, T5992, T600X2, T601X2, T602X2, T603X2, T604X2, T608X2, T6092, T6102, T6112, T61772, T61782, T618X2, T6192, T620X2, T621X2, T622X2, T628X2, T6292, T63002, T63012, T63022,T63032, T63042, T63062, T63072, T63082, T63092, T63102, T63112, T63122, T63192, T632X2, T63302, T63312, T63322, T63332, T63392, T63412, T63422, T63432, T63442, T63452, T63462, T63482, T63512, T63592, T63612, T63622, T63632, T63692, T63712, T63792, T63812, T63822, T63832, T63892, T6392, T6402, T6482, T6492, T650X2, T651X2, T65212,T65222, T65292, T653X2, T654X2, T655X2, T656X2, T65812, T65822, T65832, T65892, T6592, T1491, T71112, T71122, T71132, T71152, T71162, T71192, T71222, T71232</w:t>
            </w:r>
            <w:r w:rsidR="00BE2779" w:rsidRPr="009215B3">
              <w:rPr>
                <w:rFonts w:ascii="Calibri" w:eastAsia="Times New Roman" w:hAnsi="Calibri" w:cs="Calibri"/>
                <w:color w:val="000000"/>
                <w:kern w:val="0"/>
                <w:sz w:val="20"/>
                <w:szCs w:val="20"/>
                <w:lang w:val="fr-FR"/>
                <w14:ligatures w14:val="none"/>
              </w:rPr>
              <w:t>, X71, X72, X73, X74, X75, X76, X77, X78, X79,</w:t>
            </w:r>
            <w:r w:rsidR="00AE5FAE" w:rsidRPr="009215B3">
              <w:rPr>
                <w:rFonts w:ascii="Calibri" w:eastAsia="Times New Roman" w:hAnsi="Calibri" w:cs="Calibri"/>
                <w:color w:val="000000"/>
                <w:kern w:val="0"/>
                <w:sz w:val="20"/>
                <w:szCs w:val="20"/>
                <w:lang w:val="fr-FR"/>
                <w14:ligatures w14:val="none"/>
              </w:rPr>
              <w:t xml:space="preserve"> </w:t>
            </w:r>
            <w:r w:rsidR="00BE2779" w:rsidRPr="009215B3">
              <w:rPr>
                <w:rFonts w:ascii="Calibri" w:eastAsia="Times New Roman" w:hAnsi="Calibri" w:cs="Calibri"/>
                <w:color w:val="000000"/>
                <w:kern w:val="0"/>
                <w:sz w:val="20"/>
                <w:szCs w:val="20"/>
                <w:lang w:val="fr-FR"/>
                <w14:ligatures w14:val="none"/>
              </w:rPr>
              <w:t>X80, X81, X82, X83</w:t>
            </w:r>
            <w:r w:rsidR="00AE5FAE" w:rsidRPr="009215B3" w:rsidDel="005D6ED1">
              <w:rPr>
                <w:rFonts w:ascii="Calibri" w:eastAsia="Times New Roman" w:hAnsi="Calibri" w:cs="Calibri"/>
                <w:color w:val="000000"/>
                <w:kern w:val="0"/>
                <w:sz w:val="20"/>
                <w:szCs w:val="20"/>
                <w:lang w:val="fr-FR"/>
                <w14:ligatures w14:val="none"/>
              </w:rPr>
              <w:t xml:space="preserve"> </w:t>
            </w:r>
          </w:p>
        </w:tc>
      </w:tr>
    </w:tbl>
    <w:p w14:paraId="12646AF1" w14:textId="77777777" w:rsidR="00130248" w:rsidRPr="009215B3" w:rsidRDefault="00130248" w:rsidP="006D359A">
      <w:pPr>
        <w:rPr>
          <w:rFonts w:ascii="Calibri" w:hAnsi="Calibri" w:cs="Calibri"/>
          <w:b/>
          <w:bCs/>
          <w:sz w:val="22"/>
          <w:szCs w:val="22"/>
          <w:lang w:val="fr-FR"/>
        </w:rPr>
      </w:pPr>
    </w:p>
    <w:p w14:paraId="719E45DC" w14:textId="25038079" w:rsidR="00BA3C62" w:rsidRPr="00696817" w:rsidRDefault="00BA3C62" w:rsidP="006D359A">
      <w:pPr>
        <w:rPr>
          <w:rFonts w:ascii="Calibri" w:hAnsi="Calibri" w:cs="Calibri"/>
          <w:b/>
          <w:bCs/>
          <w:sz w:val="22"/>
          <w:szCs w:val="22"/>
        </w:rPr>
      </w:pPr>
      <w:r w:rsidRPr="00696817">
        <w:rPr>
          <w:rFonts w:ascii="Calibri" w:hAnsi="Calibri" w:cs="Calibri"/>
          <w:b/>
          <w:bCs/>
          <w:sz w:val="22"/>
          <w:szCs w:val="22"/>
        </w:rPr>
        <w:t>Linkage steps</w:t>
      </w:r>
    </w:p>
    <w:p w14:paraId="0011C6AC" w14:textId="1E525394" w:rsidR="006D359A" w:rsidRPr="00696817" w:rsidRDefault="006D359A" w:rsidP="006D359A">
      <w:pPr>
        <w:rPr>
          <w:rFonts w:ascii="Calibri" w:hAnsi="Calibri" w:cs="Calibri"/>
          <w:sz w:val="22"/>
          <w:szCs w:val="22"/>
        </w:rPr>
      </w:pPr>
      <w:r w:rsidRPr="00696817">
        <w:rPr>
          <w:rFonts w:ascii="Calibri" w:hAnsi="Calibri" w:cs="Calibri"/>
          <w:sz w:val="22"/>
          <w:szCs w:val="22"/>
        </w:rPr>
        <w:t xml:space="preserve">In the first linkage steps, 4,057 OSHA </w:t>
      </w:r>
      <w:r w:rsidR="001B6EA2">
        <w:rPr>
          <w:rFonts w:ascii="Calibri" w:hAnsi="Calibri" w:cs="Calibri"/>
          <w:sz w:val="22"/>
          <w:szCs w:val="22"/>
        </w:rPr>
        <w:t>report</w:t>
      </w:r>
      <w:r w:rsidRPr="00696817">
        <w:rPr>
          <w:rFonts w:ascii="Calibri" w:hAnsi="Calibri" w:cs="Calibri"/>
          <w:sz w:val="22"/>
          <w:szCs w:val="22"/>
        </w:rPr>
        <w:t xml:space="preserve">s matched to the hospital data file of reportable cases (Figure 1). However, past research demonstrates that employers frequently report cases that do not meet the reporting requirement (Friedman, 2019; Reilly, 2023). We created a second data file that included all emergent outpatient cases with a workers’ compensation payer, but excluded elective cases, amputations, enucleations and deaths. An additional 881 </w:t>
      </w:r>
      <w:r w:rsidR="001B6EA2">
        <w:rPr>
          <w:rFonts w:ascii="Calibri" w:hAnsi="Calibri" w:cs="Calibri"/>
          <w:sz w:val="22"/>
          <w:szCs w:val="22"/>
        </w:rPr>
        <w:t>report</w:t>
      </w:r>
      <w:r w:rsidRPr="00696817">
        <w:rPr>
          <w:rFonts w:ascii="Calibri" w:hAnsi="Calibri" w:cs="Calibri"/>
          <w:sz w:val="22"/>
          <w:szCs w:val="22"/>
        </w:rPr>
        <w:t xml:space="preserve">s linked to these non-admitted ED visits despite not meeting the OSHA reporting requirement. </w:t>
      </w:r>
    </w:p>
    <w:p w14:paraId="44FF6EC7" w14:textId="27C15C4F" w:rsidR="006D359A" w:rsidRPr="00696817" w:rsidRDefault="006D359A" w:rsidP="006D359A">
      <w:pPr>
        <w:rPr>
          <w:rFonts w:ascii="Calibri" w:hAnsi="Calibri" w:cs="Calibri"/>
          <w:sz w:val="22"/>
          <w:szCs w:val="22"/>
        </w:rPr>
      </w:pPr>
      <w:r w:rsidRPr="00696817">
        <w:rPr>
          <w:rFonts w:ascii="Calibri" w:hAnsi="Calibri" w:cs="Calibri"/>
          <w:sz w:val="22"/>
          <w:szCs w:val="22"/>
        </w:rPr>
        <w:lastRenderedPageBreak/>
        <w:t xml:space="preserve">Finally, research also demonstrates that injured workers frequently use alternative insurance coverage instead of workers’ compensation (Rappin, 2016; Reilly, 2023). To account for this, we created a third data file that included all (1) hospital admissions and (2) amputations/enucleations treated in the ED that did not have a workers’ compensation payer, but we excluded all elective cases and patients under 16 or over 65 years old. In this final linkage set, 230 hospitalizations without a workers’ compensation payer matched to the remaining OSHA </w:t>
      </w:r>
      <w:r w:rsidR="001B6EA2">
        <w:rPr>
          <w:rFonts w:ascii="Calibri" w:hAnsi="Calibri" w:cs="Calibri"/>
          <w:sz w:val="22"/>
          <w:szCs w:val="22"/>
        </w:rPr>
        <w:t>report</w:t>
      </w:r>
      <w:r w:rsidRPr="00696817">
        <w:rPr>
          <w:rFonts w:ascii="Calibri" w:hAnsi="Calibri" w:cs="Calibri"/>
          <w:sz w:val="22"/>
          <w:szCs w:val="22"/>
        </w:rPr>
        <w:t xml:space="preserve">s. </w:t>
      </w:r>
    </w:p>
    <w:p w14:paraId="1649AE46" w14:textId="290C0FB3" w:rsidR="006D359A" w:rsidRPr="00696817" w:rsidRDefault="006D359A" w:rsidP="006D359A">
      <w:pPr>
        <w:rPr>
          <w:rFonts w:ascii="Calibri" w:hAnsi="Calibri" w:cs="Calibri"/>
          <w:sz w:val="22"/>
          <w:szCs w:val="22"/>
        </w:rPr>
      </w:pPr>
      <w:r w:rsidRPr="00696817">
        <w:rPr>
          <w:rFonts w:ascii="Calibri" w:hAnsi="Calibri" w:cs="Calibri"/>
          <w:sz w:val="22"/>
          <w:szCs w:val="22"/>
        </w:rPr>
        <w:t xml:space="preserve">There were 1,221 </w:t>
      </w:r>
      <w:r w:rsidR="001B6EA2">
        <w:rPr>
          <w:rFonts w:ascii="Calibri" w:hAnsi="Calibri" w:cs="Calibri"/>
          <w:sz w:val="22"/>
          <w:szCs w:val="22"/>
        </w:rPr>
        <w:t>report</w:t>
      </w:r>
      <w:r w:rsidRPr="00696817">
        <w:rPr>
          <w:rFonts w:ascii="Calibri" w:hAnsi="Calibri" w:cs="Calibri"/>
          <w:sz w:val="22"/>
          <w:szCs w:val="22"/>
        </w:rPr>
        <w:t xml:space="preserve">s that did not link to hospital records providing a crude linkage rate of 80.9%. However, many </w:t>
      </w:r>
      <w:r w:rsidR="001B6EA2">
        <w:rPr>
          <w:rFonts w:ascii="Calibri" w:hAnsi="Calibri" w:cs="Calibri"/>
          <w:sz w:val="22"/>
          <w:szCs w:val="22"/>
        </w:rPr>
        <w:t>report</w:t>
      </w:r>
      <w:r w:rsidRPr="00696817">
        <w:rPr>
          <w:rFonts w:ascii="Calibri" w:hAnsi="Calibri" w:cs="Calibri"/>
          <w:sz w:val="22"/>
          <w:szCs w:val="22"/>
        </w:rPr>
        <w:t xml:space="preserve">s were expected to not link to hospital records for several recognized reasons that are independent of the inherent inaccuracy of data linkage including (some workers had more than one reason): </w:t>
      </w:r>
    </w:p>
    <w:p w14:paraId="23AF7CB6" w14:textId="29DC10AC" w:rsidR="006D359A" w:rsidRPr="00696817" w:rsidRDefault="006D359A" w:rsidP="006D359A">
      <w:pPr>
        <w:pStyle w:val="ListParagraph"/>
        <w:numPr>
          <w:ilvl w:val="0"/>
          <w:numId w:val="1"/>
        </w:numPr>
        <w:spacing w:line="259" w:lineRule="auto"/>
        <w:rPr>
          <w:rFonts w:ascii="Calibri" w:hAnsi="Calibri" w:cs="Calibri"/>
          <w:sz w:val="22"/>
          <w:szCs w:val="22"/>
        </w:rPr>
      </w:pPr>
      <w:r w:rsidRPr="00696817">
        <w:rPr>
          <w:rFonts w:ascii="Calibri" w:hAnsi="Calibri" w:cs="Calibri"/>
          <w:sz w:val="22"/>
          <w:szCs w:val="22"/>
        </w:rPr>
        <w:t xml:space="preserve">Workers who were declared dead at the scene and were not transported to a hospital (N=809 unmatched </w:t>
      </w:r>
      <w:r w:rsidR="001B6EA2">
        <w:rPr>
          <w:rFonts w:ascii="Calibri" w:hAnsi="Calibri" w:cs="Calibri"/>
          <w:sz w:val="22"/>
          <w:szCs w:val="22"/>
        </w:rPr>
        <w:t>report</w:t>
      </w:r>
      <w:r w:rsidRPr="00696817">
        <w:rPr>
          <w:rFonts w:ascii="Calibri" w:hAnsi="Calibri" w:cs="Calibri"/>
          <w:sz w:val="22"/>
          <w:szCs w:val="22"/>
        </w:rPr>
        <w:t>s).</w:t>
      </w:r>
    </w:p>
    <w:p w14:paraId="1E501E52" w14:textId="79463426" w:rsidR="006D359A" w:rsidRPr="00696817" w:rsidRDefault="006D359A" w:rsidP="006D359A">
      <w:pPr>
        <w:pStyle w:val="ListParagraph"/>
        <w:numPr>
          <w:ilvl w:val="0"/>
          <w:numId w:val="1"/>
        </w:numPr>
        <w:spacing w:line="259" w:lineRule="auto"/>
        <w:rPr>
          <w:rFonts w:ascii="Calibri" w:hAnsi="Calibri" w:cs="Calibri"/>
          <w:sz w:val="22"/>
          <w:szCs w:val="22"/>
        </w:rPr>
      </w:pPr>
      <w:r w:rsidRPr="00696817">
        <w:rPr>
          <w:rFonts w:ascii="Calibri" w:hAnsi="Calibri" w:cs="Calibri"/>
          <w:sz w:val="22"/>
          <w:szCs w:val="22"/>
        </w:rPr>
        <w:t xml:space="preserve">During the first wave, COVID cases were referred to OSHA even if they were not treated in a hospital or </w:t>
      </w:r>
      <w:r w:rsidR="003C2791" w:rsidRPr="00696817">
        <w:rPr>
          <w:rFonts w:ascii="Calibri" w:hAnsi="Calibri" w:cs="Calibri"/>
          <w:sz w:val="22"/>
          <w:szCs w:val="22"/>
        </w:rPr>
        <w:t xml:space="preserve">were reported to </w:t>
      </w:r>
      <w:r w:rsidRPr="00696817">
        <w:rPr>
          <w:rFonts w:ascii="Calibri" w:hAnsi="Calibri" w:cs="Calibri"/>
          <w:sz w:val="22"/>
          <w:szCs w:val="22"/>
        </w:rPr>
        <w:t xml:space="preserve">only involve quarantine (N=127 unmatched </w:t>
      </w:r>
      <w:r w:rsidR="001B6EA2">
        <w:rPr>
          <w:rFonts w:ascii="Calibri" w:hAnsi="Calibri" w:cs="Calibri"/>
          <w:sz w:val="22"/>
          <w:szCs w:val="22"/>
        </w:rPr>
        <w:t>report</w:t>
      </w:r>
      <w:r w:rsidRPr="00696817">
        <w:rPr>
          <w:rFonts w:ascii="Calibri" w:hAnsi="Calibri" w:cs="Calibri"/>
          <w:sz w:val="22"/>
          <w:szCs w:val="22"/>
        </w:rPr>
        <w:t>s).</w:t>
      </w:r>
    </w:p>
    <w:p w14:paraId="02A7FF38" w14:textId="0F53A1A6" w:rsidR="006D359A" w:rsidRPr="00696817" w:rsidRDefault="006D359A" w:rsidP="006D359A">
      <w:pPr>
        <w:pStyle w:val="ListParagraph"/>
        <w:numPr>
          <w:ilvl w:val="0"/>
          <w:numId w:val="1"/>
        </w:numPr>
        <w:spacing w:line="259" w:lineRule="auto"/>
        <w:rPr>
          <w:rFonts w:ascii="Calibri" w:hAnsi="Calibri" w:cs="Calibri"/>
          <w:sz w:val="22"/>
          <w:szCs w:val="22"/>
        </w:rPr>
      </w:pPr>
      <w:r w:rsidRPr="00696817">
        <w:rPr>
          <w:rFonts w:ascii="Calibri" w:hAnsi="Calibri" w:cs="Calibri"/>
          <w:sz w:val="22"/>
          <w:szCs w:val="22"/>
        </w:rPr>
        <w:t xml:space="preserve">The affected worker was treated in an out-of-state hospital. This is particularly common for traumatic injuries in 11 counties near St. Louis (Missouri), Iowa and Indiana (N=124 unmatched </w:t>
      </w:r>
      <w:r w:rsidR="001B6EA2">
        <w:rPr>
          <w:rFonts w:ascii="Calibri" w:hAnsi="Calibri" w:cs="Calibri"/>
          <w:sz w:val="22"/>
          <w:szCs w:val="22"/>
        </w:rPr>
        <w:t>report</w:t>
      </w:r>
      <w:r w:rsidRPr="00696817">
        <w:rPr>
          <w:rFonts w:ascii="Calibri" w:hAnsi="Calibri" w:cs="Calibri"/>
          <w:sz w:val="22"/>
          <w:szCs w:val="22"/>
        </w:rPr>
        <w:t>s</w:t>
      </w:r>
      <w:r w:rsidR="00240AB3" w:rsidRPr="00696817">
        <w:rPr>
          <w:rFonts w:ascii="Calibri" w:hAnsi="Calibri" w:cs="Calibri"/>
          <w:sz w:val="22"/>
          <w:szCs w:val="22"/>
        </w:rPr>
        <w:t xml:space="preserve"> were injured in these counties</w:t>
      </w:r>
      <w:r w:rsidRPr="00696817">
        <w:rPr>
          <w:rFonts w:ascii="Calibri" w:hAnsi="Calibri" w:cs="Calibri"/>
          <w:sz w:val="22"/>
          <w:szCs w:val="22"/>
        </w:rPr>
        <w:t>).</w:t>
      </w:r>
    </w:p>
    <w:p w14:paraId="01F6A924" w14:textId="73D89B6B" w:rsidR="006D359A" w:rsidRPr="00696817" w:rsidRDefault="006D359A" w:rsidP="006D359A">
      <w:pPr>
        <w:pStyle w:val="ListParagraph"/>
        <w:numPr>
          <w:ilvl w:val="0"/>
          <w:numId w:val="1"/>
        </w:numPr>
        <w:spacing w:line="259" w:lineRule="auto"/>
        <w:rPr>
          <w:rFonts w:ascii="Calibri" w:hAnsi="Calibri" w:cs="Calibri"/>
          <w:sz w:val="22"/>
          <w:szCs w:val="22"/>
        </w:rPr>
      </w:pPr>
      <w:r w:rsidRPr="00696817">
        <w:rPr>
          <w:rFonts w:ascii="Calibri" w:hAnsi="Calibri" w:cs="Calibri"/>
          <w:sz w:val="22"/>
          <w:szCs w:val="22"/>
        </w:rPr>
        <w:t>OSHA data relating to the multiple casualty events, involving 148 individuals, did not adequately differentiate between individual workers and were missing a lot of data. In addition, reports for multiple casualty events often included information on all persons injured including minor injuries</w:t>
      </w:r>
      <w:r w:rsidR="00303666" w:rsidRPr="00696817">
        <w:rPr>
          <w:rFonts w:ascii="Calibri" w:hAnsi="Calibri" w:cs="Calibri"/>
          <w:sz w:val="22"/>
          <w:szCs w:val="22"/>
        </w:rPr>
        <w:t xml:space="preserve"> th</w:t>
      </w:r>
      <w:r w:rsidR="003C2791" w:rsidRPr="00696817">
        <w:rPr>
          <w:rFonts w:ascii="Calibri" w:hAnsi="Calibri" w:cs="Calibri"/>
          <w:sz w:val="22"/>
          <w:szCs w:val="22"/>
        </w:rPr>
        <w:t>at w</w:t>
      </w:r>
      <w:r w:rsidR="00303666" w:rsidRPr="00696817">
        <w:rPr>
          <w:rFonts w:ascii="Calibri" w:hAnsi="Calibri" w:cs="Calibri"/>
          <w:sz w:val="22"/>
          <w:szCs w:val="22"/>
        </w:rPr>
        <w:t>ere likely not admitted</w:t>
      </w:r>
      <w:r w:rsidRPr="00696817">
        <w:rPr>
          <w:rFonts w:ascii="Calibri" w:hAnsi="Calibri" w:cs="Calibri"/>
          <w:sz w:val="22"/>
          <w:szCs w:val="22"/>
        </w:rPr>
        <w:t xml:space="preserve"> (N=57 unmatched </w:t>
      </w:r>
      <w:r w:rsidR="001B6EA2">
        <w:rPr>
          <w:rFonts w:ascii="Calibri" w:hAnsi="Calibri" w:cs="Calibri"/>
          <w:sz w:val="22"/>
          <w:szCs w:val="22"/>
        </w:rPr>
        <w:t>report</w:t>
      </w:r>
      <w:r w:rsidRPr="00696817">
        <w:rPr>
          <w:rFonts w:ascii="Calibri" w:hAnsi="Calibri" w:cs="Calibri"/>
          <w:sz w:val="22"/>
          <w:szCs w:val="22"/>
        </w:rPr>
        <w:t xml:space="preserve">s). </w:t>
      </w:r>
    </w:p>
    <w:p w14:paraId="4047E69C" w14:textId="000FD4CE" w:rsidR="00415271" w:rsidRPr="00696817" w:rsidRDefault="006D359A" w:rsidP="006D359A">
      <w:pPr>
        <w:rPr>
          <w:rFonts w:ascii="Calibri" w:hAnsi="Calibri" w:cs="Calibri"/>
          <w:sz w:val="22"/>
          <w:szCs w:val="22"/>
        </w:rPr>
      </w:pPr>
      <w:r w:rsidRPr="00696817">
        <w:rPr>
          <w:rFonts w:ascii="Calibri" w:hAnsi="Calibri" w:cs="Calibri"/>
          <w:sz w:val="22"/>
          <w:szCs w:val="22"/>
        </w:rPr>
        <w:t xml:space="preserve">There were a total of 942 </w:t>
      </w:r>
      <w:r w:rsidR="001B6EA2">
        <w:rPr>
          <w:rFonts w:ascii="Calibri" w:hAnsi="Calibri" w:cs="Calibri"/>
          <w:sz w:val="22"/>
          <w:szCs w:val="22"/>
        </w:rPr>
        <w:t>report</w:t>
      </w:r>
      <w:r w:rsidRPr="00696817">
        <w:rPr>
          <w:rFonts w:ascii="Calibri" w:hAnsi="Calibri" w:cs="Calibri"/>
          <w:sz w:val="22"/>
          <w:szCs w:val="22"/>
        </w:rPr>
        <w:t>s that did not link to the hospital records that involved fatalities, COVID</w:t>
      </w:r>
      <w:r w:rsidR="00303666" w:rsidRPr="00696817">
        <w:rPr>
          <w:rFonts w:ascii="Calibri" w:hAnsi="Calibri" w:cs="Calibri"/>
          <w:sz w:val="22"/>
          <w:szCs w:val="22"/>
        </w:rPr>
        <w:t xml:space="preserve"> infections/exposures</w:t>
      </w:r>
      <w:r w:rsidRPr="00696817">
        <w:rPr>
          <w:rFonts w:ascii="Calibri" w:hAnsi="Calibri" w:cs="Calibri"/>
          <w:sz w:val="22"/>
          <w:szCs w:val="22"/>
        </w:rPr>
        <w:t xml:space="preserve">, incidents along Illinois border regions and multiple casualty events. The final linkage rate based on the remaining unlinked cases (n=279 out of 6,389) was 95.6%. In addition, among the remaining </w:t>
      </w:r>
      <w:r w:rsidR="00C00C94" w:rsidRPr="00696817">
        <w:rPr>
          <w:rFonts w:ascii="Calibri" w:hAnsi="Calibri" w:cs="Calibri"/>
          <w:sz w:val="22"/>
          <w:szCs w:val="22"/>
        </w:rPr>
        <w:t xml:space="preserve">279 </w:t>
      </w:r>
      <w:r w:rsidRPr="00696817">
        <w:rPr>
          <w:rFonts w:ascii="Calibri" w:hAnsi="Calibri" w:cs="Calibri"/>
          <w:sz w:val="22"/>
          <w:szCs w:val="22"/>
        </w:rPr>
        <w:t xml:space="preserve">unlinked cases, none of these </w:t>
      </w:r>
      <w:r w:rsidR="001B6EA2">
        <w:rPr>
          <w:rFonts w:ascii="Calibri" w:hAnsi="Calibri" w:cs="Calibri"/>
          <w:sz w:val="22"/>
          <w:szCs w:val="22"/>
        </w:rPr>
        <w:t>report</w:t>
      </w:r>
      <w:r w:rsidRPr="00696817">
        <w:rPr>
          <w:rFonts w:ascii="Calibri" w:hAnsi="Calibri" w:cs="Calibri"/>
          <w:sz w:val="22"/>
          <w:szCs w:val="22"/>
        </w:rPr>
        <w:t>s resulted in an OSHA inspection which contributed to missing data, and nearly all were missing data on gender, age, nature of injury/illness, body part affected and cause of injury/illness.</w:t>
      </w:r>
    </w:p>
    <w:p w14:paraId="0266DA66" w14:textId="77777777" w:rsidR="00E93FFE" w:rsidRPr="00696817" w:rsidRDefault="00E93FFE" w:rsidP="006D359A">
      <w:pPr>
        <w:rPr>
          <w:rFonts w:ascii="Calibri" w:hAnsi="Calibri" w:cs="Calibri"/>
          <w:b/>
          <w:bCs/>
          <w:sz w:val="22"/>
          <w:szCs w:val="22"/>
        </w:rPr>
        <w:sectPr w:rsidR="00E93FFE" w:rsidRPr="00696817" w:rsidSect="00810368">
          <w:pgSz w:w="12240" w:h="15840"/>
          <w:pgMar w:top="1440" w:right="1080" w:bottom="1440" w:left="1080" w:header="720" w:footer="720" w:gutter="0"/>
          <w:cols w:space="720"/>
          <w:docGrid w:linePitch="360"/>
        </w:sectPr>
      </w:pPr>
    </w:p>
    <w:p w14:paraId="6527A321" w14:textId="5B0DA999" w:rsidR="00C612ED" w:rsidRPr="00696817" w:rsidRDefault="00C612ED" w:rsidP="00C612ED">
      <w:pPr>
        <w:rPr>
          <w:rFonts w:ascii="Calibri" w:hAnsi="Calibri" w:cs="Calibri"/>
          <w:b/>
          <w:bCs/>
          <w:sz w:val="22"/>
          <w:szCs w:val="22"/>
        </w:rPr>
      </w:pPr>
      <w:r w:rsidRPr="00696817">
        <w:rPr>
          <w:rFonts w:ascii="Calibri" w:hAnsi="Calibri" w:cs="Calibri"/>
          <w:b/>
          <w:bCs/>
          <w:sz w:val="22"/>
          <w:szCs w:val="22"/>
        </w:rPr>
        <w:lastRenderedPageBreak/>
        <w:t>Online Supplemental Figure 1: Linkage of Report</w:t>
      </w:r>
      <w:r w:rsidR="001B6EA2">
        <w:rPr>
          <w:rFonts w:ascii="Calibri" w:hAnsi="Calibri" w:cs="Calibri"/>
          <w:b/>
          <w:bCs/>
          <w:sz w:val="22"/>
          <w:szCs w:val="22"/>
        </w:rPr>
        <w:t>s</w:t>
      </w:r>
      <w:r w:rsidRPr="00696817">
        <w:rPr>
          <w:rFonts w:ascii="Calibri" w:hAnsi="Calibri" w:cs="Calibri"/>
          <w:b/>
          <w:bCs/>
          <w:sz w:val="22"/>
          <w:szCs w:val="22"/>
        </w:rPr>
        <w:t xml:space="preserve"> to OSHA with Work-Related Cases Identified in Illinois Hospital Data, 2017-2023</w:t>
      </w:r>
    </w:p>
    <w:p w14:paraId="3CAA28D1" w14:textId="77777777" w:rsidR="00C612ED" w:rsidRDefault="00C612ED" w:rsidP="00C612ED">
      <w:pPr>
        <w:jc w:val="center"/>
        <w:rPr>
          <w:b/>
          <w:bCs/>
        </w:rPr>
      </w:pPr>
      <w:r>
        <w:rPr>
          <w:b/>
          <w:bCs/>
          <w:noProof/>
        </w:rPr>
        <w:drawing>
          <wp:inline distT="0" distB="0" distL="0" distR="0" wp14:anchorId="2106FFE5" wp14:editId="2493C08C">
            <wp:extent cx="3788559" cy="5854264"/>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1.jpg"/>
                    <pic:cNvPicPr/>
                  </pic:nvPicPr>
                  <pic:blipFill>
                    <a:blip r:embed="rId6">
                      <a:extLst>
                        <a:ext uri="{28A0092B-C50C-407E-A947-70E740481C1C}">
                          <a14:useLocalDpi xmlns:a14="http://schemas.microsoft.com/office/drawing/2010/main" val="0"/>
                        </a:ext>
                      </a:extLst>
                    </a:blip>
                    <a:stretch>
                      <a:fillRect/>
                    </a:stretch>
                  </pic:blipFill>
                  <pic:spPr>
                    <a:xfrm>
                      <a:off x="0" y="0"/>
                      <a:ext cx="3803536" cy="5877407"/>
                    </a:xfrm>
                    <a:prstGeom prst="rect">
                      <a:avLst/>
                    </a:prstGeom>
                  </pic:spPr>
                </pic:pic>
              </a:graphicData>
            </a:graphic>
          </wp:inline>
        </w:drawing>
      </w:r>
    </w:p>
    <w:p w14:paraId="66ECAF1E" w14:textId="77777777" w:rsidR="00C612ED" w:rsidRDefault="00C612ED" w:rsidP="00C612ED">
      <w:pPr>
        <w:rPr>
          <w:b/>
          <w:bCs/>
        </w:rPr>
      </w:pPr>
    </w:p>
    <w:p w14:paraId="240DA01D" w14:textId="77777777" w:rsidR="00C612ED" w:rsidRDefault="00C612ED">
      <w:pPr>
        <w:rPr>
          <w:rFonts w:ascii="Calibri" w:hAnsi="Calibri" w:cs="Calibri"/>
          <w:b/>
          <w:bCs/>
          <w:sz w:val="22"/>
          <w:szCs w:val="22"/>
        </w:rPr>
      </w:pPr>
      <w:r>
        <w:rPr>
          <w:rFonts w:ascii="Calibri" w:hAnsi="Calibri" w:cs="Calibri"/>
          <w:b/>
          <w:bCs/>
          <w:sz w:val="22"/>
          <w:szCs w:val="22"/>
        </w:rPr>
        <w:br w:type="page"/>
      </w:r>
    </w:p>
    <w:p w14:paraId="6EC37A7B" w14:textId="430B501F" w:rsidR="006D359A" w:rsidRPr="00CB7EF6" w:rsidRDefault="00415271" w:rsidP="006D359A">
      <w:pPr>
        <w:rPr>
          <w:rFonts w:ascii="Calibri" w:hAnsi="Calibri" w:cs="Calibri"/>
          <w:b/>
          <w:bCs/>
          <w:sz w:val="22"/>
          <w:szCs w:val="22"/>
        </w:rPr>
      </w:pPr>
      <w:r w:rsidRPr="00CB7EF6">
        <w:rPr>
          <w:rFonts w:ascii="Calibri" w:hAnsi="Calibri" w:cs="Calibri"/>
          <w:b/>
          <w:bCs/>
          <w:sz w:val="22"/>
          <w:szCs w:val="22"/>
        </w:rPr>
        <w:lastRenderedPageBreak/>
        <w:t>APPENDIX A</w:t>
      </w:r>
      <w:r w:rsidR="00B70526" w:rsidRPr="00CB7EF6">
        <w:rPr>
          <w:rFonts w:ascii="Calibri" w:hAnsi="Calibri" w:cs="Calibri"/>
          <w:b/>
          <w:bCs/>
          <w:sz w:val="22"/>
          <w:szCs w:val="22"/>
        </w:rPr>
        <w:t>: Matching Criteria and Number of Matched Cases for Each Linkage Step</w:t>
      </w:r>
    </w:p>
    <w:p w14:paraId="76F4273A" w14:textId="77777777" w:rsidR="00CC1C1D" w:rsidRDefault="00114B1E" w:rsidP="00114B1E">
      <w:pPr>
        <w:rPr>
          <w:rFonts w:ascii="Calibri" w:hAnsi="Calibri" w:cs="Calibri"/>
          <w:sz w:val="22"/>
          <w:szCs w:val="22"/>
        </w:rPr>
        <w:sectPr w:rsidR="00CC1C1D" w:rsidSect="002351DD">
          <w:pgSz w:w="12240" w:h="15840"/>
          <w:pgMar w:top="720" w:right="720" w:bottom="720" w:left="720" w:header="720" w:footer="720" w:gutter="0"/>
          <w:cols w:space="720"/>
          <w:docGrid w:linePitch="360"/>
        </w:sectPr>
      </w:pPr>
      <w:r w:rsidRPr="00CB7EF6">
        <w:rPr>
          <w:rFonts w:ascii="Calibri" w:hAnsi="Calibri" w:cs="Calibri"/>
          <w:noProof/>
          <w:sz w:val="22"/>
          <w:szCs w:val="22"/>
        </w:rPr>
        <w:drawing>
          <wp:inline distT="0" distB="0" distL="0" distR="0" wp14:anchorId="0CDC4A2B" wp14:editId="1E6D3FB7">
            <wp:extent cx="4505667" cy="8805863"/>
            <wp:effectExtent l="0" t="0" r="9525" b="0"/>
            <wp:docPr id="1316830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8432" cy="8830811"/>
                    </a:xfrm>
                    <a:prstGeom prst="rect">
                      <a:avLst/>
                    </a:prstGeom>
                    <a:noFill/>
                    <a:ln>
                      <a:noFill/>
                    </a:ln>
                  </pic:spPr>
                </pic:pic>
              </a:graphicData>
            </a:graphic>
          </wp:inline>
        </w:drawing>
      </w:r>
    </w:p>
    <w:p w14:paraId="0A93A491" w14:textId="79BF2023" w:rsidR="000342E1" w:rsidRPr="00696817" w:rsidRDefault="00CC1C1D" w:rsidP="00114B1E">
      <w:pPr>
        <w:rPr>
          <w:rFonts w:ascii="Calibri" w:hAnsi="Calibri" w:cs="Calibri"/>
          <w:b/>
          <w:bCs/>
          <w:sz w:val="22"/>
          <w:szCs w:val="22"/>
        </w:rPr>
      </w:pPr>
      <w:r w:rsidRPr="00696817">
        <w:rPr>
          <w:rFonts w:ascii="Calibri" w:hAnsi="Calibri" w:cs="Calibri"/>
          <w:b/>
          <w:bCs/>
          <w:sz w:val="22"/>
          <w:szCs w:val="22"/>
        </w:rPr>
        <w:lastRenderedPageBreak/>
        <w:t>References</w:t>
      </w:r>
    </w:p>
    <w:p w14:paraId="24281AFC" w14:textId="77777777" w:rsidR="00E75B1A" w:rsidRPr="00696817" w:rsidRDefault="00E75B1A" w:rsidP="00E75B1A">
      <w:pPr>
        <w:pStyle w:val="ListParagraph"/>
        <w:numPr>
          <w:ilvl w:val="0"/>
          <w:numId w:val="3"/>
        </w:numPr>
        <w:spacing w:line="259" w:lineRule="auto"/>
        <w:rPr>
          <w:rFonts w:ascii="Calibri" w:hAnsi="Calibri" w:cs="Calibri"/>
          <w:sz w:val="22"/>
          <w:szCs w:val="22"/>
        </w:rPr>
      </w:pPr>
      <w:r w:rsidRPr="00696817">
        <w:rPr>
          <w:rFonts w:ascii="Calibri" w:hAnsi="Calibri" w:cs="Calibri"/>
          <w:sz w:val="22"/>
          <w:szCs w:val="22"/>
        </w:rPr>
        <w:t xml:space="preserve">Reilly MJ, Wang L, Rosenman KD. Evaluation of the characteristics of workers injured on the job requiring hospitalization, and employer compliance with OSHA's reporting requirement for these work related hospitalizations. Am J Ind Med. 2023;66:109‐121. </w:t>
      </w:r>
    </w:p>
    <w:p w14:paraId="54A59D78" w14:textId="77777777" w:rsidR="00CE566C" w:rsidRPr="00696817" w:rsidRDefault="00CE566C" w:rsidP="00CE566C">
      <w:pPr>
        <w:pStyle w:val="ListParagraph"/>
        <w:numPr>
          <w:ilvl w:val="0"/>
          <w:numId w:val="3"/>
        </w:numPr>
        <w:spacing w:line="259" w:lineRule="auto"/>
        <w:rPr>
          <w:rFonts w:ascii="Calibri" w:hAnsi="Calibri" w:cs="Calibri"/>
          <w:sz w:val="22"/>
          <w:szCs w:val="22"/>
        </w:rPr>
      </w:pPr>
      <w:proofErr w:type="spellStart"/>
      <w:r w:rsidRPr="00696817">
        <w:rPr>
          <w:rFonts w:ascii="Calibri" w:hAnsi="Calibri" w:cs="Calibri"/>
          <w:sz w:val="22"/>
          <w:szCs w:val="22"/>
          <w:lang w:val="fr-FR"/>
        </w:rPr>
        <w:t>Rappin</w:t>
      </w:r>
      <w:proofErr w:type="spellEnd"/>
      <w:r w:rsidRPr="00696817">
        <w:rPr>
          <w:rFonts w:ascii="Calibri" w:hAnsi="Calibri" w:cs="Calibri"/>
          <w:sz w:val="22"/>
          <w:szCs w:val="22"/>
          <w:lang w:val="fr-FR"/>
        </w:rPr>
        <w:t xml:space="preserve"> CL, Wuellner SE, Bonauto DK. </w:t>
      </w:r>
      <w:r w:rsidRPr="00696817">
        <w:rPr>
          <w:rFonts w:ascii="Calibri" w:hAnsi="Calibri" w:cs="Calibri"/>
          <w:sz w:val="22"/>
          <w:szCs w:val="22"/>
        </w:rPr>
        <w:t xml:space="preserve">Employer reasons for failing to report eligible workers' compensation claims in the BLS survey of occupational injuries and illnesses. Am J Ind Med. 2016 May;59(5):343-56. </w:t>
      </w:r>
      <w:proofErr w:type="spellStart"/>
      <w:r w:rsidRPr="00696817">
        <w:rPr>
          <w:rFonts w:ascii="Calibri" w:hAnsi="Calibri" w:cs="Calibri"/>
          <w:sz w:val="22"/>
          <w:szCs w:val="22"/>
        </w:rPr>
        <w:t>doi</w:t>
      </w:r>
      <w:proofErr w:type="spellEnd"/>
      <w:r w:rsidRPr="00696817">
        <w:rPr>
          <w:rFonts w:ascii="Calibri" w:hAnsi="Calibri" w:cs="Calibri"/>
          <w:sz w:val="22"/>
          <w:szCs w:val="22"/>
        </w:rPr>
        <w:t xml:space="preserve">: 10.1002/ajim.22582. </w:t>
      </w:r>
      <w:proofErr w:type="spellStart"/>
      <w:r w:rsidRPr="00696817">
        <w:rPr>
          <w:rFonts w:ascii="Calibri" w:hAnsi="Calibri" w:cs="Calibri"/>
          <w:sz w:val="22"/>
          <w:szCs w:val="22"/>
        </w:rPr>
        <w:t>Epub</w:t>
      </w:r>
      <w:proofErr w:type="spellEnd"/>
      <w:r w:rsidRPr="00696817">
        <w:rPr>
          <w:rFonts w:ascii="Calibri" w:hAnsi="Calibri" w:cs="Calibri"/>
          <w:sz w:val="22"/>
          <w:szCs w:val="22"/>
        </w:rPr>
        <w:t xml:space="preserve"> 2016 Mar 11. PMID: 26970051; PMCID: PMC5069593.</w:t>
      </w:r>
    </w:p>
    <w:p w14:paraId="0BB0FF72" w14:textId="77777777" w:rsidR="00CC1C1D" w:rsidRPr="00696817" w:rsidRDefault="00CC1C1D" w:rsidP="00CC1C1D">
      <w:pPr>
        <w:pStyle w:val="ListParagraph"/>
        <w:numPr>
          <w:ilvl w:val="0"/>
          <w:numId w:val="3"/>
        </w:numPr>
        <w:spacing w:line="259" w:lineRule="auto"/>
        <w:rPr>
          <w:rFonts w:ascii="Calibri" w:hAnsi="Calibri" w:cs="Calibri"/>
          <w:sz w:val="22"/>
          <w:szCs w:val="22"/>
        </w:rPr>
      </w:pPr>
      <w:r w:rsidRPr="00696817">
        <w:rPr>
          <w:rFonts w:ascii="Calibri" w:hAnsi="Calibri" w:cs="Calibri"/>
          <w:sz w:val="22"/>
          <w:szCs w:val="22"/>
        </w:rPr>
        <w:t xml:space="preserve">Friedman LS, Ruestow P, and Forst L. Analysis of Ethnic Disparities in Workers’ Compensation Claims Using Data Linkage. J </w:t>
      </w:r>
      <w:proofErr w:type="spellStart"/>
      <w:r w:rsidRPr="00696817">
        <w:rPr>
          <w:rFonts w:ascii="Calibri" w:hAnsi="Calibri" w:cs="Calibri"/>
          <w:sz w:val="22"/>
          <w:szCs w:val="22"/>
        </w:rPr>
        <w:t>Occup</w:t>
      </w:r>
      <w:proofErr w:type="spellEnd"/>
      <w:r w:rsidRPr="00696817">
        <w:rPr>
          <w:rFonts w:ascii="Calibri" w:hAnsi="Calibri" w:cs="Calibri"/>
          <w:sz w:val="22"/>
          <w:szCs w:val="22"/>
        </w:rPr>
        <w:t xml:space="preserve"> Environ Med. 2012 Oct;54(10):1246-52.</w:t>
      </w:r>
    </w:p>
    <w:p w14:paraId="20446825" w14:textId="77777777" w:rsidR="00CC1C1D" w:rsidRPr="00696817" w:rsidRDefault="00CC1C1D" w:rsidP="00CC1C1D">
      <w:pPr>
        <w:pStyle w:val="ListParagraph"/>
        <w:numPr>
          <w:ilvl w:val="0"/>
          <w:numId w:val="3"/>
        </w:numPr>
        <w:spacing w:line="259" w:lineRule="auto"/>
        <w:rPr>
          <w:rFonts w:ascii="Calibri" w:hAnsi="Calibri" w:cs="Calibri"/>
          <w:sz w:val="22"/>
          <w:szCs w:val="22"/>
        </w:rPr>
      </w:pPr>
      <w:proofErr w:type="spellStart"/>
      <w:r w:rsidRPr="00696817">
        <w:rPr>
          <w:rFonts w:ascii="Calibri" w:hAnsi="Calibri" w:cs="Calibri"/>
          <w:sz w:val="22"/>
          <w:szCs w:val="22"/>
        </w:rPr>
        <w:t>Kyeremateng</w:t>
      </w:r>
      <w:proofErr w:type="spellEnd"/>
      <w:r w:rsidRPr="00696817">
        <w:rPr>
          <w:rFonts w:ascii="Calibri" w:hAnsi="Calibri" w:cs="Calibri"/>
          <w:sz w:val="22"/>
          <w:szCs w:val="22"/>
        </w:rPr>
        <w:t>-Amoah E, Friedman L, Wahl M, and Forst L. Public Health Surveillance for the Prevention of Pesticide-Related Illness in Illinois. J Occ Environ Med. 2020 May; 62(5):359-369.</w:t>
      </w:r>
    </w:p>
    <w:sectPr w:rsidR="00CC1C1D" w:rsidRPr="00696817" w:rsidSect="002351D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923E89"/>
    <w:multiLevelType w:val="hybridMultilevel"/>
    <w:tmpl w:val="BF88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3F2147"/>
    <w:multiLevelType w:val="hybridMultilevel"/>
    <w:tmpl w:val="8DF0C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8C40D6"/>
    <w:multiLevelType w:val="hybridMultilevel"/>
    <w:tmpl w:val="40F8D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336740">
    <w:abstractNumId w:val="1"/>
  </w:num>
  <w:num w:numId="2" w16cid:durableId="788203889">
    <w:abstractNumId w:val="0"/>
  </w:num>
  <w:num w:numId="3" w16cid:durableId="2202885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59A"/>
    <w:rsid w:val="00005BB6"/>
    <w:rsid w:val="000119F0"/>
    <w:rsid w:val="00025EBE"/>
    <w:rsid w:val="000342E1"/>
    <w:rsid w:val="00050CBD"/>
    <w:rsid w:val="0005147D"/>
    <w:rsid w:val="0006607D"/>
    <w:rsid w:val="000922C0"/>
    <w:rsid w:val="000B32F7"/>
    <w:rsid w:val="000D276E"/>
    <w:rsid w:val="000E60AB"/>
    <w:rsid w:val="00114B1E"/>
    <w:rsid w:val="00130248"/>
    <w:rsid w:val="0015503C"/>
    <w:rsid w:val="00160CAF"/>
    <w:rsid w:val="001873CF"/>
    <w:rsid w:val="001B1470"/>
    <w:rsid w:val="001B6EA2"/>
    <w:rsid w:val="001E7831"/>
    <w:rsid w:val="00200BD1"/>
    <w:rsid w:val="002141C4"/>
    <w:rsid w:val="002351DD"/>
    <w:rsid w:val="00240AB3"/>
    <w:rsid w:val="002518F2"/>
    <w:rsid w:val="002825B5"/>
    <w:rsid w:val="002C60D1"/>
    <w:rsid w:val="00303666"/>
    <w:rsid w:val="003124E6"/>
    <w:rsid w:val="00331840"/>
    <w:rsid w:val="003459D5"/>
    <w:rsid w:val="00345CB7"/>
    <w:rsid w:val="003C1090"/>
    <w:rsid w:val="003C2791"/>
    <w:rsid w:val="003D2CC1"/>
    <w:rsid w:val="00414ECE"/>
    <w:rsid w:val="00415271"/>
    <w:rsid w:val="00474DF9"/>
    <w:rsid w:val="00490126"/>
    <w:rsid w:val="004E4852"/>
    <w:rsid w:val="00591267"/>
    <w:rsid w:val="00592504"/>
    <w:rsid w:val="005B4D2A"/>
    <w:rsid w:val="005D6ED1"/>
    <w:rsid w:val="005E250A"/>
    <w:rsid w:val="006022B1"/>
    <w:rsid w:val="00617821"/>
    <w:rsid w:val="006204DE"/>
    <w:rsid w:val="00627098"/>
    <w:rsid w:val="006358CC"/>
    <w:rsid w:val="00644AE1"/>
    <w:rsid w:val="00644B9B"/>
    <w:rsid w:val="006562D6"/>
    <w:rsid w:val="00696817"/>
    <w:rsid w:val="006D359A"/>
    <w:rsid w:val="00732891"/>
    <w:rsid w:val="00733FD0"/>
    <w:rsid w:val="007836EC"/>
    <w:rsid w:val="00792B34"/>
    <w:rsid w:val="007D5B8C"/>
    <w:rsid w:val="007E190C"/>
    <w:rsid w:val="007F1C80"/>
    <w:rsid w:val="00810368"/>
    <w:rsid w:val="00852256"/>
    <w:rsid w:val="00877121"/>
    <w:rsid w:val="00882489"/>
    <w:rsid w:val="008E6A33"/>
    <w:rsid w:val="008F37BD"/>
    <w:rsid w:val="008F65FB"/>
    <w:rsid w:val="009215B3"/>
    <w:rsid w:val="009467AB"/>
    <w:rsid w:val="009B1629"/>
    <w:rsid w:val="009B47E3"/>
    <w:rsid w:val="00A260DE"/>
    <w:rsid w:val="00AC6C26"/>
    <w:rsid w:val="00AE5FAE"/>
    <w:rsid w:val="00AF118E"/>
    <w:rsid w:val="00B157AC"/>
    <w:rsid w:val="00B6604B"/>
    <w:rsid w:val="00B70526"/>
    <w:rsid w:val="00BA3C62"/>
    <w:rsid w:val="00BA7C49"/>
    <w:rsid w:val="00BD1DF8"/>
    <w:rsid w:val="00BE2779"/>
    <w:rsid w:val="00C00C94"/>
    <w:rsid w:val="00C16D81"/>
    <w:rsid w:val="00C21DE3"/>
    <w:rsid w:val="00C5705B"/>
    <w:rsid w:val="00C612ED"/>
    <w:rsid w:val="00C81056"/>
    <w:rsid w:val="00CA5189"/>
    <w:rsid w:val="00CB7EF6"/>
    <w:rsid w:val="00CC1363"/>
    <w:rsid w:val="00CC1C1D"/>
    <w:rsid w:val="00CC23BF"/>
    <w:rsid w:val="00CC3A4F"/>
    <w:rsid w:val="00CE566C"/>
    <w:rsid w:val="00CE6FC9"/>
    <w:rsid w:val="00D012C3"/>
    <w:rsid w:val="00D53CE1"/>
    <w:rsid w:val="00D56F3D"/>
    <w:rsid w:val="00D738B6"/>
    <w:rsid w:val="00DC3FA3"/>
    <w:rsid w:val="00DD67EC"/>
    <w:rsid w:val="00E5575D"/>
    <w:rsid w:val="00E75B1A"/>
    <w:rsid w:val="00E82006"/>
    <w:rsid w:val="00E93FFE"/>
    <w:rsid w:val="00EC03B2"/>
    <w:rsid w:val="00ED17D5"/>
    <w:rsid w:val="00ED7F35"/>
    <w:rsid w:val="00EE02C3"/>
    <w:rsid w:val="00F11E5D"/>
    <w:rsid w:val="00F1379B"/>
    <w:rsid w:val="00F249E3"/>
    <w:rsid w:val="00F469AF"/>
    <w:rsid w:val="00F6324E"/>
    <w:rsid w:val="00F84EA8"/>
    <w:rsid w:val="00FA39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7FA9E"/>
  <w15:chartTrackingRefBased/>
  <w15:docId w15:val="{ABAB1122-9040-47A0-BC82-B5DFC146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35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35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35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35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35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35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35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35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35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5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35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35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35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35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35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35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35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359A"/>
    <w:rPr>
      <w:rFonts w:eastAsiaTheme="majorEastAsia" w:cstheme="majorBidi"/>
      <w:color w:val="272727" w:themeColor="text1" w:themeTint="D8"/>
    </w:rPr>
  </w:style>
  <w:style w:type="paragraph" w:styleId="Title">
    <w:name w:val="Title"/>
    <w:basedOn w:val="Normal"/>
    <w:next w:val="Normal"/>
    <w:link w:val="TitleChar"/>
    <w:uiPriority w:val="10"/>
    <w:qFormat/>
    <w:rsid w:val="006D3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35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35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35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359A"/>
    <w:pPr>
      <w:spacing w:before="160"/>
      <w:jc w:val="center"/>
    </w:pPr>
    <w:rPr>
      <w:i/>
      <w:iCs/>
      <w:color w:val="404040" w:themeColor="text1" w:themeTint="BF"/>
    </w:rPr>
  </w:style>
  <w:style w:type="character" w:customStyle="1" w:styleId="QuoteChar">
    <w:name w:val="Quote Char"/>
    <w:basedOn w:val="DefaultParagraphFont"/>
    <w:link w:val="Quote"/>
    <w:uiPriority w:val="29"/>
    <w:rsid w:val="006D359A"/>
    <w:rPr>
      <w:i/>
      <w:iCs/>
      <w:color w:val="404040" w:themeColor="text1" w:themeTint="BF"/>
    </w:rPr>
  </w:style>
  <w:style w:type="paragraph" w:styleId="ListParagraph">
    <w:name w:val="List Paragraph"/>
    <w:basedOn w:val="Normal"/>
    <w:uiPriority w:val="34"/>
    <w:qFormat/>
    <w:rsid w:val="006D359A"/>
    <w:pPr>
      <w:ind w:left="720"/>
      <w:contextualSpacing/>
    </w:pPr>
  </w:style>
  <w:style w:type="character" w:styleId="IntenseEmphasis">
    <w:name w:val="Intense Emphasis"/>
    <w:basedOn w:val="DefaultParagraphFont"/>
    <w:uiPriority w:val="21"/>
    <w:qFormat/>
    <w:rsid w:val="006D359A"/>
    <w:rPr>
      <w:i/>
      <w:iCs/>
      <w:color w:val="0F4761" w:themeColor="accent1" w:themeShade="BF"/>
    </w:rPr>
  </w:style>
  <w:style w:type="paragraph" w:styleId="IntenseQuote">
    <w:name w:val="Intense Quote"/>
    <w:basedOn w:val="Normal"/>
    <w:next w:val="Normal"/>
    <w:link w:val="IntenseQuoteChar"/>
    <w:uiPriority w:val="30"/>
    <w:qFormat/>
    <w:rsid w:val="006D35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359A"/>
    <w:rPr>
      <w:i/>
      <w:iCs/>
      <w:color w:val="0F4761" w:themeColor="accent1" w:themeShade="BF"/>
    </w:rPr>
  </w:style>
  <w:style w:type="character" w:styleId="IntenseReference">
    <w:name w:val="Intense Reference"/>
    <w:basedOn w:val="DefaultParagraphFont"/>
    <w:uiPriority w:val="32"/>
    <w:qFormat/>
    <w:rsid w:val="006D359A"/>
    <w:rPr>
      <w:b/>
      <w:bCs/>
      <w:smallCaps/>
      <w:color w:val="0F4761" w:themeColor="accent1" w:themeShade="BF"/>
      <w:spacing w:val="5"/>
    </w:rPr>
  </w:style>
  <w:style w:type="paragraph" w:styleId="Revision">
    <w:name w:val="Revision"/>
    <w:hidden/>
    <w:uiPriority w:val="99"/>
    <w:semiHidden/>
    <w:rsid w:val="00050CBD"/>
    <w:pPr>
      <w:spacing w:after="0" w:line="240" w:lineRule="auto"/>
    </w:pPr>
  </w:style>
  <w:style w:type="character" w:styleId="CommentReference">
    <w:name w:val="annotation reference"/>
    <w:basedOn w:val="DefaultParagraphFont"/>
    <w:uiPriority w:val="99"/>
    <w:semiHidden/>
    <w:unhideWhenUsed/>
    <w:rsid w:val="00C81056"/>
    <w:rPr>
      <w:sz w:val="16"/>
      <w:szCs w:val="16"/>
    </w:rPr>
  </w:style>
  <w:style w:type="paragraph" w:styleId="CommentText">
    <w:name w:val="annotation text"/>
    <w:basedOn w:val="Normal"/>
    <w:link w:val="CommentTextChar"/>
    <w:uiPriority w:val="99"/>
    <w:unhideWhenUsed/>
    <w:rsid w:val="00C81056"/>
    <w:pPr>
      <w:spacing w:line="240" w:lineRule="auto"/>
    </w:pPr>
    <w:rPr>
      <w:sz w:val="20"/>
      <w:szCs w:val="20"/>
    </w:rPr>
  </w:style>
  <w:style w:type="character" w:customStyle="1" w:styleId="CommentTextChar">
    <w:name w:val="Comment Text Char"/>
    <w:basedOn w:val="DefaultParagraphFont"/>
    <w:link w:val="CommentText"/>
    <w:uiPriority w:val="99"/>
    <w:rsid w:val="00C81056"/>
    <w:rPr>
      <w:sz w:val="20"/>
      <w:szCs w:val="20"/>
    </w:rPr>
  </w:style>
  <w:style w:type="paragraph" w:styleId="CommentSubject">
    <w:name w:val="annotation subject"/>
    <w:basedOn w:val="CommentText"/>
    <w:next w:val="CommentText"/>
    <w:link w:val="CommentSubjectChar"/>
    <w:uiPriority w:val="99"/>
    <w:semiHidden/>
    <w:unhideWhenUsed/>
    <w:rsid w:val="00C81056"/>
    <w:rPr>
      <w:b/>
      <w:bCs/>
    </w:rPr>
  </w:style>
  <w:style w:type="character" w:customStyle="1" w:styleId="CommentSubjectChar">
    <w:name w:val="Comment Subject Char"/>
    <w:basedOn w:val="CommentTextChar"/>
    <w:link w:val="CommentSubject"/>
    <w:uiPriority w:val="99"/>
    <w:semiHidden/>
    <w:rsid w:val="00C81056"/>
    <w:rPr>
      <w:b/>
      <w:bCs/>
      <w:sz w:val="20"/>
      <w:szCs w:val="20"/>
    </w:rPr>
  </w:style>
  <w:style w:type="character" w:styleId="Hyperlink">
    <w:name w:val="Hyperlink"/>
    <w:basedOn w:val="DefaultParagraphFont"/>
    <w:uiPriority w:val="99"/>
    <w:unhideWhenUsed/>
    <w:rsid w:val="00CC1C1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268362">
      <w:bodyDiv w:val="1"/>
      <w:marLeft w:val="0"/>
      <w:marRight w:val="0"/>
      <w:marTop w:val="0"/>
      <w:marBottom w:val="0"/>
      <w:divBdr>
        <w:top w:val="none" w:sz="0" w:space="0" w:color="auto"/>
        <w:left w:val="none" w:sz="0" w:space="0" w:color="auto"/>
        <w:bottom w:val="none" w:sz="0" w:space="0" w:color="auto"/>
        <w:right w:val="none" w:sz="0" w:space="0" w:color="auto"/>
      </w:divBdr>
    </w:div>
    <w:div w:id="603877722">
      <w:bodyDiv w:val="1"/>
      <w:marLeft w:val="0"/>
      <w:marRight w:val="0"/>
      <w:marTop w:val="0"/>
      <w:marBottom w:val="0"/>
      <w:divBdr>
        <w:top w:val="none" w:sz="0" w:space="0" w:color="auto"/>
        <w:left w:val="none" w:sz="0" w:space="0" w:color="auto"/>
        <w:bottom w:val="none" w:sz="0" w:space="0" w:color="auto"/>
        <w:right w:val="none" w:sz="0" w:space="0" w:color="auto"/>
      </w:divBdr>
    </w:div>
    <w:div w:id="1178426145">
      <w:bodyDiv w:val="1"/>
      <w:marLeft w:val="0"/>
      <w:marRight w:val="0"/>
      <w:marTop w:val="0"/>
      <w:marBottom w:val="0"/>
      <w:divBdr>
        <w:top w:val="none" w:sz="0" w:space="0" w:color="auto"/>
        <w:left w:val="none" w:sz="0" w:space="0" w:color="auto"/>
        <w:bottom w:val="none" w:sz="0" w:space="0" w:color="auto"/>
        <w:right w:val="none" w:sz="0" w:space="0" w:color="auto"/>
      </w:divBdr>
    </w:div>
    <w:div w:id="1246723537">
      <w:bodyDiv w:val="1"/>
      <w:marLeft w:val="0"/>
      <w:marRight w:val="0"/>
      <w:marTop w:val="0"/>
      <w:marBottom w:val="0"/>
      <w:divBdr>
        <w:top w:val="none" w:sz="0" w:space="0" w:color="auto"/>
        <w:left w:val="none" w:sz="0" w:space="0" w:color="auto"/>
        <w:bottom w:val="none" w:sz="0" w:space="0" w:color="auto"/>
        <w:right w:val="none" w:sz="0" w:space="0" w:color="auto"/>
      </w:divBdr>
    </w:div>
    <w:div w:id="1256791615">
      <w:bodyDiv w:val="1"/>
      <w:marLeft w:val="0"/>
      <w:marRight w:val="0"/>
      <w:marTop w:val="0"/>
      <w:marBottom w:val="0"/>
      <w:divBdr>
        <w:top w:val="none" w:sz="0" w:space="0" w:color="auto"/>
        <w:left w:val="none" w:sz="0" w:space="0" w:color="auto"/>
        <w:bottom w:val="none" w:sz="0" w:space="0" w:color="auto"/>
        <w:right w:val="none" w:sz="0" w:space="0" w:color="auto"/>
      </w:divBdr>
    </w:div>
    <w:div w:id="180561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ADF2-C898-4C81-8F8D-054F1AAFC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2405</Words>
  <Characters>13710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Friedman, Lee Scott</dc:creator>
  <cp:keywords/>
  <dc:description/>
  <cp:lastModifiedBy>Friedman, Lee Scott</cp:lastModifiedBy>
  <cp:revision>5</cp:revision>
  <dcterms:created xsi:type="dcterms:W3CDTF">2025-03-06T18:48:00Z</dcterms:created>
  <dcterms:modified xsi:type="dcterms:W3CDTF">2025-03-13T18:06:00Z</dcterms:modified>
</cp:coreProperties>
</file>