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01936" w14:textId="51E3E1EF" w:rsidR="00ED31E8" w:rsidRPr="003623E7" w:rsidRDefault="00850CDA">
      <w:pPr>
        <w:rPr>
          <w:rFonts w:ascii="Arial" w:hAnsi="Arial" w:cs="Arial"/>
          <w:b/>
          <w:bCs/>
        </w:rPr>
      </w:pPr>
      <w:r w:rsidRPr="003623E7">
        <w:rPr>
          <w:rFonts w:ascii="Arial" w:hAnsi="Arial" w:cs="Arial"/>
          <w:b/>
          <w:bCs/>
        </w:rPr>
        <w:t>Supplemental Table 1</w:t>
      </w:r>
      <w:r w:rsidR="00FA28E1" w:rsidRPr="003623E7">
        <w:rPr>
          <w:rFonts w:ascii="Arial" w:hAnsi="Arial" w:cs="Arial"/>
          <w:b/>
          <w:bCs/>
        </w:rPr>
        <w:t xml:space="preserve">. </w:t>
      </w:r>
      <w:r w:rsidRPr="003623E7">
        <w:rPr>
          <w:rFonts w:ascii="Arial" w:hAnsi="Arial" w:cs="Arial"/>
          <w:b/>
          <w:bCs/>
        </w:rPr>
        <w:t>Characteristics of working group</w:t>
      </w:r>
    </w:p>
    <w:tbl>
      <w:tblPr>
        <w:tblStyle w:val="GridTable4-Accent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95"/>
        <w:gridCol w:w="1738"/>
      </w:tblGrid>
      <w:tr w:rsidR="00FA28E1" w:rsidRPr="003623E7" w14:paraId="63D1013A" w14:textId="77777777" w:rsidTr="005E2D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7B274A2C" w14:textId="64263E55" w:rsidR="00FA28E1" w:rsidRPr="003623E7" w:rsidRDefault="005E2D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Working Group </w:t>
            </w:r>
            <w:r w:rsidR="00FA28E1" w:rsidRPr="003623E7">
              <w:rPr>
                <w:rFonts w:ascii="Arial" w:hAnsi="Arial" w:cs="Arial"/>
              </w:rPr>
              <w:t>Characteristic</w:t>
            </w:r>
            <w:r>
              <w:rPr>
                <w:rFonts w:ascii="Arial" w:hAnsi="Arial" w:cs="Arial"/>
              </w:rPr>
              <w:t>s</w:t>
            </w:r>
          </w:p>
        </w:tc>
        <w:tc>
          <w:tcPr>
            <w:tcW w:w="17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0000" w:themeFill="text1"/>
          </w:tcPr>
          <w:p w14:paraId="2D558068" w14:textId="2254B29C" w:rsidR="00FA28E1" w:rsidRPr="003623E7" w:rsidRDefault="00FA28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N=28</w:t>
            </w:r>
          </w:p>
        </w:tc>
      </w:tr>
      <w:tr w:rsidR="005E2D9A" w:rsidRPr="003623E7" w14:paraId="3FE9C991" w14:textId="77777777" w:rsidTr="000A2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3" w:type="dxa"/>
            <w:gridSpan w:val="2"/>
            <w:shd w:val="clear" w:color="auto" w:fill="D9D9D9" w:themeFill="background1" w:themeFillShade="D9"/>
          </w:tcPr>
          <w:p w14:paraId="1204D3EC" w14:textId="5B89D6E9" w:rsidR="005E2D9A" w:rsidRPr="003623E7" w:rsidRDefault="005E2D9A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Specialty</w:t>
            </w:r>
          </w:p>
        </w:tc>
      </w:tr>
      <w:tr w:rsidR="00FA28E1" w:rsidRPr="003623E7" w14:paraId="718B6CFB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06E69446" w14:textId="38750B0D" w:rsidR="00FA28E1" w:rsidRPr="003623E7" w:rsidRDefault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="00FA28E1" w:rsidRPr="003623E7">
              <w:rPr>
                <w:rFonts w:ascii="Arial" w:hAnsi="Arial" w:cs="Arial"/>
                <w:b w:val="0"/>
                <w:bCs w:val="0"/>
              </w:rPr>
              <w:t>Gastroenterologists</w:t>
            </w:r>
          </w:p>
        </w:tc>
        <w:tc>
          <w:tcPr>
            <w:tcW w:w="1738" w:type="dxa"/>
          </w:tcPr>
          <w:p w14:paraId="56D2F7AD" w14:textId="43B0A960" w:rsidR="00FA28E1" w:rsidRPr="003623E7" w:rsidRDefault="00FA2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12 (43%)</w:t>
            </w:r>
          </w:p>
        </w:tc>
      </w:tr>
      <w:tr w:rsidR="00FA28E1" w:rsidRPr="003623E7" w14:paraId="68D042E9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0CE0DBC9" w14:textId="131A0D23" w:rsidR="00FA28E1" w:rsidRPr="003623E7" w:rsidRDefault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="00FA28E1" w:rsidRPr="003623E7">
              <w:rPr>
                <w:rFonts w:ascii="Arial" w:hAnsi="Arial" w:cs="Arial"/>
                <w:b w:val="0"/>
                <w:bCs w:val="0"/>
              </w:rPr>
              <w:t>Laryngologists</w:t>
            </w:r>
          </w:p>
        </w:tc>
        <w:tc>
          <w:tcPr>
            <w:tcW w:w="1738" w:type="dxa"/>
            <w:shd w:val="clear" w:color="auto" w:fill="FFFFFF" w:themeFill="background1"/>
          </w:tcPr>
          <w:p w14:paraId="295C7893" w14:textId="444569D7" w:rsidR="00FA28E1" w:rsidRPr="003623E7" w:rsidRDefault="00FA2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9 (32%)</w:t>
            </w:r>
          </w:p>
        </w:tc>
      </w:tr>
      <w:tr w:rsidR="00FA28E1" w:rsidRPr="003623E7" w14:paraId="3501ED39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6D18F8A6" w14:textId="77777777" w:rsidR="00AD6C5E" w:rsidRDefault="00AD6C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="00FA28E1" w:rsidRPr="003623E7">
              <w:rPr>
                <w:rFonts w:ascii="Arial" w:hAnsi="Arial" w:cs="Arial"/>
                <w:b w:val="0"/>
                <w:bCs w:val="0"/>
              </w:rPr>
              <w:t xml:space="preserve">Speech Language </w:t>
            </w:r>
            <w:r>
              <w:rPr>
                <w:rFonts w:ascii="Arial" w:hAnsi="Arial" w:cs="Arial"/>
                <w:b w:val="0"/>
                <w:bCs w:val="0"/>
              </w:rPr>
              <w:t xml:space="preserve">    </w:t>
            </w:r>
          </w:p>
          <w:p w14:paraId="18A3D989" w14:textId="3462C12B" w:rsidR="00FA28E1" w:rsidRPr="003623E7" w:rsidRDefault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="00FA28E1" w:rsidRPr="003623E7">
              <w:rPr>
                <w:rFonts w:ascii="Arial" w:hAnsi="Arial" w:cs="Arial"/>
                <w:b w:val="0"/>
                <w:bCs w:val="0"/>
              </w:rPr>
              <w:t>Pathologists</w:t>
            </w:r>
          </w:p>
        </w:tc>
        <w:tc>
          <w:tcPr>
            <w:tcW w:w="1738" w:type="dxa"/>
          </w:tcPr>
          <w:p w14:paraId="60DD1E08" w14:textId="7A67450D" w:rsidR="00FA28E1" w:rsidRPr="003623E7" w:rsidRDefault="00FA2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6 (21%)</w:t>
            </w:r>
          </w:p>
        </w:tc>
      </w:tr>
      <w:tr w:rsidR="00FA28E1" w:rsidRPr="003623E7" w14:paraId="5A41EAF7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25F66A24" w14:textId="54EDA3B2" w:rsidR="00FA28E1" w:rsidRPr="003623E7" w:rsidRDefault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="00FA28E1" w:rsidRPr="003623E7">
              <w:rPr>
                <w:rFonts w:ascii="Arial" w:hAnsi="Arial" w:cs="Arial"/>
                <w:b w:val="0"/>
                <w:bCs w:val="0"/>
              </w:rPr>
              <w:t>Psychologists</w:t>
            </w:r>
          </w:p>
        </w:tc>
        <w:tc>
          <w:tcPr>
            <w:tcW w:w="1738" w:type="dxa"/>
            <w:shd w:val="clear" w:color="auto" w:fill="FFFFFF" w:themeFill="background1"/>
          </w:tcPr>
          <w:p w14:paraId="7952B706" w14:textId="703E1AC3" w:rsidR="00FA28E1" w:rsidRPr="003623E7" w:rsidRDefault="00FA2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 (4%)</w:t>
            </w:r>
          </w:p>
        </w:tc>
      </w:tr>
      <w:tr w:rsidR="005E2D9A" w:rsidRPr="003623E7" w14:paraId="2D2EF4DD" w14:textId="77777777" w:rsidTr="00E16E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3" w:type="dxa"/>
            <w:gridSpan w:val="2"/>
            <w:shd w:val="clear" w:color="auto" w:fill="D9D9D9" w:themeFill="background1" w:themeFillShade="D9"/>
          </w:tcPr>
          <w:p w14:paraId="67BC712A" w14:textId="076DB331" w:rsidR="005E2D9A" w:rsidRPr="003623E7" w:rsidRDefault="005E2D9A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Gender</w:t>
            </w:r>
          </w:p>
        </w:tc>
      </w:tr>
      <w:tr w:rsidR="00FA28E1" w:rsidRPr="003623E7" w14:paraId="5AA3E40E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4D0404AD" w14:textId="1670AB54" w:rsidR="00FA28E1" w:rsidRPr="003623E7" w:rsidRDefault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="00FA28E1" w:rsidRPr="003623E7">
              <w:rPr>
                <w:rFonts w:ascii="Arial" w:hAnsi="Arial" w:cs="Arial"/>
                <w:b w:val="0"/>
                <w:bCs w:val="0"/>
              </w:rPr>
              <w:t>Male</w:t>
            </w:r>
          </w:p>
        </w:tc>
        <w:tc>
          <w:tcPr>
            <w:tcW w:w="1738" w:type="dxa"/>
            <w:shd w:val="clear" w:color="auto" w:fill="FFFFFF" w:themeFill="background1"/>
          </w:tcPr>
          <w:p w14:paraId="2E344EC5" w14:textId="31AF31B7" w:rsidR="00FA28E1" w:rsidRPr="003623E7" w:rsidRDefault="00FA2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14 (50%)</w:t>
            </w:r>
          </w:p>
        </w:tc>
      </w:tr>
      <w:tr w:rsidR="00FA28E1" w:rsidRPr="003623E7" w14:paraId="3ED5703C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0867292F" w14:textId="15696FE6" w:rsidR="00FA28E1" w:rsidRPr="003623E7" w:rsidRDefault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="00FA28E1" w:rsidRPr="003623E7">
              <w:rPr>
                <w:rFonts w:ascii="Arial" w:hAnsi="Arial" w:cs="Arial"/>
                <w:b w:val="0"/>
                <w:bCs w:val="0"/>
              </w:rPr>
              <w:t>Female</w:t>
            </w:r>
          </w:p>
        </w:tc>
        <w:tc>
          <w:tcPr>
            <w:tcW w:w="1738" w:type="dxa"/>
            <w:shd w:val="clear" w:color="auto" w:fill="FFFFFF" w:themeFill="background1"/>
          </w:tcPr>
          <w:p w14:paraId="78A3A485" w14:textId="6A95BA5A" w:rsidR="00FA28E1" w:rsidRPr="003623E7" w:rsidRDefault="00FA2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14 (50%)</w:t>
            </w:r>
          </w:p>
        </w:tc>
      </w:tr>
      <w:tr w:rsidR="00FA28E1" w:rsidRPr="003623E7" w14:paraId="5CC16E54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654D3EA4" w14:textId="72E64F3B" w:rsidR="00FA28E1" w:rsidRPr="003623E7" w:rsidRDefault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="00FA28E1" w:rsidRPr="003623E7">
              <w:rPr>
                <w:rFonts w:ascii="Arial" w:hAnsi="Arial" w:cs="Arial"/>
                <w:b w:val="0"/>
                <w:bCs w:val="0"/>
              </w:rPr>
              <w:t>Non-binary</w:t>
            </w:r>
          </w:p>
        </w:tc>
        <w:tc>
          <w:tcPr>
            <w:tcW w:w="1738" w:type="dxa"/>
            <w:shd w:val="clear" w:color="auto" w:fill="FFFFFF" w:themeFill="background1"/>
          </w:tcPr>
          <w:p w14:paraId="5F691116" w14:textId="300C5558" w:rsidR="00FA28E1" w:rsidRPr="003623E7" w:rsidRDefault="00FA2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0 (0%)</w:t>
            </w:r>
          </w:p>
        </w:tc>
      </w:tr>
      <w:tr w:rsidR="005E2D9A" w:rsidRPr="003623E7" w14:paraId="05D5B307" w14:textId="77777777" w:rsidTr="005A7B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3" w:type="dxa"/>
            <w:gridSpan w:val="2"/>
            <w:shd w:val="clear" w:color="auto" w:fill="D9D9D9" w:themeFill="background1" w:themeFillShade="D9"/>
          </w:tcPr>
          <w:p w14:paraId="18BC2F7C" w14:textId="1F2E9F0B" w:rsidR="005E2D9A" w:rsidRPr="003623E7" w:rsidRDefault="005E2D9A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Country</w:t>
            </w:r>
          </w:p>
        </w:tc>
      </w:tr>
      <w:tr w:rsidR="00AD6C5E" w:rsidRPr="003623E7" w14:paraId="5199A5BF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409EAEEB" w14:textId="5F50AA88" w:rsidR="00AD6C5E" w:rsidRPr="003623E7" w:rsidRDefault="00AD6C5E" w:rsidP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Pr="003623E7">
              <w:rPr>
                <w:rFonts w:ascii="Arial" w:hAnsi="Arial" w:cs="Arial"/>
                <w:b w:val="0"/>
                <w:bCs w:val="0"/>
              </w:rPr>
              <w:t>Australia</w:t>
            </w:r>
          </w:p>
        </w:tc>
        <w:tc>
          <w:tcPr>
            <w:tcW w:w="1738" w:type="dxa"/>
            <w:shd w:val="clear" w:color="auto" w:fill="FFFFFF" w:themeFill="background1"/>
          </w:tcPr>
          <w:p w14:paraId="22A93D19" w14:textId="14D905C2" w:rsidR="00AD6C5E" w:rsidRPr="003623E7" w:rsidRDefault="00AD6C5E" w:rsidP="00AD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 (8%)</w:t>
            </w:r>
          </w:p>
        </w:tc>
      </w:tr>
      <w:tr w:rsidR="00AD6C5E" w:rsidRPr="003623E7" w14:paraId="3EC7CF33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0553EA79" w14:textId="1F7183AC" w:rsidR="00AD6C5E" w:rsidRPr="003623E7" w:rsidRDefault="00AD6C5E" w:rsidP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Pr="003623E7">
              <w:rPr>
                <w:rFonts w:ascii="Arial" w:hAnsi="Arial" w:cs="Arial"/>
                <w:b w:val="0"/>
                <w:bCs w:val="0"/>
              </w:rPr>
              <w:t>Belgium</w:t>
            </w:r>
          </w:p>
        </w:tc>
        <w:tc>
          <w:tcPr>
            <w:tcW w:w="1738" w:type="dxa"/>
            <w:shd w:val="clear" w:color="auto" w:fill="FFFFFF" w:themeFill="background1"/>
          </w:tcPr>
          <w:p w14:paraId="7F56C4C6" w14:textId="4A21126F" w:rsidR="00AD6C5E" w:rsidRPr="003623E7" w:rsidRDefault="00AD6C5E" w:rsidP="00AD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(4%)</w:t>
            </w:r>
          </w:p>
        </w:tc>
      </w:tr>
      <w:tr w:rsidR="00AD6C5E" w:rsidRPr="003623E7" w14:paraId="07CC3EF7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6CEB33DD" w14:textId="6B798232" w:rsidR="00AD6C5E" w:rsidRPr="003623E7" w:rsidRDefault="00AD6C5E" w:rsidP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Pr="003623E7">
              <w:rPr>
                <w:rFonts w:ascii="Arial" w:hAnsi="Arial" w:cs="Arial"/>
                <w:b w:val="0"/>
                <w:bCs w:val="0"/>
              </w:rPr>
              <w:t>China</w:t>
            </w:r>
          </w:p>
        </w:tc>
        <w:tc>
          <w:tcPr>
            <w:tcW w:w="1738" w:type="dxa"/>
            <w:shd w:val="clear" w:color="auto" w:fill="FFFFFF" w:themeFill="background1"/>
          </w:tcPr>
          <w:p w14:paraId="16319921" w14:textId="1CBCE464" w:rsidR="00AD6C5E" w:rsidRPr="003623E7" w:rsidRDefault="00AD6C5E" w:rsidP="00AD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(4%)</w:t>
            </w:r>
          </w:p>
        </w:tc>
      </w:tr>
      <w:tr w:rsidR="00AD6C5E" w:rsidRPr="003623E7" w14:paraId="2E270EF9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50CD8878" w14:textId="11D29DA0" w:rsidR="00AD6C5E" w:rsidRPr="003623E7" w:rsidRDefault="00AD6C5E" w:rsidP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Pr="003623E7">
              <w:rPr>
                <w:rFonts w:ascii="Arial" w:hAnsi="Arial" w:cs="Arial"/>
                <w:b w:val="0"/>
                <w:bCs w:val="0"/>
              </w:rPr>
              <w:t>France</w:t>
            </w:r>
          </w:p>
        </w:tc>
        <w:tc>
          <w:tcPr>
            <w:tcW w:w="1738" w:type="dxa"/>
            <w:shd w:val="clear" w:color="auto" w:fill="FFFFFF" w:themeFill="background1"/>
          </w:tcPr>
          <w:p w14:paraId="77F93304" w14:textId="10253B49" w:rsidR="00AD6C5E" w:rsidRPr="003623E7" w:rsidRDefault="00AD6C5E" w:rsidP="00AD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 (8%)</w:t>
            </w:r>
          </w:p>
        </w:tc>
      </w:tr>
      <w:tr w:rsidR="00AD6C5E" w:rsidRPr="003623E7" w14:paraId="7FA291D2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3BF2A795" w14:textId="095998E3" w:rsidR="00AD6C5E" w:rsidRPr="003623E7" w:rsidRDefault="00AD6C5E" w:rsidP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Pr="003623E7">
              <w:rPr>
                <w:rFonts w:ascii="Arial" w:hAnsi="Arial" w:cs="Arial"/>
                <w:b w:val="0"/>
                <w:bCs w:val="0"/>
              </w:rPr>
              <w:t>Hong Kong</w:t>
            </w:r>
          </w:p>
        </w:tc>
        <w:tc>
          <w:tcPr>
            <w:tcW w:w="1738" w:type="dxa"/>
            <w:shd w:val="clear" w:color="auto" w:fill="FFFFFF" w:themeFill="background1"/>
          </w:tcPr>
          <w:p w14:paraId="6713DA17" w14:textId="08747789" w:rsidR="00AD6C5E" w:rsidRPr="003623E7" w:rsidRDefault="00AD6C5E" w:rsidP="00AD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(4%)</w:t>
            </w:r>
          </w:p>
        </w:tc>
      </w:tr>
      <w:tr w:rsidR="00AD6C5E" w:rsidRPr="003623E7" w14:paraId="2052B787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4CEB134A" w14:textId="4F4E1D70" w:rsidR="00AD6C5E" w:rsidRPr="003623E7" w:rsidRDefault="00AD6C5E" w:rsidP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Pr="003623E7">
              <w:rPr>
                <w:rFonts w:ascii="Arial" w:hAnsi="Arial" w:cs="Arial"/>
                <w:b w:val="0"/>
                <w:bCs w:val="0"/>
              </w:rPr>
              <w:t>Japan</w:t>
            </w:r>
          </w:p>
        </w:tc>
        <w:tc>
          <w:tcPr>
            <w:tcW w:w="1738" w:type="dxa"/>
            <w:shd w:val="clear" w:color="auto" w:fill="FFFFFF" w:themeFill="background1"/>
          </w:tcPr>
          <w:p w14:paraId="714FE009" w14:textId="00C6C31E" w:rsidR="00AD6C5E" w:rsidRPr="003623E7" w:rsidRDefault="00AD6C5E" w:rsidP="00AD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(4%)</w:t>
            </w:r>
          </w:p>
        </w:tc>
      </w:tr>
      <w:tr w:rsidR="00AD6C5E" w:rsidRPr="003623E7" w14:paraId="1B657515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74F14EF9" w14:textId="6DC2CACF" w:rsidR="00AD6C5E" w:rsidRPr="003623E7" w:rsidRDefault="00AD6C5E" w:rsidP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Pr="003623E7">
              <w:rPr>
                <w:rFonts w:ascii="Arial" w:hAnsi="Arial" w:cs="Arial"/>
                <w:b w:val="0"/>
                <w:bCs w:val="0"/>
              </w:rPr>
              <w:t>Mexico</w:t>
            </w:r>
          </w:p>
        </w:tc>
        <w:tc>
          <w:tcPr>
            <w:tcW w:w="1738" w:type="dxa"/>
            <w:shd w:val="clear" w:color="auto" w:fill="FFFFFF" w:themeFill="background1"/>
          </w:tcPr>
          <w:p w14:paraId="686F92F3" w14:textId="51B15D9F" w:rsidR="00AD6C5E" w:rsidRPr="003623E7" w:rsidRDefault="00AD6C5E" w:rsidP="00AD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(4%)</w:t>
            </w:r>
          </w:p>
        </w:tc>
      </w:tr>
      <w:tr w:rsidR="00AD6C5E" w:rsidRPr="003623E7" w14:paraId="3DE8E2D6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43016D6C" w14:textId="3186D5BC" w:rsidR="00AD6C5E" w:rsidRPr="003623E7" w:rsidRDefault="00AD6C5E" w:rsidP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Pr="003623E7">
              <w:rPr>
                <w:rFonts w:ascii="Arial" w:hAnsi="Arial" w:cs="Arial"/>
                <w:b w:val="0"/>
                <w:bCs w:val="0"/>
              </w:rPr>
              <w:t>Taiwan</w:t>
            </w:r>
          </w:p>
        </w:tc>
        <w:tc>
          <w:tcPr>
            <w:tcW w:w="1738" w:type="dxa"/>
            <w:shd w:val="clear" w:color="auto" w:fill="FFFFFF" w:themeFill="background1"/>
          </w:tcPr>
          <w:p w14:paraId="28CF908B" w14:textId="5D8A8717" w:rsidR="00AD6C5E" w:rsidRPr="003623E7" w:rsidRDefault="00AD6C5E" w:rsidP="00AD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(4%)</w:t>
            </w:r>
          </w:p>
        </w:tc>
      </w:tr>
      <w:tr w:rsidR="00AD6C5E" w:rsidRPr="003623E7" w14:paraId="4D8EBE8B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371BAA53" w14:textId="689C9FA7" w:rsidR="00AD6C5E" w:rsidRPr="003623E7" w:rsidRDefault="00AD6C5E" w:rsidP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Pr="003623E7">
              <w:rPr>
                <w:rFonts w:ascii="Arial" w:hAnsi="Arial" w:cs="Arial"/>
                <w:b w:val="0"/>
                <w:bCs w:val="0"/>
              </w:rPr>
              <w:t>United States</w:t>
            </w:r>
          </w:p>
        </w:tc>
        <w:tc>
          <w:tcPr>
            <w:tcW w:w="1738" w:type="dxa"/>
            <w:shd w:val="clear" w:color="auto" w:fill="FFFFFF" w:themeFill="background1"/>
          </w:tcPr>
          <w:p w14:paraId="3B61F537" w14:textId="61899308" w:rsidR="00AD6C5E" w:rsidRPr="003623E7" w:rsidRDefault="00AD6C5E" w:rsidP="00AD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17</w:t>
            </w:r>
            <w:r>
              <w:rPr>
                <w:rFonts w:ascii="Arial" w:hAnsi="Arial" w:cs="Arial"/>
              </w:rPr>
              <w:t xml:space="preserve"> (61%)</w:t>
            </w:r>
          </w:p>
        </w:tc>
      </w:tr>
      <w:tr w:rsidR="00AD6C5E" w:rsidRPr="003623E7" w14:paraId="4D434A3F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FFFFFF" w:themeFill="background1"/>
          </w:tcPr>
          <w:p w14:paraId="0B59526E" w14:textId="7F8F4097" w:rsidR="00AD6C5E" w:rsidRPr="003623E7" w:rsidRDefault="00AD6C5E" w:rsidP="00AD6C5E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  </w:t>
            </w:r>
            <w:r w:rsidRPr="003623E7">
              <w:rPr>
                <w:rFonts w:ascii="Arial" w:hAnsi="Arial" w:cs="Arial"/>
                <w:b w:val="0"/>
                <w:bCs w:val="0"/>
              </w:rPr>
              <w:t>United Kingdom</w:t>
            </w:r>
          </w:p>
        </w:tc>
        <w:tc>
          <w:tcPr>
            <w:tcW w:w="1738" w:type="dxa"/>
            <w:shd w:val="clear" w:color="auto" w:fill="FFFFFF" w:themeFill="background1"/>
          </w:tcPr>
          <w:p w14:paraId="7CBBFA8F" w14:textId="47E1C58C" w:rsidR="00AD6C5E" w:rsidRPr="003623E7" w:rsidRDefault="00AD6C5E" w:rsidP="00AD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(4%)</w:t>
            </w:r>
          </w:p>
        </w:tc>
      </w:tr>
      <w:tr w:rsidR="00AD6C5E" w:rsidRPr="003623E7" w14:paraId="3460A169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D9D9D9" w:themeFill="background1" w:themeFillShade="D9"/>
          </w:tcPr>
          <w:p w14:paraId="6C6FA0A0" w14:textId="0BE82015" w:rsidR="00AD6C5E" w:rsidRPr="003623E7" w:rsidRDefault="00AD6C5E" w:rsidP="00AD6C5E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Years in Practice, mean (SD)</w:t>
            </w:r>
          </w:p>
        </w:tc>
        <w:tc>
          <w:tcPr>
            <w:tcW w:w="1738" w:type="dxa"/>
            <w:shd w:val="clear" w:color="auto" w:fill="D9D9D9" w:themeFill="background1" w:themeFillShade="D9"/>
          </w:tcPr>
          <w:p w14:paraId="11720966" w14:textId="18E4DFE0" w:rsidR="00AD6C5E" w:rsidRPr="003623E7" w:rsidRDefault="00AD6C5E" w:rsidP="00AD6C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16.1 (7.8)</w:t>
            </w:r>
          </w:p>
        </w:tc>
      </w:tr>
      <w:tr w:rsidR="00AD6C5E" w:rsidRPr="003623E7" w14:paraId="4FECA6BD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shd w:val="clear" w:color="auto" w:fill="D9D9D9" w:themeFill="background1" w:themeFillShade="D9"/>
          </w:tcPr>
          <w:p w14:paraId="74CD3553" w14:textId="3415B41C" w:rsidR="00AD6C5E" w:rsidRPr="003623E7" w:rsidRDefault="00AD6C5E" w:rsidP="00AD6C5E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 xml:space="preserve">Patients </w:t>
            </w:r>
            <w:r w:rsidR="00C959F4">
              <w:rPr>
                <w:rFonts w:ascii="Arial" w:hAnsi="Arial" w:cs="Arial"/>
              </w:rPr>
              <w:t>r</w:t>
            </w:r>
            <w:r w:rsidRPr="003623E7">
              <w:rPr>
                <w:rFonts w:ascii="Arial" w:hAnsi="Arial" w:cs="Arial"/>
              </w:rPr>
              <w:t>eferred for LPS per month</w:t>
            </w:r>
            <w:r w:rsidR="00C959F4">
              <w:rPr>
                <w:rFonts w:ascii="Arial" w:hAnsi="Arial" w:cs="Arial"/>
              </w:rPr>
              <w:t xml:space="preserve"> per provider</w:t>
            </w:r>
            <w:r w:rsidRPr="003623E7">
              <w:rPr>
                <w:rFonts w:ascii="Arial" w:hAnsi="Arial" w:cs="Arial"/>
              </w:rPr>
              <w:t>, mean (SD)</w:t>
            </w:r>
          </w:p>
        </w:tc>
        <w:tc>
          <w:tcPr>
            <w:tcW w:w="1738" w:type="dxa"/>
            <w:shd w:val="clear" w:color="auto" w:fill="D9D9D9" w:themeFill="background1" w:themeFillShade="D9"/>
          </w:tcPr>
          <w:p w14:paraId="7F83B266" w14:textId="3349E441" w:rsidR="00AD6C5E" w:rsidRPr="003623E7" w:rsidRDefault="00AD6C5E" w:rsidP="00AD6C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27 (21.3)</w:t>
            </w:r>
          </w:p>
        </w:tc>
      </w:tr>
    </w:tbl>
    <w:p w14:paraId="05218D8A" w14:textId="41588F2B" w:rsidR="00ED31E8" w:rsidRPr="003623E7" w:rsidRDefault="00ED31E8">
      <w:pPr>
        <w:rPr>
          <w:rFonts w:ascii="Arial" w:hAnsi="Arial" w:cs="Arial"/>
        </w:rPr>
      </w:pPr>
    </w:p>
    <w:p w14:paraId="7D793EFB" w14:textId="6425E588" w:rsidR="001E0BD3" w:rsidRPr="003623E7" w:rsidRDefault="001E0BD3">
      <w:pPr>
        <w:rPr>
          <w:rFonts w:ascii="Arial" w:hAnsi="Arial" w:cs="Arial"/>
          <w:b/>
          <w:bCs/>
        </w:rPr>
      </w:pPr>
      <w:r w:rsidRPr="003623E7">
        <w:rPr>
          <w:rFonts w:ascii="Arial" w:hAnsi="Arial" w:cs="Arial"/>
          <w:b/>
          <w:bCs/>
        </w:rPr>
        <w:t>Supplemental Table 2. S</w:t>
      </w:r>
      <w:r w:rsidR="003C20CE" w:rsidRPr="003623E7">
        <w:rPr>
          <w:rFonts w:ascii="Arial" w:hAnsi="Arial" w:cs="Arial"/>
          <w:b/>
          <w:bCs/>
        </w:rPr>
        <w:t>ymptoms that did not meet agreement as an LPS</w:t>
      </w:r>
    </w:p>
    <w:tbl>
      <w:tblPr>
        <w:tblStyle w:val="ListTable4"/>
        <w:tblW w:w="0" w:type="auto"/>
        <w:tblLook w:val="04A0" w:firstRow="1" w:lastRow="0" w:firstColumn="1" w:lastColumn="0" w:noHBand="0" w:noVBand="1"/>
      </w:tblPr>
      <w:tblGrid>
        <w:gridCol w:w="4495"/>
        <w:gridCol w:w="2160"/>
      </w:tblGrid>
      <w:tr w:rsidR="00FA28E1" w:rsidRPr="003623E7" w14:paraId="350B76E4" w14:textId="77777777" w:rsidTr="005E2D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5AEE3A0E" w14:textId="77777777" w:rsidR="00FA28E1" w:rsidRPr="003623E7" w:rsidRDefault="00FA28E1" w:rsidP="00247136">
            <w:pPr>
              <w:rPr>
                <w:rFonts w:ascii="Arial" w:hAnsi="Arial" w:cs="Arial"/>
                <w:b w:val="0"/>
              </w:rPr>
            </w:pPr>
            <w:r w:rsidRPr="003623E7">
              <w:rPr>
                <w:rFonts w:ascii="Arial" w:hAnsi="Arial" w:cs="Arial"/>
              </w:rPr>
              <w:t>Symptom</w:t>
            </w:r>
          </w:p>
        </w:tc>
        <w:tc>
          <w:tcPr>
            <w:tcW w:w="2160" w:type="dxa"/>
          </w:tcPr>
          <w:p w14:paraId="335EB45B" w14:textId="77777777" w:rsidR="005E2D9A" w:rsidRDefault="003C20CE" w:rsidP="002471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3623E7">
              <w:rPr>
                <w:rFonts w:ascii="Arial" w:hAnsi="Arial" w:cs="Arial"/>
                <w:b w:val="0"/>
              </w:rPr>
              <w:t xml:space="preserve">Median </w:t>
            </w:r>
          </w:p>
          <w:p w14:paraId="00360FDE" w14:textId="45D5BA73" w:rsidR="00FA28E1" w:rsidRPr="003623E7" w:rsidRDefault="003C20CE" w:rsidP="002471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3623E7">
              <w:rPr>
                <w:rFonts w:ascii="Arial" w:hAnsi="Arial" w:cs="Arial"/>
                <w:b w:val="0"/>
              </w:rPr>
              <w:t>(% Agreement)</w:t>
            </w:r>
          </w:p>
        </w:tc>
      </w:tr>
      <w:tr w:rsidR="003618FB" w:rsidRPr="003623E7" w14:paraId="2721CBBF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3FD77BC1" w14:textId="575E292E" w:rsidR="003618FB" w:rsidRPr="003623E7" w:rsidRDefault="003618FB" w:rsidP="003618FB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Globus</w:t>
            </w:r>
          </w:p>
        </w:tc>
        <w:tc>
          <w:tcPr>
            <w:tcW w:w="2160" w:type="dxa"/>
          </w:tcPr>
          <w:p w14:paraId="48B371CE" w14:textId="525EB755" w:rsidR="003618FB" w:rsidRPr="003623E7" w:rsidRDefault="003618FB" w:rsidP="003618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7 (68%)</w:t>
            </w:r>
          </w:p>
        </w:tc>
      </w:tr>
      <w:tr w:rsidR="005E2D9A" w:rsidRPr="003623E7" w14:paraId="3F5FE9D7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31B64AE3" w14:textId="68DB2AA1" w:rsidR="005E2D9A" w:rsidRPr="003623E7" w:rsidRDefault="005E2D9A" w:rsidP="005E2D9A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Frequent belching</w:t>
            </w:r>
          </w:p>
        </w:tc>
        <w:tc>
          <w:tcPr>
            <w:tcW w:w="2160" w:type="dxa"/>
          </w:tcPr>
          <w:p w14:paraId="3963A93A" w14:textId="3AFF4F6F" w:rsidR="005E2D9A" w:rsidRPr="003623E7" w:rsidRDefault="005E2D9A" w:rsidP="005E2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6.5 (50%)</w:t>
            </w:r>
          </w:p>
        </w:tc>
      </w:tr>
      <w:tr w:rsidR="005E2D9A" w:rsidRPr="003623E7" w14:paraId="6F2F4764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4B1D56EC" w14:textId="3C404419" w:rsidR="005E2D9A" w:rsidRPr="003623E7" w:rsidRDefault="005E2D9A" w:rsidP="005E2D9A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Dysphagia</w:t>
            </w:r>
          </w:p>
        </w:tc>
        <w:tc>
          <w:tcPr>
            <w:tcW w:w="2160" w:type="dxa"/>
          </w:tcPr>
          <w:p w14:paraId="3F9C6DDB" w14:textId="08814B20" w:rsidR="005E2D9A" w:rsidRPr="003623E7" w:rsidRDefault="005E2D9A" w:rsidP="005E2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6 (32%)</w:t>
            </w:r>
          </w:p>
        </w:tc>
      </w:tr>
      <w:tr w:rsidR="005E2D9A" w:rsidRPr="003623E7" w14:paraId="745A434B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402B8A1C" w14:textId="77777777" w:rsidR="005E2D9A" w:rsidRPr="003623E7" w:rsidRDefault="005E2D9A" w:rsidP="005E2D9A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Post nasal drip</w:t>
            </w:r>
          </w:p>
        </w:tc>
        <w:tc>
          <w:tcPr>
            <w:tcW w:w="2160" w:type="dxa"/>
          </w:tcPr>
          <w:p w14:paraId="615E2910" w14:textId="77777777" w:rsidR="005E2D9A" w:rsidRPr="003623E7" w:rsidRDefault="005E2D9A" w:rsidP="005E2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5 (29%)</w:t>
            </w:r>
          </w:p>
        </w:tc>
      </w:tr>
      <w:tr w:rsidR="005E2D9A" w:rsidRPr="003623E7" w14:paraId="37F0FCC9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40286A73" w14:textId="77777777" w:rsidR="005E2D9A" w:rsidRPr="003623E7" w:rsidRDefault="005E2D9A" w:rsidP="005E2D9A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Tongue burning</w:t>
            </w:r>
          </w:p>
        </w:tc>
        <w:tc>
          <w:tcPr>
            <w:tcW w:w="2160" w:type="dxa"/>
          </w:tcPr>
          <w:p w14:paraId="6988960A" w14:textId="77777777" w:rsidR="005E2D9A" w:rsidRPr="003623E7" w:rsidRDefault="005E2D9A" w:rsidP="005E2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5 (29%)</w:t>
            </w:r>
          </w:p>
        </w:tc>
      </w:tr>
      <w:tr w:rsidR="005E2D9A" w:rsidRPr="003623E7" w14:paraId="4975D880" w14:textId="77777777" w:rsidTr="005E2D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2BD01A9D" w14:textId="7A526C38" w:rsidR="005E2D9A" w:rsidRPr="003623E7" w:rsidRDefault="005E2D9A" w:rsidP="005E2D9A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Halitosis</w:t>
            </w:r>
          </w:p>
        </w:tc>
        <w:tc>
          <w:tcPr>
            <w:tcW w:w="2160" w:type="dxa"/>
          </w:tcPr>
          <w:p w14:paraId="6999B9B2" w14:textId="470EA39E" w:rsidR="005E2D9A" w:rsidRPr="003623E7" w:rsidRDefault="005E2D9A" w:rsidP="005E2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5 (18%)</w:t>
            </w:r>
          </w:p>
        </w:tc>
      </w:tr>
      <w:tr w:rsidR="005E2D9A" w:rsidRPr="003623E7" w14:paraId="4566FDF1" w14:textId="77777777" w:rsidTr="005E2D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</w:tcPr>
          <w:p w14:paraId="331E8E3A" w14:textId="77777777" w:rsidR="005E2D9A" w:rsidRPr="003623E7" w:rsidRDefault="005E2D9A" w:rsidP="005E2D9A">
            <w:pPr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Nasal burning</w:t>
            </w:r>
          </w:p>
        </w:tc>
        <w:tc>
          <w:tcPr>
            <w:tcW w:w="2160" w:type="dxa"/>
          </w:tcPr>
          <w:p w14:paraId="36430D6E" w14:textId="77777777" w:rsidR="005E2D9A" w:rsidRPr="003623E7" w:rsidRDefault="005E2D9A" w:rsidP="005E2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4.5 (11%)</w:t>
            </w:r>
          </w:p>
        </w:tc>
      </w:tr>
    </w:tbl>
    <w:p w14:paraId="1C8EBCA4" w14:textId="65EB6AFF" w:rsidR="00FA28E1" w:rsidRPr="003623E7" w:rsidRDefault="00FA28E1">
      <w:pPr>
        <w:rPr>
          <w:rFonts w:ascii="Arial" w:hAnsi="Arial" w:cs="Arial"/>
        </w:rPr>
      </w:pPr>
    </w:p>
    <w:p w14:paraId="5CB068DA" w14:textId="77777777" w:rsidR="00AD6C5E" w:rsidRDefault="00AD6C5E">
      <w:pPr>
        <w:rPr>
          <w:rFonts w:ascii="Arial" w:hAnsi="Arial" w:cs="Arial"/>
          <w:b/>
          <w:bCs/>
        </w:rPr>
      </w:pPr>
    </w:p>
    <w:p w14:paraId="5C1CF036" w14:textId="77777777" w:rsidR="00AD6C5E" w:rsidRDefault="00AD6C5E">
      <w:pPr>
        <w:rPr>
          <w:rFonts w:ascii="Arial" w:hAnsi="Arial" w:cs="Arial"/>
          <w:b/>
          <w:bCs/>
        </w:rPr>
      </w:pPr>
    </w:p>
    <w:p w14:paraId="4D8AD5A0" w14:textId="77777777" w:rsidR="00AD6C5E" w:rsidRDefault="00AD6C5E">
      <w:pPr>
        <w:rPr>
          <w:rFonts w:ascii="Arial" w:hAnsi="Arial" w:cs="Arial"/>
          <w:b/>
          <w:bCs/>
        </w:rPr>
      </w:pPr>
    </w:p>
    <w:p w14:paraId="396C0D52" w14:textId="77777777" w:rsidR="00AD6C5E" w:rsidRDefault="00AD6C5E">
      <w:pPr>
        <w:rPr>
          <w:rFonts w:ascii="Arial" w:hAnsi="Arial" w:cs="Arial"/>
          <w:b/>
          <w:bCs/>
        </w:rPr>
      </w:pPr>
    </w:p>
    <w:p w14:paraId="25C3FD27" w14:textId="22B12A23" w:rsidR="00AD6C5E" w:rsidRPr="003623E7" w:rsidRDefault="00600440" w:rsidP="00AD6C5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1374AAE8" w14:textId="0F45823D" w:rsidR="001E0BD3" w:rsidRPr="003623E7" w:rsidRDefault="001E0BD3">
      <w:pPr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page" w:horzAnchor="margin" w:tblpY="1366"/>
        <w:tblW w:w="9445" w:type="dxa"/>
        <w:tblLook w:val="04A0" w:firstRow="1" w:lastRow="0" w:firstColumn="1" w:lastColumn="0" w:noHBand="0" w:noVBand="1"/>
      </w:tblPr>
      <w:tblGrid>
        <w:gridCol w:w="6925"/>
        <w:gridCol w:w="1440"/>
        <w:gridCol w:w="1080"/>
      </w:tblGrid>
      <w:tr w:rsidR="00600440" w:rsidRPr="003623E7" w14:paraId="325E32B2" w14:textId="77777777" w:rsidTr="005E2D9A">
        <w:tc>
          <w:tcPr>
            <w:tcW w:w="9445" w:type="dxa"/>
            <w:gridSpan w:val="3"/>
            <w:shd w:val="clear" w:color="auto" w:fill="000000" w:themeFill="text1"/>
          </w:tcPr>
          <w:p w14:paraId="793A45CD" w14:textId="77777777" w:rsidR="00600440" w:rsidRPr="003623E7" w:rsidRDefault="00600440" w:rsidP="00600440">
            <w:pPr>
              <w:rPr>
                <w:rFonts w:ascii="Arial" w:hAnsi="Arial" w:cs="Arial"/>
                <w:b/>
                <w:bCs/>
              </w:rPr>
            </w:pPr>
            <w:r w:rsidRPr="003623E7">
              <w:rPr>
                <w:rFonts w:ascii="Arial" w:hAnsi="Arial" w:cs="Arial"/>
                <w:b/>
                <w:bCs/>
              </w:rPr>
              <w:t>Supplemental Table 3. Statements that did not reach agreement</w:t>
            </w:r>
          </w:p>
          <w:p w14:paraId="1083FBC3" w14:textId="77777777" w:rsidR="00600440" w:rsidRPr="003623E7" w:rsidRDefault="00600440" w:rsidP="0024713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D6C5E" w:rsidRPr="003623E7" w14:paraId="166D7BC7" w14:textId="77777777" w:rsidTr="005E2D9A">
        <w:tc>
          <w:tcPr>
            <w:tcW w:w="6925" w:type="dxa"/>
            <w:shd w:val="clear" w:color="auto" w:fill="D9D9D9" w:themeFill="background1" w:themeFillShade="D9"/>
          </w:tcPr>
          <w:p w14:paraId="379ED0A1" w14:textId="77777777" w:rsidR="00AD6C5E" w:rsidRPr="003623E7" w:rsidRDefault="00AD6C5E" w:rsidP="0024713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623E7">
              <w:rPr>
                <w:rFonts w:ascii="Arial" w:hAnsi="Arial" w:cs="Arial"/>
                <w:b/>
                <w:bCs/>
                <w:color w:val="000000"/>
              </w:rPr>
              <w:t>Statement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2B68322" w14:textId="77777777" w:rsidR="00AD6C5E" w:rsidRPr="003623E7" w:rsidRDefault="00AD6C5E" w:rsidP="00247136">
            <w:pPr>
              <w:rPr>
                <w:rFonts w:ascii="Arial" w:hAnsi="Arial" w:cs="Arial"/>
                <w:b/>
                <w:bCs/>
              </w:rPr>
            </w:pPr>
            <w:r w:rsidRPr="003623E7">
              <w:rPr>
                <w:rFonts w:ascii="Arial" w:hAnsi="Arial" w:cs="Arial"/>
                <w:b/>
                <w:bCs/>
              </w:rPr>
              <w:t>Agreement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0ED1969B" w14:textId="77777777" w:rsidR="00AD6C5E" w:rsidRPr="003623E7" w:rsidRDefault="00AD6C5E" w:rsidP="00247136">
            <w:pPr>
              <w:rPr>
                <w:rFonts w:ascii="Arial" w:hAnsi="Arial" w:cs="Arial"/>
                <w:b/>
                <w:bCs/>
              </w:rPr>
            </w:pPr>
            <w:r w:rsidRPr="003623E7">
              <w:rPr>
                <w:rFonts w:ascii="Arial" w:hAnsi="Arial" w:cs="Arial"/>
                <w:b/>
                <w:bCs/>
              </w:rPr>
              <w:t>Median Score</w:t>
            </w:r>
          </w:p>
        </w:tc>
      </w:tr>
      <w:tr w:rsidR="00AD6C5E" w:rsidRPr="003623E7" w14:paraId="29A59BD8" w14:textId="77777777" w:rsidTr="00AD6C5E">
        <w:tc>
          <w:tcPr>
            <w:tcW w:w="6925" w:type="dxa"/>
            <w:shd w:val="clear" w:color="auto" w:fill="FFFFFF" w:themeFill="background1"/>
          </w:tcPr>
          <w:p w14:paraId="013245DB" w14:textId="77777777" w:rsidR="00AD6C5E" w:rsidRPr="003623E7" w:rsidRDefault="00AD6C5E" w:rsidP="00AD6C5E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FA28E1">
              <w:rPr>
                <w:rFonts w:ascii="Arial" w:hAnsi="Arial" w:cs="Arial"/>
              </w:rPr>
              <w:t>Globus has potential to be related to gastroesophageal reflux.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E9DC2" w14:textId="6CF94105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A28E1">
              <w:rPr>
                <w:rFonts w:ascii="Arial" w:hAnsi="Arial" w:cs="Arial"/>
              </w:rPr>
              <w:t>57%</w:t>
            </w:r>
          </w:p>
        </w:tc>
        <w:tc>
          <w:tcPr>
            <w:tcW w:w="1080" w:type="dxa"/>
            <w:shd w:val="clear" w:color="auto" w:fill="FFFFFF" w:themeFill="background1"/>
          </w:tcPr>
          <w:p w14:paraId="45E6BB9F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A28E1">
              <w:rPr>
                <w:rFonts w:ascii="Arial" w:hAnsi="Arial" w:cs="Arial"/>
              </w:rPr>
              <w:t>7</w:t>
            </w:r>
          </w:p>
        </w:tc>
      </w:tr>
      <w:tr w:rsidR="00AD6C5E" w:rsidRPr="003623E7" w14:paraId="56724A25" w14:textId="77777777" w:rsidTr="00AD6C5E">
        <w:tc>
          <w:tcPr>
            <w:tcW w:w="6925" w:type="dxa"/>
            <w:shd w:val="clear" w:color="auto" w:fill="FFFFFF" w:themeFill="background1"/>
          </w:tcPr>
          <w:p w14:paraId="515887E8" w14:textId="77777777" w:rsidR="00AD6C5E" w:rsidRPr="003623E7" w:rsidRDefault="00AD6C5E" w:rsidP="00AD6C5E">
            <w:pPr>
              <w:spacing w:line="276" w:lineRule="auto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Belching has potential to be related to gastroesophageal reflux.</w:t>
            </w:r>
          </w:p>
        </w:tc>
        <w:tc>
          <w:tcPr>
            <w:tcW w:w="1440" w:type="dxa"/>
            <w:shd w:val="clear" w:color="auto" w:fill="FFFFFF" w:themeFill="background1"/>
          </w:tcPr>
          <w:p w14:paraId="4C62B256" w14:textId="5730249B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71%</w:t>
            </w:r>
          </w:p>
        </w:tc>
        <w:tc>
          <w:tcPr>
            <w:tcW w:w="1080" w:type="dxa"/>
            <w:shd w:val="clear" w:color="auto" w:fill="FFFFFF" w:themeFill="background1"/>
          </w:tcPr>
          <w:p w14:paraId="01606C08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7</w:t>
            </w:r>
          </w:p>
        </w:tc>
      </w:tr>
      <w:tr w:rsidR="00AD6C5E" w:rsidRPr="003623E7" w14:paraId="7B95183F" w14:textId="77777777" w:rsidTr="00AD6C5E">
        <w:tc>
          <w:tcPr>
            <w:tcW w:w="6925" w:type="dxa"/>
            <w:shd w:val="clear" w:color="auto" w:fill="FFFFFF" w:themeFill="background1"/>
          </w:tcPr>
          <w:p w14:paraId="79936001" w14:textId="77777777" w:rsidR="00AD6C5E" w:rsidRPr="003623E7" w:rsidRDefault="00AD6C5E" w:rsidP="00AD6C5E">
            <w:pPr>
              <w:spacing w:line="276" w:lineRule="auto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Globus is part of LPS but has low likelihood of LPRD.</w:t>
            </w:r>
          </w:p>
        </w:tc>
        <w:tc>
          <w:tcPr>
            <w:tcW w:w="1440" w:type="dxa"/>
            <w:shd w:val="clear" w:color="auto" w:fill="FFFFFF" w:themeFill="background1"/>
          </w:tcPr>
          <w:p w14:paraId="25D6FC27" w14:textId="3F8B3750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54%</w:t>
            </w:r>
          </w:p>
        </w:tc>
        <w:tc>
          <w:tcPr>
            <w:tcW w:w="1080" w:type="dxa"/>
            <w:shd w:val="clear" w:color="auto" w:fill="FFFFFF" w:themeFill="background1"/>
          </w:tcPr>
          <w:p w14:paraId="43942C53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7</w:t>
            </w:r>
          </w:p>
        </w:tc>
      </w:tr>
      <w:tr w:rsidR="00AD6C5E" w:rsidRPr="003623E7" w14:paraId="44C877B8" w14:textId="77777777" w:rsidTr="00AD6C5E">
        <w:tc>
          <w:tcPr>
            <w:tcW w:w="6925" w:type="dxa"/>
            <w:shd w:val="clear" w:color="auto" w:fill="FFFFFF" w:themeFill="background1"/>
          </w:tcPr>
          <w:p w14:paraId="21D011CA" w14:textId="77777777" w:rsidR="00AD6C5E" w:rsidRPr="003623E7" w:rsidRDefault="00AD6C5E" w:rsidP="00AD6C5E">
            <w:pPr>
              <w:spacing w:line="276" w:lineRule="auto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Belching is part of LPS and has potential to be related to LPRD.</w:t>
            </w:r>
          </w:p>
        </w:tc>
        <w:tc>
          <w:tcPr>
            <w:tcW w:w="1440" w:type="dxa"/>
            <w:shd w:val="clear" w:color="auto" w:fill="FFFFFF" w:themeFill="background1"/>
          </w:tcPr>
          <w:p w14:paraId="4647313F" w14:textId="5AD5CD41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57%</w:t>
            </w:r>
          </w:p>
        </w:tc>
        <w:tc>
          <w:tcPr>
            <w:tcW w:w="1080" w:type="dxa"/>
            <w:shd w:val="clear" w:color="auto" w:fill="FFFFFF" w:themeFill="background1"/>
          </w:tcPr>
          <w:p w14:paraId="343926F0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7</w:t>
            </w:r>
          </w:p>
        </w:tc>
      </w:tr>
      <w:tr w:rsidR="00AD6C5E" w:rsidRPr="003623E7" w14:paraId="6D5FA50D" w14:textId="77777777" w:rsidTr="00AD6C5E">
        <w:tc>
          <w:tcPr>
            <w:tcW w:w="6925" w:type="dxa"/>
            <w:shd w:val="clear" w:color="auto" w:fill="FFFFFF" w:themeFill="background1"/>
          </w:tcPr>
          <w:p w14:paraId="59A59B65" w14:textId="36EC06EA" w:rsidR="00AD6C5E" w:rsidRPr="003623E7" w:rsidRDefault="00AD6C5E" w:rsidP="00AD6C5E">
            <w:pPr>
              <w:spacing w:line="276" w:lineRule="auto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In the absence of a history of intubation, vocal process granuloma raises the suspicion of LPRD but  is not diagnostic</w:t>
            </w:r>
            <w:r w:rsidR="005E2D9A">
              <w:rPr>
                <w:rFonts w:ascii="Arial" w:hAnsi="Arial" w:cs="Arial"/>
              </w:rPr>
              <w:t xml:space="preserve"> of LPRD.</w:t>
            </w:r>
          </w:p>
        </w:tc>
        <w:tc>
          <w:tcPr>
            <w:tcW w:w="1440" w:type="dxa"/>
            <w:shd w:val="clear" w:color="auto" w:fill="FFFFFF" w:themeFill="background1"/>
          </w:tcPr>
          <w:p w14:paraId="41474B75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68%</w:t>
            </w:r>
          </w:p>
        </w:tc>
        <w:tc>
          <w:tcPr>
            <w:tcW w:w="1080" w:type="dxa"/>
            <w:shd w:val="clear" w:color="auto" w:fill="FFFFFF" w:themeFill="background1"/>
          </w:tcPr>
          <w:p w14:paraId="67269235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7</w:t>
            </w:r>
          </w:p>
        </w:tc>
      </w:tr>
      <w:tr w:rsidR="00AD6C5E" w:rsidRPr="003623E7" w14:paraId="4C1FBF90" w14:textId="77777777" w:rsidTr="00AD6C5E">
        <w:tc>
          <w:tcPr>
            <w:tcW w:w="6925" w:type="dxa"/>
            <w:shd w:val="clear" w:color="auto" w:fill="FFFFFF" w:themeFill="background1"/>
          </w:tcPr>
          <w:p w14:paraId="094BD95D" w14:textId="17D20E0F" w:rsidR="00AD6C5E" w:rsidRPr="003623E7" w:rsidRDefault="00AD6C5E" w:rsidP="00AD6C5E">
            <w:pPr>
              <w:spacing w:line="276" w:lineRule="auto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An inlet patch in the proximal esophagus may be associated with LPS</w:t>
            </w:r>
            <w:r w:rsidR="005E2D9A">
              <w:rPr>
                <w:rFonts w:ascii="Arial" w:hAnsi="Arial" w:cs="Arial"/>
              </w:rPr>
              <w:t>.</w:t>
            </w:r>
          </w:p>
        </w:tc>
        <w:tc>
          <w:tcPr>
            <w:tcW w:w="1440" w:type="dxa"/>
            <w:shd w:val="clear" w:color="auto" w:fill="FFFFFF" w:themeFill="background1"/>
          </w:tcPr>
          <w:p w14:paraId="3DDE7F28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64%</w:t>
            </w:r>
          </w:p>
        </w:tc>
        <w:tc>
          <w:tcPr>
            <w:tcW w:w="1080" w:type="dxa"/>
            <w:shd w:val="clear" w:color="auto" w:fill="FFFFFF" w:themeFill="background1"/>
          </w:tcPr>
          <w:p w14:paraId="1BC0E81E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7</w:t>
            </w:r>
          </w:p>
        </w:tc>
      </w:tr>
      <w:tr w:rsidR="00AD6C5E" w:rsidRPr="003623E7" w14:paraId="16A757BF" w14:textId="77777777" w:rsidTr="00AD6C5E">
        <w:tc>
          <w:tcPr>
            <w:tcW w:w="6925" w:type="dxa"/>
            <w:shd w:val="clear" w:color="auto" w:fill="FFFFFF" w:themeFill="background1"/>
          </w:tcPr>
          <w:p w14:paraId="7904D857" w14:textId="70722120" w:rsidR="00AD6C5E" w:rsidRPr="003623E7" w:rsidRDefault="00AD6C5E" w:rsidP="00AD6C5E">
            <w:pPr>
              <w:spacing w:line="276" w:lineRule="auto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pH impedance monitoring with a hypopharyngeal pH sensor may be of value in patients with LPS, particularly when traditional diagnostic methods are inconclusive</w:t>
            </w:r>
            <w:r w:rsidR="005E2D9A">
              <w:rPr>
                <w:rFonts w:ascii="Arial" w:hAnsi="Arial" w:cs="Arial"/>
              </w:rPr>
              <w:t>.</w:t>
            </w:r>
          </w:p>
        </w:tc>
        <w:tc>
          <w:tcPr>
            <w:tcW w:w="1440" w:type="dxa"/>
            <w:shd w:val="clear" w:color="auto" w:fill="FFFFFF" w:themeFill="background1"/>
          </w:tcPr>
          <w:p w14:paraId="49EC8A6D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79%</w:t>
            </w:r>
          </w:p>
        </w:tc>
        <w:tc>
          <w:tcPr>
            <w:tcW w:w="1080" w:type="dxa"/>
            <w:shd w:val="clear" w:color="auto" w:fill="FFFFFF" w:themeFill="background1"/>
          </w:tcPr>
          <w:p w14:paraId="12874527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8</w:t>
            </w:r>
          </w:p>
        </w:tc>
      </w:tr>
      <w:tr w:rsidR="00AD6C5E" w:rsidRPr="003623E7" w14:paraId="3320A435" w14:textId="77777777" w:rsidTr="00AD6C5E">
        <w:tc>
          <w:tcPr>
            <w:tcW w:w="6925" w:type="dxa"/>
            <w:shd w:val="clear" w:color="auto" w:fill="FFFFFF" w:themeFill="background1"/>
          </w:tcPr>
          <w:p w14:paraId="2CDDF189" w14:textId="77777777" w:rsidR="00AD6C5E" w:rsidRPr="003623E7" w:rsidRDefault="00AD6C5E" w:rsidP="00AD6C5E">
            <w:pPr>
              <w:spacing w:line="276" w:lineRule="auto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In the evaluation of LPRD, more than 73 proximal reflux episodes on pH-impedance monitoring is abnormal.</w:t>
            </w:r>
          </w:p>
        </w:tc>
        <w:tc>
          <w:tcPr>
            <w:tcW w:w="1440" w:type="dxa"/>
            <w:shd w:val="clear" w:color="auto" w:fill="FFFFFF" w:themeFill="background1"/>
          </w:tcPr>
          <w:p w14:paraId="5987E29E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64%</w:t>
            </w:r>
          </w:p>
        </w:tc>
        <w:tc>
          <w:tcPr>
            <w:tcW w:w="1080" w:type="dxa"/>
            <w:shd w:val="clear" w:color="auto" w:fill="FFFFFF" w:themeFill="background1"/>
          </w:tcPr>
          <w:p w14:paraId="4D0DBD09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7</w:t>
            </w:r>
          </w:p>
        </w:tc>
      </w:tr>
      <w:tr w:rsidR="00AD6C5E" w:rsidRPr="003623E7" w14:paraId="0C07D4E2" w14:textId="77777777" w:rsidTr="00AD6C5E">
        <w:tc>
          <w:tcPr>
            <w:tcW w:w="6925" w:type="dxa"/>
            <w:shd w:val="clear" w:color="auto" w:fill="FFFFFF" w:themeFill="background1"/>
          </w:tcPr>
          <w:p w14:paraId="06484506" w14:textId="77777777" w:rsidR="00AD6C5E" w:rsidRPr="003623E7" w:rsidRDefault="00AD6C5E" w:rsidP="00AD6C5E">
            <w:pPr>
              <w:spacing w:line="276" w:lineRule="auto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In the evaluation of LPRD, more than 80 proximal reflux episodes on pH-impedance monitoring is abnormal.</w:t>
            </w:r>
          </w:p>
        </w:tc>
        <w:tc>
          <w:tcPr>
            <w:tcW w:w="1440" w:type="dxa"/>
            <w:shd w:val="clear" w:color="auto" w:fill="FFFFFF" w:themeFill="background1"/>
          </w:tcPr>
          <w:p w14:paraId="1D8C9A66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71%</w:t>
            </w:r>
          </w:p>
        </w:tc>
        <w:tc>
          <w:tcPr>
            <w:tcW w:w="1080" w:type="dxa"/>
            <w:shd w:val="clear" w:color="auto" w:fill="FFFFFF" w:themeFill="background1"/>
          </w:tcPr>
          <w:p w14:paraId="360BFCC5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7</w:t>
            </w:r>
          </w:p>
        </w:tc>
      </w:tr>
      <w:tr w:rsidR="00AD6C5E" w:rsidRPr="003623E7" w14:paraId="052D8548" w14:textId="77777777" w:rsidTr="00AD6C5E">
        <w:tc>
          <w:tcPr>
            <w:tcW w:w="6925" w:type="dxa"/>
            <w:shd w:val="clear" w:color="auto" w:fill="FFFFFF" w:themeFill="background1"/>
          </w:tcPr>
          <w:p w14:paraId="328C4F69" w14:textId="0D838EF6" w:rsidR="00AD6C5E" w:rsidRPr="00AD6C5E" w:rsidRDefault="00AD6C5E" w:rsidP="00AD6C5E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3623E7">
              <w:rPr>
                <w:rFonts w:ascii="Arial" w:hAnsi="Arial" w:cs="Arial"/>
                <w:color w:val="000000"/>
              </w:rPr>
              <w:t>Less than 73 proximal reflux episodes on MII-pH rules out a diagnosis of LPRD.</w:t>
            </w:r>
          </w:p>
        </w:tc>
        <w:tc>
          <w:tcPr>
            <w:tcW w:w="1440" w:type="dxa"/>
            <w:shd w:val="clear" w:color="auto" w:fill="FFFFFF" w:themeFill="background1"/>
          </w:tcPr>
          <w:p w14:paraId="4BCF47C9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29%</w:t>
            </w:r>
          </w:p>
        </w:tc>
        <w:tc>
          <w:tcPr>
            <w:tcW w:w="1080" w:type="dxa"/>
            <w:shd w:val="clear" w:color="auto" w:fill="FFFFFF" w:themeFill="background1"/>
          </w:tcPr>
          <w:p w14:paraId="6A01BF49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5</w:t>
            </w:r>
          </w:p>
        </w:tc>
      </w:tr>
      <w:tr w:rsidR="00AD6C5E" w:rsidRPr="003623E7" w14:paraId="03C1D01F" w14:textId="77777777" w:rsidTr="00AD6C5E">
        <w:tc>
          <w:tcPr>
            <w:tcW w:w="6925" w:type="dxa"/>
            <w:shd w:val="clear" w:color="auto" w:fill="FFFFFF" w:themeFill="background1"/>
          </w:tcPr>
          <w:p w14:paraId="56BF67CC" w14:textId="0B102F63" w:rsidR="00AD6C5E" w:rsidRPr="003623E7" w:rsidRDefault="00AD6C5E" w:rsidP="00AD6C5E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3623E7">
              <w:rPr>
                <w:rFonts w:ascii="Arial" w:hAnsi="Arial" w:cs="Arial"/>
                <w:color w:val="000000"/>
              </w:rPr>
              <w:t>More than 73 proximal reflux episodes on MII-pH meets criteria for a diagnosis of LPRD</w:t>
            </w:r>
          </w:p>
        </w:tc>
        <w:tc>
          <w:tcPr>
            <w:tcW w:w="1440" w:type="dxa"/>
            <w:shd w:val="clear" w:color="auto" w:fill="FFFFFF" w:themeFill="background1"/>
          </w:tcPr>
          <w:p w14:paraId="07FDE663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71%</w:t>
            </w:r>
          </w:p>
        </w:tc>
        <w:tc>
          <w:tcPr>
            <w:tcW w:w="1080" w:type="dxa"/>
            <w:shd w:val="clear" w:color="auto" w:fill="FFFFFF" w:themeFill="background1"/>
          </w:tcPr>
          <w:p w14:paraId="327C1F4F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7</w:t>
            </w:r>
          </w:p>
        </w:tc>
      </w:tr>
      <w:tr w:rsidR="00AD6C5E" w:rsidRPr="003623E7" w14:paraId="35401B44" w14:textId="77777777" w:rsidTr="00AD6C5E">
        <w:tc>
          <w:tcPr>
            <w:tcW w:w="6925" w:type="dxa"/>
            <w:shd w:val="clear" w:color="auto" w:fill="FFFFFF" w:themeFill="background1"/>
          </w:tcPr>
          <w:p w14:paraId="3BAA3EB2" w14:textId="06F6AF67" w:rsidR="00AD6C5E" w:rsidRPr="003623E7" w:rsidRDefault="00AD6C5E" w:rsidP="00AD6C5E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3623E7">
              <w:rPr>
                <w:rFonts w:ascii="Arial" w:hAnsi="Arial" w:cs="Arial"/>
                <w:color w:val="000000"/>
              </w:rPr>
              <w:t>Less than 10 hypopharyngeal reflux events on HEMII-pH rules out a diagnosis of LPRD.</w:t>
            </w:r>
          </w:p>
        </w:tc>
        <w:tc>
          <w:tcPr>
            <w:tcW w:w="1440" w:type="dxa"/>
            <w:shd w:val="clear" w:color="auto" w:fill="FFFFFF" w:themeFill="background1"/>
          </w:tcPr>
          <w:p w14:paraId="0D3415CC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39%</w:t>
            </w:r>
          </w:p>
        </w:tc>
        <w:tc>
          <w:tcPr>
            <w:tcW w:w="1080" w:type="dxa"/>
            <w:shd w:val="clear" w:color="auto" w:fill="FFFFFF" w:themeFill="background1"/>
          </w:tcPr>
          <w:p w14:paraId="2234F280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5</w:t>
            </w:r>
          </w:p>
        </w:tc>
      </w:tr>
      <w:tr w:rsidR="00AD6C5E" w:rsidRPr="003623E7" w14:paraId="104FB306" w14:textId="77777777" w:rsidTr="00AD6C5E">
        <w:tc>
          <w:tcPr>
            <w:tcW w:w="6925" w:type="dxa"/>
            <w:shd w:val="clear" w:color="auto" w:fill="FFFFFF" w:themeFill="background1"/>
          </w:tcPr>
          <w:p w14:paraId="21F0ACD5" w14:textId="40B3AC01" w:rsidR="00AD6C5E" w:rsidRPr="003623E7" w:rsidRDefault="00AD6C5E" w:rsidP="00AD6C5E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3623E7">
              <w:rPr>
                <w:rFonts w:ascii="Arial" w:hAnsi="Arial" w:cs="Arial"/>
                <w:color w:val="000000"/>
              </w:rPr>
              <w:t>More than 10 hypopharyngeal reflux events on HEMII-pH meets criteria for pathologic LPR.</w:t>
            </w:r>
          </w:p>
        </w:tc>
        <w:tc>
          <w:tcPr>
            <w:tcW w:w="1440" w:type="dxa"/>
            <w:shd w:val="clear" w:color="auto" w:fill="FFFFFF" w:themeFill="background1"/>
          </w:tcPr>
          <w:p w14:paraId="29232426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71%</w:t>
            </w:r>
          </w:p>
        </w:tc>
        <w:tc>
          <w:tcPr>
            <w:tcW w:w="1080" w:type="dxa"/>
            <w:shd w:val="clear" w:color="auto" w:fill="FFFFFF" w:themeFill="background1"/>
          </w:tcPr>
          <w:p w14:paraId="442E8532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623E7">
              <w:rPr>
                <w:rFonts w:ascii="Arial" w:hAnsi="Arial" w:cs="Arial"/>
              </w:rPr>
              <w:t>7</w:t>
            </w:r>
          </w:p>
        </w:tc>
      </w:tr>
      <w:tr w:rsidR="00AD6C5E" w:rsidRPr="003623E7" w14:paraId="0375E210" w14:textId="77777777" w:rsidTr="00AD6C5E">
        <w:tc>
          <w:tcPr>
            <w:tcW w:w="6925" w:type="dxa"/>
            <w:shd w:val="clear" w:color="auto" w:fill="FFFFFF" w:themeFill="background1"/>
          </w:tcPr>
          <w:p w14:paraId="54826B6F" w14:textId="77777777" w:rsidR="00AD6C5E" w:rsidRPr="003623E7" w:rsidRDefault="00AD6C5E" w:rsidP="00AD6C5E">
            <w:pPr>
              <w:spacing w:line="276" w:lineRule="auto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HAS-BEER is a risk stratification tool that may help determine diagnostic strategies in some LPS patients</w:t>
            </w:r>
          </w:p>
        </w:tc>
        <w:tc>
          <w:tcPr>
            <w:tcW w:w="1440" w:type="dxa"/>
            <w:shd w:val="clear" w:color="auto" w:fill="FFFFFF" w:themeFill="background1"/>
          </w:tcPr>
          <w:p w14:paraId="2A606C66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50%</w:t>
            </w:r>
          </w:p>
        </w:tc>
        <w:tc>
          <w:tcPr>
            <w:tcW w:w="1080" w:type="dxa"/>
            <w:shd w:val="clear" w:color="auto" w:fill="FFFFFF" w:themeFill="background1"/>
          </w:tcPr>
          <w:p w14:paraId="502B4E2F" w14:textId="77777777" w:rsidR="00AD6C5E" w:rsidRPr="003623E7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A28E1">
              <w:rPr>
                <w:rFonts w:ascii="Arial" w:hAnsi="Arial" w:cs="Arial"/>
              </w:rPr>
              <w:t>7</w:t>
            </w:r>
          </w:p>
        </w:tc>
      </w:tr>
      <w:tr w:rsidR="00AD6C5E" w:rsidRPr="003623E7" w14:paraId="67C15E18" w14:textId="77777777" w:rsidTr="00AD6C5E">
        <w:tc>
          <w:tcPr>
            <w:tcW w:w="6925" w:type="dxa"/>
            <w:shd w:val="clear" w:color="auto" w:fill="FFFFFF" w:themeFill="background1"/>
          </w:tcPr>
          <w:p w14:paraId="366AA5FD" w14:textId="7133C07A" w:rsidR="00AD6C5E" w:rsidRPr="00AD6C5E" w:rsidRDefault="00AD6C5E" w:rsidP="00AD6C5E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D6C5E">
              <w:rPr>
                <w:rFonts w:ascii="Arial" w:hAnsi="Arial" w:cs="Arial"/>
                <w:color w:val="000000"/>
                <w:kern w:val="24"/>
              </w:rPr>
              <w:t>COuGH</w:t>
            </w:r>
            <w:proofErr w:type="spellEnd"/>
            <w:r w:rsidRPr="00AD6C5E">
              <w:rPr>
                <w:rFonts w:ascii="Arial" w:hAnsi="Arial" w:cs="Arial"/>
                <w:color w:val="000000"/>
                <w:kern w:val="24"/>
              </w:rPr>
              <w:t xml:space="preserve"> </w:t>
            </w:r>
            <w:proofErr w:type="spellStart"/>
            <w:r w:rsidRPr="00AD6C5E">
              <w:rPr>
                <w:rFonts w:ascii="Arial" w:hAnsi="Arial" w:cs="Arial"/>
                <w:color w:val="000000"/>
                <w:kern w:val="24"/>
              </w:rPr>
              <w:t>RefluX</w:t>
            </w:r>
            <w:proofErr w:type="spellEnd"/>
            <w:r w:rsidRPr="00AD6C5E">
              <w:rPr>
                <w:rFonts w:ascii="Arial" w:hAnsi="Arial" w:cs="Arial"/>
                <w:color w:val="000000"/>
                <w:kern w:val="24"/>
              </w:rPr>
              <w:t xml:space="preserve"> is a risk stratification tool that may help to prioritize initial management strategies in patients with LPS</w:t>
            </w:r>
          </w:p>
        </w:tc>
        <w:tc>
          <w:tcPr>
            <w:tcW w:w="1440" w:type="dxa"/>
            <w:shd w:val="clear" w:color="auto" w:fill="FFFFFF" w:themeFill="background1"/>
          </w:tcPr>
          <w:p w14:paraId="346E9E7F" w14:textId="696BFE41" w:rsidR="00AD6C5E" w:rsidRPr="00AD6C5E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D6C5E">
              <w:rPr>
                <w:rFonts w:ascii="Arial" w:eastAsia="Calibri" w:hAnsi="Arial" w:cs="Arial"/>
                <w:color w:val="000000" w:themeColor="text1"/>
                <w:kern w:val="24"/>
              </w:rPr>
              <w:t>68%</w:t>
            </w:r>
          </w:p>
        </w:tc>
        <w:tc>
          <w:tcPr>
            <w:tcW w:w="1080" w:type="dxa"/>
            <w:shd w:val="clear" w:color="auto" w:fill="FFFFFF" w:themeFill="background1"/>
          </w:tcPr>
          <w:p w14:paraId="12C341D6" w14:textId="6F060037" w:rsidR="00AD6C5E" w:rsidRPr="00AD6C5E" w:rsidRDefault="00AD6C5E" w:rsidP="005E2D9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D6C5E">
              <w:rPr>
                <w:rFonts w:ascii="Arial" w:eastAsia="Calibri" w:hAnsi="Arial" w:cs="Arial"/>
                <w:color w:val="000000" w:themeColor="text1"/>
                <w:kern w:val="24"/>
              </w:rPr>
              <w:t>7</w:t>
            </w:r>
          </w:p>
        </w:tc>
      </w:tr>
    </w:tbl>
    <w:p w14:paraId="425DB693" w14:textId="77777777" w:rsidR="00FA28E1" w:rsidRPr="003623E7" w:rsidRDefault="00FA28E1">
      <w:pPr>
        <w:rPr>
          <w:rFonts w:ascii="Arial" w:hAnsi="Arial" w:cs="Arial"/>
        </w:rPr>
      </w:pPr>
    </w:p>
    <w:sectPr w:rsidR="00FA28E1" w:rsidRPr="003623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CDA"/>
    <w:rsid w:val="00117682"/>
    <w:rsid w:val="001E0BD3"/>
    <w:rsid w:val="00225A62"/>
    <w:rsid w:val="003618FB"/>
    <w:rsid w:val="003623E7"/>
    <w:rsid w:val="003C20CE"/>
    <w:rsid w:val="005E2D9A"/>
    <w:rsid w:val="00600440"/>
    <w:rsid w:val="00850CDA"/>
    <w:rsid w:val="00AD6C5E"/>
    <w:rsid w:val="00B040C8"/>
    <w:rsid w:val="00C959F4"/>
    <w:rsid w:val="00ED31E8"/>
    <w:rsid w:val="00FA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687B5"/>
  <w15:chartTrackingRefBased/>
  <w15:docId w15:val="{961CDB63-F964-40A8-A25A-A8F20C2F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2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2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28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8E1"/>
    <w:rPr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FA28E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5Dark-Accent5">
    <w:name w:val="Grid Table 5 Dark Accent 5"/>
    <w:basedOn w:val="TableNormal"/>
    <w:uiPriority w:val="50"/>
    <w:rsid w:val="003623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ListTable4-Accent1">
    <w:name w:val="List Table 4 Accent 1"/>
    <w:basedOn w:val="TableNormal"/>
    <w:uiPriority w:val="49"/>
    <w:rsid w:val="003623E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">
    <w:name w:val="List Table 4"/>
    <w:basedOn w:val="TableNormal"/>
    <w:uiPriority w:val="49"/>
    <w:rsid w:val="005E2D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2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San Diego Health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Yadlapati, Rena</dc:creator>
  <cp:keywords/>
  <dc:description/>
  <cp:lastModifiedBy>Yadlapati, Rena</cp:lastModifiedBy>
  <cp:revision>7</cp:revision>
  <dcterms:created xsi:type="dcterms:W3CDTF">2025-01-28T16:36:00Z</dcterms:created>
  <dcterms:modified xsi:type="dcterms:W3CDTF">2025-02-04T14:29:00Z</dcterms:modified>
</cp:coreProperties>
</file>