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6FA62" w14:textId="23804405" w:rsidR="00BB41AA" w:rsidRDefault="00BB41AA" w:rsidP="00BB41AA">
      <w:pPr>
        <w:rPr>
          <w:b/>
          <w:bCs/>
        </w:rPr>
      </w:pPr>
      <w:r w:rsidRPr="00C92A4C">
        <w:rPr>
          <w:b/>
          <w:bCs/>
        </w:rPr>
        <w:t>Supplemental Material</w:t>
      </w:r>
    </w:p>
    <w:p w14:paraId="0ABE481D" w14:textId="36C993A9" w:rsidR="00A16EB1" w:rsidRDefault="00A16EB1" w:rsidP="00BB41AA">
      <w:r>
        <w:t>Supplementary Table 1 ………………………………………………………………………………………………………………………..p.2</w:t>
      </w:r>
    </w:p>
    <w:p w14:paraId="43BF0EBC" w14:textId="0C91B1E1" w:rsidR="00A16EB1" w:rsidRDefault="00A16EB1" w:rsidP="00BB41AA">
      <w:r>
        <w:t xml:space="preserve">Supplementary </w:t>
      </w:r>
      <w:r w:rsidR="00DB6D5B">
        <w:t xml:space="preserve">Figure 1 </w:t>
      </w:r>
      <w:r>
        <w:t>……………………………………………………………………………………………………………………</w:t>
      </w:r>
      <w:r w:rsidR="00DB6D5B">
        <w:t>….</w:t>
      </w:r>
      <w:r>
        <w:t>p.4</w:t>
      </w:r>
    </w:p>
    <w:p w14:paraId="78B2F69A" w14:textId="5F490098" w:rsidR="00A16EB1" w:rsidRPr="00A16EB1" w:rsidRDefault="00A16EB1" w:rsidP="00BB41AA">
      <w:r>
        <w:t xml:space="preserve">Supplementary Figure </w:t>
      </w:r>
      <w:r w:rsidR="00DB6D5B">
        <w:t>2</w:t>
      </w:r>
      <w:r>
        <w:t xml:space="preserve"> ……………………………………………………………………………………………………………………….p.5</w:t>
      </w:r>
    </w:p>
    <w:p w14:paraId="29254E81" w14:textId="17416EE7" w:rsidR="00A16EB1" w:rsidRDefault="00A16EB1">
      <w:pPr>
        <w:rPr>
          <w:b/>
          <w:bCs/>
        </w:rPr>
      </w:pPr>
      <w:r>
        <w:rPr>
          <w:b/>
          <w:bCs/>
        </w:rPr>
        <w:br w:type="page"/>
      </w:r>
    </w:p>
    <w:p w14:paraId="568069C0" w14:textId="77777777" w:rsidR="00BB41AA" w:rsidRDefault="00BB41AA" w:rsidP="00BB41AA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241B52">
        <w:rPr>
          <w:b/>
          <w:bCs/>
        </w:rPr>
        <w:t xml:space="preserve">Table 1. Characteristics </w:t>
      </w:r>
      <w:r>
        <w:rPr>
          <w:b/>
          <w:bCs/>
        </w:rPr>
        <w:t>of Patients Vaccinated and Not Vaccinated for Influenza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350"/>
        <w:gridCol w:w="2070"/>
        <w:gridCol w:w="2250"/>
        <w:gridCol w:w="895"/>
      </w:tblGrid>
      <w:tr w:rsidR="00BB41AA" w:rsidRPr="00F357C3" w14:paraId="5BA4A998" w14:textId="77777777" w:rsidTr="00EB7CD5">
        <w:tc>
          <w:tcPr>
            <w:tcW w:w="2785" w:type="dxa"/>
            <w:vAlign w:val="center"/>
          </w:tcPr>
          <w:p w14:paraId="1765D72D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center"/>
          </w:tcPr>
          <w:p w14:paraId="38FC8675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2070" w:type="dxa"/>
            <w:vAlign w:val="center"/>
          </w:tcPr>
          <w:p w14:paraId="4ABEF751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Pati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ents Vaccinated for Influenza</w:t>
            </w:r>
          </w:p>
        </w:tc>
        <w:tc>
          <w:tcPr>
            <w:tcW w:w="2250" w:type="dxa"/>
            <w:vAlign w:val="center"/>
          </w:tcPr>
          <w:p w14:paraId="1B22BCD7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Patients not Vaccinated for Influenza</w:t>
            </w:r>
          </w:p>
        </w:tc>
        <w:tc>
          <w:tcPr>
            <w:tcW w:w="895" w:type="dxa"/>
            <w:vAlign w:val="center"/>
          </w:tcPr>
          <w:p w14:paraId="1EB3327D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BB41AA" w:rsidRPr="00F357C3" w14:paraId="6420C8DB" w14:textId="77777777" w:rsidTr="00EB7CD5">
        <w:tc>
          <w:tcPr>
            <w:tcW w:w="2785" w:type="dxa"/>
            <w:vAlign w:val="center"/>
          </w:tcPr>
          <w:p w14:paraId="570B114C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No. (%) </w:t>
            </w:r>
            <w:r w:rsidRPr="008C2101">
              <w:rPr>
                <w:rFonts w:cstheme="minorHAnsi"/>
                <w:color w:val="000000"/>
                <w:sz w:val="20"/>
                <w:szCs w:val="20"/>
              </w:rPr>
              <w:t>(row percentage)</w:t>
            </w:r>
          </w:p>
        </w:tc>
        <w:tc>
          <w:tcPr>
            <w:tcW w:w="1350" w:type="dxa"/>
          </w:tcPr>
          <w:p w14:paraId="5EA36BB8" w14:textId="77777777" w:rsidR="00BB41AA" w:rsidRPr="000D447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D4473">
              <w:rPr>
                <w:sz w:val="20"/>
                <w:szCs w:val="20"/>
              </w:rPr>
              <w:t>7690 (100)</w:t>
            </w:r>
          </w:p>
        </w:tc>
        <w:tc>
          <w:tcPr>
            <w:tcW w:w="2070" w:type="dxa"/>
          </w:tcPr>
          <w:p w14:paraId="3E686D40" w14:textId="77777777" w:rsidR="00BB41AA" w:rsidRPr="000D447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D4473">
              <w:rPr>
                <w:sz w:val="20"/>
                <w:szCs w:val="20"/>
              </w:rPr>
              <w:t>3170 (41.2)</w:t>
            </w:r>
          </w:p>
        </w:tc>
        <w:tc>
          <w:tcPr>
            <w:tcW w:w="2250" w:type="dxa"/>
          </w:tcPr>
          <w:p w14:paraId="4734104F" w14:textId="77777777" w:rsidR="00BB41AA" w:rsidRPr="000D447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D4473">
              <w:rPr>
                <w:sz w:val="20"/>
                <w:szCs w:val="20"/>
              </w:rPr>
              <w:t>4520 (58.8)</w:t>
            </w:r>
          </w:p>
        </w:tc>
        <w:tc>
          <w:tcPr>
            <w:tcW w:w="895" w:type="dxa"/>
            <w:vAlign w:val="center"/>
          </w:tcPr>
          <w:p w14:paraId="33627B4B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B41AA" w:rsidRPr="00F357C3" w:rsidDel="006F1778" w14:paraId="4E65A01A" w14:textId="77777777" w:rsidTr="00EB7CD5">
        <w:tc>
          <w:tcPr>
            <w:tcW w:w="9350" w:type="dxa"/>
            <w:gridSpan w:val="5"/>
            <w:vAlign w:val="center"/>
          </w:tcPr>
          <w:p w14:paraId="58C666E1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B7CD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HHS region</w:t>
            </w:r>
          </w:p>
        </w:tc>
      </w:tr>
      <w:tr w:rsidR="00BB41AA" w:rsidRPr="00F357C3" w:rsidDel="006F1778" w14:paraId="1ADD1EC8" w14:textId="77777777" w:rsidTr="00EB7CD5">
        <w:tc>
          <w:tcPr>
            <w:tcW w:w="2785" w:type="dxa"/>
            <w:vAlign w:val="center"/>
          </w:tcPr>
          <w:p w14:paraId="2BBBE189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1</w:t>
            </w:r>
          </w:p>
        </w:tc>
        <w:tc>
          <w:tcPr>
            <w:tcW w:w="1350" w:type="dxa"/>
            <w:vAlign w:val="center"/>
          </w:tcPr>
          <w:p w14:paraId="61C8014F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1359 (17.7)</w:t>
            </w:r>
          </w:p>
        </w:tc>
        <w:tc>
          <w:tcPr>
            <w:tcW w:w="2070" w:type="dxa"/>
          </w:tcPr>
          <w:p w14:paraId="50E72AE9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 (21.6)</w:t>
            </w:r>
          </w:p>
        </w:tc>
        <w:tc>
          <w:tcPr>
            <w:tcW w:w="2250" w:type="dxa"/>
          </w:tcPr>
          <w:p w14:paraId="4F66061C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 (14.9)</w:t>
            </w:r>
          </w:p>
        </w:tc>
        <w:tc>
          <w:tcPr>
            <w:tcW w:w="895" w:type="dxa"/>
            <w:vMerge w:val="restart"/>
          </w:tcPr>
          <w:p w14:paraId="1805355E" w14:textId="77777777" w:rsidR="00BB41AA" w:rsidRPr="00EB7CD5" w:rsidDel="006F1778" w:rsidRDefault="00BB41AA" w:rsidP="00EB7CD5">
            <w:pPr>
              <w:rPr>
                <w:rFonts w:cstheme="minorHAnsi"/>
                <w:sz w:val="20"/>
                <w:szCs w:val="20"/>
              </w:rPr>
            </w:pPr>
            <w:r w:rsidRPr="00EB7CD5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BB41AA" w:rsidRPr="00F357C3" w:rsidDel="006F1778" w14:paraId="3DF8FB6C" w14:textId="77777777" w:rsidTr="00EB7CD5">
        <w:tc>
          <w:tcPr>
            <w:tcW w:w="2785" w:type="dxa"/>
            <w:vAlign w:val="center"/>
          </w:tcPr>
          <w:p w14:paraId="2FF2AB02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2</w:t>
            </w:r>
          </w:p>
        </w:tc>
        <w:tc>
          <w:tcPr>
            <w:tcW w:w="1350" w:type="dxa"/>
            <w:vAlign w:val="center"/>
          </w:tcPr>
          <w:p w14:paraId="0B974917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540 (7.0)</w:t>
            </w:r>
          </w:p>
        </w:tc>
        <w:tc>
          <w:tcPr>
            <w:tcW w:w="2070" w:type="dxa"/>
          </w:tcPr>
          <w:p w14:paraId="45DBB745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(2.4)</w:t>
            </w:r>
          </w:p>
        </w:tc>
        <w:tc>
          <w:tcPr>
            <w:tcW w:w="2250" w:type="dxa"/>
          </w:tcPr>
          <w:p w14:paraId="1912A996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 (10.2)</w:t>
            </w:r>
          </w:p>
        </w:tc>
        <w:tc>
          <w:tcPr>
            <w:tcW w:w="895" w:type="dxa"/>
            <w:vMerge/>
            <w:vAlign w:val="center"/>
          </w:tcPr>
          <w:p w14:paraId="7C0098F5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5B4FBD4D" w14:textId="77777777" w:rsidTr="00EB7CD5">
        <w:tc>
          <w:tcPr>
            <w:tcW w:w="2785" w:type="dxa"/>
            <w:vAlign w:val="center"/>
          </w:tcPr>
          <w:p w14:paraId="13D22100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3</w:t>
            </w:r>
          </w:p>
        </w:tc>
        <w:tc>
          <w:tcPr>
            <w:tcW w:w="1350" w:type="dxa"/>
            <w:vAlign w:val="center"/>
          </w:tcPr>
          <w:p w14:paraId="7F48AA67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135 (1.8)</w:t>
            </w:r>
          </w:p>
        </w:tc>
        <w:tc>
          <w:tcPr>
            <w:tcW w:w="2070" w:type="dxa"/>
          </w:tcPr>
          <w:p w14:paraId="21BE3478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(2.4)</w:t>
            </w:r>
          </w:p>
        </w:tc>
        <w:tc>
          <w:tcPr>
            <w:tcW w:w="2250" w:type="dxa"/>
          </w:tcPr>
          <w:p w14:paraId="18EFAD99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(1.3)</w:t>
            </w:r>
          </w:p>
        </w:tc>
        <w:tc>
          <w:tcPr>
            <w:tcW w:w="895" w:type="dxa"/>
            <w:vMerge/>
            <w:vAlign w:val="center"/>
          </w:tcPr>
          <w:p w14:paraId="3DE37D6E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4085372D" w14:textId="77777777" w:rsidTr="00EB7CD5">
        <w:tc>
          <w:tcPr>
            <w:tcW w:w="2785" w:type="dxa"/>
            <w:vAlign w:val="center"/>
          </w:tcPr>
          <w:p w14:paraId="1D1E12BC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4</w:t>
            </w:r>
          </w:p>
        </w:tc>
        <w:tc>
          <w:tcPr>
            <w:tcW w:w="1350" w:type="dxa"/>
            <w:vAlign w:val="center"/>
          </w:tcPr>
          <w:p w14:paraId="25C16F05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1197 (15.6)</w:t>
            </w:r>
          </w:p>
        </w:tc>
        <w:tc>
          <w:tcPr>
            <w:tcW w:w="2070" w:type="dxa"/>
          </w:tcPr>
          <w:p w14:paraId="08CCD98D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 (13.3)</w:t>
            </w:r>
          </w:p>
        </w:tc>
        <w:tc>
          <w:tcPr>
            <w:tcW w:w="2250" w:type="dxa"/>
          </w:tcPr>
          <w:p w14:paraId="35C2BBAF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 (17.1)</w:t>
            </w:r>
          </w:p>
        </w:tc>
        <w:tc>
          <w:tcPr>
            <w:tcW w:w="895" w:type="dxa"/>
            <w:vMerge/>
            <w:vAlign w:val="center"/>
          </w:tcPr>
          <w:p w14:paraId="0AA6EAAA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7FF8F579" w14:textId="77777777" w:rsidTr="00EB7CD5">
        <w:tc>
          <w:tcPr>
            <w:tcW w:w="2785" w:type="dxa"/>
            <w:vAlign w:val="center"/>
          </w:tcPr>
          <w:p w14:paraId="51A294C2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5</w:t>
            </w:r>
          </w:p>
        </w:tc>
        <w:tc>
          <w:tcPr>
            <w:tcW w:w="1350" w:type="dxa"/>
            <w:vAlign w:val="center"/>
          </w:tcPr>
          <w:p w14:paraId="6531C764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1123 (14.6)</w:t>
            </w:r>
          </w:p>
        </w:tc>
        <w:tc>
          <w:tcPr>
            <w:tcW w:w="2070" w:type="dxa"/>
          </w:tcPr>
          <w:p w14:paraId="41BB3D44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 (13.8)</w:t>
            </w:r>
          </w:p>
        </w:tc>
        <w:tc>
          <w:tcPr>
            <w:tcW w:w="2250" w:type="dxa"/>
          </w:tcPr>
          <w:p w14:paraId="472A2FCC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 (15.2)</w:t>
            </w:r>
          </w:p>
        </w:tc>
        <w:tc>
          <w:tcPr>
            <w:tcW w:w="895" w:type="dxa"/>
            <w:vMerge/>
            <w:vAlign w:val="center"/>
          </w:tcPr>
          <w:p w14:paraId="387873A3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5685238F" w14:textId="77777777" w:rsidTr="00EB7CD5">
        <w:tc>
          <w:tcPr>
            <w:tcW w:w="2785" w:type="dxa"/>
            <w:vAlign w:val="center"/>
          </w:tcPr>
          <w:p w14:paraId="0CEE2B2E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6</w:t>
            </w:r>
          </w:p>
        </w:tc>
        <w:tc>
          <w:tcPr>
            <w:tcW w:w="1350" w:type="dxa"/>
            <w:vAlign w:val="center"/>
          </w:tcPr>
          <w:p w14:paraId="27FB3FE1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774 (10.1)</w:t>
            </w:r>
          </w:p>
        </w:tc>
        <w:tc>
          <w:tcPr>
            <w:tcW w:w="2070" w:type="dxa"/>
          </w:tcPr>
          <w:p w14:paraId="6CCE6F1B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 (11.5)</w:t>
            </w:r>
          </w:p>
        </w:tc>
        <w:tc>
          <w:tcPr>
            <w:tcW w:w="2250" w:type="dxa"/>
          </w:tcPr>
          <w:p w14:paraId="46894CE1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 (9.1)</w:t>
            </w:r>
          </w:p>
        </w:tc>
        <w:tc>
          <w:tcPr>
            <w:tcW w:w="895" w:type="dxa"/>
            <w:vMerge/>
            <w:vAlign w:val="center"/>
          </w:tcPr>
          <w:p w14:paraId="1C572723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5AE37F29" w14:textId="77777777" w:rsidTr="00EB7CD5">
        <w:tc>
          <w:tcPr>
            <w:tcW w:w="2785" w:type="dxa"/>
            <w:vAlign w:val="center"/>
          </w:tcPr>
          <w:p w14:paraId="4CB2077B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7</w:t>
            </w:r>
          </w:p>
        </w:tc>
        <w:tc>
          <w:tcPr>
            <w:tcW w:w="1350" w:type="dxa"/>
            <w:vAlign w:val="center"/>
          </w:tcPr>
          <w:p w14:paraId="64D5CE0D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219 (2.8)</w:t>
            </w:r>
          </w:p>
        </w:tc>
        <w:tc>
          <w:tcPr>
            <w:tcW w:w="2070" w:type="dxa"/>
          </w:tcPr>
          <w:p w14:paraId="794EB6CA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(2.4)</w:t>
            </w:r>
          </w:p>
        </w:tc>
        <w:tc>
          <w:tcPr>
            <w:tcW w:w="2250" w:type="dxa"/>
          </w:tcPr>
          <w:p w14:paraId="5BC75D11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 (3.2)</w:t>
            </w:r>
          </w:p>
        </w:tc>
        <w:tc>
          <w:tcPr>
            <w:tcW w:w="895" w:type="dxa"/>
            <w:vMerge/>
            <w:vAlign w:val="center"/>
          </w:tcPr>
          <w:p w14:paraId="0A4A2E6B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64109D17" w14:textId="77777777" w:rsidTr="00EB7CD5">
        <w:tc>
          <w:tcPr>
            <w:tcW w:w="2785" w:type="dxa"/>
            <w:vAlign w:val="center"/>
          </w:tcPr>
          <w:p w14:paraId="64921BE3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8</w:t>
            </w:r>
          </w:p>
        </w:tc>
        <w:tc>
          <w:tcPr>
            <w:tcW w:w="1350" w:type="dxa"/>
            <w:vAlign w:val="center"/>
          </w:tcPr>
          <w:p w14:paraId="5444C50E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1413 (18.4)</w:t>
            </w:r>
          </w:p>
        </w:tc>
        <w:tc>
          <w:tcPr>
            <w:tcW w:w="2070" w:type="dxa"/>
          </w:tcPr>
          <w:p w14:paraId="6D489202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 (19.3)</w:t>
            </w:r>
          </w:p>
        </w:tc>
        <w:tc>
          <w:tcPr>
            <w:tcW w:w="2250" w:type="dxa"/>
          </w:tcPr>
          <w:p w14:paraId="14165476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 (17.7)</w:t>
            </w:r>
          </w:p>
        </w:tc>
        <w:tc>
          <w:tcPr>
            <w:tcW w:w="895" w:type="dxa"/>
            <w:vMerge/>
            <w:vAlign w:val="center"/>
          </w:tcPr>
          <w:p w14:paraId="37B2DE8D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6653FA9F" w14:textId="77777777" w:rsidTr="00EB7CD5">
        <w:tc>
          <w:tcPr>
            <w:tcW w:w="2785" w:type="dxa"/>
            <w:vAlign w:val="center"/>
          </w:tcPr>
          <w:p w14:paraId="6C675B56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9</w:t>
            </w:r>
          </w:p>
        </w:tc>
        <w:tc>
          <w:tcPr>
            <w:tcW w:w="1350" w:type="dxa"/>
            <w:vAlign w:val="center"/>
          </w:tcPr>
          <w:p w14:paraId="5427E63B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673 (8.8)</w:t>
            </w:r>
          </w:p>
        </w:tc>
        <w:tc>
          <w:tcPr>
            <w:tcW w:w="2070" w:type="dxa"/>
          </w:tcPr>
          <w:p w14:paraId="19B8462B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 (10.1)</w:t>
            </w:r>
          </w:p>
        </w:tc>
        <w:tc>
          <w:tcPr>
            <w:tcW w:w="2250" w:type="dxa"/>
          </w:tcPr>
          <w:p w14:paraId="4D68A634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 (7.8)</w:t>
            </w:r>
          </w:p>
        </w:tc>
        <w:tc>
          <w:tcPr>
            <w:tcW w:w="895" w:type="dxa"/>
            <w:vMerge/>
            <w:vAlign w:val="center"/>
          </w:tcPr>
          <w:p w14:paraId="42BCF6C7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:rsidDel="006F1778" w14:paraId="48264598" w14:textId="77777777" w:rsidTr="00EB7CD5">
        <w:tc>
          <w:tcPr>
            <w:tcW w:w="2785" w:type="dxa"/>
            <w:vAlign w:val="center"/>
          </w:tcPr>
          <w:p w14:paraId="3EC286CB" w14:textId="77777777" w:rsidR="00BB41AA" w:rsidRPr="00F357C3" w:rsidDel="006F1778" w:rsidRDefault="00BB41AA" w:rsidP="00EB7CD5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10</w:t>
            </w:r>
          </w:p>
        </w:tc>
        <w:tc>
          <w:tcPr>
            <w:tcW w:w="1350" w:type="dxa"/>
            <w:vAlign w:val="center"/>
          </w:tcPr>
          <w:p w14:paraId="47B9FC34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222222"/>
                <w:sz w:val="20"/>
                <w:szCs w:val="20"/>
              </w:rPr>
              <w:t>257 (3.3)</w:t>
            </w:r>
          </w:p>
        </w:tc>
        <w:tc>
          <w:tcPr>
            <w:tcW w:w="2070" w:type="dxa"/>
          </w:tcPr>
          <w:p w14:paraId="450D244B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(3.3)</w:t>
            </w:r>
          </w:p>
        </w:tc>
        <w:tc>
          <w:tcPr>
            <w:tcW w:w="2250" w:type="dxa"/>
          </w:tcPr>
          <w:p w14:paraId="24361D13" w14:textId="77777777" w:rsidR="00BB41AA" w:rsidRPr="000D4473" w:rsidDel="006F1778" w:rsidRDefault="00BB41AA" w:rsidP="00EB7C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 (3.4)</w:t>
            </w:r>
          </w:p>
        </w:tc>
        <w:tc>
          <w:tcPr>
            <w:tcW w:w="895" w:type="dxa"/>
            <w:vMerge/>
            <w:vAlign w:val="center"/>
          </w:tcPr>
          <w:p w14:paraId="4B0634D9" w14:textId="77777777" w:rsidR="00BB41AA" w:rsidRPr="00F357C3" w:rsidDel="006F1778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41409111" w14:textId="77777777" w:rsidTr="00EB7CD5">
        <w:tc>
          <w:tcPr>
            <w:tcW w:w="2785" w:type="dxa"/>
            <w:vAlign w:val="center"/>
          </w:tcPr>
          <w:p w14:paraId="7F48AD1C" w14:textId="77777777" w:rsidR="00BB41AA" w:rsidRPr="00CB18EA" w:rsidRDefault="00BB41AA" w:rsidP="00EB7CD5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B18E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Case</w:t>
            </w:r>
          </w:p>
        </w:tc>
        <w:tc>
          <w:tcPr>
            <w:tcW w:w="1350" w:type="dxa"/>
          </w:tcPr>
          <w:p w14:paraId="222603A9" w14:textId="77777777" w:rsidR="00BB41AA" w:rsidRPr="00CB18EA" w:rsidRDefault="00BB41AA" w:rsidP="00EB7CD5">
            <w:pPr>
              <w:rPr>
                <w:sz w:val="20"/>
                <w:szCs w:val="20"/>
              </w:rPr>
            </w:pPr>
            <w:r w:rsidRPr="00CB18EA">
              <w:rPr>
                <w:sz w:val="20"/>
                <w:szCs w:val="20"/>
              </w:rPr>
              <w:t>1170 (15.2)</w:t>
            </w:r>
          </w:p>
        </w:tc>
        <w:tc>
          <w:tcPr>
            <w:tcW w:w="2070" w:type="dxa"/>
          </w:tcPr>
          <w:p w14:paraId="276720DF" w14:textId="77777777" w:rsidR="00BB41AA" w:rsidRPr="00CB18EA" w:rsidRDefault="00BB41AA" w:rsidP="00EB7CD5">
            <w:pPr>
              <w:rPr>
                <w:sz w:val="20"/>
                <w:szCs w:val="20"/>
              </w:rPr>
            </w:pPr>
            <w:r w:rsidRPr="00CB18EA">
              <w:rPr>
                <w:sz w:val="20"/>
                <w:szCs w:val="20"/>
              </w:rPr>
              <w:t>391 (12.3)</w:t>
            </w:r>
          </w:p>
        </w:tc>
        <w:tc>
          <w:tcPr>
            <w:tcW w:w="2250" w:type="dxa"/>
          </w:tcPr>
          <w:p w14:paraId="3A64C083" w14:textId="77777777" w:rsidR="00BB41AA" w:rsidRPr="00CB18EA" w:rsidRDefault="00BB41AA" w:rsidP="00EB7CD5">
            <w:pPr>
              <w:rPr>
                <w:sz w:val="20"/>
                <w:szCs w:val="20"/>
              </w:rPr>
            </w:pPr>
            <w:r w:rsidRPr="00CB18EA">
              <w:rPr>
                <w:sz w:val="20"/>
                <w:szCs w:val="20"/>
              </w:rPr>
              <w:t>779 (17.2)</w:t>
            </w:r>
          </w:p>
        </w:tc>
        <w:tc>
          <w:tcPr>
            <w:tcW w:w="895" w:type="dxa"/>
          </w:tcPr>
          <w:p w14:paraId="463A2F97" w14:textId="77777777" w:rsidR="00BB41AA" w:rsidRPr="00CB18EA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B18EA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4E4ED4B6" w14:textId="77777777" w:rsidTr="00EB7CD5">
        <w:tc>
          <w:tcPr>
            <w:tcW w:w="9350" w:type="dxa"/>
            <w:gridSpan w:val="5"/>
            <w:vAlign w:val="center"/>
          </w:tcPr>
          <w:p w14:paraId="650A118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Demographic characteristics </w:t>
            </w:r>
          </w:p>
        </w:tc>
      </w:tr>
      <w:tr w:rsidR="00BB41AA" w:rsidRPr="00F357C3" w14:paraId="08687647" w14:textId="77777777" w:rsidTr="00EB7CD5">
        <w:tc>
          <w:tcPr>
            <w:tcW w:w="2785" w:type="dxa"/>
            <w:vAlign w:val="center"/>
          </w:tcPr>
          <w:p w14:paraId="4143293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Age, median (IQR), years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4890769F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65 (52-75)</w:t>
            </w:r>
          </w:p>
        </w:tc>
        <w:tc>
          <w:tcPr>
            <w:tcW w:w="2070" w:type="dxa"/>
          </w:tcPr>
          <w:p w14:paraId="69239D95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69 (59-78)</w:t>
            </w:r>
          </w:p>
        </w:tc>
        <w:tc>
          <w:tcPr>
            <w:tcW w:w="2250" w:type="dxa"/>
          </w:tcPr>
          <w:p w14:paraId="16614595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61 (47-72)</w:t>
            </w:r>
          </w:p>
        </w:tc>
        <w:tc>
          <w:tcPr>
            <w:tcW w:w="895" w:type="dxa"/>
          </w:tcPr>
          <w:p w14:paraId="2CB7208C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2A54041F" w14:textId="77777777" w:rsidTr="00EB7CD5">
        <w:tc>
          <w:tcPr>
            <w:tcW w:w="9350" w:type="dxa"/>
            <w:gridSpan w:val="5"/>
            <w:vAlign w:val="center"/>
          </w:tcPr>
          <w:p w14:paraId="2A8E25FC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rFonts w:cstheme="minorHAnsi"/>
                <w:color w:val="000000"/>
                <w:sz w:val="20"/>
                <w:szCs w:val="20"/>
              </w:rPr>
              <w:t>Age group</w:t>
            </w: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BB41AA" w:rsidRPr="00F357C3" w14:paraId="6CBF5E62" w14:textId="77777777" w:rsidTr="00EB7CD5">
        <w:tc>
          <w:tcPr>
            <w:tcW w:w="2785" w:type="dxa"/>
            <w:vAlign w:val="center"/>
          </w:tcPr>
          <w:p w14:paraId="742EEF5A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18–49 years </w:t>
            </w:r>
          </w:p>
        </w:tc>
        <w:tc>
          <w:tcPr>
            <w:tcW w:w="1350" w:type="dxa"/>
          </w:tcPr>
          <w:p w14:paraId="47A14495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1703 (22.1)</w:t>
            </w:r>
          </w:p>
        </w:tc>
        <w:tc>
          <w:tcPr>
            <w:tcW w:w="2070" w:type="dxa"/>
          </w:tcPr>
          <w:p w14:paraId="10D0EFC2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416 (13.1)</w:t>
            </w:r>
          </w:p>
        </w:tc>
        <w:tc>
          <w:tcPr>
            <w:tcW w:w="2250" w:type="dxa"/>
          </w:tcPr>
          <w:p w14:paraId="3A8AA0F8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1287 (28.5)</w:t>
            </w:r>
          </w:p>
        </w:tc>
        <w:tc>
          <w:tcPr>
            <w:tcW w:w="895" w:type="dxa"/>
            <w:vMerge w:val="restart"/>
            <w:vAlign w:val="center"/>
          </w:tcPr>
          <w:p w14:paraId="734E2C79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>&lt;</w:t>
            </w:r>
            <w:r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>.001</w:t>
            </w:r>
          </w:p>
          <w:p w14:paraId="190D0AC1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4625E10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B41AA" w:rsidRPr="00F357C3" w14:paraId="14A2ADF2" w14:textId="77777777" w:rsidTr="00EB7CD5">
        <w:tc>
          <w:tcPr>
            <w:tcW w:w="2785" w:type="dxa"/>
            <w:vAlign w:val="center"/>
          </w:tcPr>
          <w:p w14:paraId="0494B5E3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50–64 years </w:t>
            </w:r>
          </w:p>
        </w:tc>
        <w:tc>
          <w:tcPr>
            <w:tcW w:w="1350" w:type="dxa"/>
          </w:tcPr>
          <w:p w14:paraId="581288AD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2099 (27.3)</w:t>
            </w:r>
          </w:p>
        </w:tc>
        <w:tc>
          <w:tcPr>
            <w:tcW w:w="2070" w:type="dxa"/>
          </w:tcPr>
          <w:p w14:paraId="5A122C10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749 (23.6)</w:t>
            </w:r>
          </w:p>
        </w:tc>
        <w:tc>
          <w:tcPr>
            <w:tcW w:w="2250" w:type="dxa"/>
          </w:tcPr>
          <w:p w14:paraId="06314C2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1350 (29.9)</w:t>
            </w:r>
          </w:p>
        </w:tc>
        <w:tc>
          <w:tcPr>
            <w:tcW w:w="895" w:type="dxa"/>
            <w:vMerge/>
            <w:vAlign w:val="center"/>
          </w:tcPr>
          <w:p w14:paraId="2C42AAE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433D8BD8" w14:textId="77777777" w:rsidTr="00EB7CD5">
        <w:tc>
          <w:tcPr>
            <w:tcW w:w="2785" w:type="dxa"/>
            <w:vAlign w:val="center"/>
          </w:tcPr>
          <w:p w14:paraId="3FF7CA79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≥65 years </w:t>
            </w:r>
          </w:p>
        </w:tc>
        <w:tc>
          <w:tcPr>
            <w:tcW w:w="1350" w:type="dxa"/>
          </w:tcPr>
          <w:p w14:paraId="201F4838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3888 (50.6)</w:t>
            </w:r>
          </w:p>
        </w:tc>
        <w:tc>
          <w:tcPr>
            <w:tcW w:w="2070" w:type="dxa"/>
          </w:tcPr>
          <w:p w14:paraId="6B225206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2005 (63.2)</w:t>
            </w:r>
          </w:p>
        </w:tc>
        <w:tc>
          <w:tcPr>
            <w:tcW w:w="2250" w:type="dxa"/>
          </w:tcPr>
          <w:p w14:paraId="1EB1AD89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1883 (41.7)</w:t>
            </w:r>
          </w:p>
        </w:tc>
        <w:tc>
          <w:tcPr>
            <w:tcW w:w="895" w:type="dxa"/>
            <w:vMerge/>
            <w:vAlign w:val="center"/>
          </w:tcPr>
          <w:p w14:paraId="215B364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05F4F2AB" w14:textId="77777777" w:rsidTr="00EB7CD5">
        <w:tc>
          <w:tcPr>
            <w:tcW w:w="2785" w:type="dxa"/>
            <w:vAlign w:val="center"/>
          </w:tcPr>
          <w:p w14:paraId="2B2ABFB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Female </w:t>
            </w:r>
          </w:p>
        </w:tc>
        <w:tc>
          <w:tcPr>
            <w:tcW w:w="1350" w:type="dxa"/>
          </w:tcPr>
          <w:p w14:paraId="220914E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3930 (51.1)</w:t>
            </w:r>
          </w:p>
        </w:tc>
        <w:tc>
          <w:tcPr>
            <w:tcW w:w="2070" w:type="dxa"/>
          </w:tcPr>
          <w:p w14:paraId="517320A8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1629 (51.4)</w:t>
            </w:r>
          </w:p>
        </w:tc>
        <w:tc>
          <w:tcPr>
            <w:tcW w:w="2250" w:type="dxa"/>
          </w:tcPr>
          <w:p w14:paraId="48B89EDA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2301 (50.9)</w:t>
            </w:r>
          </w:p>
        </w:tc>
        <w:tc>
          <w:tcPr>
            <w:tcW w:w="895" w:type="dxa"/>
            <w:vAlign w:val="center"/>
          </w:tcPr>
          <w:p w14:paraId="6DB2F885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0.</w:t>
            </w:r>
            <w:r>
              <w:rPr>
                <w:rFonts w:cstheme="minorHAnsi"/>
                <w:color w:val="000000"/>
                <w:sz w:val="20"/>
                <w:szCs w:val="20"/>
              </w:rPr>
              <w:t>695</w:t>
            </w:r>
          </w:p>
        </w:tc>
      </w:tr>
      <w:tr w:rsidR="00BB41AA" w:rsidRPr="00F357C3" w14:paraId="3863FF04" w14:textId="77777777" w:rsidTr="00EB7CD5">
        <w:tc>
          <w:tcPr>
            <w:tcW w:w="9350" w:type="dxa"/>
            <w:gridSpan w:val="5"/>
            <w:vAlign w:val="center"/>
          </w:tcPr>
          <w:p w14:paraId="210E3069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Race/ethnicity </w:t>
            </w:r>
          </w:p>
        </w:tc>
      </w:tr>
      <w:tr w:rsidR="00BB41AA" w:rsidRPr="00F357C3" w14:paraId="6E7D98A8" w14:textId="77777777" w:rsidTr="00EB7CD5">
        <w:tc>
          <w:tcPr>
            <w:tcW w:w="2785" w:type="dxa"/>
            <w:vAlign w:val="center"/>
          </w:tcPr>
          <w:p w14:paraId="6F3B123E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White, non-Hispanic </w:t>
            </w:r>
          </w:p>
        </w:tc>
        <w:tc>
          <w:tcPr>
            <w:tcW w:w="1350" w:type="dxa"/>
          </w:tcPr>
          <w:p w14:paraId="4837D3E7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4290 (55.8)</w:t>
            </w:r>
          </w:p>
        </w:tc>
        <w:tc>
          <w:tcPr>
            <w:tcW w:w="2070" w:type="dxa"/>
          </w:tcPr>
          <w:p w14:paraId="20C916AB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2025 (63.9)</w:t>
            </w:r>
          </w:p>
        </w:tc>
        <w:tc>
          <w:tcPr>
            <w:tcW w:w="2250" w:type="dxa"/>
          </w:tcPr>
          <w:p w14:paraId="5D77581D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2265 (50.1)</w:t>
            </w:r>
          </w:p>
        </w:tc>
        <w:tc>
          <w:tcPr>
            <w:tcW w:w="895" w:type="dxa"/>
            <w:vMerge w:val="restart"/>
            <w:vAlign w:val="center"/>
          </w:tcPr>
          <w:p w14:paraId="467C4101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&lt;</w:t>
            </w:r>
            <w:r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>.001</w:t>
            </w:r>
          </w:p>
          <w:p w14:paraId="27D68F7E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6D4B9D3A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08DBACB7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B41AA" w:rsidRPr="00F357C3" w14:paraId="303A7369" w14:textId="77777777" w:rsidTr="00EB7CD5">
        <w:tc>
          <w:tcPr>
            <w:tcW w:w="2785" w:type="dxa"/>
            <w:vAlign w:val="center"/>
          </w:tcPr>
          <w:p w14:paraId="63565D5D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Black, non-Hispanic </w:t>
            </w:r>
          </w:p>
        </w:tc>
        <w:tc>
          <w:tcPr>
            <w:tcW w:w="1350" w:type="dxa"/>
          </w:tcPr>
          <w:p w14:paraId="0348AE3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1771 (23.0)</w:t>
            </w:r>
          </w:p>
        </w:tc>
        <w:tc>
          <w:tcPr>
            <w:tcW w:w="2070" w:type="dxa"/>
          </w:tcPr>
          <w:p w14:paraId="164FA635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585 (18.5)</w:t>
            </w:r>
          </w:p>
        </w:tc>
        <w:tc>
          <w:tcPr>
            <w:tcW w:w="2250" w:type="dxa"/>
          </w:tcPr>
          <w:p w14:paraId="08A80445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1186 (26.2)</w:t>
            </w:r>
          </w:p>
        </w:tc>
        <w:tc>
          <w:tcPr>
            <w:tcW w:w="895" w:type="dxa"/>
            <w:vMerge/>
            <w:vAlign w:val="center"/>
          </w:tcPr>
          <w:p w14:paraId="30B87A59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6531A030" w14:textId="77777777" w:rsidTr="00EB7CD5">
        <w:tc>
          <w:tcPr>
            <w:tcW w:w="2785" w:type="dxa"/>
            <w:vAlign w:val="center"/>
          </w:tcPr>
          <w:p w14:paraId="4D6A5D22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Hispanic, any race </w:t>
            </w:r>
          </w:p>
        </w:tc>
        <w:tc>
          <w:tcPr>
            <w:tcW w:w="1350" w:type="dxa"/>
          </w:tcPr>
          <w:p w14:paraId="0483C0F7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1042 (13.6)</w:t>
            </w:r>
          </w:p>
        </w:tc>
        <w:tc>
          <w:tcPr>
            <w:tcW w:w="2070" w:type="dxa"/>
          </w:tcPr>
          <w:p w14:paraId="4D8E6E8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370 (11.7)</w:t>
            </w:r>
          </w:p>
        </w:tc>
        <w:tc>
          <w:tcPr>
            <w:tcW w:w="2250" w:type="dxa"/>
          </w:tcPr>
          <w:p w14:paraId="6C328CED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672 (14.9)</w:t>
            </w:r>
          </w:p>
        </w:tc>
        <w:tc>
          <w:tcPr>
            <w:tcW w:w="895" w:type="dxa"/>
            <w:vMerge/>
            <w:vAlign w:val="center"/>
          </w:tcPr>
          <w:p w14:paraId="6A554B2B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32F91A90" w14:textId="77777777" w:rsidTr="00EB7CD5">
        <w:tc>
          <w:tcPr>
            <w:tcW w:w="2785" w:type="dxa"/>
            <w:vAlign w:val="center"/>
          </w:tcPr>
          <w:p w14:paraId="3BDB3D09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Other race, non-Hispanic </w:t>
            </w:r>
          </w:p>
        </w:tc>
        <w:tc>
          <w:tcPr>
            <w:tcW w:w="1350" w:type="dxa"/>
          </w:tcPr>
          <w:p w14:paraId="64C155D0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327 (4.3)</w:t>
            </w:r>
          </w:p>
        </w:tc>
        <w:tc>
          <w:tcPr>
            <w:tcW w:w="2070" w:type="dxa"/>
          </w:tcPr>
          <w:p w14:paraId="6805FAB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122 (3.8)</w:t>
            </w:r>
          </w:p>
        </w:tc>
        <w:tc>
          <w:tcPr>
            <w:tcW w:w="2250" w:type="dxa"/>
          </w:tcPr>
          <w:p w14:paraId="486FCC0B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205 (4.5)</w:t>
            </w:r>
          </w:p>
        </w:tc>
        <w:tc>
          <w:tcPr>
            <w:tcW w:w="895" w:type="dxa"/>
            <w:vMerge/>
            <w:vAlign w:val="center"/>
          </w:tcPr>
          <w:p w14:paraId="03F3971E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6548BA01" w14:textId="77777777" w:rsidTr="00EB7CD5">
        <w:tc>
          <w:tcPr>
            <w:tcW w:w="9350" w:type="dxa"/>
            <w:gridSpan w:val="5"/>
            <w:vAlign w:val="center"/>
          </w:tcPr>
          <w:p w14:paraId="197CD6CA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Health status indicators </w:t>
            </w:r>
          </w:p>
        </w:tc>
      </w:tr>
      <w:tr w:rsidR="00BB41AA" w:rsidRPr="00F357C3" w14:paraId="26332A38" w14:textId="77777777" w:rsidTr="00EB7CD5">
        <w:tc>
          <w:tcPr>
            <w:tcW w:w="2785" w:type="dxa"/>
            <w:vAlign w:val="center"/>
          </w:tcPr>
          <w:p w14:paraId="3214A22A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>Insured</w:t>
            </w:r>
          </w:p>
        </w:tc>
        <w:tc>
          <w:tcPr>
            <w:tcW w:w="1350" w:type="dxa"/>
          </w:tcPr>
          <w:p w14:paraId="5C9DEB0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7333 (95.4)</w:t>
            </w:r>
          </w:p>
        </w:tc>
        <w:tc>
          <w:tcPr>
            <w:tcW w:w="2070" w:type="dxa"/>
          </w:tcPr>
          <w:p w14:paraId="314DD66A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1090 (93.16)</w:t>
            </w:r>
          </w:p>
        </w:tc>
        <w:tc>
          <w:tcPr>
            <w:tcW w:w="2250" w:type="dxa"/>
          </w:tcPr>
          <w:p w14:paraId="122771CF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6243 (95.77)</w:t>
            </w:r>
          </w:p>
        </w:tc>
        <w:tc>
          <w:tcPr>
            <w:tcW w:w="895" w:type="dxa"/>
          </w:tcPr>
          <w:p w14:paraId="0E45C8C0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1EAC7972" w14:textId="77777777" w:rsidTr="00EB7CD5">
        <w:tc>
          <w:tcPr>
            <w:tcW w:w="2785" w:type="dxa"/>
            <w:vAlign w:val="center"/>
          </w:tcPr>
          <w:p w14:paraId="13E7703A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>Current tobacco smoking</w:t>
            </w:r>
          </w:p>
        </w:tc>
        <w:tc>
          <w:tcPr>
            <w:tcW w:w="1350" w:type="dxa"/>
          </w:tcPr>
          <w:p w14:paraId="30C9184B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1514 (19.7)</w:t>
            </w:r>
          </w:p>
        </w:tc>
        <w:tc>
          <w:tcPr>
            <w:tcW w:w="2070" w:type="dxa"/>
          </w:tcPr>
          <w:p w14:paraId="2DB5CA11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423 (13.3)</w:t>
            </w:r>
          </w:p>
        </w:tc>
        <w:tc>
          <w:tcPr>
            <w:tcW w:w="2250" w:type="dxa"/>
          </w:tcPr>
          <w:p w14:paraId="3215B95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1091 (24.1)</w:t>
            </w:r>
          </w:p>
        </w:tc>
        <w:tc>
          <w:tcPr>
            <w:tcW w:w="895" w:type="dxa"/>
          </w:tcPr>
          <w:p w14:paraId="0673AC7A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2CC4FE91" w14:textId="77777777" w:rsidTr="00EB7CD5">
        <w:tc>
          <w:tcPr>
            <w:tcW w:w="2785" w:type="dxa"/>
            <w:vAlign w:val="center"/>
          </w:tcPr>
          <w:p w14:paraId="59BBDBEF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>≥1 Hospitalization in prior year</w:t>
            </w:r>
          </w:p>
        </w:tc>
        <w:tc>
          <w:tcPr>
            <w:tcW w:w="1350" w:type="dxa"/>
          </w:tcPr>
          <w:p w14:paraId="16F151A5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4568 (59.4)</w:t>
            </w:r>
          </w:p>
        </w:tc>
        <w:tc>
          <w:tcPr>
            <w:tcW w:w="2070" w:type="dxa"/>
          </w:tcPr>
          <w:p w14:paraId="42D5D70C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2055 (64.8)</w:t>
            </w:r>
          </w:p>
        </w:tc>
        <w:tc>
          <w:tcPr>
            <w:tcW w:w="2250" w:type="dxa"/>
          </w:tcPr>
          <w:p w14:paraId="20A7B25D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2513 (55.6)</w:t>
            </w:r>
          </w:p>
        </w:tc>
        <w:tc>
          <w:tcPr>
            <w:tcW w:w="895" w:type="dxa"/>
          </w:tcPr>
          <w:p w14:paraId="5C726CCE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026F91AF" w14:textId="77777777" w:rsidTr="00EB7CD5">
        <w:trPr>
          <w:trHeight w:val="242"/>
        </w:trPr>
        <w:tc>
          <w:tcPr>
            <w:tcW w:w="2785" w:type="dxa"/>
            <w:vAlign w:val="center"/>
          </w:tcPr>
          <w:p w14:paraId="1C66D173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 </w:t>
            </w: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Chronic respiratory condition </w:t>
            </w:r>
          </w:p>
        </w:tc>
        <w:tc>
          <w:tcPr>
            <w:tcW w:w="1350" w:type="dxa"/>
          </w:tcPr>
          <w:p w14:paraId="2F7DFB46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3339 (43.4)</w:t>
            </w:r>
          </w:p>
        </w:tc>
        <w:tc>
          <w:tcPr>
            <w:tcW w:w="2070" w:type="dxa"/>
          </w:tcPr>
          <w:p w14:paraId="0F1D85BF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1547 (48.8)</w:t>
            </w:r>
          </w:p>
        </w:tc>
        <w:tc>
          <w:tcPr>
            <w:tcW w:w="2250" w:type="dxa"/>
          </w:tcPr>
          <w:p w14:paraId="7AA0B7A4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1792 (39.6)</w:t>
            </w:r>
          </w:p>
        </w:tc>
        <w:tc>
          <w:tcPr>
            <w:tcW w:w="895" w:type="dxa"/>
          </w:tcPr>
          <w:p w14:paraId="02B204D2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773B28B5" w14:textId="77777777" w:rsidTr="00EB7CD5">
        <w:tc>
          <w:tcPr>
            <w:tcW w:w="2785" w:type="dxa"/>
          </w:tcPr>
          <w:p w14:paraId="0D348C32" w14:textId="77777777" w:rsidR="00BB41AA" w:rsidRPr="00F357C3" w:rsidRDefault="00BB41AA" w:rsidP="00EB7CD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F357C3">
              <w:rPr>
                <w:rFonts w:cstheme="minorHAnsi"/>
                <w:sz w:val="20"/>
                <w:szCs w:val="20"/>
              </w:rPr>
              <w:t>mmunocompromised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70D6C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</w:tcPr>
          <w:p w14:paraId="33F30552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1854 (24.1)</w:t>
            </w:r>
          </w:p>
        </w:tc>
        <w:tc>
          <w:tcPr>
            <w:tcW w:w="2070" w:type="dxa"/>
          </w:tcPr>
          <w:p w14:paraId="0D1FDE9F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897 (28.3)</w:t>
            </w:r>
          </w:p>
        </w:tc>
        <w:tc>
          <w:tcPr>
            <w:tcW w:w="2250" w:type="dxa"/>
          </w:tcPr>
          <w:p w14:paraId="1AAC3422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957 (21.2)</w:t>
            </w:r>
          </w:p>
        </w:tc>
        <w:tc>
          <w:tcPr>
            <w:tcW w:w="895" w:type="dxa"/>
          </w:tcPr>
          <w:p w14:paraId="5B58C2EF" w14:textId="77777777" w:rsidR="00BB41AA" w:rsidRPr="00F1680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1680E">
              <w:rPr>
                <w:sz w:val="20"/>
                <w:szCs w:val="20"/>
              </w:rPr>
              <w:t>&lt;0.001</w:t>
            </w:r>
          </w:p>
        </w:tc>
      </w:tr>
      <w:tr w:rsidR="00BB41AA" w:rsidRPr="00F357C3" w14:paraId="0D062E73" w14:textId="77777777" w:rsidTr="00EB7CD5">
        <w:tc>
          <w:tcPr>
            <w:tcW w:w="9350" w:type="dxa"/>
            <w:gridSpan w:val="5"/>
            <w:vAlign w:val="center"/>
          </w:tcPr>
          <w:p w14:paraId="33959872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Number of chronic underlying medical conditions categories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870D6C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BB41AA" w:rsidRPr="00F357C3" w14:paraId="044583A1" w14:textId="77777777" w:rsidTr="00EB7CD5">
        <w:tc>
          <w:tcPr>
            <w:tcW w:w="2785" w:type="dxa"/>
            <w:vAlign w:val="center"/>
          </w:tcPr>
          <w:p w14:paraId="4130ADDF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038B116B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556 (7.2)</w:t>
            </w:r>
          </w:p>
        </w:tc>
        <w:tc>
          <w:tcPr>
            <w:tcW w:w="2070" w:type="dxa"/>
          </w:tcPr>
          <w:p w14:paraId="0927DB57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90 (2.8)</w:t>
            </w:r>
          </w:p>
        </w:tc>
        <w:tc>
          <w:tcPr>
            <w:tcW w:w="2250" w:type="dxa"/>
          </w:tcPr>
          <w:p w14:paraId="59164530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466 (10.3)</w:t>
            </w:r>
          </w:p>
        </w:tc>
        <w:tc>
          <w:tcPr>
            <w:tcW w:w="895" w:type="dxa"/>
            <w:vMerge w:val="restart"/>
            <w:vAlign w:val="center"/>
          </w:tcPr>
          <w:p w14:paraId="46691F33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  <w:p w14:paraId="49DEBC6C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  <w:p w14:paraId="00EF4D5C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  <w:p w14:paraId="777778E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  <w:p w14:paraId="3D65C50E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B41AA" w:rsidRPr="00F357C3" w14:paraId="0EE7C9FA" w14:textId="77777777" w:rsidTr="00EB7CD5">
        <w:tc>
          <w:tcPr>
            <w:tcW w:w="2785" w:type="dxa"/>
            <w:vAlign w:val="center"/>
          </w:tcPr>
          <w:p w14:paraId="79D76D49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58887364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1477 (19.2)</w:t>
            </w:r>
          </w:p>
        </w:tc>
        <w:tc>
          <w:tcPr>
            <w:tcW w:w="2070" w:type="dxa"/>
          </w:tcPr>
          <w:p w14:paraId="05BFB67F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458 (14.4)</w:t>
            </w:r>
          </w:p>
        </w:tc>
        <w:tc>
          <w:tcPr>
            <w:tcW w:w="2250" w:type="dxa"/>
          </w:tcPr>
          <w:p w14:paraId="26C8E095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1019 (22.5)</w:t>
            </w:r>
          </w:p>
        </w:tc>
        <w:tc>
          <w:tcPr>
            <w:tcW w:w="895" w:type="dxa"/>
            <w:vMerge/>
            <w:vAlign w:val="center"/>
          </w:tcPr>
          <w:p w14:paraId="035C81AF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4E4C935C" w14:textId="77777777" w:rsidTr="00EB7CD5">
        <w:tc>
          <w:tcPr>
            <w:tcW w:w="2785" w:type="dxa"/>
            <w:vAlign w:val="center"/>
          </w:tcPr>
          <w:p w14:paraId="6D3C4685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</w:tcPr>
          <w:p w14:paraId="3C6A6031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2024 (26.3)</w:t>
            </w:r>
          </w:p>
        </w:tc>
        <w:tc>
          <w:tcPr>
            <w:tcW w:w="2070" w:type="dxa"/>
          </w:tcPr>
          <w:p w14:paraId="57F905A6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832 (26.2)</w:t>
            </w:r>
          </w:p>
        </w:tc>
        <w:tc>
          <w:tcPr>
            <w:tcW w:w="2250" w:type="dxa"/>
          </w:tcPr>
          <w:p w14:paraId="075AA6F2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1192 (26.4)</w:t>
            </w:r>
          </w:p>
        </w:tc>
        <w:tc>
          <w:tcPr>
            <w:tcW w:w="895" w:type="dxa"/>
            <w:vMerge/>
            <w:vAlign w:val="center"/>
          </w:tcPr>
          <w:p w14:paraId="3BC34C22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1CE185B1" w14:textId="77777777" w:rsidTr="00EB7CD5">
        <w:tc>
          <w:tcPr>
            <w:tcW w:w="2785" w:type="dxa"/>
            <w:vAlign w:val="center"/>
          </w:tcPr>
          <w:p w14:paraId="6ABE168C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973E8CE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1867 (24.3)</w:t>
            </w:r>
          </w:p>
        </w:tc>
        <w:tc>
          <w:tcPr>
            <w:tcW w:w="2070" w:type="dxa"/>
          </w:tcPr>
          <w:p w14:paraId="0EB6E88D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850 (26.8)</w:t>
            </w:r>
          </w:p>
        </w:tc>
        <w:tc>
          <w:tcPr>
            <w:tcW w:w="2250" w:type="dxa"/>
          </w:tcPr>
          <w:p w14:paraId="1A04282A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1017 (22.5)</w:t>
            </w:r>
          </w:p>
        </w:tc>
        <w:tc>
          <w:tcPr>
            <w:tcW w:w="895" w:type="dxa"/>
            <w:vMerge/>
            <w:vAlign w:val="center"/>
          </w:tcPr>
          <w:p w14:paraId="2C859CEA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79983010" w14:textId="77777777" w:rsidTr="00EB7CD5">
        <w:tc>
          <w:tcPr>
            <w:tcW w:w="2785" w:type="dxa"/>
            <w:vAlign w:val="center"/>
          </w:tcPr>
          <w:p w14:paraId="12D2921F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 ≥4</w:t>
            </w:r>
          </w:p>
        </w:tc>
        <w:tc>
          <w:tcPr>
            <w:tcW w:w="1350" w:type="dxa"/>
          </w:tcPr>
          <w:p w14:paraId="333C794B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1764 (22.9)</w:t>
            </w:r>
          </w:p>
        </w:tc>
        <w:tc>
          <w:tcPr>
            <w:tcW w:w="2070" w:type="dxa"/>
          </w:tcPr>
          <w:p w14:paraId="3205F768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939 (29.6)</w:t>
            </w:r>
          </w:p>
        </w:tc>
        <w:tc>
          <w:tcPr>
            <w:tcW w:w="2250" w:type="dxa"/>
          </w:tcPr>
          <w:p w14:paraId="29F11D5C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825 (18.3)</w:t>
            </w:r>
          </w:p>
        </w:tc>
        <w:tc>
          <w:tcPr>
            <w:tcW w:w="895" w:type="dxa"/>
            <w:vMerge/>
            <w:vAlign w:val="center"/>
          </w:tcPr>
          <w:p w14:paraId="22001E54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B41AA" w:rsidRPr="00F357C3" w14:paraId="5C892B45" w14:textId="77777777" w:rsidTr="00EB7CD5">
        <w:tc>
          <w:tcPr>
            <w:tcW w:w="9350" w:type="dxa"/>
            <w:gridSpan w:val="5"/>
            <w:vAlign w:val="center"/>
          </w:tcPr>
          <w:p w14:paraId="5E78D4D0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Admission Characteristics</w:t>
            </w:r>
            <w:r w:rsidRPr="00F357C3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B41AA" w:rsidRPr="00F357C3" w14:paraId="53FEE91E" w14:textId="77777777" w:rsidTr="00EB7CD5">
        <w:tc>
          <w:tcPr>
            <w:tcW w:w="2785" w:type="dxa"/>
            <w:vAlign w:val="center"/>
          </w:tcPr>
          <w:p w14:paraId="154DCBA3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Days from illness onset to influenza testing, median (IQR) </w:t>
            </w:r>
          </w:p>
        </w:tc>
        <w:tc>
          <w:tcPr>
            <w:tcW w:w="1350" w:type="dxa"/>
          </w:tcPr>
          <w:p w14:paraId="6489F053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 (0-3)</w:t>
            </w:r>
          </w:p>
        </w:tc>
        <w:tc>
          <w:tcPr>
            <w:tcW w:w="2070" w:type="dxa"/>
          </w:tcPr>
          <w:p w14:paraId="1AD57E44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 (0-3)</w:t>
            </w:r>
          </w:p>
        </w:tc>
        <w:tc>
          <w:tcPr>
            <w:tcW w:w="2250" w:type="dxa"/>
          </w:tcPr>
          <w:p w14:paraId="0B59AF94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 (0-3)</w:t>
            </w:r>
          </w:p>
        </w:tc>
        <w:tc>
          <w:tcPr>
            <w:tcW w:w="895" w:type="dxa"/>
          </w:tcPr>
          <w:p w14:paraId="0AB16F13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0.077</w:t>
            </w:r>
          </w:p>
        </w:tc>
      </w:tr>
      <w:tr w:rsidR="00BB41AA" w:rsidRPr="00F357C3" w14:paraId="55E5E52B" w14:textId="77777777" w:rsidTr="00EB7CD5">
        <w:tc>
          <w:tcPr>
            <w:tcW w:w="2785" w:type="dxa"/>
            <w:vAlign w:val="center"/>
          </w:tcPr>
          <w:p w14:paraId="75420D18" w14:textId="77777777" w:rsidR="00BB41AA" w:rsidRPr="00F357C3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57C3">
              <w:rPr>
                <w:rFonts w:cstheme="minorHAnsi"/>
                <w:color w:val="000000"/>
                <w:sz w:val="20"/>
                <w:szCs w:val="20"/>
              </w:rPr>
              <w:t xml:space="preserve">Days from illness onset to hospitalization, median (IQR) </w:t>
            </w:r>
          </w:p>
        </w:tc>
        <w:tc>
          <w:tcPr>
            <w:tcW w:w="1350" w:type="dxa"/>
          </w:tcPr>
          <w:p w14:paraId="01FD52D3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 (0-3)</w:t>
            </w:r>
          </w:p>
        </w:tc>
        <w:tc>
          <w:tcPr>
            <w:tcW w:w="2070" w:type="dxa"/>
          </w:tcPr>
          <w:p w14:paraId="6E5F1AED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 (0-3)</w:t>
            </w:r>
          </w:p>
        </w:tc>
        <w:tc>
          <w:tcPr>
            <w:tcW w:w="2250" w:type="dxa"/>
          </w:tcPr>
          <w:p w14:paraId="5198F1BB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2 (0-3)</w:t>
            </w:r>
          </w:p>
        </w:tc>
        <w:tc>
          <w:tcPr>
            <w:tcW w:w="895" w:type="dxa"/>
          </w:tcPr>
          <w:p w14:paraId="737E789C" w14:textId="77777777" w:rsidR="00BB41AA" w:rsidRPr="002829EE" w:rsidRDefault="00BB41AA" w:rsidP="00EB7C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829EE">
              <w:rPr>
                <w:sz w:val="20"/>
                <w:szCs w:val="20"/>
              </w:rPr>
              <w:t>0.138</w:t>
            </w:r>
          </w:p>
        </w:tc>
      </w:tr>
    </w:tbl>
    <w:p w14:paraId="6F957D0F" w14:textId="77777777" w:rsidR="00BB41AA" w:rsidRDefault="00BB41AA" w:rsidP="00BB41AA">
      <w:pPr>
        <w:rPr>
          <w:b/>
          <w:bCs/>
        </w:rPr>
      </w:pPr>
    </w:p>
    <w:p w14:paraId="54EB8B81" w14:textId="77777777" w:rsidR="00BB41AA" w:rsidRPr="00870D6C" w:rsidRDefault="00BB41AA" w:rsidP="00BB41AA">
      <w:pPr>
        <w:rPr>
          <w:sz w:val="20"/>
          <w:szCs w:val="20"/>
        </w:rPr>
      </w:pPr>
      <w:proofErr w:type="spellStart"/>
      <w:r w:rsidRPr="00870D6C">
        <w:rPr>
          <w:sz w:val="20"/>
          <w:szCs w:val="20"/>
          <w:vertAlign w:val="superscript"/>
        </w:rPr>
        <w:t>a</w:t>
      </w:r>
      <w:proofErr w:type="spellEnd"/>
      <w:r w:rsidRPr="00870D6C">
        <w:rPr>
          <w:sz w:val="20"/>
          <w:szCs w:val="20"/>
          <w:vertAlign w:val="superscript"/>
        </w:rPr>
        <w:t xml:space="preserve"> </w:t>
      </w:r>
      <w:r w:rsidRPr="00870D6C">
        <w:rPr>
          <w:sz w:val="20"/>
          <w:szCs w:val="20"/>
        </w:rPr>
        <w:t xml:space="preserve">Any of: solid tumor or hematologic malignancy with immunosuppressive treatment in the previous 30 d, solid organ transplant with use of immunosuppressive medication in the previous 30 days, received bone marrow </w:t>
      </w:r>
      <w:r w:rsidRPr="00870D6C">
        <w:rPr>
          <w:sz w:val="20"/>
          <w:szCs w:val="20"/>
        </w:rPr>
        <w:lastRenderedPageBreak/>
        <w:t>transplant/hematopoietic stem cell transplant within 2 y of transplantation or receipt of immunosuppressive therapy with the previous 30 days, not including CART-cell therapy, HIV infection with CD4 count &lt;200 cells/mm3 in the past 1 y or diagnosed with AIDS, congenital immunodeficiency syndrome, or current use of immunosuppressive therapy in the past 30 d for a condition other than malignancy, solid organ transplant, or bone marrow transplant/ hematopoietic stem cell transplant.</w:t>
      </w:r>
    </w:p>
    <w:p w14:paraId="6B53B2CC" w14:textId="77777777" w:rsidR="00BB41AA" w:rsidRPr="00870D6C" w:rsidRDefault="00BB41AA" w:rsidP="00BB41AA">
      <w:pPr>
        <w:rPr>
          <w:sz w:val="20"/>
          <w:szCs w:val="20"/>
        </w:rPr>
      </w:pPr>
      <w:r w:rsidRPr="00870D6C">
        <w:rPr>
          <w:sz w:val="20"/>
          <w:szCs w:val="20"/>
          <w:vertAlign w:val="superscript"/>
        </w:rPr>
        <w:t>b</w:t>
      </w:r>
      <w:r w:rsidRPr="00870D6C">
        <w:rPr>
          <w:sz w:val="20"/>
          <w:szCs w:val="20"/>
        </w:rPr>
        <w:t xml:space="preserve"> Individual conditions were grouped into 7 categories: cardiovascular, neurologic, pulmonary, gastrointestinal, endocrine, renal, and hematologic. Participants were classified by the number of categories in which conditions were documented (0, 1, 2 or </w:t>
      </w:r>
      <w:r w:rsidRPr="00870D6C">
        <w:rPr>
          <w:rFonts w:hint="eastAsia"/>
          <w:sz w:val="20"/>
          <w:szCs w:val="20"/>
        </w:rPr>
        <w:t>≥</w:t>
      </w:r>
      <w:r w:rsidRPr="00870D6C">
        <w:rPr>
          <w:sz w:val="20"/>
          <w:szCs w:val="20"/>
        </w:rPr>
        <w:t>3).</w:t>
      </w:r>
    </w:p>
    <w:p w14:paraId="04FF1B46" w14:textId="77777777" w:rsidR="00BB41AA" w:rsidRDefault="00BB41AA" w:rsidP="00BB41AA">
      <w:pPr>
        <w:rPr>
          <w:b/>
          <w:bCs/>
        </w:rPr>
      </w:pPr>
    </w:p>
    <w:p w14:paraId="49C5F3EB" w14:textId="77777777" w:rsidR="00BB41AA" w:rsidRDefault="00BB41AA" w:rsidP="00BB41AA">
      <w:pPr>
        <w:rPr>
          <w:b/>
          <w:bCs/>
        </w:rPr>
      </w:pPr>
      <w:r>
        <w:rPr>
          <w:b/>
          <w:bCs/>
        </w:rPr>
        <w:br w:type="page"/>
      </w:r>
    </w:p>
    <w:p w14:paraId="709DAE2C" w14:textId="77777777" w:rsidR="00BB41AA" w:rsidRDefault="00BB41AA" w:rsidP="00BB41AA">
      <w:pPr>
        <w:rPr>
          <w:b/>
          <w:bCs/>
        </w:rPr>
      </w:pPr>
      <w:r w:rsidRPr="00B00132">
        <w:rPr>
          <w:b/>
          <w:bCs/>
        </w:rPr>
        <w:lastRenderedPageBreak/>
        <w:t xml:space="preserve">Supplementary Figure </w:t>
      </w:r>
      <w:r>
        <w:rPr>
          <w:b/>
          <w:bCs/>
        </w:rPr>
        <w:t>1</w:t>
      </w:r>
    </w:p>
    <w:p w14:paraId="6C2FC0EC" w14:textId="77777777" w:rsidR="00BB41AA" w:rsidRDefault="00BB41AA" w:rsidP="00BB41AA">
      <w:pPr>
        <w:rPr>
          <w:b/>
          <w:bCs/>
        </w:rPr>
      </w:pPr>
      <w:r>
        <w:rPr>
          <w:noProof/>
        </w:rPr>
        <w:drawing>
          <wp:inline distT="0" distB="0" distL="0" distR="0" wp14:anchorId="3577036C" wp14:editId="18262952">
            <wp:extent cx="5873750" cy="4325853"/>
            <wp:effectExtent l="0" t="0" r="12700" b="1778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7CE43AD5-30CD-42DF-A6DD-C2C9620A07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9BD69BC" w14:textId="0B0BFBAB" w:rsidR="00BB41AA" w:rsidRPr="00AA2525" w:rsidRDefault="00BB41AA" w:rsidP="00BB41AA">
      <w:pPr>
        <w:spacing w:after="0" w:line="240" w:lineRule="auto"/>
        <w:rPr>
          <w:rFonts w:ascii="Times New Roman" w:hAnsi="Times New Roman" w:cs="Times New Roman"/>
        </w:rPr>
      </w:pPr>
      <w:r>
        <w:t>Influenza subtype among influenza cases, by age group</w:t>
      </w:r>
      <w:r w:rsidRPr="001E2C49">
        <w:rPr>
          <w:rFonts w:cstheme="minorHAnsi"/>
          <w:kern w:val="2"/>
        </w:rPr>
        <w:t>—IVY Network, September 1, 2023–May 31, 2024.</w:t>
      </w:r>
      <w:r>
        <w:rPr>
          <w:rFonts w:cstheme="minorHAnsi"/>
          <w:kern w:val="2"/>
        </w:rPr>
        <w:t xml:space="preserve"> </w:t>
      </w:r>
      <w:r>
        <w:t xml:space="preserve">Patients aged 18–49 years old had a higher proportion of influenza B than patients aged </w:t>
      </w:r>
      <w:r>
        <w:rPr>
          <w:rFonts w:cstheme="minorHAnsi"/>
        </w:rPr>
        <w:t>≥</w:t>
      </w:r>
      <w:r>
        <w:t>50 years (</w:t>
      </w:r>
      <w:r w:rsidRPr="00E41AE6">
        <w:t xml:space="preserve">49/198 [25%] vs 20/564 [4%], </w:t>
      </w:r>
      <w:r>
        <w:t>p&lt;0.001).</w:t>
      </w:r>
    </w:p>
    <w:p w14:paraId="128E0261" w14:textId="77777777" w:rsidR="00BB41AA" w:rsidRDefault="00BB41AA" w:rsidP="00BB41AA"/>
    <w:p w14:paraId="6CFDF5BD" w14:textId="77777777" w:rsidR="00BB41AA" w:rsidRDefault="00BB41AA" w:rsidP="00BB41AA"/>
    <w:p w14:paraId="65C93DD5" w14:textId="77777777" w:rsidR="00BB41AA" w:rsidRPr="00B00132" w:rsidRDefault="00BB41AA" w:rsidP="00BB41AA">
      <w:r w:rsidRPr="00B00132">
        <w:br w:type="page"/>
      </w:r>
    </w:p>
    <w:p w14:paraId="7455FD0D" w14:textId="77777777" w:rsidR="00BB41AA" w:rsidRDefault="00BB41AA" w:rsidP="00BB41AA">
      <w:pPr>
        <w:rPr>
          <w:b/>
          <w:bCs/>
        </w:rPr>
      </w:pPr>
      <w:r>
        <w:rPr>
          <w:b/>
          <w:bCs/>
        </w:rPr>
        <w:lastRenderedPageBreak/>
        <w:t>Supplementary Figure 2</w:t>
      </w:r>
    </w:p>
    <w:p w14:paraId="21D9D269" w14:textId="77777777" w:rsidR="00BB41AA" w:rsidRDefault="00BB41AA" w:rsidP="00BB41AA">
      <w:pPr>
        <w:rPr>
          <w:b/>
          <w:bCs/>
        </w:rPr>
      </w:pPr>
      <w:r>
        <w:rPr>
          <w:noProof/>
        </w:rPr>
        <w:drawing>
          <wp:inline distT="0" distB="0" distL="0" distR="0" wp14:anchorId="548C9943" wp14:editId="30E07043">
            <wp:extent cx="5165726" cy="3276600"/>
            <wp:effectExtent l="0" t="0" r="15875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4C735829-C8A5-CCB8-58B1-799D8137EF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C69D532" w14:textId="65C29088" w:rsidR="00BB41AA" w:rsidRPr="0051524E" w:rsidRDefault="00BB41AA" w:rsidP="00BB41AA">
      <w:pPr>
        <w:rPr>
          <w:rFonts w:cstheme="minorHAnsi"/>
          <w:b/>
          <w:bCs/>
          <w:kern w:val="2"/>
        </w:rPr>
      </w:pPr>
      <w:r w:rsidRPr="004855F3">
        <w:t xml:space="preserve">Month of vaccination, by </w:t>
      </w:r>
      <w:r>
        <w:t>immunocompromised status</w:t>
      </w:r>
      <w:r w:rsidRPr="001E2C49">
        <w:rPr>
          <w:rFonts w:cstheme="minorHAnsi"/>
          <w:kern w:val="2"/>
        </w:rPr>
        <w:t>—IVY Network, September 1, 2023–May 31, 2024</w:t>
      </w:r>
      <w:r w:rsidRPr="004855F3">
        <w:t>. Vaccination occurred slightly earlier in the year among</w:t>
      </w:r>
      <w:r>
        <w:t xml:space="preserve"> immunocompromised</w:t>
      </w:r>
      <w:r w:rsidRPr="004855F3">
        <w:t xml:space="preserve"> patients </w:t>
      </w:r>
      <w:r>
        <w:t>(median:</w:t>
      </w:r>
      <w:r w:rsidRPr="004855F3">
        <w:t xml:space="preserve"> 10/11</w:t>
      </w:r>
      <w:r>
        <w:t xml:space="preserve">/2023 [IQR: </w:t>
      </w:r>
      <w:r w:rsidRPr="004855F3">
        <w:t>9/26</w:t>
      </w:r>
      <w:r>
        <w:t>/2023</w:t>
      </w:r>
      <w:r w:rsidRPr="004855F3">
        <w:t xml:space="preserve"> to 10/27</w:t>
      </w:r>
      <w:r>
        <w:t>/2023]</w:t>
      </w:r>
      <w:r w:rsidRPr="004855F3">
        <w:t>)</w:t>
      </w:r>
      <w:r>
        <w:t xml:space="preserve"> than among immunocompetent patients (median: 10/14/2023 [IQR: 9/28/2023–11/3/2023]) (p&lt;0.001).</w:t>
      </w:r>
    </w:p>
    <w:p w14:paraId="278A5003" w14:textId="77777777" w:rsidR="00EE318C" w:rsidRDefault="00EE318C"/>
    <w:sectPr w:rsidR="00EE318C" w:rsidSect="00BB2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722CE" w14:textId="77777777" w:rsidR="00000000" w:rsidRDefault="00DB6D5B">
      <w:pPr>
        <w:spacing w:after="0" w:line="240" w:lineRule="auto"/>
      </w:pPr>
      <w:r>
        <w:separator/>
      </w:r>
    </w:p>
  </w:endnote>
  <w:endnote w:type="continuationSeparator" w:id="0">
    <w:p w14:paraId="733E1892" w14:textId="77777777" w:rsidR="00000000" w:rsidRDefault="00DB6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B298" w14:textId="77777777" w:rsidR="00CA2EA1" w:rsidRDefault="00DB6D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39080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C23E89" w14:textId="77777777" w:rsidR="00CA2EA1" w:rsidRDefault="00DB6D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E5CFC7" w14:textId="77777777" w:rsidR="00E12A77" w:rsidRDefault="00DB6D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AA1B8" w14:textId="77777777" w:rsidR="00CA2EA1" w:rsidRDefault="00DB6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7671" w14:textId="77777777" w:rsidR="00000000" w:rsidRDefault="00DB6D5B">
      <w:pPr>
        <w:spacing w:after="0" w:line="240" w:lineRule="auto"/>
      </w:pPr>
      <w:r>
        <w:separator/>
      </w:r>
    </w:p>
  </w:footnote>
  <w:footnote w:type="continuationSeparator" w:id="0">
    <w:p w14:paraId="100200F8" w14:textId="77777777" w:rsidR="00000000" w:rsidRDefault="00DB6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F9AC6" w14:textId="77777777" w:rsidR="00CA2EA1" w:rsidRDefault="00DB6D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415F" w14:textId="77777777" w:rsidR="00CA2EA1" w:rsidRDefault="00DB6D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0921" w14:textId="77777777" w:rsidR="00CA2EA1" w:rsidRDefault="00DB6D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AA"/>
    <w:rsid w:val="002D509C"/>
    <w:rsid w:val="00337A70"/>
    <w:rsid w:val="004002EA"/>
    <w:rsid w:val="00A16EB1"/>
    <w:rsid w:val="00BB2E71"/>
    <w:rsid w:val="00BB41AA"/>
    <w:rsid w:val="00DB6D5B"/>
    <w:rsid w:val="00EE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5FED7"/>
  <w15:chartTrackingRefBased/>
  <w15:docId w15:val="{337B38B9-C90E-4FA0-9205-EB5D610D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1AA"/>
  </w:style>
  <w:style w:type="paragraph" w:styleId="Footer">
    <w:name w:val="footer"/>
    <w:basedOn w:val="Normal"/>
    <w:link w:val="FooterChar"/>
    <w:uiPriority w:val="99"/>
    <w:unhideWhenUsed/>
    <w:rsid w:val="00BB4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1AA"/>
  </w:style>
  <w:style w:type="character" w:styleId="LineNumber">
    <w:name w:val="line number"/>
    <w:basedOn w:val="DefaultParagraphFont"/>
    <w:uiPriority w:val="99"/>
    <w:semiHidden/>
    <w:unhideWhenUsed/>
    <w:rsid w:val="00BB4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ha6\AppData\Local\Microsoft\Windows\INetCache\Content.Outlook\52RLREXH\ivy%20extra%20figu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ha6\AppData\Local\Microsoft\Windows\INetCache\Content.Outlook\52RLREXH\ivy%20extra%20figur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'https://cdc-my.sharepoint.com/personal/pwp0_cdc_gov/Documents/IVY Files/[subtype by age.xlsx]Sheet1'!$B$1</c:f>
              <c:strCache>
                <c:ptCount val="1"/>
                <c:pt idx="0">
                  <c:v>A(H1N1)</c:v>
                </c:pt>
              </c:strCache>
            </c:strRef>
          </c:tx>
          <c:spPr>
            <a:solidFill>
              <a:schemeClr val="tx1"/>
            </a:solid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'https://cdc-my.sharepoint.com/personal/pwp0_cdc_gov/Documents/IVY Files/[subtype by age.xlsx]Sheet1'!$A$2:$A$4</c:f>
              <c:strCache>
                <c:ptCount val="3"/>
                <c:pt idx="0">
                  <c:v>18-49 years</c:v>
                </c:pt>
                <c:pt idx="1">
                  <c:v>50-64 years</c:v>
                </c:pt>
                <c:pt idx="2">
                  <c:v>65+ years</c:v>
                </c:pt>
              </c:strCache>
            </c:strRef>
          </c:cat>
          <c:val>
            <c:numRef>
              <c:f>'https://cdc-my.sharepoint.com/personal/pwp0_cdc_gov/Documents/IVY Files/[subtype by age.xlsx]Sheet1'!$B$2:$B$4</c:f>
              <c:numCache>
                <c:formatCode>General</c:formatCode>
                <c:ptCount val="3"/>
                <c:pt idx="0">
                  <c:v>94</c:v>
                </c:pt>
                <c:pt idx="1">
                  <c:v>139</c:v>
                </c:pt>
                <c:pt idx="2">
                  <c:v>232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41-42CF-938E-C75877E089E4}"/>
            </c:ext>
          </c:extLst>
        </c:ser>
        <c:ser>
          <c:idx val="1"/>
          <c:order val="1"/>
          <c:tx>
            <c:strRef>
              <c:f>'https://cdc-my.sharepoint.com/personal/pwp0_cdc_gov/Documents/IVY Files/[subtype by age.xlsx]Sheet1'!$C$1</c:f>
              <c:strCache>
                <c:ptCount val="1"/>
                <c:pt idx="0">
                  <c:v>A(H3N2)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 w="6350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'https://cdc-my.sharepoint.com/personal/pwp0_cdc_gov/Documents/IVY Files/[subtype by age.xlsx]Sheet1'!$A$2:$A$4</c:f>
              <c:strCache>
                <c:ptCount val="3"/>
                <c:pt idx="0">
                  <c:v>18-49 years</c:v>
                </c:pt>
                <c:pt idx="1">
                  <c:v>50-64 years</c:v>
                </c:pt>
                <c:pt idx="2">
                  <c:v>65+ years</c:v>
                </c:pt>
              </c:strCache>
            </c:strRef>
          </c:cat>
          <c:val>
            <c:numRef>
              <c:f>'https://cdc-my.sharepoint.com/personal/pwp0_cdc_gov/Documents/IVY Files/[subtype by age.xlsx]Sheet1'!$C$2:$C$4</c:f>
              <c:numCache>
                <c:formatCode>General</c:formatCode>
                <c:ptCount val="3"/>
                <c:pt idx="0">
                  <c:v>55</c:v>
                </c:pt>
                <c:pt idx="1">
                  <c:v>64</c:v>
                </c:pt>
                <c:pt idx="2">
                  <c:v>109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41-42CF-938E-C75877E089E4}"/>
            </c:ext>
          </c:extLst>
        </c:ser>
        <c:ser>
          <c:idx val="2"/>
          <c:order val="2"/>
          <c:tx>
            <c:strRef>
              <c:f>'https://cdc-my.sharepoint.com/personal/pwp0_cdc_gov/Documents/IVY Files/[subtype by age.xlsx]Sheet1'!$D$1</c:f>
              <c:strCache>
                <c:ptCount val="1"/>
                <c:pt idx="0">
                  <c:v>B</c:v>
                </c:pt>
              </c:strCache>
            </c:strRef>
          </c:tx>
          <c:spPr>
            <a:solidFill>
              <a:schemeClr val="bg1"/>
            </a:solidFill>
            <a:ln w="6350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'https://cdc-my.sharepoint.com/personal/pwp0_cdc_gov/Documents/IVY Files/[subtype by age.xlsx]Sheet1'!$A$2:$A$4</c:f>
              <c:strCache>
                <c:ptCount val="3"/>
                <c:pt idx="0">
                  <c:v>18-49 years</c:v>
                </c:pt>
                <c:pt idx="1">
                  <c:v>50-64 years</c:v>
                </c:pt>
                <c:pt idx="2">
                  <c:v>65+ years</c:v>
                </c:pt>
              </c:strCache>
            </c:strRef>
          </c:cat>
          <c:val>
            <c:numRef>
              <c:f>'https://cdc-my.sharepoint.com/personal/pwp0_cdc_gov/Documents/IVY Files/[subtype by age.xlsx]Sheet1'!$D$2:$D$4</c:f>
              <c:numCache>
                <c:formatCode>General</c:formatCode>
                <c:ptCount val="3"/>
                <c:pt idx="0">
                  <c:v>49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341-42CF-938E-C75877E089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805711312"/>
        <c:axId val="805701712"/>
      </c:barChart>
      <c:catAx>
        <c:axId val="8057113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/>
                  <a:t>Age</a:t>
                </a:r>
                <a:r>
                  <a:rPr lang="en-US" b="1" baseline="0"/>
                  <a:t> Group</a:t>
                </a:r>
                <a:endParaRPr lang="en-US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05701712"/>
        <c:crosses val="autoZero"/>
        <c:auto val="1"/>
        <c:lblAlgn val="ctr"/>
        <c:lblOffset val="100"/>
        <c:noMultiLvlLbl val="0"/>
      </c:catAx>
      <c:valAx>
        <c:axId val="805701712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/>
                  <a:t>Number of cases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05711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Immunocomp!$B$1</c:f>
              <c:strCache>
                <c:ptCount val="1"/>
                <c:pt idx="0">
                  <c:v>Immunocompromised</c:v>
                </c:pt>
              </c:strCache>
            </c:strRef>
          </c:tx>
          <c:spPr>
            <a:solidFill>
              <a:schemeClr val="bg1"/>
            </a:solidFill>
            <a:ln w="6350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Immunocomp!$A$2:$A$11</c:f>
              <c:strCache>
                <c:ptCount val="10"/>
                <c:pt idx="0">
                  <c:v>7-2023</c:v>
                </c:pt>
                <c:pt idx="1">
                  <c:v>8-2023</c:v>
                </c:pt>
                <c:pt idx="2">
                  <c:v>9-2023</c:v>
                </c:pt>
                <c:pt idx="3">
                  <c:v>10-2023</c:v>
                </c:pt>
                <c:pt idx="4">
                  <c:v>11-2023</c:v>
                </c:pt>
                <c:pt idx="5">
                  <c:v>12-2023</c:v>
                </c:pt>
                <c:pt idx="6">
                  <c:v>1-2024</c:v>
                </c:pt>
                <c:pt idx="7">
                  <c:v>2-2024</c:v>
                </c:pt>
                <c:pt idx="8">
                  <c:v>3-2024</c:v>
                </c:pt>
                <c:pt idx="9">
                  <c:v>4-2024</c:v>
                </c:pt>
              </c:strCache>
            </c:strRef>
          </c:cat>
          <c:val>
            <c:numRef>
              <c:f>Immunocomp!$B$2:$B$11</c:f>
              <c:numCache>
                <c:formatCode>General</c:formatCode>
                <c:ptCount val="10"/>
                <c:pt idx="0">
                  <c:v>1</c:v>
                </c:pt>
                <c:pt idx="1">
                  <c:v>29</c:v>
                </c:pt>
                <c:pt idx="2">
                  <c:v>264</c:v>
                </c:pt>
                <c:pt idx="3">
                  <c:v>397</c:v>
                </c:pt>
                <c:pt idx="4">
                  <c:v>130</c:v>
                </c:pt>
                <c:pt idx="5">
                  <c:v>47</c:v>
                </c:pt>
                <c:pt idx="6">
                  <c:v>17</c:v>
                </c:pt>
                <c:pt idx="7">
                  <c:v>9</c:v>
                </c:pt>
                <c:pt idx="8">
                  <c:v>3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EB-4BBE-9FE3-AAA9D0D1F41D}"/>
            </c:ext>
          </c:extLst>
        </c:ser>
        <c:ser>
          <c:idx val="0"/>
          <c:order val="1"/>
          <c:tx>
            <c:strRef>
              <c:f>Immunocomp!$C$1</c:f>
              <c:strCache>
                <c:ptCount val="1"/>
                <c:pt idx="0">
                  <c:v>Immunocompetent</c:v>
                </c:pt>
              </c:strCache>
            </c:strRef>
          </c:tx>
          <c:spPr>
            <a:solidFill>
              <a:schemeClr val="tx1"/>
            </a:solidFill>
            <a:ln w="6350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Immunocomp!$A$2:$A$11</c:f>
              <c:strCache>
                <c:ptCount val="10"/>
                <c:pt idx="0">
                  <c:v>7-2023</c:v>
                </c:pt>
                <c:pt idx="1">
                  <c:v>8-2023</c:v>
                </c:pt>
                <c:pt idx="2">
                  <c:v>9-2023</c:v>
                </c:pt>
                <c:pt idx="3">
                  <c:v>10-2023</c:v>
                </c:pt>
                <c:pt idx="4">
                  <c:v>11-2023</c:v>
                </c:pt>
                <c:pt idx="5">
                  <c:v>12-2023</c:v>
                </c:pt>
                <c:pt idx="6">
                  <c:v>1-2024</c:v>
                </c:pt>
                <c:pt idx="7">
                  <c:v>2-2024</c:v>
                </c:pt>
                <c:pt idx="8">
                  <c:v>3-2024</c:v>
                </c:pt>
                <c:pt idx="9">
                  <c:v>4-2024</c:v>
                </c:pt>
              </c:strCache>
            </c:strRef>
          </c:cat>
          <c:val>
            <c:numRef>
              <c:f>Immunocomp!$C$2:$C$11</c:f>
              <c:numCache>
                <c:formatCode>General</c:formatCode>
                <c:ptCount val="10"/>
                <c:pt idx="0">
                  <c:v>4</c:v>
                </c:pt>
                <c:pt idx="1">
                  <c:v>56</c:v>
                </c:pt>
                <c:pt idx="2">
                  <c:v>608</c:v>
                </c:pt>
                <c:pt idx="3">
                  <c:v>960</c:v>
                </c:pt>
                <c:pt idx="4">
                  <c:v>403</c:v>
                </c:pt>
                <c:pt idx="5">
                  <c:v>127</c:v>
                </c:pt>
                <c:pt idx="6">
                  <c:v>68</c:v>
                </c:pt>
                <c:pt idx="7">
                  <c:v>36</c:v>
                </c:pt>
                <c:pt idx="8">
                  <c:v>9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EB-4BBE-9FE3-AAA9D0D1F4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42294111"/>
        <c:axId val="1142295071"/>
      </c:barChart>
      <c:catAx>
        <c:axId val="11422941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/>
                  <a:t>Month of Vaccination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42295071"/>
        <c:crosses val="autoZero"/>
        <c:auto val="1"/>
        <c:lblAlgn val="ctr"/>
        <c:lblOffset val="100"/>
        <c:noMultiLvlLbl val="0"/>
      </c:catAx>
      <c:valAx>
        <c:axId val="1142295071"/>
        <c:scaling>
          <c:orientation val="minMax"/>
          <c:max val="1000"/>
        </c:scaling>
        <c:delete val="0"/>
        <c:axPos val="l"/>
        <c:majorGridlines>
          <c:spPr>
            <a:ln w="63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/>
                  <a:t>Number of patients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422941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Nathaniel (CDC/NCIRD/ID)</dc:creator>
  <cp:keywords/>
  <dc:description/>
  <cp:lastModifiedBy>Lewis, Nathaniel (CDC/NCIRD/ID)</cp:lastModifiedBy>
  <cp:revision>2</cp:revision>
  <dcterms:created xsi:type="dcterms:W3CDTF">2025-03-19T01:08:00Z</dcterms:created>
  <dcterms:modified xsi:type="dcterms:W3CDTF">2025-03-19T01:08:00Z</dcterms:modified>
</cp:coreProperties>
</file>