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F3740" w:rsidRDefault="00000000">
      <w:pPr>
        <w:rPr>
          <w:b/>
        </w:rPr>
      </w:pPr>
      <w:r>
        <w:rPr>
          <w:b/>
        </w:rPr>
        <w:t>EPIC primary outcomes paper supplementary text</w:t>
      </w:r>
    </w:p>
    <w:p w:rsidR="001F3740" w:rsidRDefault="001F3740"/>
    <w:p w:rsidR="001F3740" w:rsidRDefault="00000000">
      <w:pPr>
        <w:rPr>
          <w:b/>
        </w:rPr>
      </w:pPr>
      <w:r>
        <w:rPr>
          <w:b/>
        </w:rPr>
        <w:t>Methods (cont.)</w:t>
      </w:r>
    </w:p>
    <w:p w:rsidR="001F3740" w:rsidRDefault="00000000">
      <w:pPr>
        <w:jc w:val="both"/>
        <w:rPr>
          <w:i/>
        </w:rPr>
      </w:pPr>
      <w:r>
        <w:rPr>
          <w:i/>
        </w:rPr>
        <w:t>Study participants, eligibility, recruitment, and retention</w:t>
      </w:r>
    </w:p>
    <w:p w:rsidR="001F3740" w:rsidRDefault="00000000">
      <w:pPr>
        <w:jc w:val="both"/>
      </w:pPr>
      <w:r>
        <w:t>Potential participants who were interested in initiating one of the study contraceptive methods were recruited by the study team’s community health workers from neighboring public health HIV or family planning clinics, by word-of-mouth and flier advertisements in common areas.  Additionally, we used a registry of potential participants interested in research at the study site.  At a screening visit, potential participants underwent written informed consent, detailed questionnaires, and blood and urine sample collection to assess eligibility.  If eligible, participants were enrolled within four weeks of the screening visit.</w:t>
      </w:r>
    </w:p>
    <w:p w:rsidR="001F3740" w:rsidRDefault="001F3740">
      <w:pPr>
        <w:jc w:val="both"/>
      </w:pPr>
    </w:p>
    <w:p w:rsidR="001F3740" w:rsidRDefault="00000000">
      <w:pPr>
        <w:jc w:val="both"/>
      </w:pPr>
      <w:r>
        <w:t>Eligibility criteria included: (1) already initiated on 1st line ART from routine care, (2) demonstrated viral suppression (defined as HIV-1 viral load &lt;40 copies/mL) in the last three months, (3) not having been on a hormonal contraceptive method in the last two months but interested in initiating one of the study contraceptive methods in the next six weeks or more, (4) not currently pregnant or breastfeeding, (5) not using any drugs known to interact with the study ART or contraceptive methods for the duration of the study period, (6) having a body mass index (BMI)</w:t>
      </w:r>
      <w:r>
        <w:rPr>
          <w:u w:val="single"/>
        </w:rPr>
        <w:t>&lt;</w:t>
      </w:r>
      <w:r>
        <w:t>30, or (7) not having any laboratory abnormalities (e.g., calculated creatinine clearance &lt;50 mL/min or liver function tests greater than two times the upper limit of normal). The routine care provider of each participant was notified of the participant’s involvement in the study, including a switch to doravirine-containing ART if applicable.</w:t>
      </w:r>
    </w:p>
    <w:p w:rsidR="001F3740" w:rsidRDefault="001F3740">
      <w:pPr>
        <w:jc w:val="both"/>
      </w:pPr>
    </w:p>
    <w:p w:rsidR="001F3740" w:rsidRDefault="00000000">
      <w:pPr>
        <w:jc w:val="both"/>
      </w:pPr>
      <w:r>
        <w:t>We scheduled participants for return visits +/- seven days of their next target visit; any visits outside of these windows were considered interim visits. Retention efforts by the study team included text and phone reminders before scheduled study visits and contact with alternative contact persons and home visits for missed visits. We reimbursed participants 350 Rand (equivalent to approximately 20 USD) for each scheduled or unscheduled study visit.  Once a study group reached its desired sample size with terminal study visits, we ceased further enrollment in that study group, with loss-to-follow up participants being replaced.</w:t>
      </w:r>
    </w:p>
    <w:p w:rsidR="001F3740" w:rsidRDefault="001F3740">
      <w:pPr>
        <w:jc w:val="both"/>
      </w:pPr>
    </w:p>
    <w:p w:rsidR="001F3740" w:rsidRDefault="00000000">
      <w:pPr>
        <w:jc w:val="both"/>
        <w:rPr>
          <w:i/>
        </w:rPr>
      </w:pPr>
      <w:r>
        <w:rPr>
          <w:i/>
        </w:rPr>
        <w:t>Additional study procedures</w:t>
      </w:r>
    </w:p>
    <w:p w:rsidR="001F3740" w:rsidRDefault="00000000">
      <w:pPr>
        <w:jc w:val="both"/>
      </w:pPr>
      <w:r>
        <w:t>We collected the following questionnaire data: sociodemographics, medical history, use of concomitant medications, ART adherence assessment and solicited adverse events, and ART and contraceptive satisfaction.  We conducted the following assessments: physical exam with vital signs and syndromic sexually transmitted infections screening and management (at each visit), screening and vaccination for Hepatitis B (at screening only), basic lab assessment and HIV-1 RNA quantification (at screening and then at 12 and 24 weeks after contraceptive start). We collected the following biologic samples: (1) plasma and serum and (2) urine at each study visit. We recorded all adverse events including grading and severity according to the DAIDS grading system.</w:t>
      </w:r>
      <w:hyperlink r:id="rId4">
        <w:r>
          <w:rPr>
            <w:vertAlign w:val="superscript"/>
          </w:rPr>
          <w:t>1</w:t>
        </w:r>
      </w:hyperlink>
    </w:p>
    <w:p w:rsidR="001F3740" w:rsidRDefault="001F3740">
      <w:pPr>
        <w:jc w:val="both"/>
      </w:pPr>
    </w:p>
    <w:p w:rsidR="001F3740" w:rsidRDefault="00000000">
      <w:pPr>
        <w:jc w:val="both"/>
      </w:pPr>
      <w:r>
        <w:t xml:space="preserve">We counseled participants who became pregnant during the study follow-up on existing data, including unknown risks to the fetus with doravirine-containing ART if applicable, and referred </w:t>
      </w:r>
      <w:r>
        <w:lastRenderedPageBreak/>
        <w:t xml:space="preserve">them to antenatal and other care. Their participation was terminated in the study, but we followed them up by phone periodically to assess their pregnancy status and outcomes through delivery.  While we did not require a data and safety monitoring board,  we established an Internal Advisory Committee, which met quarterly and consisted of one scientific advisor (KS)   and two researchers independent of the study team.  </w:t>
      </w:r>
    </w:p>
    <w:p w:rsidR="001F3740" w:rsidRDefault="001F3740">
      <w:pPr>
        <w:jc w:val="both"/>
        <w:rPr>
          <w:i/>
        </w:rPr>
      </w:pPr>
    </w:p>
    <w:p w:rsidR="001F3740" w:rsidRDefault="00000000">
      <w:pPr>
        <w:jc w:val="both"/>
        <w:rPr>
          <w:i/>
        </w:rPr>
      </w:pPr>
      <w:r>
        <w:rPr>
          <w:i/>
        </w:rPr>
        <w:t>Historical comparator group</w:t>
      </w:r>
    </w:p>
    <w:p w:rsidR="001F3740" w:rsidRDefault="00000000">
      <w:pPr>
        <w:jc w:val="both"/>
      </w:pPr>
      <w:r>
        <w:t xml:space="preserve">The historical comparator group, the sixth group for dolutegravir + ENG implant, included WLWH already on dolutegravir-containing ART and initiating contraceptive ENG implant from a prior PK study called </w:t>
      </w:r>
      <w:r>
        <w:rPr>
          <w:b/>
        </w:rPr>
        <w:t>P</w:t>
      </w:r>
      <w:r>
        <w:t xml:space="preserve">K study of </w:t>
      </w:r>
      <w:r>
        <w:rPr>
          <w:b/>
        </w:rPr>
        <w:t>ARV</w:t>
      </w:r>
      <w:r>
        <w:t xml:space="preserve">s and </w:t>
      </w:r>
      <w:r>
        <w:rPr>
          <w:b/>
        </w:rPr>
        <w:t>I</w:t>
      </w:r>
      <w:r>
        <w:t>mplants in Kenya (</w:t>
      </w:r>
      <w:r>
        <w:rPr>
          <w:b/>
        </w:rPr>
        <w:t>PARVI</w:t>
      </w:r>
      <w:r>
        <w:t xml:space="preserve">).  Of note, parallels in study design, visits, and sample collection existed between EPIC and PARVI, with the notable differences being that participants did not switch ART in PARVI and were enrolled only after starting a contraceptive method. </w:t>
      </w:r>
    </w:p>
    <w:p w:rsidR="001F3740" w:rsidRDefault="001F3740">
      <w:pPr>
        <w:jc w:val="both"/>
      </w:pPr>
    </w:p>
    <w:p w:rsidR="001F3740" w:rsidRDefault="00000000">
      <w:pPr>
        <w:jc w:val="both"/>
        <w:rPr>
          <w:i/>
        </w:rPr>
      </w:pPr>
      <w:r>
        <w:rPr>
          <w:i/>
        </w:rPr>
        <w:t>Sample size calculations</w:t>
      </w:r>
    </w:p>
    <w:p w:rsidR="001F3740" w:rsidRDefault="00000000">
      <w:pPr>
        <w:jc w:val="both"/>
      </w:pPr>
      <w:r>
        <w:rPr>
          <w:i/>
        </w:rPr>
        <w:t>A priori</w:t>
      </w:r>
      <w:r>
        <w:rPr>
          <w:rFonts w:ascii="Arial Unicode MS" w:eastAsia="Arial Unicode MS" w:hAnsi="Arial Unicode MS" w:cs="Arial Unicode MS"/>
        </w:rPr>
        <w:t>, we calculated needing a sample size of 20 women per study group enabling us to detect a GMR ≥20% (i.e. the FDA standard of bioequivalence bounds of 0.8-1.25) in hormonal concentrations between groups with ≥80% power.</w:t>
      </w:r>
      <w:hyperlink r:id="rId5">
        <w:r>
          <w:rPr>
            <w:vertAlign w:val="superscript"/>
          </w:rPr>
          <w:t>2</w:t>
        </w:r>
      </w:hyperlink>
      <w:r>
        <w:t xml:space="preserve">  We then chose our final sample size of 21, accounting for one participant being lost-to-follow-up, etc. Our calculations assumed a 40% coefficient of variability in hormonal concentrations (which was derived from the historical comparison group of implant users from PARVI and ranges from 22-43% in DMPA users on various ART in the published literature</w:t>
      </w:r>
      <w:hyperlink r:id="rId6">
        <w:r>
          <w:rPr>
            <w:vertAlign w:val="superscript"/>
          </w:rPr>
          <w:t>3,4</w:t>
        </w:r>
      </w:hyperlink>
      <w:r>
        <w:t>) and one-sided type I error of 10%, which is the standard error percentage used and reported in PK studies (e.g. geometric mean with 90% confidence intervals).</w:t>
      </w:r>
      <w:hyperlink r:id="rId7">
        <w:r>
          <w:rPr>
            <w:vertAlign w:val="superscript"/>
          </w:rPr>
          <w:t>5</w:t>
        </w:r>
      </w:hyperlink>
      <w:r>
        <w:t xml:space="preserve">  We chose to power on one-sided type I errors as only reductions in progestin-containing hormonal concentrations are concerning for reduction in efficacy, and not elevations in concentrations.  </w:t>
      </w:r>
    </w:p>
    <w:p w:rsidR="001F3740" w:rsidRDefault="001F3740">
      <w:pPr>
        <w:jc w:val="both"/>
      </w:pPr>
    </w:p>
    <w:p w:rsidR="001F3740" w:rsidRDefault="00000000">
      <w:pPr>
        <w:jc w:val="both"/>
      </w:pPr>
      <w:r>
        <w:br w:type="page"/>
      </w:r>
    </w:p>
    <w:p w:rsidR="001F3740" w:rsidRDefault="00000000">
      <w:pPr>
        <w:jc w:val="both"/>
        <w:rPr>
          <w:b/>
        </w:rPr>
      </w:pPr>
      <w:r>
        <w:rPr>
          <w:b/>
        </w:rPr>
        <w:lastRenderedPageBreak/>
        <w:t>Supplementary Table 1. Safety, tolerability, and efficacy of doravirine- and dolutegravir-containing ART when concomitantly used with contraceptive methods, EPIC study, Nov. 2021-Feb. 2024</w:t>
      </w:r>
    </w:p>
    <w:tbl>
      <w:tblPr>
        <w:tblStyle w:val="a"/>
        <w:tblW w:w="11678" w:type="dxa"/>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709"/>
        <w:gridCol w:w="1494"/>
        <w:gridCol w:w="1495"/>
        <w:gridCol w:w="1495"/>
        <w:gridCol w:w="1495"/>
        <w:gridCol w:w="1495"/>
        <w:gridCol w:w="1495"/>
      </w:tblGrid>
      <w:tr w:rsidR="001F3740">
        <w:trPr>
          <w:cantSplit/>
        </w:trPr>
        <w:tc>
          <w:tcPr>
            <w:tcW w:w="270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1F3740" w:rsidRDefault="00000000">
            <w:pPr>
              <w:spacing w:line="240" w:lineRule="auto"/>
              <w:rPr>
                <w:b/>
                <w:sz w:val="20"/>
                <w:szCs w:val="20"/>
              </w:rPr>
            </w:pPr>
            <w:r>
              <w:rPr>
                <w:b/>
                <w:sz w:val="20"/>
                <w:szCs w:val="20"/>
              </w:rPr>
              <w:t xml:space="preserve"> Characteristic</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1F3740" w:rsidRDefault="00000000">
            <w:pPr>
              <w:spacing w:line="240" w:lineRule="auto"/>
              <w:rPr>
                <w:b/>
                <w:sz w:val="20"/>
                <w:szCs w:val="20"/>
              </w:rPr>
            </w:pPr>
            <w:r>
              <w:rPr>
                <w:b/>
                <w:sz w:val="20"/>
                <w:szCs w:val="20"/>
              </w:rPr>
              <w:t>Group 1 doravirine + IM DMPA</w:t>
            </w:r>
          </w:p>
          <w:p w:rsidR="001F3740" w:rsidRDefault="00000000">
            <w:pPr>
              <w:spacing w:line="240" w:lineRule="auto"/>
              <w:rPr>
                <w:b/>
                <w:sz w:val="20"/>
                <w:szCs w:val="20"/>
              </w:rPr>
            </w:pPr>
            <w:r>
              <w:rPr>
                <w:b/>
                <w:sz w:val="20"/>
                <w:szCs w:val="20"/>
              </w:rPr>
              <w:t>(n=21)</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1F3740" w:rsidRDefault="00000000">
            <w:pPr>
              <w:spacing w:line="240" w:lineRule="auto"/>
              <w:rPr>
                <w:b/>
                <w:sz w:val="20"/>
                <w:szCs w:val="20"/>
              </w:rPr>
            </w:pPr>
            <w:r>
              <w:rPr>
                <w:b/>
                <w:sz w:val="20"/>
                <w:szCs w:val="20"/>
              </w:rPr>
              <w:t>Group 2 doravirine + SC MPA</w:t>
            </w:r>
          </w:p>
          <w:p w:rsidR="001F3740" w:rsidRDefault="00000000">
            <w:pPr>
              <w:spacing w:line="240" w:lineRule="auto"/>
              <w:rPr>
                <w:b/>
                <w:sz w:val="20"/>
                <w:szCs w:val="20"/>
              </w:rPr>
            </w:pPr>
            <w:r>
              <w:rPr>
                <w:b/>
                <w:sz w:val="20"/>
                <w:szCs w:val="20"/>
              </w:rPr>
              <w:t>(n=22)</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1F3740" w:rsidRDefault="00000000">
            <w:pPr>
              <w:spacing w:line="240" w:lineRule="auto"/>
              <w:rPr>
                <w:b/>
                <w:sz w:val="20"/>
                <w:szCs w:val="20"/>
              </w:rPr>
            </w:pPr>
            <w:r>
              <w:rPr>
                <w:b/>
                <w:sz w:val="20"/>
                <w:szCs w:val="20"/>
              </w:rPr>
              <w:t>Group 3 doravirine + ENG implant (n=21)</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1F3740" w:rsidRDefault="00000000">
            <w:pPr>
              <w:spacing w:line="240" w:lineRule="auto"/>
              <w:rPr>
                <w:b/>
                <w:sz w:val="20"/>
                <w:szCs w:val="20"/>
              </w:rPr>
            </w:pPr>
            <w:r>
              <w:rPr>
                <w:b/>
                <w:sz w:val="20"/>
                <w:szCs w:val="20"/>
              </w:rPr>
              <w:t>Group 4 doravirine + IUD</w:t>
            </w:r>
          </w:p>
          <w:p w:rsidR="001F3740" w:rsidRDefault="00000000">
            <w:pPr>
              <w:spacing w:line="240" w:lineRule="auto"/>
              <w:rPr>
                <w:b/>
                <w:sz w:val="20"/>
                <w:szCs w:val="20"/>
              </w:rPr>
            </w:pPr>
            <w:r>
              <w:rPr>
                <w:b/>
                <w:sz w:val="20"/>
                <w:szCs w:val="20"/>
              </w:rPr>
              <w:t>(n=19)</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1F3740" w:rsidRDefault="00000000">
            <w:pPr>
              <w:spacing w:line="240" w:lineRule="auto"/>
              <w:rPr>
                <w:b/>
                <w:sz w:val="20"/>
                <w:szCs w:val="20"/>
              </w:rPr>
            </w:pPr>
            <w:r>
              <w:rPr>
                <w:b/>
                <w:sz w:val="20"/>
                <w:szCs w:val="20"/>
              </w:rPr>
              <w:t>Group 5 dolutegravir  + IM DPMA</w:t>
            </w:r>
          </w:p>
          <w:p w:rsidR="001F3740" w:rsidRDefault="00000000">
            <w:pPr>
              <w:spacing w:line="240" w:lineRule="auto"/>
              <w:rPr>
                <w:b/>
                <w:sz w:val="20"/>
                <w:szCs w:val="20"/>
              </w:rPr>
            </w:pPr>
            <w:r>
              <w:rPr>
                <w:b/>
                <w:sz w:val="20"/>
                <w:szCs w:val="20"/>
              </w:rPr>
              <w:t>(n=21)</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1F3740" w:rsidRDefault="00000000">
            <w:pPr>
              <w:spacing w:line="240" w:lineRule="auto"/>
              <w:rPr>
                <w:b/>
                <w:sz w:val="20"/>
                <w:szCs w:val="20"/>
              </w:rPr>
            </w:pPr>
            <w:r>
              <w:rPr>
                <w:b/>
                <w:sz w:val="20"/>
                <w:szCs w:val="20"/>
              </w:rPr>
              <w:t>Group 6 dolutegravir + ENG implant (n=24)</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b/>
                <w:sz w:val="18"/>
                <w:szCs w:val="18"/>
              </w:rPr>
            </w:pPr>
            <w:r>
              <w:rPr>
                <w:b/>
                <w:sz w:val="18"/>
                <w:szCs w:val="18"/>
              </w:rPr>
              <w:t>Total number of study visits</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248</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234</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324</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276</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234</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 xml:space="preserve">261 </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000000">
            <w:pPr>
              <w:spacing w:line="240" w:lineRule="auto"/>
              <w:rPr>
                <w:b/>
                <w:sz w:val="18"/>
                <w:szCs w:val="18"/>
              </w:rPr>
            </w:pPr>
            <w:r>
              <w:rPr>
                <w:b/>
                <w:sz w:val="18"/>
                <w:szCs w:val="18"/>
              </w:rPr>
              <w:t>Total number of adverse events</w:t>
            </w: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51</w:t>
            </w: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59</w:t>
            </w: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65</w:t>
            </w: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49</w:t>
            </w: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40</w:t>
            </w: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000000">
            <w:pPr>
              <w:spacing w:line="240" w:lineRule="auto"/>
              <w:jc w:val="center"/>
              <w:rPr>
                <w:sz w:val="18"/>
                <w:szCs w:val="18"/>
                <w:vertAlign w:val="superscript"/>
              </w:rPr>
            </w:pPr>
            <w:r>
              <w:rPr>
                <w:sz w:val="18"/>
                <w:szCs w:val="18"/>
              </w:rPr>
              <w:t>-</w:t>
            </w:r>
            <w:r>
              <w:rPr>
                <w:sz w:val="18"/>
                <w:szCs w:val="18"/>
                <w:vertAlign w:val="superscript"/>
              </w:rPr>
              <w:t>1</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right"/>
              <w:rPr>
                <w:sz w:val="18"/>
                <w:szCs w:val="18"/>
              </w:rPr>
            </w:pPr>
            <w:r>
              <w:rPr>
                <w:sz w:val="18"/>
                <w:szCs w:val="18"/>
              </w:rPr>
              <w:t xml:space="preserve">   1 adverse event</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41/248 (16.53)</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38/234 (16.24)</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48/324 (14.81)</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42/276 (15.22)</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30/234 (12.82)</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right"/>
              <w:rPr>
                <w:sz w:val="18"/>
                <w:szCs w:val="18"/>
              </w:rPr>
            </w:pPr>
            <w:r>
              <w:rPr>
                <w:sz w:val="18"/>
                <w:szCs w:val="18"/>
              </w:rPr>
              <w:t xml:space="preserve">   2 adverse events</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7/248 (2.82)</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14/234 (5.98)</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sz w:val="18"/>
                <w:szCs w:val="18"/>
              </w:rPr>
            </w:pPr>
            <w:r>
              <w:rPr>
                <w:sz w:val="18"/>
                <w:szCs w:val="18"/>
              </w:rPr>
              <w:t xml:space="preserve"> 12/324 (3.70)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6/276 (2.17)</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9/234 (3.85)</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right"/>
              <w:rPr>
                <w:sz w:val="18"/>
                <w:szCs w:val="18"/>
              </w:rPr>
            </w:pPr>
            <w:r>
              <w:rPr>
                <w:sz w:val="18"/>
                <w:szCs w:val="18"/>
              </w:rPr>
              <w:t xml:space="preserve">   3 adverse events</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3/248 (1.21)</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7/234 (2.99)</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sz w:val="18"/>
                <w:szCs w:val="18"/>
              </w:rPr>
            </w:pPr>
            <w:r>
              <w:rPr>
                <w:sz w:val="18"/>
                <w:szCs w:val="18"/>
              </w:rPr>
              <w:t xml:space="preserve">  5/324 (1.54)</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1/276 (0.36)</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1/234 (0.43)</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b/>
                <w:sz w:val="18"/>
                <w:szCs w:val="18"/>
              </w:rPr>
            </w:pPr>
            <w:r>
              <w:rPr>
                <w:b/>
                <w:sz w:val="18"/>
                <w:szCs w:val="18"/>
              </w:rPr>
              <w:t>Grading of adverse events</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 xml:space="preserve"> </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 xml:space="preserve"> </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 xml:space="preserve"> </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 xml:space="preserve"> </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 xml:space="preserve"> </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 xml:space="preserve"> </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right"/>
              <w:rPr>
                <w:sz w:val="18"/>
                <w:szCs w:val="18"/>
              </w:rPr>
            </w:pPr>
            <w:r>
              <w:rPr>
                <w:sz w:val="18"/>
                <w:szCs w:val="18"/>
              </w:rPr>
              <w:t>Grade 1</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40/51 (78.43)</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38/59 (64.41)</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46/65 (70.77)</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27/49 (55.10)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26/40 (65.00)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right"/>
              <w:rPr>
                <w:sz w:val="18"/>
                <w:szCs w:val="18"/>
              </w:rPr>
            </w:pPr>
            <w:r>
              <w:rPr>
                <w:sz w:val="18"/>
                <w:szCs w:val="18"/>
              </w:rPr>
              <w:t>Grade 2</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11/51 (21.57)</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20/59 (33.90)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19/65 (29.23)</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21/49 (42.86)</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14/40 (35.00)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right"/>
              <w:rPr>
                <w:sz w:val="18"/>
                <w:szCs w:val="18"/>
              </w:rPr>
            </w:pPr>
            <w:r>
              <w:rPr>
                <w:sz w:val="18"/>
                <w:szCs w:val="18"/>
              </w:rPr>
              <w:t>Grade 3</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right"/>
              <w:rPr>
                <w:sz w:val="18"/>
                <w:szCs w:val="18"/>
              </w:rPr>
            </w:pPr>
            <w:r>
              <w:rPr>
                <w:sz w:val="18"/>
                <w:szCs w:val="18"/>
              </w:rPr>
              <w:t>Grade 4</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1/59 (1.69)</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1/49 (2.04)</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b/>
                <w:sz w:val="18"/>
                <w:szCs w:val="18"/>
              </w:rPr>
            </w:pPr>
            <w:r>
              <w:rPr>
                <w:b/>
                <w:sz w:val="18"/>
                <w:szCs w:val="18"/>
              </w:rPr>
              <w:t>Total grade 2 or higher adverse event attributable to doravirine</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1/11 (9.10)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6/21 (28.57)</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1/19 (5.26)</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b/>
                <w:sz w:val="18"/>
                <w:szCs w:val="18"/>
              </w:rPr>
            </w:pPr>
            <w:r>
              <w:rPr>
                <w:b/>
                <w:sz w:val="18"/>
                <w:szCs w:val="18"/>
              </w:rPr>
              <w:t>Total grade 2 or higher adverse event attributable to contraceptive method</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5/11 (45.45)</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7/21 (33.33)</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6/19 (31.58)</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3/22 (13.64)</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1/14 (7.14)</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b/>
                <w:sz w:val="18"/>
                <w:szCs w:val="18"/>
              </w:rPr>
            </w:pPr>
            <w:r>
              <w:rPr>
                <w:b/>
                <w:sz w:val="18"/>
                <w:szCs w:val="18"/>
              </w:rPr>
              <w:t>No. of people with at least one grade 1 or higher adverse event</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20/21</w:t>
            </w:r>
          </w:p>
          <w:p w:rsidR="001F3740" w:rsidRDefault="00000000">
            <w:pPr>
              <w:spacing w:line="240" w:lineRule="auto"/>
              <w:jc w:val="center"/>
              <w:rPr>
                <w:sz w:val="18"/>
                <w:szCs w:val="18"/>
              </w:rPr>
            </w:pPr>
            <w:r>
              <w:rPr>
                <w:sz w:val="18"/>
                <w:szCs w:val="18"/>
              </w:rPr>
              <w:t>(95.2)</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22/22</w:t>
            </w:r>
          </w:p>
          <w:p w:rsidR="001F3740" w:rsidRDefault="00000000">
            <w:pPr>
              <w:spacing w:line="240" w:lineRule="auto"/>
              <w:jc w:val="center"/>
              <w:rPr>
                <w:sz w:val="18"/>
                <w:szCs w:val="18"/>
              </w:rPr>
            </w:pPr>
            <w:r>
              <w:rPr>
                <w:sz w:val="18"/>
                <w:szCs w:val="18"/>
              </w:rPr>
              <w:t>(100)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20/21</w:t>
            </w:r>
          </w:p>
          <w:p w:rsidR="001F3740" w:rsidRDefault="00000000">
            <w:pPr>
              <w:spacing w:line="240" w:lineRule="auto"/>
              <w:jc w:val="center"/>
              <w:rPr>
                <w:sz w:val="18"/>
                <w:szCs w:val="18"/>
              </w:rPr>
            </w:pPr>
            <w:r>
              <w:rPr>
                <w:sz w:val="18"/>
                <w:szCs w:val="18"/>
              </w:rPr>
              <w:t>(95.2)</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19/19</w:t>
            </w:r>
          </w:p>
          <w:p w:rsidR="001F3740" w:rsidRDefault="00000000">
            <w:pPr>
              <w:spacing w:line="240" w:lineRule="auto"/>
              <w:jc w:val="center"/>
              <w:rPr>
                <w:sz w:val="18"/>
                <w:szCs w:val="18"/>
              </w:rPr>
            </w:pPr>
            <w:r>
              <w:rPr>
                <w:sz w:val="18"/>
                <w:szCs w:val="18"/>
              </w:rPr>
              <w:t>(100)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18/21</w:t>
            </w:r>
          </w:p>
          <w:p w:rsidR="001F3740" w:rsidRDefault="00000000">
            <w:pPr>
              <w:spacing w:line="240" w:lineRule="auto"/>
              <w:jc w:val="center"/>
              <w:rPr>
                <w:sz w:val="18"/>
                <w:szCs w:val="18"/>
              </w:rPr>
            </w:pPr>
            <w:r>
              <w:rPr>
                <w:sz w:val="18"/>
                <w:szCs w:val="18"/>
              </w:rPr>
              <w:t>(85.7)</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b/>
                <w:sz w:val="18"/>
                <w:szCs w:val="18"/>
              </w:rPr>
            </w:pPr>
            <w:r>
              <w:rPr>
                <w:b/>
                <w:sz w:val="18"/>
                <w:szCs w:val="18"/>
              </w:rPr>
              <w:t>No. of people with at least one grade 2 or higher adverse event</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9/21 (42.86)</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13/22  (59.10)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13/21 (61.90)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13/19 (68.42)</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 xml:space="preserve">   10/21 (47.62)</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000000">
            <w:pPr>
              <w:spacing w:line="240" w:lineRule="auto"/>
              <w:rPr>
                <w:b/>
                <w:sz w:val="18"/>
                <w:szCs w:val="18"/>
              </w:rPr>
            </w:pPr>
            <w:r>
              <w:rPr>
                <w:b/>
                <w:sz w:val="18"/>
                <w:szCs w:val="18"/>
              </w:rPr>
              <w:t>ART satisfaction</w:t>
            </w: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1F3740">
            <w:pPr>
              <w:spacing w:line="240" w:lineRule="auto"/>
              <w:jc w:val="center"/>
              <w:rPr>
                <w:sz w:val="18"/>
                <w:szCs w:val="18"/>
              </w:rPr>
            </w:pP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1F3740">
            <w:pPr>
              <w:spacing w:line="240" w:lineRule="auto"/>
              <w:jc w:val="center"/>
              <w:rPr>
                <w:sz w:val="18"/>
                <w:szCs w:val="18"/>
              </w:rPr>
            </w:pP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1F3740">
            <w:pPr>
              <w:spacing w:line="240" w:lineRule="auto"/>
              <w:jc w:val="center"/>
              <w:rPr>
                <w:sz w:val="18"/>
                <w:szCs w:val="18"/>
              </w:rPr>
            </w:pP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1F3740">
            <w:pPr>
              <w:spacing w:line="240" w:lineRule="auto"/>
              <w:jc w:val="center"/>
              <w:rPr>
                <w:sz w:val="18"/>
                <w:szCs w:val="18"/>
              </w:rPr>
            </w:pP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1F3740">
            <w:pPr>
              <w:spacing w:line="240" w:lineRule="auto"/>
              <w:jc w:val="center"/>
              <w:rPr>
                <w:sz w:val="18"/>
                <w:szCs w:val="18"/>
              </w:rPr>
            </w:pP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1F3740">
            <w:pPr>
              <w:spacing w:line="240" w:lineRule="auto"/>
              <w:jc w:val="center"/>
              <w:rPr>
                <w:sz w:val="18"/>
                <w:szCs w:val="18"/>
              </w:rPr>
            </w:pP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right"/>
              <w:rPr>
                <w:sz w:val="18"/>
                <w:szCs w:val="18"/>
              </w:rPr>
            </w:pPr>
            <w:r>
              <w:rPr>
                <w:sz w:val="18"/>
                <w:szCs w:val="18"/>
              </w:rPr>
              <w:t>Very satisfied</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59/248 (23.79)</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54/234 (23.10)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93/324 (28.70)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80/276 (28.98)</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34/234 (14.53)</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231/261 (88.51)</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right"/>
              <w:rPr>
                <w:sz w:val="18"/>
                <w:szCs w:val="18"/>
              </w:rPr>
            </w:pPr>
            <w:r>
              <w:rPr>
                <w:sz w:val="18"/>
                <w:szCs w:val="18"/>
              </w:rPr>
              <w:t>Satisfied</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44/248 (17.74)</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53/234 (22.65)</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50/324 (15.43)</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50/276 (18.11)</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70/234 (29.91)</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4/261 (1.53)</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right"/>
              <w:rPr>
                <w:sz w:val="18"/>
                <w:szCs w:val="18"/>
              </w:rPr>
            </w:pPr>
            <w:r>
              <w:rPr>
                <w:sz w:val="18"/>
                <w:szCs w:val="18"/>
              </w:rPr>
              <w:t>Not satisfied</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right"/>
              <w:rPr>
                <w:sz w:val="18"/>
                <w:szCs w:val="18"/>
              </w:rPr>
            </w:pPr>
            <w:r>
              <w:rPr>
                <w:sz w:val="18"/>
                <w:szCs w:val="18"/>
              </w:rPr>
              <w:t>Unhappy with continuing ART regimen</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1/248 (0.40)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1/234 (0.43)</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1/324 (0.31)</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1/276 (0.36)</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4/234 (1.71)</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vertAlign w:val="superscript"/>
              </w:rPr>
            </w:pPr>
            <w:r>
              <w:rPr>
                <w:sz w:val="18"/>
                <w:szCs w:val="18"/>
              </w:rPr>
              <w:t>-</w:t>
            </w:r>
            <w:r>
              <w:rPr>
                <w:sz w:val="18"/>
                <w:szCs w:val="18"/>
                <w:vertAlign w:val="superscript"/>
              </w:rPr>
              <w:t>2</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000000">
            <w:pPr>
              <w:spacing w:line="240" w:lineRule="auto"/>
              <w:rPr>
                <w:b/>
                <w:sz w:val="18"/>
                <w:szCs w:val="18"/>
              </w:rPr>
            </w:pPr>
            <w:r>
              <w:rPr>
                <w:b/>
                <w:sz w:val="18"/>
                <w:szCs w:val="18"/>
              </w:rPr>
              <w:t>Contraceptive method satisfaction</w:t>
            </w: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1F3740">
            <w:pPr>
              <w:spacing w:line="240" w:lineRule="auto"/>
              <w:jc w:val="center"/>
              <w:rPr>
                <w:sz w:val="18"/>
                <w:szCs w:val="18"/>
              </w:rPr>
            </w:pP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1F3740">
            <w:pPr>
              <w:spacing w:line="240" w:lineRule="auto"/>
              <w:jc w:val="center"/>
              <w:rPr>
                <w:sz w:val="18"/>
                <w:szCs w:val="18"/>
              </w:rPr>
            </w:pP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1F3740">
            <w:pPr>
              <w:spacing w:line="240" w:lineRule="auto"/>
              <w:jc w:val="center"/>
              <w:rPr>
                <w:sz w:val="18"/>
                <w:szCs w:val="18"/>
              </w:rPr>
            </w:pP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1F3740">
            <w:pPr>
              <w:spacing w:line="240" w:lineRule="auto"/>
              <w:jc w:val="center"/>
              <w:rPr>
                <w:sz w:val="18"/>
                <w:szCs w:val="18"/>
              </w:rPr>
            </w:pP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1F3740">
            <w:pPr>
              <w:spacing w:line="240" w:lineRule="auto"/>
              <w:jc w:val="center"/>
              <w:rPr>
                <w:sz w:val="18"/>
                <w:szCs w:val="18"/>
              </w:rPr>
            </w:pP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1F3740">
            <w:pPr>
              <w:spacing w:line="240" w:lineRule="auto"/>
              <w:jc w:val="center"/>
              <w:rPr>
                <w:sz w:val="18"/>
                <w:szCs w:val="18"/>
              </w:rPr>
            </w:pP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sz w:val="18"/>
                <w:szCs w:val="18"/>
              </w:rPr>
            </w:pPr>
            <w:r>
              <w:rPr>
                <w:sz w:val="18"/>
                <w:szCs w:val="18"/>
              </w:rPr>
              <w:t>% very satisfied with impact of contraceptive method on lifestyle</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79/248 (31.85)</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79/234 (33.76)</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108/324 (33.33)</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105/276 (38.04)</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78/234 (33.33)</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214/261 (81.99)</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sz w:val="18"/>
                <w:szCs w:val="18"/>
              </w:rPr>
            </w:pPr>
            <w:r>
              <w:rPr>
                <w:sz w:val="18"/>
                <w:szCs w:val="18"/>
              </w:rPr>
              <w:t>% very satisfied with convenience of contraceptive method</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77/248 (31.05)</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80/234 (34.19)</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110/324 (33.95)</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104/276 (37.68)</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79/234 (33.76)</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214/261 (81.99)</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sz w:val="18"/>
                <w:szCs w:val="18"/>
              </w:rPr>
            </w:pPr>
            <w:r>
              <w:rPr>
                <w:sz w:val="18"/>
                <w:szCs w:val="18"/>
              </w:rPr>
              <w:t>% very satisfied with impact of contraceptive method on menstrual cycle</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70/248 (28.22)</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73/234 (31.19)</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99/324 (30.55)</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95/276 (34.42)</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65/234 (27.78)</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208/261 (79.69)</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sz w:val="18"/>
                <w:szCs w:val="18"/>
              </w:rPr>
            </w:pPr>
            <w:r>
              <w:rPr>
                <w:sz w:val="18"/>
                <w:szCs w:val="18"/>
              </w:rPr>
              <w:t>% very satisfied with symptoms or side effects of contraceptive method</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64/248 (25.81)</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74/234 (31.62)</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87/324 (26.85)</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84/276 (30.43)</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64/234 (27.35)</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209/261 (80.10)</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sz w:val="18"/>
                <w:szCs w:val="18"/>
              </w:rPr>
            </w:pPr>
            <w:r>
              <w:rPr>
                <w:sz w:val="18"/>
                <w:szCs w:val="18"/>
              </w:rPr>
              <w:t>% very satisfied for overall satisfaction</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 xml:space="preserve"> </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 xml:space="preserve"> </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 xml:space="preserve"> </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 xml:space="preserve"> </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 xml:space="preserve"> </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 xml:space="preserve"> </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right"/>
              <w:rPr>
                <w:sz w:val="18"/>
                <w:szCs w:val="18"/>
              </w:rPr>
            </w:pPr>
            <w:r>
              <w:rPr>
                <w:sz w:val="18"/>
                <w:szCs w:val="18"/>
              </w:rPr>
              <w:t>Very satisfied</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76/248 (30.64)</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79/234 (33.76)</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110/324 (33.95)</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102/276 (36.96)</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78/234 (33.33)</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201/261 (77.01)</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right"/>
              <w:rPr>
                <w:sz w:val="18"/>
                <w:szCs w:val="18"/>
              </w:rPr>
            </w:pPr>
            <w:r>
              <w:rPr>
                <w:sz w:val="18"/>
                <w:szCs w:val="18"/>
              </w:rPr>
              <w:t>Satisfied</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4/248 (1.61)</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3/234 (1.28)</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6/324 (1.85)</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5/276 (1.81)</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2/234 (0.85)</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sz w:val="18"/>
                <w:szCs w:val="18"/>
              </w:rPr>
            </w:pPr>
            <w:r>
              <w:rPr>
                <w:sz w:val="18"/>
                <w:szCs w:val="18"/>
              </w:rPr>
              <w:t xml:space="preserve">  21/261 (8.04)</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right"/>
              <w:rPr>
                <w:sz w:val="18"/>
                <w:szCs w:val="18"/>
              </w:rPr>
            </w:pPr>
            <w:r>
              <w:rPr>
                <w:sz w:val="18"/>
                <w:szCs w:val="18"/>
              </w:rPr>
              <w:t>Not satisfied</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1/248 (0.40)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1/234 (0.43)</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5/324 (1.54)</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1/276 (0.36)</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1/234 (0.43)</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4/261 (1.49)</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right"/>
              <w:rPr>
                <w:sz w:val="18"/>
                <w:szCs w:val="18"/>
              </w:rPr>
            </w:pPr>
            <w:r>
              <w:rPr>
                <w:sz w:val="18"/>
                <w:szCs w:val="18"/>
              </w:rPr>
              <w:t>Somewhat dissatisfied</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1/234 (0.43)</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3/276 (1.09)</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2/261 (0.77)</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right"/>
              <w:rPr>
                <w:sz w:val="18"/>
                <w:szCs w:val="18"/>
              </w:rPr>
            </w:pPr>
            <w:r>
              <w:rPr>
                <w:sz w:val="18"/>
                <w:szCs w:val="18"/>
              </w:rPr>
              <w:t>Very dissatisfied</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3/234 (1.28)</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000000">
            <w:pPr>
              <w:spacing w:line="240" w:lineRule="auto"/>
              <w:rPr>
                <w:b/>
                <w:sz w:val="18"/>
                <w:szCs w:val="18"/>
              </w:rPr>
            </w:pPr>
            <w:r>
              <w:rPr>
                <w:b/>
                <w:sz w:val="18"/>
                <w:szCs w:val="18"/>
              </w:rPr>
              <w:t>Adherence</w:t>
            </w:r>
            <w:r>
              <w:rPr>
                <w:sz w:val="18"/>
                <w:szCs w:val="18"/>
                <w:vertAlign w:val="superscript"/>
              </w:rPr>
              <w:t>3</w:t>
            </w: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1F3740">
            <w:pPr>
              <w:spacing w:line="240" w:lineRule="auto"/>
              <w:jc w:val="center"/>
              <w:rPr>
                <w:sz w:val="18"/>
                <w:szCs w:val="18"/>
              </w:rPr>
            </w:pP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1F3740">
            <w:pPr>
              <w:spacing w:line="240" w:lineRule="auto"/>
              <w:jc w:val="center"/>
              <w:rPr>
                <w:sz w:val="18"/>
                <w:szCs w:val="18"/>
              </w:rPr>
            </w:pP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1F3740">
            <w:pPr>
              <w:spacing w:line="240" w:lineRule="auto"/>
              <w:jc w:val="center"/>
              <w:rPr>
                <w:sz w:val="18"/>
                <w:szCs w:val="18"/>
              </w:rPr>
            </w:pP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1F3740">
            <w:pPr>
              <w:spacing w:line="240" w:lineRule="auto"/>
              <w:jc w:val="center"/>
              <w:rPr>
                <w:sz w:val="18"/>
                <w:szCs w:val="18"/>
              </w:rPr>
            </w:pP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1F3740">
            <w:pPr>
              <w:spacing w:line="240" w:lineRule="auto"/>
              <w:jc w:val="center"/>
              <w:rPr>
                <w:sz w:val="18"/>
                <w:szCs w:val="18"/>
              </w:rPr>
            </w:pP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 xml:space="preserve"> </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sz w:val="18"/>
                <w:szCs w:val="18"/>
              </w:rPr>
            </w:pPr>
            <w:r>
              <w:rPr>
                <w:rFonts w:ascii="Arial Unicode MS" w:eastAsia="Arial Unicode MS" w:hAnsi="Arial Unicode MS" w:cs="Arial Unicode MS"/>
                <w:sz w:val="18"/>
                <w:szCs w:val="18"/>
              </w:rPr>
              <w:lastRenderedPageBreak/>
              <w:t>By pill count, ≥ 80% adherence</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87/248 (35.10)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86/234 (36.75)</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127/324 (39.20)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114/276 (41.30)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vertAlign w:val="superscript"/>
              </w:rPr>
            </w:pPr>
            <w:r>
              <w:rPr>
                <w:sz w:val="18"/>
                <w:szCs w:val="18"/>
              </w:rPr>
              <w:t>-</w:t>
            </w:r>
            <w:r>
              <w:rPr>
                <w:sz w:val="18"/>
                <w:szCs w:val="18"/>
                <w:vertAlign w:val="superscript"/>
              </w:rPr>
              <w:t>4</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w:t>
            </w:r>
            <w:r>
              <w:rPr>
                <w:sz w:val="18"/>
                <w:szCs w:val="18"/>
                <w:vertAlign w:val="superscript"/>
              </w:rPr>
              <w:t>4</w:t>
            </w:r>
            <w:r>
              <w:rPr>
                <w:sz w:val="18"/>
                <w:szCs w:val="18"/>
              </w:rPr>
              <w:br/>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sz w:val="18"/>
                <w:szCs w:val="18"/>
              </w:rPr>
            </w:pPr>
            <w:r>
              <w:rPr>
                <w:rFonts w:ascii="Arial Unicode MS" w:eastAsia="Arial Unicode MS" w:hAnsi="Arial Unicode MS" w:cs="Arial Unicode MS"/>
                <w:sz w:val="18"/>
                <w:szCs w:val="18"/>
              </w:rPr>
              <w:t>By ARV concentration, ≥ 20 ng/mL</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68/103 (66.02)</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85/104 (81.73)</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109/141 (77.30)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90/125 (72.0)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95/104 (91.35)</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sz w:val="18"/>
                <w:szCs w:val="18"/>
              </w:rPr>
            </w:pPr>
            <w:r>
              <w:rPr>
                <w:sz w:val="18"/>
                <w:szCs w:val="18"/>
              </w:rPr>
              <w:t>141/142 (99.3)</w:t>
            </w: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000000">
            <w:pPr>
              <w:spacing w:line="240" w:lineRule="auto"/>
              <w:rPr>
                <w:b/>
                <w:sz w:val="18"/>
                <w:szCs w:val="18"/>
              </w:rPr>
            </w:pPr>
            <w:r>
              <w:rPr>
                <w:b/>
                <w:sz w:val="18"/>
                <w:szCs w:val="18"/>
              </w:rPr>
              <w:t>Viral suppression, &lt;40 copies/mL</w:t>
            </w: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1F3740">
            <w:pPr>
              <w:spacing w:line="240" w:lineRule="auto"/>
              <w:jc w:val="center"/>
              <w:rPr>
                <w:sz w:val="18"/>
                <w:szCs w:val="18"/>
              </w:rPr>
            </w:pP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1F3740">
            <w:pPr>
              <w:spacing w:line="240" w:lineRule="auto"/>
              <w:jc w:val="center"/>
              <w:rPr>
                <w:sz w:val="18"/>
                <w:szCs w:val="18"/>
              </w:rPr>
            </w:pP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1F3740">
            <w:pPr>
              <w:spacing w:line="240" w:lineRule="auto"/>
              <w:jc w:val="center"/>
              <w:rPr>
                <w:sz w:val="18"/>
                <w:szCs w:val="18"/>
              </w:rPr>
            </w:pP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1F3740">
            <w:pPr>
              <w:spacing w:line="240" w:lineRule="auto"/>
              <w:jc w:val="center"/>
              <w:rPr>
                <w:sz w:val="18"/>
                <w:szCs w:val="18"/>
              </w:rPr>
            </w:pP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1F3740">
            <w:pPr>
              <w:spacing w:line="240" w:lineRule="auto"/>
              <w:jc w:val="center"/>
              <w:rPr>
                <w:sz w:val="18"/>
                <w:szCs w:val="18"/>
              </w:rPr>
            </w:pPr>
          </w:p>
        </w:tc>
        <w:tc>
          <w:tcPr>
            <w:tcW w:w="1494" w:type="dxa"/>
            <w:tcBorders>
              <w:top w:val="single" w:sz="4" w:space="0" w:color="000000"/>
              <w:left w:val="single" w:sz="4" w:space="0" w:color="000000"/>
              <w:bottom w:val="single" w:sz="4" w:space="0" w:color="000000"/>
              <w:right w:val="single" w:sz="4" w:space="0" w:color="000000"/>
            </w:tcBorders>
            <w:shd w:val="clear" w:color="auto" w:fill="CCCCCC"/>
            <w:tcMar>
              <w:top w:w="0" w:type="dxa"/>
              <w:left w:w="100" w:type="dxa"/>
              <w:bottom w:w="0" w:type="dxa"/>
              <w:right w:w="100" w:type="dxa"/>
            </w:tcMar>
            <w:vAlign w:val="center"/>
          </w:tcPr>
          <w:p w:rsidR="001F3740" w:rsidRDefault="001F3740">
            <w:pPr>
              <w:spacing w:line="240" w:lineRule="auto"/>
              <w:jc w:val="center"/>
              <w:rPr>
                <w:sz w:val="18"/>
                <w:szCs w:val="18"/>
              </w:rPr>
            </w:pPr>
          </w:p>
        </w:tc>
      </w:tr>
      <w:tr w:rsidR="001F3740">
        <w:trPr>
          <w:cantSplit/>
        </w:trPr>
        <w:tc>
          <w:tcPr>
            <w:tcW w:w="2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sz w:val="18"/>
                <w:szCs w:val="18"/>
                <w:vertAlign w:val="superscript"/>
              </w:rPr>
            </w:pPr>
            <w:r>
              <w:rPr>
                <w:sz w:val="18"/>
                <w:szCs w:val="18"/>
              </w:rPr>
              <w:t>At study exit visit</w:t>
            </w:r>
            <w:r>
              <w:rPr>
                <w:sz w:val="18"/>
                <w:szCs w:val="18"/>
                <w:vertAlign w:val="superscript"/>
              </w:rPr>
              <w:t>5</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18/21 (85.71)</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18/19 (94.74)</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18/21 (85.71)</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16/18 (88.89)</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18/20 (90.0)</w:t>
            </w:r>
          </w:p>
        </w:tc>
        <w:tc>
          <w:tcPr>
            <w:tcW w:w="1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23/24 (95.83)</w:t>
            </w:r>
          </w:p>
        </w:tc>
      </w:tr>
      <w:tr w:rsidR="001F3740">
        <w:trPr>
          <w:cantSplit/>
          <w:trHeight w:val="1350"/>
        </w:trPr>
        <w:tc>
          <w:tcPr>
            <w:tcW w:w="1167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1F3740" w:rsidRDefault="00000000">
            <w:pPr>
              <w:spacing w:line="240" w:lineRule="auto"/>
              <w:rPr>
                <w:sz w:val="18"/>
                <w:szCs w:val="18"/>
              </w:rPr>
            </w:pPr>
            <w:r>
              <w:rPr>
                <w:b/>
                <w:sz w:val="18"/>
                <w:szCs w:val="18"/>
              </w:rPr>
              <w:t xml:space="preserve">Abbreviations: </w:t>
            </w:r>
            <w:r>
              <w:rPr>
                <w:sz w:val="18"/>
                <w:szCs w:val="18"/>
              </w:rPr>
              <w:t>ART=antiretroviral therapy; MPA=medroxyprogesterone acetate; ENG=etonogestrel; IUD=Intrauterine Device; SC=subcutaneous</w:t>
            </w:r>
          </w:p>
          <w:p w:rsidR="001F3740" w:rsidRDefault="00000000">
            <w:pPr>
              <w:spacing w:line="240" w:lineRule="auto"/>
              <w:rPr>
                <w:sz w:val="18"/>
                <w:szCs w:val="18"/>
              </w:rPr>
            </w:pPr>
            <w:r>
              <w:rPr>
                <w:sz w:val="18"/>
                <w:szCs w:val="18"/>
                <w:vertAlign w:val="superscript"/>
              </w:rPr>
              <w:t>1</w:t>
            </w:r>
            <w:r>
              <w:rPr>
                <w:sz w:val="18"/>
                <w:szCs w:val="18"/>
              </w:rPr>
              <w:t xml:space="preserve"> Adverse events were not solicited for DTG + ENG group (Group 6)  from the PARVI study</w:t>
            </w:r>
          </w:p>
          <w:p w:rsidR="001F3740" w:rsidRDefault="00000000">
            <w:pPr>
              <w:spacing w:line="240" w:lineRule="auto"/>
              <w:rPr>
                <w:sz w:val="18"/>
                <w:szCs w:val="18"/>
              </w:rPr>
            </w:pPr>
            <w:r>
              <w:rPr>
                <w:sz w:val="18"/>
                <w:szCs w:val="18"/>
                <w:vertAlign w:val="superscript"/>
              </w:rPr>
              <w:t xml:space="preserve">2  </w:t>
            </w:r>
            <w:r>
              <w:rPr>
                <w:sz w:val="18"/>
                <w:szCs w:val="18"/>
              </w:rPr>
              <w:t>Participants in the DTG + ENG group (Group 6) were not asked if they were unhappy with continuing the ART regimen</w:t>
            </w:r>
          </w:p>
          <w:p w:rsidR="001F3740" w:rsidRDefault="00000000">
            <w:pPr>
              <w:spacing w:line="240" w:lineRule="auto"/>
              <w:rPr>
                <w:sz w:val="18"/>
                <w:szCs w:val="18"/>
              </w:rPr>
            </w:pPr>
            <w:r>
              <w:rPr>
                <w:sz w:val="18"/>
                <w:szCs w:val="18"/>
                <w:vertAlign w:val="superscript"/>
              </w:rPr>
              <w:t>3</w:t>
            </w:r>
            <w:r>
              <w:rPr>
                <w:sz w:val="18"/>
                <w:szCs w:val="18"/>
              </w:rPr>
              <w:t xml:space="preserve"> Adherence by pill count was calculated for all study visits and adherence by ARV concentration was calculated for visits when samples were collected for ARV concentration analyses</w:t>
            </w:r>
          </w:p>
          <w:p w:rsidR="001F3740" w:rsidRDefault="00000000">
            <w:pPr>
              <w:spacing w:line="240" w:lineRule="auto"/>
              <w:rPr>
                <w:sz w:val="18"/>
                <w:szCs w:val="18"/>
              </w:rPr>
            </w:pPr>
            <w:r>
              <w:rPr>
                <w:sz w:val="18"/>
                <w:szCs w:val="18"/>
                <w:vertAlign w:val="superscript"/>
              </w:rPr>
              <w:t xml:space="preserve">4 </w:t>
            </w:r>
            <w:r>
              <w:rPr>
                <w:sz w:val="18"/>
                <w:szCs w:val="18"/>
              </w:rPr>
              <w:t>Adherence data by pill count were not collected for DTG + ENG implant  group (Group 6) since the DTG was not administered by study staff</w:t>
            </w:r>
          </w:p>
          <w:p w:rsidR="001F3740" w:rsidRDefault="00000000">
            <w:pPr>
              <w:spacing w:line="240" w:lineRule="auto"/>
              <w:rPr>
                <w:sz w:val="18"/>
                <w:szCs w:val="18"/>
              </w:rPr>
            </w:pPr>
            <w:r>
              <w:rPr>
                <w:sz w:val="18"/>
                <w:szCs w:val="18"/>
                <w:vertAlign w:val="superscript"/>
              </w:rPr>
              <w:t xml:space="preserve">5 </w:t>
            </w:r>
            <w:r>
              <w:rPr>
                <w:sz w:val="18"/>
                <w:szCs w:val="18"/>
              </w:rPr>
              <w:t>Denominator is the total number of participants who underwent an HIV viral load test at study exit visit</w:t>
            </w:r>
          </w:p>
        </w:tc>
      </w:tr>
    </w:tbl>
    <w:p w:rsidR="001F3740" w:rsidRDefault="001F3740">
      <w:pPr>
        <w:jc w:val="both"/>
        <w:rPr>
          <w:b/>
        </w:rPr>
      </w:pPr>
    </w:p>
    <w:p w:rsidR="001F3740" w:rsidRDefault="001F3740">
      <w:pPr>
        <w:jc w:val="both"/>
        <w:rPr>
          <w:b/>
        </w:rPr>
      </w:pPr>
    </w:p>
    <w:p w:rsidR="001F3740" w:rsidRDefault="00000000">
      <w:pPr>
        <w:jc w:val="both"/>
        <w:rPr>
          <w:b/>
        </w:rPr>
      </w:pPr>
      <w:r>
        <w:br w:type="page"/>
      </w:r>
    </w:p>
    <w:p w:rsidR="001F3740" w:rsidRDefault="00000000">
      <w:pPr>
        <w:jc w:val="both"/>
        <w:rPr>
          <w:b/>
        </w:rPr>
      </w:pPr>
      <w:r>
        <w:rPr>
          <w:b/>
        </w:rPr>
        <w:lastRenderedPageBreak/>
        <w:t>Supplementary Table 2. Safety, tolerability, and efficacy of doravirine- and dolutegravir-containing ART when concomitantly used with contraceptive methods for each body system, EPIC study, Nov. 2021-Feb. 2024</w:t>
      </w:r>
    </w:p>
    <w:tbl>
      <w:tblPr>
        <w:tblStyle w:val="a0"/>
        <w:tblW w:w="9691" w:type="dxa"/>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939"/>
        <w:gridCol w:w="1938"/>
        <w:gridCol w:w="1938"/>
        <w:gridCol w:w="1938"/>
        <w:gridCol w:w="1938"/>
      </w:tblGrid>
      <w:tr w:rsidR="001F3740">
        <w:trPr>
          <w:trHeight w:val="27"/>
        </w:trPr>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1F3740" w:rsidRDefault="00000000">
            <w:pPr>
              <w:spacing w:line="240" w:lineRule="auto"/>
              <w:rPr>
                <w:b/>
                <w:sz w:val="18"/>
                <w:szCs w:val="18"/>
              </w:rPr>
            </w:pPr>
            <w:r>
              <w:rPr>
                <w:b/>
                <w:sz w:val="18"/>
                <w:szCs w:val="18"/>
              </w:rPr>
              <w:t xml:space="preserve"> Body system</w:t>
            </w:r>
          </w:p>
          <w:p w:rsidR="001F3740" w:rsidRDefault="00000000">
            <w:pPr>
              <w:spacing w:line="240" w:lineRule="auto"/>
              <w:rPr>
                <w:b/>
                <w:sz w:val="18"/>
                <w:szCs w:val="18"/>
              </w:rPr>
            </w:pPr>
            <w:r>
              <w:rPr>
                <w:b/>
                <w:sz w:val="18"/>
                <w:szCs w:val="18"/>
              </w:rPr>
              <w:t>(Total number of adverse events)</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1F3740" w:rsidRDefault="00000000">
            <w:pPr>
              <w:spacing w:line="240" w:lineRule="auto"/>
              <w:rPr>
                <w:b/>
                <w:sz w:val="18"/>
                <w:szCs w:val="18"/>
              </w:rPr>
            </w:pPr>
            <w:r>
              <w:rPr>
                <w:b/>
                <w:sz w:val="18"/>
                <w:szCs w:val="18"/>
              </w:rPr>
              <w:t>Grade</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1F3740" w:rsidRDefault="00000000">
            <w:pPr>
              <w:spacing w:line="240" w:lineRule="auto"/>
              <w:rPr>
                <w:b/>
                <w:sz w:val="18"/>
                <w:szCs w:val="18"/>
              </w:rPr>
            </w:pPr>
            <w:r>
              <w:rPr>
                <w:b/>
                <w:sz w:val="18"/>
                <w:szCs w:val="18"/>
              </w:rPr>
              <w:t>Number of adverse events</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1F3740" w:rsidRDefault="00000000">
            <w:pPr>
              <w:spacing w:line="240" w:lineRule="auto"/>
              <w:rPr>
                <w:b/>
                <w:sz w:val="18"/>
                <w:szCs w:val="18"/>
              </w:rPr>
            </w:pPr>
            <w:r>
              <w:rPr>
                <w:b/>
                <w:sz w:val="18"/>
                <w:szCs w:val="18"/>
              </w:rPr>
              <w:t>adverse event attributable to Doravirine</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1F3740" w:rsidRDefault="00000000">
            <w:pPr>
              <w:spacing w:line="240" w:lineRule="auto"/>
              <w:rPr>
                <w:b/>
                <w:sz w:val="18"/>
                <w:szCs w:val="18"/>
              </w:rPr>
            </w:pPr>
            <w:r>
              <w:rPr>
                <w:b/>
                <w:sz w:val="18"/>
                <w:szCs w:val="18"/>
              </w:rPr>
              <w:t>adverse event attributable to contraceptive method</w:t>
            </w:r>
          </w:p>
        </w:tc>
      </w:tr>
      <w:tr w:rsidR="001F3740">
        <w:trPr>
          <w:trHeight w:val="27"/>
        </w:trPr>
        <w:tc>
          <w:tcPr>
            <w:tcW w:w="19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b/>
                <w:sz w:val="18"/>
                <w:szCs w:val="18"/>
              </w:rPr>
            </w:pPr>
            <w:r>
              <w:rPr>
                <w:b/>
                <w:sz w:val="18"/>
                <w:szCs w:val="18"/>
              </w:rPr>
              <w:t>Uro-gynecological</w:t>
            </w:r>
          </w:p>
          <w:p w:rsidR="001F3740" w:rsidRDefault="00000000">
            <w:pPr>
              <w:spacing w:line="240" w:lineRule="auto"/>
              <w:rPr>
                <w:b/>
                <w:sz w:val="18"/>
                <w:szCs w:val="18"/>
              </w:rPr>
            </w:pPr>
            <w:r>
              <w:rPr>
                <w:b/>
                <w:sz w:val="18"/>
                <w:szCs w:val="18"/>
              </w:rPr>
              <w:t>(n=63)</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1</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32 (50.80)</w:t>
            </w:r>
          </w:p>
        </w:tc>
        <w:tc>
          <w:tcPr>
            <w:tcW w:w="19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 (1.59)</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10 (15.87)</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2</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31 (49.21)</w:t>
            </w:r>
          </w:p>
        </w:tc>
        <w:tc>
          <w:tcPr>
            <w:tcW w:w="19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12 (19.05)</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3</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4</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b/>
                <w:sz w:val="18"/>
                <w:szCs w:val="18"/>
              </w:rPr>
            </w:pPr>
            <w:r>
              <w:rPr>
                <w:b/>
                <w:sz w:val="18"/>
                <w:szCs w:val="18"/>
              </w:rPr>
              <w:t>Headache</w:t>
            </w:r>
          </w:p>
          <w:p w:rsidR="001F3740" w:rsidRDefault="00000000">
            <w:pPr>
              <w:spacing w:line="240" w:lineRule="auto"/>
              <w:rPr>
                <w:b/>
                <w:sz w:val="18"/>
                <w:szCs w:val="18"/>
              </w:rPr>
            </w:pPr>
            <w:r>
              <w:rPr>
                <w:b/>
                <w:sz w:val="18"/>
                <w:szCs w:val="18"/>
              </w:rPr>
              <w:t>(n=40)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1</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31 (77.50)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11 (27.5)</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16 (40)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2</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9 (22.50)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5 (12.5)</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6 (15)</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3</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4</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b/>
                <w:sz w:val="18"/>
                <w:szCs w:val="18"/>
              </w:rPr>
            </w:pPr>
            <w:r>
              <w:rPr>
                <w:b/>
                <w:sz w:val="18"/>
                <w:szCs w:val="18"/>
              </w:rPr>
              <w:t>Gastrointestinal</w:t>
            </w:r>
          </w:p>
          <w:p w:rsidR="001F3740" w:rsidRDefault="00000000">
            <w:pPr>
              <w:spacing w:line="240" w:lineRule="auto"/>
              <w:rPr>
                <w:b/>
                <w:sz w:val="18"/>
                <w:szCs w:val="18"/>
              </w:rPr>
            </w:pPr>
            <w:r>
              <w:rPr>
                <w:b/>
                <w:sz w:val="18"/>
                <w:szCs w:val="18"/>
              </w:rPr>
              <w:t>(n=39)</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1</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29 (74.36)</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8 (20.51)</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 (2.56)</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2</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10 (25.64)</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 (5.13)</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3</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4</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b/>
                <w:sz w:val="18"/>
                <w:szCs w:val="18"/>
              </w:rPr>
            </w:pPr>
            <w:r>
              <w:rPr>
                <w:b/>
                <w:sz w:val="18"/>
                <w:szCs w:val="18"/>
              </w:rPr>
              <w:t>Skin</w:t>
            </w:r>
          </w:p>
          <w:p w:rsidR="001F3740" w:rsidRDefault="00000000">
            <w:pPr>
              <w:spacing w:line="240" w:lineRule="auto"/>
              <w:rPr>
                <w:b/>
                <w:sz w:val="18"/>
                <w:szCs w:val="18"/>
              </w:rPr>
            </w:pPr>
            <w:r>
              <w:rPr>
                <w:b/>
                <w:sz w:val="18"/>
                <w:szCs w:val="18"/>
              </w:rPr>
              <w:t>(n=27)</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1</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17 (62.96)</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 (3.70)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 (7.4)</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2</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10 (37.04)</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 (3.70)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3 (11.11)</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3</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4</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b/>
                <w:sz w:val="18"/>
                <w:szCs w:val="18"/>
              </w:rPr>
            </w:pPr>
            <w:r>
              <w:rPr>
                <w:b/>
                <w:sz w:val="18"/>
                <w:szCs w:val="18"/>
              </w:rPr>
              <w:t>ENT and eyes</w:t>
            </w:r>
          </w:p>
          <w:p w:rsidR="001F3740" w:rsidRDefault="00000000">
            <w:pPr>
              <w:spacing w:line="240" w:lineRule="auto"/>
              <w:rPr>
                <w:b/>
                <w:sz w:val="18"/>
                <w:szCs w:val="18"/>
              </w:rPr>
            </w:pPr>
            <w:r>
              <w:rPr>
                <w:b/>
                <w:sz w:val="18"/>
                <w:szCs w:val="18"/>
              </w:rPr>
              <w:t>(n=25)</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1</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18 (72)</w:t>
            </w:r>
          </w:p>
        </w:tc>
        <w:tc>
          <w:tcPr>
            <w:tcW w:w="19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2</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7 (28)</w:t>
            </w:r>
          </w:p>
        </w:tc>
        <w:tc>
          <w:tcPr>
            <w:tcW w:w="19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3</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4</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b/>
                <w:sz w:val="18"/>
                <w:szCs w:val="18"/>
              </w:rPr>
            </w:pPr>
            <w:r>
              <w:rPr>
                <w:b/>
                <w:sz w:val="18"/>
                <w:szCs w:val="18"/>
              </w:rPr>
              <w:t>Respiratory</w:t>
            </w:r>
          </w:p>
          <w:p w:rsidR="001F3740" w:rsidRDefault="00000000">
            <w:pPr>
              <w:spacing w:line="240" w:lineRule="auto"/>
              <w:rPr>
                <w:b/>
                <w:sz w:val="18"/>
                <w:szCs w:val="18"/>
              </w:rPr>
            </w:pPr>
            <w:r>
              <w:rPr>
                <w:b/>
                <w:sz w:val="18"/>
                <w:szCs w:val="18"/>
              </w:rPr>
              <w:t>(n=25)</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1</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18 (72)</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2</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7 (28)</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3</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4</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b/>
                <w:sz w:val="18"/>
                <w:szCs w:val="18"/>
              </w:rPr>
            </w:pPr>
            <w:r>
              <w:rPr>
                <w:b/>
                <w:sz w:val="18"/>
                <w:szCs w:val="18"/>
              </w:rPr>
              <w:t>Musculoskeletal</w:t>
            </w:r>
          </w:p>
          <w:p w:rsidR="001F3740" w:rsidRDefault="00000000">
            <w:pPr>
              <w:spacing w:line="240" w:lineRule="auto"/>
              <w:rPr>
                <w:b/>
                <w:sz w:val="18"/>
                <w:szCs w:val="18"/>
              </w:rPr>
            </w:pPr>
            <w:r>
              <w:rPr>
                <w:b/>
                <w:sz w:val="18"/>
                <w:szCs w:val="18"/>
              </w:rPr>
              <w:t>(n=14)</w:t>
            </w:r>
          </w:p>
          <w:p w:rsidR="001F3740" w:rsidRDefault="00000000">
            <w:pPr>
              <w:spacing w:line="240" w:lineRule="auto"/>
              <w:rPr>
                <w:b/>
                <w:sz w:val="18"/>
                <w:szCs w:val="18"/>
              </w:rPr>
            </w:pPr>
            <w:r>
              <w:rPr>
                <w:b/>
                <w:sz w:val="18"/>
                <w:szCs w:val="18"/>
              </w:rPr>
              <w:t xml:space="preserve"> </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1</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9 (64.28)</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3 (21.43)</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2</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5 (35.71)</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3</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4</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b/>
                <w:sz w:val="18"/>
                <w:szCs w:val="18"/>
              </w:rPr>
            </w:pPr>
            <w:r>
              <w:rPr>
                <w:b/>
                <w:sz w:val="18"/>
                <w:szCs w:val="18"/>
              </w:rPr>
              <w:t>Neurological</w:t>
            </w:r>
          </w:p>
          <w:p w:rsidR="001F3740" w:rsidRDefault="00000000">
            <w:pPr>
              <w:spacing w:line="240" w:lineRule="auto"/>
              <w:rPr>
                <w:b/>
                <w:sz w:val="18"/>
                <w:szCs w:val="18"/>
              </w:rPr>
            </w:pPr>
            <w:r>
              <w:rPr>
                <w:b/>
                <w:sz w:val="18"/>
                <w:szCs w:val="18"/>
              </w:rPr>
              <w:t>(n=13)</w:t>
            </w:r>
          </w:p>
          <w:p w:rsidR="001F3740" w:rsidRDefault="00000000">
            <w:pPr>
              <w:spacing w:line="240" w:lineRule="auto"/>
              <w:rPr>
                <w:b/>
                <w:sz w:val="18"/>
                <w:szCs w:val="18"/>
              </w:rPr>
            </w:pPr>
            <w:r>
              <w:rPr>
                <w:b/>
                <w:sz w:val="18"/>
                <w:szCs w:val="18"/>
              </w:rPr>
              <w:lastRenderedPageBreak/>
              <w:t xml:space="preserve"> </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lastRenderedPageBreak/>
              <w:t>1</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12 (92.31)</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3 (23.08)</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 (15.38)</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2</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 (7.69)</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 (7.69)</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3</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4</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b/>
                <w:sz w:val="18"/>
                <w:szCs w:val="18"/>
              </w:rPr>
            </w:pPr>
            <w:r>
              <w:rPr>
                <w:b/>
                <w:sz w:val="18"/>
                <w:szCs w:val="18"/>
              </w:rPr>
              <w:t>Cardiovascular</w:t>
            </w:r>
          </w:p>
          <w:p w:rsidR="001F3740" w:rsidRDefault="00000000">
            <w:pPr>
              <w:spacing w:line="240" w:lineRule="auto"/>
              <w:rPr>
                <w:b/>
                <w:sz w:val="18"/>
                <w:szCs w:val="18"/>
              </w:rPr>
            </w:pPr>
            <w:r>
              <w:rPr>
                <w:b/>
                <w:sz w:val="18"/>
                <w:szCs w:val="18"/>
              </w:rPr>
              <w:t>(n=9)</w:t>
            </w:r>
          </w:p>
          <w:p w:rsidR="001F3740" w:rsidRDefault="00000000">
            <w:pPr>
              <w:spacing w:line="240" w:lineRule="auto"/>
              <w:rPr>
                <w:b/>
                <w:sz w:val="18"/>
                <w:szCs w:val="18"/>
              </w:rPr>
            </w:pPr>
            <w:r>
              <w:rPr>
                <w:b/>
                <w:sz w:val="18"/>
                <w:szCs w:val="18"/>
              </w:rPr>
              <w:t xml:space="preserve"> </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1</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6 (66.67)</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2</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 (22.22)</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3</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4</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 (11.11)</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b/>
                <w:sz w:val="18"/>
                <w:szCs w:val="18"/>
              </w:rPr>
            </w:pPr>
            <w:r>
              <w:rPr>
                <w:b/>
                <w:sz w:val="18"/>
                <w:szCs w:val="18"/>
              </w:rPr>
              <w:t>Systemic</w:t>
            </w:r>
          </w:p>
          <w:p w:rsidR="001F3740" w:rsidRDefault="00000000">
            <w:pPr>
              <w:spacing w:line="240" w:lineRule="auto"/>
              <w:rPr>
                <w:b/>
                <w:sz w:val="18"/>
                <w:szCs w:val="18"/>
              </w:rPr>
            </w:pPr>
            <w:r>
              <w:rPr>
                <w:b/>
                <w:sz w:val="18"/>
                <w:szCs w:val="18"/>
              </w:rPr>
              <w:t>(n=6)</w:t>
            </w:r>
          </w:p>
          <w:p w:rsidR="001F3740" w:rsidRDefault="00000000">
            <w:pPr>
              <w:spacing w:line="240" w:lineRule="auto"/>
              <w:rPr>
                <w:b/>
                <w:sz w:val="18"/>
                <w:szCs w:val="18"/>
              </w:rPr>
            </w:pPr>
            <w:r>
              <w:rPr>
                <w:b/>
                <w:sz w:val="18"/>
                <w:szCs w:val="18"/>
              </w:rPr>
              <w:t xml:space="preserve"> </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1</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2 (33.33)</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2</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3 (50.00)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3</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4</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1 (16.67)</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rPr>
                <w:b/>
                <w:sz w:val="18"/>
                <w:szCs w:val="18"/>
              </w:rPr>
            </w:pPr>
            <w:r>
              <w:rPr>
                <w:b/>
                <w:sz w:val="18"/>
                <w:szCs w:val="18"/>
              </w:rPr>
              <w:t>Hematology</w:t>
            </w:r>
          </w:p>
          <w:p w:rsidR="001F3740" w:rsidRDefault="00000000">
            <w:pPr>
              <w:spacing w:line="240" w:lineRule="auto"/>
              <w:rPr>
                <w:b/>
                <w:sz w:val="18"/>
                <w:szCs w:val="18"/>
              </w:rPr>
            </w:pPr>
            <w:r>
              <w:rPr>
                <w:b/>
                <w:sz w:val="18"/>
                <w:szCs w:val="18"/>
              </w:rPr>
              <w:t>(n=3)</w:t>
            </w:r>
          </w:p>
          <w:p w:rsidR="001F3740" w:rsidRDefault="00000000">
            <w:pPr>
              <w:spacing w:line="240" w:lineRule="auto"/>
              <w:rPr>
                <w:b/>
                <w:sz w:val="18"/>
                <w:szCs w:val="18"/>
              </w:rPr>
            </w:pPr>
            <w:r>
              <w:rPr>
                <w:b/>
                <w:sz w:val="18"/>
                <w:szCs w:val="18"/>
              </w:rPr>
              <w:t xml:space="preserve"> </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1</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3 (100)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2</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3</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r w:rsidR="001F3740">
        <w:trPr>
          <w:trHeight w:val="27"/>
        </w:trPr>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1F3740" w:rsidRDefault="001F3740">
            <w:pPr>
              <w:spacing w:before="240" w:after="240"/>
              <w:ind w:left="140" w:right="140"/>
              <w:rPr>
                <w:sz w:val="16"/>
                <w:szCs w:val="16"/>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b/>
                <w:sz w:val="18"/>
                <w:szCs w:val="18"/>
              </w:rPr>
            </w:pPr>
            <w:r>
              <w:rPr>
                <w:b/>
                <w:sz w:val="18"/>
                <w:szCs w:val="18"/>
              </w:rPr>
              <w:t>4</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1F3740" w:rsidRDefault="00000000">
            <w:pPr>
              <w:spacing w:line="240" w:lineRule="auto"/>
              <w:jc w:val="center"/>
              <w:rPr>
                <w:sz w:val="18"/>
                <w:szCs w:val="18"/>
              </w:rPr>
            </w:pPr>
            <w:r>
              <w:rPr>
                <w:sz w:val="18"/>
                <w:szCs w:val="18"/>
              </w:rPr>
              <w:t>0</w:t>
            </w:r>
          </w:p>
        </w:tc>
      </w:tr>
    </w:tbl>
    <w:p w:rsidR="001F3740" w:rsidRDefault="00000000">
      <w:pPr>
        <w:spacing w:before="240" w:after="240" w:line="240" w:lineRule="auto"/>
        <w:jc w:val="both"/>
      </w:pPr>
      <w:r>
        <w:rPr>
          <w:b/>
          <w:sz w:val="18"/>
          <w:szCs w:val="18"/>
        </w:rPr>
        <w:t>Abbreviations:</w:t>
      </w:r>
      <w:r>
        <w:rPr>
          <w:sz w:val="18"/>
          <w:szCs w:val="18"/>
        </w:rPr>
        <w:t xml:space="preserve"> ENT=Ear, nose and throat; ART=antiretroviral therapy</w:t>
      </w:r>
    </w:p>
    <w:p w:rsidR="001F3740" w:rsidRDefault="001F3740"/>
    <w:p w:rsidR="001F3740" w:rsidRDefault="00000000">
      <w:r>
        <w:br w:type="page"/>
      </w:r>
    </w:p>
    <w:p w:rsidR="001F3740" w:rsidRDefault="00000000">
      <w:pPr>
        <w:rPr>
          <w:b/>
        </w:rPr>
      </w:pPr>
      <w:r>
        <w:rPr>
          <w:b/>
        </w:rPr>
        <w:lastRenderedPageBreak/>
        <w:t>References cited:</w:t>
      </w:r>
    </w:p>
    <w:p w:rsidR="001F3740" w:rsidRDefault="00000000">
      <w:pPr>
        <w:spacing w:line="240" w:lineRule="auto"/>
        <w:ind w:left="264" w:hanging="264"/>
        <w:rPr>
          <w:b/>
        </w:rPr>
      </w:pPr>
      <w:hyperlink r:id="rId8">
        <w:r>
          <w:t>1.</w:t>
        </w:r>
        <w:r>
          <w:tab/>
          <w:t>DAIDS Adverse Event Grading Tables | DAIDS Regulatory Support Center (RSC). Accessed October 10, 2024. https://rsc.niaid.nih.gov/clinical-research-sites/daids-adverse-event-grading-tables</w:t>
        </w:r>
      </w:hyperlink>
    </w:p>
    <w:p w:rsidR="001F3740" w:rsidRDefault="00000000">
      <w:pPr>
        <w:widowControl w:val="0"/>
        <w:pBdr>
          <w:top w:val="nil"/>
          <w:left w:val="nil"/>
          <w:bottom w:val="nil"/>
          <w:right w:val="nil"/>
          <w:between w:val="nil"/>
        </w:pBdr>
        <w:spacing w:line="240" w:lineRule="auto"/>
        <w:ind w:left="264" w:hanging="264"/>
        <w:rPr>
          <w:b/>
        </w:rPr>
      </w:pPr>
      <w:hyperlink r:id="rId9">
        <w:r>
          <w:t>2.</w:t>
        </w:r>
        <w:r>
          <w:tab/>
          <w:t xml:space="preserve">Chow SC. Bioavailability and Bioequivalence in Drug Development. </w:t>
        </w:r>
      </w:hyperlink>
      <w:hyperlink r:id="rId10">
        <w:r>
          <w:rPr>
            <w:i/>
          </w:rPr>
          <w:t>Wiley interdisciplinary reviews Computational statistics</w:t>
        </w:r>
      </w:hyperlink>
      <w:hyperlink r:id="rId11">
        <w:r>
          <w:t>. 2014;6(4):304. doi:10.1002/wics.1310</w:t>
        </w:r>
      </w:hyperlink>
    </w:p>
    <w:p w:rsidR="001F3740" w:rsidRDefault="00000000">
      <w:pPr>
        <w:widowControl w:val="0"/>
        <w:pBdr>
          <w:top w:val="nil"/>
          <w:left w:val="nil"/>
          <w:bottom w:val="nil"/>
          <w:right w:val="nil"/>
          <w:between w:val="nil"/>
        </w:pBdr>
        <w:spacing w:line="240" w:lineRule="auto"/>
        <w:ind w:left="264" w:hanging="264"/>
        <w:rPr>
          <w:b/>
        </w:rPr>
      </w:pPr>
      <w:hyperlink r:id="rId12">
        <w:r>
          <w:t>3.</w:t>
        </w:r>
        <w:r>
          <w:tab/>
          <w:t xml:space="preserve">Nanda K, Amaral E, Hays M, Viscola MAM, Mehta N, Bahamondes L. Pharmacokinetic interactions between depot medroxyprogesterone acetate and combination antiretroviral therapy. </w:t>
        </w:r>
      </w:hyperlink>
      <w:hyperlink r:id="rId13">
        <w:r>
          <w:rPr>
            <w:i/>
          </w:rPr>
          <w:t>Fertil Steril</w:t>
        </w:r>
      </w:hyperlink>
      <w:hyperlink r:id="rId14">
        <w:r>
          <w:t>. 2008;90(4):965-971. doi:10.1016/j.fertnstert.2007.07.1348</w:t>
        </w:r>
      </w:hyperlink>
    </w:p>
    <w:p w:rsidR="001F3740" w:rsidRDefault="00000000">
      <w:pPr>
        <w:widowControl w:val="0"/>
        <w:pBdr>
          <w:top w:val="nil"/>
          <w:left w:val="nil"/>
          <w:bottom w:val="nil"/>
          <w:right w:val="nil"/>
          <w:between w:val="nil"/>
        </w:pBdr>
        <w:spacing w:line="240" w:lineRule="auto"/>
        <w:ind w:left="264" w:hanging="264"/>
        <w:rPr>
          <w:b/>
        </w:rPr>
      </w:pPr>
      <w:hyperlink r:id="rId15">
        <w:r>
          <w:t>4.</w:t>
        </w:r>
        <w:r>
          <w:tab/>
          <w:t xml:space="preserve">Mngqibisa R, Kendall MA, Dooley K, et al. Pharmacokinetics and Pharmacodynamics of Depot Medroxyprogesterone Acetate in African Women Receiving Treatment for Human Immunodeficiency Virus and Tuberculosis: Potential Concern for Standard Dosing Frequency. </w:t>
        </w:r>
      </w:hyperlink>
      <w:hyperlink r:id="rId16">
        <w:r>
          <w:rPr>
            <w:i/>
          </w:rPr>
          <w:t>Clinical Infectious Diseases</w:t>
        </w:r>
      </w:hyperlink>
      <w:hyperlink r:id="rId17">
        <w:r>
          <w:t>. 2020;71(3):517-524. doi:10.1093/cid/ciz863</w:t>
        </w:r>
      </w:hyperlink>
    </w:p>
    <w:p w:rsidR="001F3740" w:rsidRDefault="00000000">
      <w:pPr>
        <w:widowControl w:val="0"/>
        <w:pBdr>
          <w:top w:val="nil"/>
          <w:left w:val="nil"/>
          <w:bottom w:val="nil"/>
          <w:right w:val="nil"/>
          <w:between w:val="nil"/>
        </w:pBdr>
        <w:spacing w:line="240" w:lineRule="auto"/>
        <w:ind w:left="264" w:hanging="264"/>
        <w:rPr>
          <w:b/>
        </w:rPr>
      </w:pPr>
      <w:hyperlink r:id="rId18">
        <w:r>
          <w:t>5.</w:t>
        </w:r>
        <w:r>
          <w:tab/>
          <w:t>Dosing for DELSTRIGO® (doravirine/lamivudine/tenofovir disoproxil fumarate). Accessed October 24, 2024. https://www.merckconnect.com/doravirine/delstrigo-dosing-administration/?safety_overlay&amp;utm_source=google&amp;utm_medium=cpc&amp;utm_campaign=DELSTRIGO+HCP_BRAND+CORE+PRIORITY+2_BRND_NA_ENGM_PHRS_TEXT_NA&amp;utm_term=merck+delstrigo&amp;utm_content=General&amp;gclid=Cj0KCQjw4Oe4BhCcARIsADQ0csniVr9zCA-90ghn1SU_MHA325tknJbD55hsHftalWEUk0W3MFbe_p4aAvl4EALw_wcB&amp;gclsrc=aw.ds&amp;gad_source=1&amp;gbraid=0AAAAAC645OZwZ5kwrfMOGn9JyCYP-_qHZ#ssi-safety</w:t>
        </w:r>
      </w:hyperlink>
    </w:p>
    <w:sectPr w:rsidR="001F374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740"/>
    <w:rsid w:val="001F3740"/>
    <w:rsid w:val="007F0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36C67EE9-741E-5A45-9E1B-5011C641B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zotero.org/google-docs/?TI1vTk" TargetMode="External"/><Relationship Id="rId13" Type="http://schemas.openxmlformats.org/officeDocument/2006/relationships/hyperlink" Target="https://www.zotero.org/google-docs/?TI1vTk" TargetMode="External"/><Relationship Id="rId18" Type="http://schemas.openxmlformats.org/officeDocument/2006/relationships/hyperlink" Target="https://www.zotero.org/google-docs/?TI1vTk" TargetMode="External"/><Relationship Id="rId3" Type="http://schemas.openxmlformats.org/officeDocument/2006/relationships/webSettings" Target="webSettings.xml"/><Relationship Id="rId7" Type="http://schemas.openxmlformats.org/officeDocument/2006/relationships/hyperlink" Target="https://www.zotero.org/google-docs/?SO1dfn" TargetMode="External"/><Relationship Id="rId12" Type="http://schemas.openxmlformats.org/officeDocument/2006/relationships/hyperlink" Target="https://www.zotero.org/google-docs/?TI1vTk" TargetMode="External"/><Relationship Id="rId17" Type="http://schemas.openxmlformats.org/officeDocument/2006/relationships/hyperlink" Target="https://www.zotero.org/google-docs/?TI1vTk" TargetMode="External"/><Relationship Id="rId2" Type="http://schemas.openxmlformats.org/officeDocument/2006/relationships/settings" Target="settings.xml"/><Relationship Id="rId16" Type="http://schemas.openxmlformats.org/officeDocument/2006/relationships/hyperlink" Target="https://www.zotero.org/google-docs/?TI1vTk"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zotero.org/google-docs/?WPgtXB" TargetMode="External"/><Relationship Id="rId11" Type="http://schemas.openxmlformats.org/officeDocument/2006/relationships/hyperlink" Target="https://www.zotero.org/google-docs/?TI1vTk" TargetMode="External"/><Relationship Id="rId5" Type="http://schemas.openxmlformats.org/officeDocument/2006/relationships/hyperlink" Target="https://www.zotero.org/google-docs/?h3uMwJ" TargetMode="External"/><Relationship Id="rId15" Type="http://schemas.openxmlformats.org/officeDocument/2006/relationships/hyperlink" Target="https://www.zotero.org/google-docs/?TI1vTk" TargetMode="External"/><Relationship Id="rId10" Type="http://schemas.openxmlformats.org/officeDocument/2006/relationships/hyperlink" Target="https://www.zotero.org/google-docs/?TI1vTk" TargetMode="External"/><Relationship Id="rId19" Type="http://schemas.openxmlformats.org/officeDocument/2006/relationships/fontTable" Target="fontTable.xml"/><Relationship Id="rId4" Type="http://schemas.openxmlformats.org/officeDocument/2006/relationships/hyperlink" Target="https://www.zotero.org/google-docs/?uDv2hI" TargetMode="External"/><Relationship Id="rId9" Type="http://schemas.openxmlformats.org/officeDocument/2006/relationships/hyperlink" Target="https://www.zotero.org/google-docs/?TI1vTk" TargetMode="External"/><Relationship Id="rId14" Type="http://schemas.openxmlformats.org/officeDocument/2006/relationships/hyperlink" Target="https://www.zotero.org/google-docs/?TI1vT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1980</Words>
  <Characters>11289</Characters>
  <Application>Microsoft Office Word</Application>
  <DocSecurity>0</DocSecurity>
  <Lines>94</Lines>
  <Paragraphs>26</Paragraphs>
  <ScaleCrop>false</ScaleCrop>
  <Company/>
  <LinksUpToDate>false</LinksUpToDate>
  <CharactersWithSpaces>13243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Rena Patel</cp:lastModifiedBy>
  <cp:revision>2</cp:revision>
  <dcterms:created xsi:type="dcterms:W3CDTF">2025-03-19T12:04:00Z</dcterms:created>
  <dcterms:modified xsi:type="dcterms:W3CDTF">2025-03-19T12:04:00Z</dcterms:modified>
</cp:coreProperties>
</file>