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1B98" w:rsidRPr="00ED1B98" w:rsidRDefault="00ED1B98" w:rsidP="00ED1B98">
      <w:pPr>
        <w:jc w:val="center"/>
      </w:pPr>
      <w:r w:rsidRPr="00ED1B98">
        <w:rPr>
          <w:b/>
          <w:bCs/>
        </w:rPr>
        <w:t>Supplementary Material</w:t>
      </w:r>
    </w:p>
    <w:p w:rsidR="00ED1B98" w:rsidRPr="00ED1B98" w:rsidRDefault="00ED1B98" w:rsidP="00ED1B98"/>
    <w:p w:rsidR="00ED1B98" w:rsidRPr="00ED1B98" w:rsidRDefault="00ED1B98" w:rsidP="00ED1B98">
      <w:pPr>
        <w:rPr>
          <w:b/>
          <w:bCs/>
        </w:rPr>
      </w:pPr>
      <w:r w:rsidRPr="00ED1B98">
        <w:rPr>
          <w:b/>
          <w:bCs/>
        </w:rPr>
        <w:t>Title</w:t>
      </w:r>
    </w:p>
    <w:p w:rsidR="00ED1B98" w:rsidRPr="00ED1B98" w:rsidRDefault="00ED1B98" w:rsidP="00ED1B98">
      <w:r w:rsidRPr="00ED1B98">
        <w:t>Investigating heterogeneous effects of an expanded methadone access policy with opioid treatment program retention: A Rhode Island population-based retrospective cohort study</w:t>
      </w:r>
      <w:r w:rsidRPr="00ED1B98">
        <w:t xml:space="preserve"> </w:t>
      </w:r>
    </w:p>
    <w:p w:rsidR="00ED1B98" w:rsidRPr="00ED1B98" w:rsidRDefault="00ED1B98" w:rsidP="00ED1B98"/>
    <w:p w:rsidR="00ED1B98" w:rsidRPr="00ED1B98" w:rsidRDefault="00ED1B98" w:rsidP="00ED1B98">
      <w:pPr>
        <w:rPr>
          <w:b/>
          <w:bCs/>
        </w:rPr>
      </w:pPr>
      <w:r w:rsidRPr="00ED1B98">
        <w:rPr>
          <w:b/>
          <w:bCs/>
        </w:rPr>
        <w:t>Authors</w:t>
      </w:r>
    </w:p>
    <w:p w:rsidR="00ED1B98" w:rsidRPr="00ED1B98" w:rsidRDefault="00ED1B98" w:rsidP="00ED1B98">
      <w:r w:rsidRPr="00ED1B98">
        <w:t xml:space="preserve">Bennett Allen, Noa Krawczyk, Cale Basaraba, Victoria A. Jent, Jesse L. Yedinak, William C. Goedel, Maxwell Krieger, Claire Pratty, Alexandria </w:t>
      </w:r>
      <w:proofErr w:type="spellStart"/>
      <w:r w:rsidRPr="00ED1B98">
        <w:t>Macmadu</w:t>
      </w:r>
      <w:proofErr w:type="spellEnd"/>
      <w:r w:rsidRPr="00ED1B98">
        <w:t xml:space="preserve">, Elizabeth A. Samuels, Brandon D. L. Marshall, Daniel B. </w:t>
      </w:r>
      <w:proofErr w:type="gramStart"/>
      <w:r w:rsidRPr="00ED1B98">
        <w:t>Neill,*</w:t>
      </w:r>
      <w:proofErr w:type="gramEnd"/>
      <w:r w:rsidRPr="00ED1B98">
        <w:t xml:space="preserve"> and Magdalena </w:t>
      </w:r>
      <w:proofErr w:type="spellStart"/>
      <w:r w:rsidRPr="00ED1B98">
        <w:t>Cerdá</w:t>
      </w:r>
      <w:proofErr w:type="spellEnd"/>
      <w:r w:rsidRPr="00ED1B98">
        <w:t>*</w:t>
      </w:r>
    </w:p>
    <w:p w:rsidR="00ED1B98" w:rsidRPr="00ED1B98" w:rsidRDefault="00ED1B98" w:rsidP="00ED1B98"/>
    <w:p w:rsidR="00ED1B98" w:rsidRPr="00ED1B98" w:rsidRDefault="00ED1B98" w:rsidP="00ED1B98">
      <w:pPr>
        <w:rPr>
          <w:b/>
          <w:bCs/>
        </w:rPr>
      </w:pPr>
      <w:r w:rsidRPr="00ED1B98">
        <w:rPr>
          <w:b/>
          <w:bCs/>
        </w:rPr>
        <w:t>Contents</w:t>
      </w:r>
    </w:p>
    <w:p w:rsidR="00ED1B98" w:rsidRPr="00ED1B98" w:rsidRDefault="00ED1B98" w:rsidP="00ED1B98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 w:rsidRPr="00ED1B98">
        <w:rPr>
          <w:rFonts w:ascii="Times New Roman" w:hAnsi="Times New Roman" w:cs="Times New Roman"/>
          <w:b/>
          <w:bCs/>
        </w:rPr>
        <w:t>Table S1.</w:t>
      </w:r>
      <w:r w:rsidRPr="00ED1B98">
        <w:rPr>
          <w:rFonts w:ascii="Times New Roman" w:hAnsi="Times New Roman" w:cs="Times New Roman"/>
        </w:rPr>
        <w:t xml:space="preserve"> Unadjusted estimates for six-month retention in methadone treatment following first admission: Rhode Island, March 18-June 30, 2019 (control) versus March 18-June 30, 2020 (treatment)</w:t>
      </w:r>
    </w:p>
    <w:p w:rsidR="00ED1B98" w:rsidRPr="00ED1B98" w:rsidRDefault="00ED1B98" w:rsidP="00ED1B98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 w:rsidRPr="00ED1B98">
        <w:rPr>
          <w:rFonts w:ascii="Times New Roman" w:hAnsi="Times New Roman" w:cs="Times New Roman"/>
          <w:b/>
          <w:bCs/>
        </w:rPr>
        <w:t>Table S2.</w:t>
      </w:r>
      <w:r w:rsidRPr="00ED1B98">
        <w:rPr>
          <w:rFonts w:ascii="Times New Roman" w:hAnsi="Times New Roman" w:cs="Times New Roman"/>
        </w:rPr>
        <w:t xml:space="preserve"> Sensitivity range analysis to assess missingness in arrest within 30 days of admission: Estimates for six-month retention in methadone treatment following first admission: Rhode Island, March 18-June 30, 2019 (control) versus March 18-June 30, 2020 (treatment)</w:t>
      </w:r>
    </w:p>
    <w:p w:rsidR="00ED1B98" w:rsidRPr="00ED1B98" w:rsidRDefault="00ED1B98" w:rsidP="00ED1B98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 w:rsidRPr="00ED1B98">
        <w:rPr>
          <w:rFonts w:ascii="Times New Roman" w:hAnsi="Times New Roman" w:cs="Times New Roman"/>
          <w:b/>
          <w:bCs/>
        </w:rPr>
        <w:t>Table S3.</w:t>
      </w:r>
      <w:r w:rsidRPr="00ED1B98">
        <w:rPr>
          <w:rFonts w:ascii="Times New Roman" w:hAnsi="Times New Roman" w:cs="Times New Roman"/>
        </w:rPr>
        <w:t xml:space="preserve"> Adjusted estimates for six-month retention in methadone treatment following first admission with missingness corrected using multiple imputation: Rhode Island, March 18-June 30, 2019 (control) versus March 18-June 30, 2020 (treatment)</w:t>
      </w:r>
    </w:p>
    <w:p w:rsidR="00ED1B98" w:rsidRPr="00ED1B98" w:rsidRDefault="00ED1B98" w:rsidP="00ED1B98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 w:rsidRPr="00ED1B98">
        <w:rPr>
          <w:rFonts w:ascii="Times New Roman" w:hAnsi="Times New Roman" w:cs="Times New Roman"/>
          <w:b/>
          <w:bCs/>
        </w:rPr>
        <w:t>Table S4.</w:t>
      </w:r>
      <w:r w:rsidRPr="00ED1B98">
        <w:rPr>
          <w:rFonts w:ascii="Times New Roman" w:hAnsi="Times New Roman" w:cs="Times New Roman"/>
        </w:rPr>
        <w:t xml:space="preserve"> Heterogenous treatment effect scan sensitivity analysis estimates for patient six-month retention following first opioid treatment program admission: Rhode Island, March 18-June 30, 2019 (control) versus March 18-June 30, 2020 (treatment) using penalty scores of 0.25 and 1.00</w:t>
      </w:r>
    </w:p>
    <w:p w:rsidR="00ED1B98" w:rsidRDefault="00ED1B98" w:rsidP="00ED1B98">
      <w:pPr>
        <w:rPr>
          <w:b/>
          <w:bCs/>
          <w:sz w:val="20"/>
          <w:szCs w:val="20"/>
        </w:rPr>
      </w:pPr>
    </w:p>
    <w:p w:rsidR="00ED1B98" w:rsidRDefault="00ED1B9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C06C75" w:rsidRPr="00C34C00" w:rsidRDefault="00C06C75" w:rsidP="00C06C7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Table S1. Unadjusted estimates</w:t>
      </w:r>
      <w:r w:rsidRPr="00C34C00">
        <w:rPr>
          <w:b/>
          <w:bCs/>
          <w:sz w:val="20"/>
          <w:szCs w:val="20"/>
        </w:rPr>
        <w:t xml:space="preserve"> for six-month retention in methadone treatment following first admission: Rhode Island, March 18-June 30, 2019 </w:t>
      </w:r>
      <w:r>
        <w:rPr>
          <w:b/>
          <w:bCs/>
          <w:sz w:val="20"/>
          <w:szCs w:val="20"/>
        </w:rPr>
        <w:t xml:space="preserve">(control) </w:t>
      </w:r>
      <w:r w:rsidRPr="00C34C00">
        <w:rPr>
          <w:b/>
          <w:bCs/>
          <w:sz w:val="20"/>
          <w:szCs w:val="20"/>
        </w:rPr>
        <w:t>versus March 18-June 30, 2020</w:t>
      </w:r>
      <w:r>
        <w:rPr>
          <w:b/>
          <w:bCs/>
          <w:sz w:val="20"/>
          <w:szCs w:val="20"/>
        </w:rPr>
        <w:t xml:space="preserve"> (treatment)</w:t>
      </w:r>
    </w:p>
    <w:tbl>
      <w:tblPr>
        <w:tblW w:w="9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0"/>
        <w:gridCol w:w="1760"/>
        <w:gridCol w:w="1760"/>
        <w:gridCol w:w="1760"/>
      </w:tblGrid>
      <w:tr w:rsidR="00C06C75" w:rsidRPr="00C34C00" w:rsidTr="007C36C6">
        <w:trPr>
          <w:trHeight w:val="32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RR (95% CI)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760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000000" w:fill="F2F2F2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Admissions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All OTP admissions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1,248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1.19 (0.94, 1.51)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 (0.97, 1.26)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Stratified</w:t>
            </w:r>
          </w:p>
        </w:tc>
        <w:tc>
          <w:tcPr>
            <w:tcW w:w="1760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000000" w:fill="F2F2F2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Female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1.03 (0.68, 1.57)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 (0.81, 1.29)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Male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833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1.27 (0.95, 1.71)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 (0.98, 1.34)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18-34 years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584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1.04 (0.73, 1.48)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 (0.84, 1.25)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35-54 years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1.39 (0.98, 1.97)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 (0.99, 1.46)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55+ years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1.10 (0.41, 2.92)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 (0.71, 1.51)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Non-Hispanic white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1,002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1.25 (0.96, 1.63)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 (0.98, 1.30)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Non-Hispanic Black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0.41 (0.11, 1.47)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 (0.20, 1.34)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Hispanic/Latino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0.91 (0.44, 1.85)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 (0.62, 1.45)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Educational attainment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Below high school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2.07 (1.25, 3.42)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 (1.15, 1.90)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Completed high school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1.46 (0.99, 2.15)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 (1.00, 1.48)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Beyond high school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1.22 (0.78, 1.92)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1.11 (0.88, 1.40)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Arrest within 30 days of admission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No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887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0.90 (0.68, 1.18)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 (0.83, 1.09)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Yes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2.84 (1.39, 5.83)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 (1.33, 3.69)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Primary drug at admission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Heroin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728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1.41 (1.01, 1.97)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 (1.01, 1.43)</w:t>
            </w:r>
          </w:p>
        </w:tc>
      </w:tr>
      <w:tr w:rsidR="00C06C75" w:rsidRPr="00C34C00" w:rsidTr="007C36C6">
        <w:trPr>
          <w:trHeight w:val="30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Fentanyl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1.19 (0.72, 1.95)</w:t>
            </w:r>
          </w:p>
        </w:tc>
        <w:tc>
          <w:tcPr>
            <w:tcW w:w="176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 (0.84, 1.43)</w:t>
            </w:r>
          </w:p>
        </w:tc>
      </w:tr>
    </w:tbl>
    <w:p w:rsidR="00C06C75" w:rsidRPr="00C34C00" w:rsidRDefault="00C06C75" w:rsidP="00C06C75">
      <w:pPr>
        <w:rPr>
          <w:sz w:val="20"/>
          <w:szCs w:val="20"/>
        </w:rPr>
      </w:pPr>
      <w:r w:rsidRPr="00C34C00">
        <w:rPr>
          <w:i/>
          <w:iCs/>
          <w:sz w:val="20"/>
          <w:szCs w:val="20"/>
        </w:rPr>
        <w:t>Notes</w:t>
      </w:r>
      <w:r w:rsidRPr="00C34C00">
        <w:rPr>
          <w:sz w:val="20"/>
          <w:szCs w:val="20"/>
        </w:rPr>
        <w:t>: Unadjusted coefficients</w:t>
      </w:r>
      <w:r>
        <w:rPr>
          <w:sz w:val="20"/>
          <w:szCs w:val="20"/>
        </w:rPr>
        <w:t xml:space="preserve">; additional categories not reported for race/ethnicity and primary drug at </w:t>
      </w:r>
      <w:proofErr w:type="gramStart"/>
      <w:r>
        <w:rPr>
          <w:sz w:val="20"/>
          <w:szCs w:val="20"/>
        </w:rPr>
        <w:t>admission;  OR</w:t>
      </w:r>
      <w:proofErr w:type="gramEnd"/>
      <w:r>
        <w:rPr>
          <w:sz w:val="20"/>
          <w:szCs w:val="20"/>
        </w:rPr>
        <w:t>, odds ratio; RR, risk ratio</w:t>
      </w:r>
    </w:p>
    <w:p w:rsidR="00C06C75" w:rsidRDefault="00C06C75" w:rsidP="00C06C75">
      <w:pPr>
        <w:rPr>
          <w:sz w:val="20"/>
          <w:szCs w:val="20"/>
        </w:rPr>
      </w:pPr>
      <w:r w:rsidRPr="00C34C00">
        <w:rPr>
          <w:i/>
          <w:iCs/>
          <w:sz w:val="20"/>
          <w:szCs w:val="20"/>
        </w:rPr>
        <w:t>Source</w:t>
      </w:r>
      <w:r w:rsidRPr="00C34C00">
        <w:rPr>
          <w:sz w:val="20"/>
          <w:szCs w:val="20"/>
        </w:rPr>
        <w:t>: Rhode Island Department of Behavioral Healthcare, Developmental Disabilities, and Hospitals</w:t>
      </w:r>
    </w:p>
    <w:p w:rsidR="00C06C75" w:rsidRDefault="00C06C75" w:rsidP="00C06C75">
      <w:pPr>
        <w:rPr>
          <w:sz w:val="20"/>
          <w:szCs w:val="20"/>
        </w:rPr>
      </w:pPr>
    </w:p>
    <w:p w:rsidR="00C06C75" w:rsidRDefault="00C06C75" w:rsidP="00C06C7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C06C75" w:rsidRPr="00C34C00" w:rsidRDefault="00C06C75" w:rsidP="00C06C75">
      <w:pPr>
        <w:rPr>
          <w:b/>
          <w:bCs/>
          <w:sz w:val="20"/>
          <w:szCs w:val="20"/>
        </w:rPr>
      </w:pPr>
      <w:r w:rsidRPr="00C34C00">
        <w:rPr>
          <w:b/>
          <w:bCs/>
          <w:sz w:val="20"/>
          <w:szCs w:val="20"/>
        </w:rPr>
        <w:lastRenderedPageBreak/>
        <w:t xml:space="preserve">Table S2. Sensitivity range analysis to assess missingness in arrest within 30 days of admission: </w:t>
      </w:r>
      <w:r>
        <w:rPr>
          <w:b/>
          <w:bCs/>
          <w:sz w:val="20"/>
          <w:szCs w:val="20"/>
        </w:rPr>
        <w:t>Estimates</w:t>
      </w:r>
      <w:r w:rsidRPr="00C34C00">
        <w:rPr>
          <w:b/>
          <w:bCs/>
          <w:sz w:val="20"/>
          <w:szCs w:val="20"/>
        </w:rPr>
        <w:t xml:space="preserve"> for six-month retention in methadone treatment following first admission: Rhode Island, March 18-June 30, 2019 </w:t>
      </w:r>
      <w:r>
        <w:rPr>
          <w:b/>
          <w:bCs/>
          <w:sz w:val="20"/>
          <w:szCs w:val="20"/>
        </w:rPr>
        <w:t xml:space="preserve">(control) </w:t>
      </w:r>
      <w:r w:rsidRPr="00C34C00">
        <w:rPr>
          <w:b/>
          <w:bCs/>
          <w:sz w:val="20"/>
          <w:szCs w:val="20"/>
        </w:rPr>
        <w:t>versus March 18-June 30, 2020</w:t>
      </w:r>
      <w:r>
        <w:rPr>
          <w:b/>
          <w:bCs/>
          <w:sz w:val="20"/>
          <w:szCs w:val="20"/>
        </w:rPr>
        <w:t xml:space="preserve"> (treatment) 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856"/>
        <w:gridCol w:w="1574"/>
        <w:gridCol w:w="1620"/>
        <w:gridCol w:w="1710"/>
        <w:gridCol w:w="1620"/>
      </w:tblGrid>
      <w:tr w:rsidR="00C06C75" w:rsidRPr="00C34C00" w:rsidTr="007C36C6">
        <w:trPr>
          <w:trHeight w:val="96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94" w:type="dxa"/>
            <w:gridSpan w:val="2"/>
            <w:shd w:val="clear" w:color="auto" w:fill="auto"/>
            <w:vAlign w:val="center"/>
            <w:hideMark/>
          </w:tcPr>
          <w:p w:rsidR="00C06C75" w:rsidRPr="002034E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2034E2">
              <w:rPr>
                <w:color w:val="000000"/>
                <w:sz w:val="20"/>
                <w:szCs w:val="20"/>
              </w:rPr>
              <w:t>Assuming all post-intervention missingness is arrested and all pre-intervention missingness is not arrested</w:t>
            </w:r>
            <w:r>
              <w:rPr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3330" w:type="dxa"/>
            <w:gridSpan w:val="2"/>
            <w:shd w:val="clear" w:color="auto" w:fill="auto"/>
            <w:vAlign w:val="center"/>
            <w:hideMark/>
          </w:tcPr>
          <w:p w:rsidR="00C06C75" w:rsidRPr="002034E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2034E2">
              <w:rPr>
                <w:color w:val="000000"/>
                <w:sz w:val="20"/>
                <w:szCs w:val="20"/>
              </w:rPr>
              <w:t>Assuming all post-intervention missingness is not arrested and all pre-intervention missingness is arrested</w:t>
            </w:r>
            <w:r>
              <w:rPr>
                <w:color w:val="000000"/>
                <w:sz w:val="20"/>
                <w:szCs w:val="20"/>
              </w:rPr>
              <w:t xml:space="preserve"> (B)</w:t>
            </w:r>
          </w:p>
        </w:tc>
      </w:tr>
      <w:tr w:rsidR="00C06C75" w:rsidRPr="00C34C00" w:rsidTr="007C36C6">
        <w:trPr>
          <w:trHeight w:val="32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574" w:type="dxa"/>
            <w:shd w:val="clear" w:color="auto" w:fill="auto"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RR (95% CI)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RR (95% CI)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856" w:type="dxa"/>
            <w:shd w:val="clear" w:color="000000" w:fill="F2F2F2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shd w:val="clear" w:color="000000" w:fill="F2F2F2"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shd w:val="clear" w:color="000000" w:fill="F2F2F2"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Admissions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All OTP admissions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1,128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11</w:t>
            </w:r>
            <w:r w:rsidRPr="00C34C00">
              <w:rPr>
                <w:color w:val="000000"/>
                <w:sz w:val="20"/>
                <w:szCs w:val="20"/>
              </w:rPr>
              <w:t xml:space="preserve"> (0.8</w:t>
            </w:r>
            <w:r>
              <w:rPr>
                <w:color w:val="000000"/>
                <w:sz w:val="20"/>
                <w:szCs w:val="20"/>
              </w:rPr>
              <w:t>3</w:t>
            </w:r>
            <w:r w:rsidRPr="00C34C00">
              <w:rPr>
                <w:color w:val="000000"/>
                <w:sz w:val="20"/>
                <w:szCs w:val="20"/>
              </w:rPr>
              <w:t>, 1.4</w:t>
            </w:r>
            <w:r>
              <w:rPr>
                <w:color w:val="000000"/>
                <w:sz w:val="20"/>
                <w:szCs w:val="20"/>
              </w:rPr>
              <w:t>7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 (0.92, 1.19)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03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77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38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 (0.89, 1.15)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Stratified</w:t>
            </w:r>
          </w:p>
        </w:tc>
        <w:tc>
          <w:tcPr>
            <w:tcW w:w="856" w:type="dxa"/>
            <w:shd w:val="clear" w:color="000000" w:fill="F2F2F2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000000" w:fill="F2F2F2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000000" w:fill="F2F2F2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000000" w:fill="F2F2F2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Female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66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38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15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 (0.69, 1.07)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0.64 (0.37, 1.1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 (0.67, 1.05)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Male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748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33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94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90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 (0.97, 1.32)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23</w:t>
            </w:r>
            <w:r w:rsidRPr="00C34C00">
              <w:rPr>
                <w:color w:val="000000"/>
                <w:sz w:val="20"/>
                <w:szCs w:val="20"/>
              </w:rPr>
              <w:t xml:space="preserve"> (0.8</w:t>
            </w:r>
            <w:r>
              <w:rPr>
                <w:color w:val="000000"/>
                <w:sz w:val="20"/>
                <w:szCs w:val="20"/>
              </w:rPr>
              <w:t>7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75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 (0.93, 1.28)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18-34 years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532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86</w:t>
            </w:r>
            <w:r w:rsidRPr="00C34C00">
              <w:rPr>
                <w:color w:val="000000"/>
                <w:sz w:val="20"/>
                <w:szCs w:val="20"/>
              </w:rPr>
              <w:t xml:space="preserve"> (0.5</w:t>
            </w:r>
            <w:r>
              <w:rPr>
                <w:color w:val="000000"/>
                <w:sz w:val="20"/>
                <w:szCs w:val="20"/>
              </w:rPr>
              <w:t>6</w:t>
            </w:r>
            <w:r w:rsidRPr="00C34C00">
              <w:rPr>
                <w:color w:val="000000"/>
                <w:sz w:val="20"/>
                <w:szCs w:val="20"/>
              </w:rPr>
              <w:t>, 1.3</w:t>
            </w:r>
            <w:r>
              <w:rPr>
                <w:color w:val="000000"/>
                <w:sz w:val="20"/>
                <w:szCs w:val="20"/>
              </w:rPr>
              <w:t>3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 (0.76, 1.13)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0.83 (0.53, 1.28)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 (0.74, 1.12)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35-54 years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521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36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90</w:t>
            </w:r>
            <w:r w:rsidRPr="00C34C00">
              <w:rPr>
                <w:color w:val="000000"/>
                <w:sz w:val="20"/>
                <w:szCs w:val="20"/>
              </w:rPr>
              <w:t>, 2.0</w:t>
            </w:r>
            <w:r>
              <w:rPr>
                <w:color w:val="000000"/>
                <w:sz w:val="20"/>
                <w:szCs w:val="20"/>
              </w:rPr>
              <w:t>8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 (0.96, 1.40)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26</w:t>
            </w:r>
            <w:r w:rsidRPr="00C34C00">
              <w:rPr>
                <w:color w:val="000000"/>
                <w:sz w:val="20"/>
                <w:szCs w:val="20"/>
              </w:rPr>
              <w:t xml:space="preserve"> (0.8</w:t>
            </w:r>
            <w:r>
              <w:rPr>
                <w:color w:val="000000"/>
                <w:sz w:val="20"/>
                <w:szCs w:val="20"/>
              </w:rPr>
              <w:t>3</w:t>
            </w:r>
            <w:r w:rsidRPr="00C34C00">
              <w:rPr>
                <w:color w:val="000000"/>
                <w:sz w:val="20"/>
                <w:szCs w:val="20"/>
              </w:rPr>
              <w:t>, 1.9</w:t>
            </w:r>
            <w:r>
              <w:rPr>
                <w:color w:val="000000"/>
                <w:sz w:val="20"/>
                <w:szCs w:val="20"/>
              </w:rPr>
              <w:t>2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1.11 (0.92, 1.35)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55+ years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65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11</w:t>
            </w:r>
            <w:r w:rsidRPr="00C34C00">
              <w:rPr>
                <w:color w:val="000000"/>
                <w:sz w:val="20"/>
                <w:szCs w:val="20"/>
              </w:rPr>
              <w:t>, 3.</w:t>
            </w:r>
            <w:r>
              <w:rPr>
                <w:color w:val="000000"/>
                <w:sz w:val="20"/>
                <w:szCs w:val="20"/>
              </w:rPr>
              <w:t>84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 (0.51, 1.32)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57</w:t>
            </w:r>
            <w:r w:rsidRPr="00C34C00">
              <w:rPr>
                <w:color w:val="000000"/>
                <w:sz w:val="20"/>
                <w:szCs w:val="20"/>
              </w:rPr>
              <w:t xml:space="preserve"> (0.09, 3.</w:t>
            </w:r>
            <w:r>
              <w:rPr>
                <w:color w:val="000000"/>
                <w:sz w:val="20"/>
                <w:szCs w:val="20"/>
              </w:rPr>
              <w:t>47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 (0.45, 1.26)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Non-Hispanic white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921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15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84</w:t>
            </w:r>
            <w:r w:rsidRPr="00C34C00">
              <w:rPr>
                <w:color w:val="000000"/>
                <w:sz w:val="20"/>
                <w:szCs w:val="20"/>
              </w:rPr>
              <w:t>, 1.5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 (0.93, 1.22)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06</w:t>
            </w:r>
            <w:r w:rsidRPr="00C34C00">
              <w:rPr>
                <w:color w:val="000000"/>
                <w:sz w:val="20"/>
                <w:szCs w:val="20"/>
              </w:rPr>
              <w:t xml:space="preserve"> (0.7</w:t>
            </w:r>
            <w:r>
              <w:rPr>
                <w:color w:val="000000"/>
                <w:sz w:val="20"/>
                <w:szCs w:val="20"/>
              </w:rPr>
              <w:t>8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47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 (0.89, 1.18)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Non-Hispanic Black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33</w:t>
            </w:r>
            <w:r w:rsidRPr="00C34C00">
              <w:rPr>
                <w:color w:val="000000"/>
                <w:sz w:val="20"/>
                <w:szCs w:val="20"/>
              </w:rPr>
              <w:t xml:space="preserve"> (0.0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C34C00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3.10)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 (0.24, 1.39)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21</w:t>
            </w:r>
            <w:r w:rsidRPr="00C34C00">
              <w:rPr>
                <w:color w:val="000000"/>
                <w:sz w:val="20"/>
                <w:szCs w:val="20"/>
              </w:rPr>
              <w:t xml:space="preserve"> (0.0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34C00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2.55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 (0.21, 1.24)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Hispanic/Latino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70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28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77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 (0.50, 1.39)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73</w:t>
            </w:r>
            <w:r w:rsidRPr="00C34C00">
              <w:rPr>
                <w:color w:val="000000"/>
                <w:sz w:val="20"/>
                <w:szCs w:val="20"/>
              </w:rPr>
              <w:t xml:space="preserve"> (0.29, 1.8</w:t>
            </w:r>
            <w:r>
              <w:rPr>
                <w:color w:val="000000"/>
                <w:sz w:val="20"/>
                <w:szCs w:val="20"/>
              </w:rPr>
              <w:t>2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 (0.52, 1.40)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Educational attainment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Below high school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42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78</w:t>
            </w:r>
            <w:r w:rsidRPr="00C34C00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2.60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 (0.89, 1.49)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47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80</w:t>
            </w:r>
            <w:r w:rsidRPr="00C34C00">
              <w:rPr>
                <w:color w:val="000000"/>
                <w:sz w:val="20"/>
                <w:szCs w:val="20"/>
              </w:rPr>
              <w:t>, 2.</w:t>
            </w:r>
            <w:r>
              <w:rPr>
                <w:color w:val="000000"/>
                <w:sz w:val="20"/>
                <w:szCs w:val="20"/>
              </w:rPr>
              <w:t>72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1.17 (0.90, 1.51)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Completed high school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68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66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 (0.85, 1.25)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</w:t>
            </w:r>
            <w:r w:rsidRPr="00C34C00">
              <w:rPr>
                <w:color w:val="000000"/>
                <w:sz w:val="20"/>
                <w:szCs w:val="20"/>
              </w:rPr>
              <w:t xml:space="preserve"> (0.6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50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 (0.81, 1.19)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Beyond high school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59</w:t>
            </w:r>
            <w:r w:rsidRPr="00C34C00">
              <w:rPr>
                <w:color w:val="000000"/>
                <w:sz w:val="20"/>
                <w:szCs w:val="20"/>
              </w:rPr>
              <w:t>, 1.7</w:t>
            </w:r>
            <w:r>
              <w:rPr>
                <w:color w:val="000000"/>
                <w:sz w:val="20"/>
                <w:szCs w:val="20"/>
              </w:rPr>
              <w:t>7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 (0.79, 1.25)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0.96 (0.55, 1.67)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 (0.77, 1.22)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Arrest within 30 days of admission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No</w:t>
            </w:r>
          </w:p>
        </w:tc>
        <w:tc>
          <w:tcPr>
            <w:tcW w:w="856" w:type="dxa"/>
            <w:vAlign w:val="center"/>
          </w:tcPr>
          <w:p w:rsidR="00C06C75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861 (A)</w:t>
            </w:r>
          </w:p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 (B)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97</w:t>
            </w:r>
            <w:r w:rsidRPr="00C34C00">
              <w:rPr>
                <w:color w:val="000000"/>
                <w:sz w:val="20"/>
                <w:szCs w:val="20"/>
              </w:rPr>
              <w:t xml:space="preserve"> (0.7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32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 (0.86, 1.12)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92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68</w:t>
            </w:r>
            <w:r w:rsidRPr="00C34C00">
              <w:rPr>
                <w:color w:val="000000"/>
                <w:sz w:val="20"/>
                <w:szCs w:val="20"/>
              </w:rPr>
              <w:t>, 1.2</w:t>
            </w:r>
            <w:r>
              <w:rPr>
                <w:color w:val="000000"/>
                <w:sz w:val="20"/>
                <w:szCs w:val="20"/>
              </w:rPr>
              <w:t>5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 (0.85, 1.10)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Yes</w:t>
            </w:r>
          </w:p>
        </w:tc>
        <w:tc>
          <w:tcPr>
            <w:tcW w:w="856" w:type="dxa"/>
            <w:vAlign w:val="center"/>
          </w:tcPr>
          <w:p w:rsidR="00C06C75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 (A)</w:t>
            </w:r>
          </w:p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 (B)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3.14</w:t>
            </w:r>
            <w:r w:rsidRPr="00C34C00">
              <w:rPr>
                <w:color w:val="000000"/>
                <w:sz w:val="20"/>
                <w:szCs w:val="20"/>
              </w:rPr>
              <w:t xml:space="preserve"> (1.</w:t>
            </w:r>
            <w:r>
              <w:rPr>
                <w:color w:val="000000"/>
                <w:sz w:val="20"/>
                <w:szCs w:val="20"/>
              </w:rPr>
              <w:t>31</w:t>
            </w:r>
            <w:r w:rsidRPr="00C34C00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7.52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2.17 (1.17, 4.03)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4.21</w:t>
            </w:r>
            <w:r w:rsidRPr="00C34C00">
              <w:rPr>
                <w:color w:val="000000"/>
                <w:sz w:val="20"/>
                <w:szCs w:val="20"/>
              </w:rPr>
              <w:t xml:space="preserve"> (1.</w:t>
            </w:r>
            <w:r>
              <w:rPr>
                <w:color w:val="000000"/>
                <w:sz w:val="20"/>
                <w:szCs w:val="20"/>
              </w:rPr>
              <w:t>41</w:t>
            </w:r>
            <w:r w:rsidRPr="00C34C00">
              <w:rPr>
                <w:color w:val="000000"/>
                <w:sz w:val="20"/>
                <w:szCs w:val="20"/>
              </w:rPr>
              <w:t>, 12.</w:t>
            </w:r>
            <w:r>
              <w:rPr>
                <w:color w:val="000000"/>
                <w:sz w:val="20"/>
                <w:szCs w:val="20"/>
              </w:rPr>
              <w:t>60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2.06 (1.09, 3.88)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Primary drug at admission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Heroin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664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86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94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 (0.93, 1.34)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20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79</w:t>
            </w:r>
            <w:r w:rsidRPr="00C34C00">
              <w:rPr>
                <w:color w:val="000000"/>
                <w:sz w:val="20"/>
                <w:szCs w:val="20"/>
              </w:rPr>
              <w:t>, 1.</w:t>
            </w:r>
            <w:r>
              <w:rPr>
                <w:color w:val="000000"/>
                <w:sz w:val="20"/>
                <w:szCs w:val="20"/>
              </w:rPr>
              <w:t>80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 (0.90, 1.29)</w:t>
            </w:r>
          </w:p>
        </w:tc>
      </w:tr>
      <w:tr w:rsidR="00C06C75" w:rsidRPr="00C34C00" w:rsidTr="007C36C6">
        <w:trPr>
          <w:trHeight w:val="300"/>
          <w:jc w:val="center"/>
        </w:trPr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 xml:space="preserve">   Fentanyl</w:t>
            </w:r>
          </w:p>
        </w:tc>
        <w:tc>
          <w:tcPr>
            <w:tcW w:w="856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02</w:t>
            </w:r>
            <w:r w:rsidRPr="00C34C00">
              <w:rPr>
                <w:color w:val="000000"/>
                <w:sz w:val="20"/>
                <w:szCs w:val="20"/>
              </w:rPr>
              <w:t xml:space="preserve"> (0.</w:t>
            </w:r>
            <w:r>
              <w:rPr>
                <w:color w:val="000000"/>
                <w:sz w:val="20"/>
                <w:szCs w:val="20"/>
              </w:rPr>
              <w:t>57</w:t>
            </w:r>
            <w:r w:rsidRPr="00C34C00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1.83</w:t>
            </w:r>
            <w:r w:rsidRPr="00C34C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 (0.78, 1.32)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C34C00">
              <w:rPr>
                <w:color w:val="000000"/>
                <w:sz w:val="20"/>
                <w:szCs w:val="20"/>
              </w:rPr>
              <w:t>1.03 (0.57, 1.86)</w:t>
            </w:r>
          </w:p>
        </w:tc>
        <w:tc>
          <w:tcPr>
            <w:tcW w:w="1620" w:type="dxa"/>
            <w:vAlign w:val="center"/>
          </w:tcPr>
          <w:p w:rsidR="00C06C75" w:rsidRPr="00C34C00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 (0.78, 1.33)</w:t>
            </w:r>
          </w:p>
        </w:tc>
      </w:tr>
    </w:tbl>
    <w:p w:rsidR="00C06C75" w:rsidRDefault="00C06C75" w:rsidP="00C06C75">
      <w:pPr>
        <w:rPr>
          <w:sz w:val="20"/>
          <w:szCs w:val="20"/>
        </w:rPr>
      </w:pPr>
      <w:r w:rsidRPr="00C34C00">
        <w:rPr>
          <w:i/>
          <w:iCs/>
          <w:sz w:val="20"/>
          <w:szCs w:val="20"/>
        </w:rPr>
        <w:t>Notes</w:t>
      </w:r>
      <w:r w:rsidRPr="00C34C00">
        <w:rPr>
          <w:sz w:val="20"/>
          <w:szCs w:val="20"/>
        </w:rPr>
        <w:t>: Models adjusted for age group, gender, race/ethnicity, educational attainment, housing status, employment status, veteran status, referral source, past-month arrest, payment source, and primary drug, holding out stratification variable per category</w:t>
      </w:r>
      <w:r>
        <w:rPr>
          <w:sz w:val="20"/>
          <w:szCs w:val="20"/>
        </w:rPr>
        <w:t>; additional categories not reported for race/ethnicity and primary drug at admission; OR, odds ratio; RR, risk ratio</w:t>
      </w:r>
    </w:p>
    <w:p w:rsidR="00C06C75" w:rsidRDefault="00C06C75" w:rsidP="00C06C75">
      <w:pPr>
        <w:rPr>
          <w:sz w:val="20"/>
          <w:szCs w:val="20"/>
        </w:rPr>
      </w:pPr>
      <w:r w:rsidRPr="00C34C00">
        <w:rPr>
          <w:i/>
          <w:iCs/>
          <w:sz w:val="20"/>
          <w:szCs w:val="20"/>
        </w:rPr>
        <w:t>Source</w:t>
      </w:r>
      <w:r w:rsidRPr="00C34C00">
        <w:rPr>
          <w:sz w:val="20"/>
          <w:szCs w:val="20"/>
        </w:rPr>
        <w:t>: Rhode Island Department of Behavioral Healthcare, Developmental Disabilities, and Hospitals</w:t>
      </w:r>
    </w:p>
    <w:p w:rsidR="00C06C75" w:rsidRDefault="00C06C75" w:rsidP="00C06C7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C06C75" w:rsidRPr="00E35D12" w:rsidRDefault="00C06C75" w:rsidP="00C06C75">
      <w:pPr>
        <w:rPr>
          <w:b/>
          <w:bCs/>
          <w:sz w:val="20"/>
          <w:szCs w:val="20"/>
        </w:rPr>
      </w:pPr>
      <w:r w:rsidRPr="00E35D12">
        <w:rPr>
          <w:b/>
          <w:bCs/>
          <w:sz w:val="20"/>
          <w:szCs w:val="20"/>
        </w:rPr>
        <w:lastRenderedPageBreak/>
        <w:t xml:space="preserve">Table </w:t>
      </w:r>
      <w:r>
        <w:rPr>
          <w:b/>
          <w:bCs/>
          <w:sz w:val="20"/>
          <w:szCs w:val="20"/>
        </w:rPr>
        <w:t>S3</w:t>
      </w:r>
      <w:r w:rsidRPr="00E35D12">
        <w:rPr>
          <w:b/>
          <w:bCs/>
          <w:sz w:val="20"/>
          <w:szCs w:val="20"/>
        </w:rPr>
        <w:t xml:space="preserve">. Adjusted </w:t>
      </w:r>
      <w:r>
        <w:rPr>
          <w:b/>
          <w:bCs/>
          <w:sz w:val="20"/>
          <w:szCs w:val="20"/>
        </w:rPr>
        <w:t>estimates</w:t>
      </w:r>
      <w:r w:rsidRPr="00E35D12">
        <w:rPr>
          <w:b/>
          <w:bCs/>
          <w:sz w:val="20"/>
          <w:szCs w:val="20"/>
        </w:rPr>
        <w:t xml:space="preserve"> for six-month retention in methadone treatment following first admission</w:t>
      </w:r>
      <w:r>
        <w:rPr>
          <w:b/>
          <w:bCs/>
          <w:sz w:val="20"/>
          <w:szCs w:val="20"/>
        </w:rPr>
        <w:t xml:space="preserve"> with missingness corrected using multiple imputation</w:t>
      </w:r>
      <w:r w:rsidRPr="00E35D12">
        <w:rPr>
          <w:b/>
          <w:bCs/>
          <w:sz w:val="20"/>
          <w:szCs w:val="20"/>
        </w:rPr>
        <w:t xml:space="preserve">: Rhode Island, March 18-June 30, 2019 </w:t>
      </w:r>
      <w:r>
        <w:rPr>
          <w:b/>
          <w:bCs/>
          <w:sz w:val="20"/>
          <w:szCs w:val="20"/>
        </w:rPr>
        <w:t xml:space="preserve">(control) </w:t>
      </w:r>
      <w:r w:rsidRPr="00E35D12">
        <w:rPr>
          <w:b/>
          <w:bCs/>
          <w:sz w:val="20"/>
          <w:szCs w:val="20"/>
        </w:rPr>
        <w:t>versus March 18-June 30, 2020</w:t>
      </w:r>
      <w:r>
        <w:rPr>
          <w:b/>
          <w:bCs/>
          <w:sz w:val="20"/>
          <w:szCs w:val="20"/>
        </w:rPr>
        <w:t xml:space="preserve"> (treatment)</w:t>
      </w:r>
    </w:p>
    <w:tbl>
      <w:tblPr>
        <w:tblW w:w="6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2"/>
        <w:gridCol w:w="1760"/>
        <w:gridCol w:w="1760"/>
      </w:tblGrid>
      <w:tr w:rsidR="00C06C75" w:rsidRPr="004721F2" w:rsidTr="007C36C6">
        <w:trPr>
          <w:trHeight w:val="32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Adjusted </w:t>
            </w:r>
            <w:r w:rsidRPr="004721F2">
              <w:rPr>
                <w:color w:val="000000"/>
                <w:sz w:val="20"/>
                <w:szCs w:val="20"/>
              </w:rPr>
              <w:t xml:space="preserve">OR </w:t>
            </w:r>
            <w:r>
              <w:rPr>
                <w:color w:val="000000"/>
                <w:sz w:val="20"/>
                <w:szCs w:val="20"/>
              </w:rPr>
              <w:br/>
            </w:r>
            <w:r w:rsidRPr="004721F2">
              <w:rPr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760" w:type="dxa"/>
          </w:tcPr>
          <w:p w:rsidR="00C06C75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Adjusted RR</w:t>
            </w:r>
          </w:p>
          <w:p w:rsidR="00C06C75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(95% CI)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000000" w:fill="F2F2F2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760" w:type="dxa"/>
            <w:shd w:val="clear" w:color="000000" w:fill="F2F2F2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000000" w:fill="F2F2F2"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Admissions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:rsidR="00C06C75" w:rsidRPr="004721F2" w:rsidRDefault="00C06C75" w:rsidP="007C36C6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:rsidR="00C06C75" w:rsidRPr="004721F2" w:rsidRDefault="00C06C75" w:rsidP="007C36C6">
            <w:pPr>
              <w:rPr>
                <w:sz w:val="20"/>
                <w:szCs w:val="20"/>
              </w:rPr>
            </w:pP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All OTP admissions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 (0.72, 1.24)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 (0.86, 1.10)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000000" w:fill="F2F2F2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Stratified</w:t>
            </w:r>
          </w:p>
        </w:tc>
        <w:tc>
          <w:tcPr>
            <w:tcW w:w="1760" w:type="dxa"/>
            <w:shd w:val="clear" w:color="000000" w:fill="F2F2F2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shd w:val="clear" w:color="000000" w:fill="F2F2F2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Female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 (0.38, 1.08)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0.83 (0.68, 1.03)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Male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 (0.80, 1.49)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 (0.88, 1.20)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18-34 years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 (0.49, 1.12)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0.87 (0.71, 1.06)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35-54 years</w:t>
            </w:r>
          </w:p>
        </w:tc>
        <w:tc>
          <w:tcPr>
            <w:tcW w:w="1760" w:type="dxa"/>
            <w:shd w:val="clear" w:color="auto" w:fill="auto"/>
            <w:noWrap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 (0.77, 1.69)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 (0.88, 1.27)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55+ years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 (0.18, 3.32)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 (0.59, 1.46)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Non-Hispanic white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 (0.71, 1.30)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 (0.86, 1.13)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Non-Hispanic Black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 (0.19, 3.14)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0.39 (0.13, 1.24)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Hispanic/Latino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 (0.39, 2.09)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 (0.60, 1.48)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Educational attainment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Below high school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 (0.77, 2.43)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 (0.88, 1.44)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Completed high school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 (0.53, 1.24)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 (0.76, 1.12)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Beyond high school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 (0.52, 1.52)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 (0.74, 1.18)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Arrest within 30 days of admission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No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 (0.64, 1.14)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 (0.82, 1.06)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Yes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2.03 (0.89, 4.62)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1.88 (1.09, 3.23)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Primary drug at admission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sz w:val="20"/>
                <w:szCs w:val="20"/>
              </w:rPr>
            </w:pP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Heroin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 (0.78, 1.66)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1.07 (0.90, 1.27)</w:t>
            </w:r>
          </w:p>
        </w:tc>
      </w:tr>
      <w:tr w:rsidR="00C06C75" w:rsidRPr="004721F2" w:rsidTr="007C36C6">
        <w:trPr>
          <w:trHeight w:val="300"/>
        </w:trPr>
        <w:tc>
          <w:tcPr>
            <w:tcW w:w="3122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   Fentanyl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 (0.59, 1.83)</w:t>
            </w:r>
          </w:p>
        </w:tc>
        <w:tc>
          <w:tcPr>
            <w:tcW w:w="1760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 (0.77, 1.29)</w:t>
            </w:r>
          </w:p>
        </w:tc>
      </w:tr>
    </w:tbl>
    <w:p w:rsidR="00C06C75" w:rsidRDefault="00C06C75" w:rsidP="00C06C75">
      <w:pPr>
        <w:rPr>
          <w:sz w:val="20"/>
          <w:szCs w:val="20"/>
        </w:rPr>
      </w:pPr>
      <w:r>
        <w:rPr>
          <w:i/>
          <w:iCs/>
          <w:sz w:val="20"/>
          <w:szCs w:val="20"/>
        </w:rPr>
        <w:t>Notes</w:t>
      </w:r>
      <w:r>
        <w:rPr>
          <w:sz w:val="20"/>
          <w:szCs w:val="20"/>
        </w:rPr>
        <w:t>: Missing data estimated using multiple imputation with chained equations</w:t>
      </w:r>
      <w:r w:rsidRPr="004721F2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additional categories not reported for race/ethnicity and primary drug at admission; all </w:t>
      </w:r>
      <w:r w:rsidRPr="004721F2">
        <w:rPr>
          <w:sz w:val="20"/>
          <w:szCs w:val="20"/>
        </w:rPr>
        <w:t>models adjusted for age group, gender, race/ethnicity, educational attainment, housing status, employment status, veteran status, referral source, past-month arrest, payment source, and primary drug, holding out stratification variable per category</w:t>
      </w:r>
      <w:r>
        <w:rPr>
          <w:sz w:val="20"/>
          <w:szCs w:val="20"/>
        </w:rPr>
        <w:t>; OR, odds ratio; RR, risk ratio</w:t>
      </w:r>
    </w:p>
    <w:p w:rsidR="00C06C75" w:rsidRDefault="00C06C75" w:rsidP="00C06C75">
      <w:pPr>
        <w:rPr>
          <w:sz w:val="20"/>
          <w:szCs w:val="20"/>
        </w:rPr>
      </w:pPr>
      <w:r>
        <w:rPr>
          <w:i/>
          <w:sz w:val="20"/>
          <w:szCs w:val="20"/>
        </w:rPr>
        <w:t>Source</w:t>
      </w:r>
      <w:r>
        <w:rPr>
          <w:sz w:val="20"/>
          <w:szCs w:val="20"/>
        </w:rPr>
        <w:t xml:space="preserve">: </w:t>
      </w:r>
      <w:r w:rsidRPr="00983E37">
        <w:rPr>
          <w:sz w:val="20"/>
          <w:szCs w:val="20"/>
        </w:rPr>
        <w:t>Rhode Island Department of Behavioral Healthcare, Developmental Disabilities, and Hospitals</w:t>
      </w:r>
    </w:p>
    <w:p w:rsidR="00C06C75" w:rsidRDefault="00C06C75" w:rsidP="00C06C75">
      <w:pPr>
        <w:rPr>
          <w:sz w:val="20"/>
          <w:szCs w:val="20"/>
        </w:rPr>
      </w:pPr>
    </w:p>
    <w:p w:rsidR="00C06C75" w:rsidRDefault="00C06C75" w:rsidP="00C06C7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C06C75" w:rsidRDefault="00C06C75" w:rsidP="00C06C75">
      <w:pPr>
        <w:rPr>
          <w:sz w:val="20"/>
          <w:szCs w:val="20"/>
        </w:rPr>
        <w:sectPr w:rsidR="00C06C75" w:rsidSect="00ED1B98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:rsidR="00C06C75" w:rsidRDefault="00C06C75" w:rsidP="00C06C7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Table S4. </w:t>
      </w:r>
      <w:r w:rsidRPr="004721F2">
        <w:rPr>
          <w:b/>
          <w:bCs/>
          <w:sz w:val="20"/>
          <w:szCs w:val="20"/>
        </w:rPr>
        <w:t xml:space="preserve">Heterogenous treatment effect scan </w:t>
      </w:r>
      <w:r>
        <w:rPr>
          <w:b/>
          <w:bCs/>
          <w:sz w:val="20"/>
          <w:szCs w:val="20"/>
        </w:rPr>
        <w:t xml:space="preserve">sensitivity analysis </w:t>
      </w:r>
      <w:r w:rsidRPr="004721F2">
        <w:rPr>
          <w:b/>
          <w:bCs/>
          <w:sz w:val="20"/>
          <w:szCs w:val="20"/>
        </w:rPr>
        <w:t xml:space="preserve">estimates for patient six-month retention following first opioid treatment program admission: Rhode Island, March 18-June 30, 2019 </w:t>
      </w:r>
      <w:r>
        <w:rPr>
          <w:b/>
          <w:bCs/>
          <w:sz w:val="20"/>
          <w:szCs w:val="20"/>
        </w:rPr>
        <w:t xml:space="preserve">(control) </w:t>
      </w:r>
      <w:r w:rsidRPr="004721F2">
        <w:rPr>
          <w:b/>
          <w:bCs/>
          <w:sz w:val="20"/>
          <w:szCs w:val="20"/>
        </w:rPr>
        <w:t>versus March 18-June 30, 2020</w:t>
      </w:r>
      <w:r>
        <w:rPr>
          <w:b/>
          <w:bCs/>
          <w:sz w:val="20"/>
          <w:szCs w:val="20"/>
        </w:rPr>
        <w:t xml:space="preserve"> (treatment) using penalty scores of 0.25 and 1.00</w:t>
      </w:r>
    </w:p>
    <w:tbl>
      <w:tblPr>
        <w:tblW w:w="12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9"/>
        <w:gridCol w:w="2361"/>
        <w:gridCol w:w="2055"/>
        <w:gridCol w:w="1950"/>
        <w:gridCol w:w="1844"/>
        <w:gridCol w:w="927"/>
      </w:tblGrid>
      <w:tr w:rsidR="00C06C75" w:rsidRPr="004721F2" w:rsidTr="007C36C6">
        <w:trPr>
          <w:trHeight w:val="300"/>
        </w:trPr>
        <w:tc>
          <w:tcPr>
            <w:tcW w:w="12806" w:type="dxa"/>
            <w:gridSpan w:val="6"/>
            <w:shd w:val="clear" w:color="000000" w:fill="D9D9D9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Six-Month Retention After First OTP Admission in Excess of Overall Retention</w:t>
            </w:r>
          </w:p>
        </w:tc>
      </w:tr>
      <w:tr w:rsidR="00C06C75" w:rsidRPr="004721F2" w:rsidTr="007C36C6">
        <w:trPr>
          <w:trHeight w:val="513"/>
        </w:trPr>
        <w:tc>
          <w:tcPr>
            <w:tcW w:w="12806" w:type="dxa"/>
            <w:gridSpan w:val="6"/>
            <w:shd w:val="clear" w:color="auto" w:fill="D1D1D1" w:themeFill="background2" w:themeFillShade="E6"/>
            <w:noWrap/>
            <w:vAlign w:val="center"/>
          </w:tcPr>
          <w:p w:rsidR="00C06C75" w:rsidRPr="00727283" w:rsidRDefault="00C06C75" w:rsidP="007C36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27283">
              <w:rPr>
                <w:b/>
                <w:bCs/>
                <w:color w:val="000000"/>
                <w:sz w:val="20"/>
                <w:szCs w:val="20"/>
              </w:rPr>
              <w:t>Penalty = 0.25</w:t>
            </w:r>
          </w:p>
        </w:tc>
      </w:tr>
      <w:tr w:rsidR="00C06C75" w:rsidRPr="004721F2" w:rsidTr="007C36C6">
        <w:trPr>
          <w:trHeight w:val="513"/>
        </w:trPr>
        <w:tc>
          <w:tcPr>
            <w:tcW w:w="3669" w:type="dxa"/>
            <w:shd w:val="clear" w:color="000000" w:fill="F2F2F2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Cluster Features</w:t>
            </w:r>
          </w:p>
        </w:tc>
        <w:tc>
          <w:tcPr>
            <w:tcW w:w="2361" w:type="dxa"/>
            <w:shd w:val="clear" w:color="000000" w:fill="F2F2F2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Treatment Cluster Size</w:t>
            </w:r>
          </w:p>
        </w:tc>
        <w:tc>
          <w:tcPr>
            <w:tcW w:w="2055" w:type="dxa"/>
            <w:shd w:val="clear" w:color="000000" w:fill="F2F2F2"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Observed Treatment</w:t>
            </w:r>
            <w:r w:rsidRPr="004721F2">
              <w:rPr>
                <w:color w:val="000000"/>
                <w:sz w:val="20"/>
                <w:szCs w:val="20"/>
              </w:rPr>
              <w:br/>
              <w:t>Proportion Retained</w:t>
            </w:r>
          </w:p>
        </w:tc>
        <w:tc>
          <w:tcPr>
            <w:tcW w:w="1950" w:type="dxa"/>
            <w:shd w:val="clear" w:color="000000" w:fill="F2F2F2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Control Cluster Size</w:t>
            </w:r>
          </w:p>
        </w:tc>
        <w:tc>
          <w:tcPr>
            <w:tcW w:w="1844" w:type="dxa"/>
            <w:shd w:val="clear" w:color="000000" w:fill="F2F2F2"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Observed Control</w:t>
            </w:r>
            <w:r w:rsidRPr="004721F2">
              <w:rPr>
                <w:color w:val="000000"/>
                <w:sz w:val="20"/>
                <w:szCs w:val="20"/>
              </w:rPr>
              <w:br/>
              <w:t>Proportion Retained</w:t>
            </w:r>
          </w:p>
        </w:tc>
        <w:tc>
          <w:tcPr>
            <w:tcW w:w="927" w:type="dxa"/>
            <w:shd w:val="clear" w:color="000000" w:fill="F2F2F2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P-value</w:t>
            </w:r>
          </w:p>
        </w:tc>
      </w:tr>
      <w:tr w:rsidR="00C06C75" w:rsidRPr="004721F2" w:rsidTr="007C36C6">
        <w:trPr>
          <w:trHeight w:val="540"/>
        </w:trPr>
        <w:tc>
          <w:tcPr>
            <w:tcW w:w="3669" w:type="dxa"/>
            <w:shd w:val="clear" w:color="auto" w:fill="auto"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 xml:space="preserve">Education below high school; </w:t>
            </w:r>
            <w:r>
              <w:rPr>
                <w:color w:val="000000"/>
                <w:sz w:val="20"/>
                <w:szCs w:val="20"/>
              </w:rPr>
              <w:t xml:space="preserve">primary drug of heroin or fentanyl; </w:t>
            </w:r>
            <w:r w:rsidRPr="004721F2">
              <w:rPr>
                <w:color w:val="000000"/>
                <w:sz w:val="20"/>
                <w:szCs w:val="20"/>
              </w:rPr>
              <w:t>history of past-month arrest</w:t>
            </w:r>
          </w:p>
        </w:tc>
        <w:tc>
          <w:tcPr>
            <w:tcW w:w="2361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055" w:type="dxa"/>
            <w:shd w:val="clear" w:color="auto" w:fill="auto"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50" w:type="dxa"/>
            <w:shd w:val="clear" w:color="auto" w:fill="auto"/>
            <w:noWrap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844" w:type="dxa"/>
            <w:shd w:val="clear" w:color="auto" w:fill="auto"/>
            <w:vAlign w:val="center"/>
            <w:hideMark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0.1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27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</w:t>
            </w:r>
          </w:p>
        </w:tc>
      </w:tr>
      <w:tr w:rsidR="00C06C75" w:rsidRPr="004721F2" w:rsidTr="007C36C6">
        <w:trPr>
          <w:trHeight w:val="810"/>
        </w:trPr>
        <w:tc>
          <w:tcPr>
            <w:tcW w:w="3669" w:type="dxa"/>
            <w:shd w:val="clear" w:color="auto" w:fill="auto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Education below high school or beyond high school; history of past month arrest</w:t>
            </w:r>
          </w:p>
        </w:tc>
        <w:tc>
          <w:tcPr>
            <w:tcW w:w="2361" w:type="dxa"/>
            <w:shd w:val="clear" w:color="auto" w:fill="auto"/>
            <w:noWrap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27" w:type="dxa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0.008</w:t>
            </w:r>
          </w:p>
        </w:tc>
      </w:tr>
      <w:tr w:rsidR="00C06C75" w:rsidRPr="004721F2" w:rsidTr="007C36C6">
        <w:trPr>
          <w:trHeight w:val="810"/>
        </w:trPr>
        <w:tc>
          <w:tcPr>
            <w:tcW w:w="3669" w:type="dxa"/>
            <w:shd w:val="clear" w:color="auto" w:fill="auto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Male; non-Hispanic white or Hispanic/Latino; primary drug of heroin or fentanyl; history of past-month arrest</w:t>
            </w:r>
          </w:p>
        </w:tc>
        <w:tc>
          <w:tcPr>
            <w:tcW w:w="2361" w:type="dxa"/>
            <w:shd w:val="clear" w:color="auto" w:fill="auto"/>
            <w:noWrap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27" w:type="dxa"/>
            <w:vAlign w:val="center"/>
          </w:tcPr>
          <w:p w:rsidR="00C06C75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0.044</w:t>
            </w:r>
          </w:p>
        </w:tc>
      </w:tr>
      <w:tr w:rsidR="00C06C75" w:rsidRPr="004721F2" w:rsidTr="007C36C6">
        <w:trPr>
          <w:trHeight w:val="810"/>
        </w:trPr>
        <w:tc>
          <w:tcPr>
            <w:tcW w:w="12806" w:type="dxa"/>
            <w:gridSpan w:val="6"/>
            <w:shd w:val="clear" w:color="auto" w:fill="D1D1D1" w:themeFill="background2" w:themeFillShade="E6"/>
            <w:vAlign w:val="center"/>
          </w:tcPr>
          <w:p w:rsidR="00C06C75" w:rsidRPr="00A26782" w:rsidRDefault="00C06C75" w:rsidP="007C36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Penalty = 1.00</w:t>
            </w:r>
          </w:p>
        </w:tc>
      </w:tr>
      <w:tr w:rsidR="00C06C75" w:rsidRPr="004721F2" w:rsidTr="007C36C6">
        <w:trPr>
          <w:trHeight w:val="602"/>
        </w:trPr>
        <w:tc>
          <w:tcPr>
            <w:tcW w:w="3669" w:type="dxa"/>
            <w:shd w:val="clear" w:color="auto" w:fill="F2F2F2" w:themeFill="background1" w:themeFillShade="F2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Cluster Features</w:t>
            </w:r>
          </w:p>
        </w:tc>
        <w:tc>
          <w:tcPr>
            <w:tcW w:w="2361" w:type="dxa"/>
            <w:shd w:val="clear" w:color="auto" w:fill="F2F2F2" w:themeFill="background1" w:themeFillShade="F2"/>
            <w:noWrap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Treatment Cluster Size</w:t>
            </w:r>
          </w:p>
        </w:tc>
        <w:tc>
          <w:tcPr>
            <w:tcW w:w="2055" w:type="dxa"/>
            <w:shd w:val="clear" w:color="auto" w:fill="F2F2F2" w:themeFill="background1" w:themeFillShade="F2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Observed Treatment</w:t>
            </w:r>
            <w:r w:rsidRPr="004721F2">
              <w:rPr>
                <w:color w:val="000000"/>
                <w:sz w:val="20"/>
                <w:szCs w:val="20"/>
              </w:rPr>
              <w:br/>
              <w:t>Proportion Retained</w:t>
            </w:r>
          </w:p>
        </w:tc>
        <w:tc>
          <w:tcPr>
            <w:tcW w:w="1950" w:type="dxa"/>
            <w:shd w:val="clear" w:color="auto" w:fill="F2F2F2" w:themeFill="background1" w:themeFillShade="F2"/>
            <w:noWrap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Control Cluster Size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 w:rsidRPr="004721F2">
              <w:rPr>
                <w:color w:val="000000"/>
                <w:sz w:val="20"/>
                <w:szCs w:val="20"/>
              </w:rPr>
              <w:t>Observed Control</w:t>
            </w:r>
            <w:r w:rsidRPr="004721F2">
              <w:rPr>
                <w:color w:val="000000"/>
                <w:sz w:val="20"/>
                <w:szCs w:val="20"/>
              </w:rPr>
              <w:br/>
              <w:t>Proportion Retained</w:t>
            </w:r>
          </w:p>
        </w:tc>
        <w:tc>
          <w:tcPr>
            <w:tcW w:w="927" w:type="dxa"/>
            <w:shd w:val="clear" w:color="auto" w:fill="F2F2F2" w:themeFill="background1" w:themeFillShade="F2"/>
            <w:vAlign w:val="center"/>
          </w:tcPr>
          <w:p w:rsidR="00C06C75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P-value</w:t>
            </w:r>
          </w:p>
        </w:tc>
      </w:tr>
      <w:tr w:rsidR="00C06C75" w:rsidRPr="004721F2" w:rsidTr="007C36C6">
        <w:trPr>
          <w:trHeight w:val="810"/>
        </w:trPr>
        <w:tc>
          <w:tcPr>
            <w:tcW w:w="3669" w:type="dxa"/>
            <w:shd w:val="clear" w:color="auto" w:fill="auto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Education below high school; history of past-month arrest</w:t>
            </w:r>
          </w:p>
        </w:tc>
        <w:tc>
          <w:tcPr>
            <w:tcW w:w="2361" w:type="dxa"/>
            <w:shd w:val="clear" w:color="auto" w:fill="auto"/>
            <w:noWrap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055" w:type="dxa"/>
            <w:shd w:val="clear" w:color="auto" w:fill="auto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C06C75" w:rsidRPr="004721F2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27" w:type="dxa"/>
            <w:vAlign w:val="center"/>
          </w:tcPr>
          <w:p w:rsidR="00C06C75" w:rsidRDefault="00C06C75" w:rsidP="007C36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</w:t>
            </w:r>
          </w:p>
        </w:tc>
      </w:tr>
    </w:tbl>
    <w:p w:rsidR="00C06C75" w:rsidRDefault="00C06C75" w:rsidP="00C06C75">
      <w:pPr>
        <w:rPr>
          <w:sz w:val="20"/>
          <w:szCs w:val="20"/>
        </w:rPr>
      </w:pPr>
      <w:r>
        <w:rPr>
          <w:i/>
          <w:iCs/>
          <w:sz w:val="20"/>
          <w:szCs w:val="20"/>
        </w:rPr>
        <w:t>Notes</w:t>
      </w:r>
      <w:r>
        <w:rPr>
          <w:sz w:val="20"/>
          <w:szCs w:val="20"/>
        </w:rPr>
        <w:t xml:space="preserve">: </w:t>
      </w:r>
      <w:r w:rsidRPr="004721F2">
        <w:rPr>
          <w:sz w:val="20"/>
          <w:szCs w:val="20"/>
        </w:rPr>
        <w:t>Treatment cluster indicates patients admitted from March 18-June 30, 2020; control cluster indicates patients admitted from March 18-June 30, 2019</w:t>
      </w:r>
    </w:p>
    <w:p w:rsidR="00C06C75" w:rsidRDefault="00C06C75" w:rsidP="00C06C75">
      <w:pPr>
        <w:rPr>
          <w:sz w:val="20"/>
          <w:szCs w:val="20"/>
        </w:rPr>
      </w:pPr>
      <w:r>
        <w:rPr>
          <w:i/>
          <w:sz w:val="20"/>
          <w:szCs w:val="20"/>
        </w:rPr>
        <w:t>Source</w:t>
      </w:r>
      <w:r>
        <w:rPr>
          <w:sz w:val="20"/>
          <w:szCs w:val="20"/>
        </w:rPr>
        <w:t xml:space="preserve">: </w:t>
      </w:r>
      <w:r w:rsidRPr="00983E37">
        <w:rPr>
          <w:sz w:val="20"/>
          <w:szCs w:val="20"/>
        </w:rPr>
        <w:t>Rhode Island Department of Behavioral Healthcare, Developmental Disabilities, and Hospitals</w:t>
      </w:r>
    </w:p>
    <w:p w:rsidR="006771AB" w:rsidRDefault="006771AB"/>
    <w:sectPr w:rsidR="006771AB" w:rsidSect="00ED1B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6541" w:rsidRDefault="00796541" w:rsidP="00ED1B98">
      <w:r>
        <w:separator/>
      </w:r>
    </w:p>
  </w:endnote>
  <w:endnote w:type="continuationSeparator" w:id="0">
    <w:p w:rsidR="00796541" w:rsidRDefault="00796541" w:rsidP="00ED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04882062"/>
      <w:docPartObj>
        <w:docPartGallery w:val="Page Numbers (Bottom of Page)"/>
        <w:docPartUnique/>
      </w:docPartObj>
    </w:sdtPr>
    <w:sdtContent>
      <w:p w:rsidR="00ED1B98" w:rsidRDefault="00ED1B98" w:rsidP="00F6172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D1B98" w:rsidRDefault="00ED1B98" w:rsidP="00ED1B9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7398042"/>
      <w:docPartObj>
        <w:docPartGallery w:val="Page Numbers (Bottom of Page)"/>
        <w:docPartUnique/>
      </w:docPartObj>
    </w:sdtPr>
    <w:sdtContent>
      <w:p w:rsidR="00ED1B98" w:rsidRDefault="00ED1B98" w:rsidP="00F6172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ED1B98" w:rsidRDefault="00ED1B98" w:rsidP="00ED1B9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6541" w:rsidRDefault="00796541" w:rsidP="00ED1B98">
      <w:r>
        <w:separator/>
      </w:r>
    </w:p>
  </w:footnote>
  <w:footnote w:type="continuationSeparator" w:id="0">
    <w:p w:rsidR="00796541" w:rsidRDefault="00796541" w:rsidP="00ED1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C745D"/>
    <w:multiLevelType w:val="hybridMultilevel"/>
    <w:tmpl w:val="AB5ED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06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75"/>
    <w:rsid w:val="00020072"/>
    <w:rsid w:val="00027EF1"/>
    <w:rsid w:val="00047F9C"/>
    <w:rsid w:val="00052907"/>
    <w:rsid w:val="00064171"/>
    <w:rsid w:val="000C173F"/>
    <w:rsid w:val="00173F6E"/>
    <w:rsid w:val="001920AE"/>
    <w:rsid w:val="001B6EA7"/>
    <w:rsid w:val="001F0B51"/>
    <w:rsid w:val="00213634"/>
    <w:rsid w:val="00217805"/>
    <w:rsid w:val="00261872"/>
    <w:rsid w:val="00291EC4"/>
    <w:rsid w:val="002A7751"/>
    <w:rsid w:val="002F516E"/>
    <w:rsid w:val="002F6A98"/>
    <w:rsid w:val="00306588"/>
    <w:rsid w:val="0039484E"/>
    <w:rsid w:val="003F04D4"/>
    <w:rsid w:val="004519C7"/>
    <w:rsid w:val="004575DD"/>
    <w:rsid w:val="00465955"/>
    <w:rsid w:val="004710FB"/>
    <w:rsid w:val="00486C8A"/>
    <w:rsid w:val="004D23D7"/>
    <w:rsid w:val="004F4282"/>
    <w:rsid w:val="00511E36"/>
    <w:rsid w:val="005251E1"/>
    <w:rsid w:val="005C67E8"/>
    <w:rsid w:val="005C7BC9"/>
    <w:rsid w:val="005E5010"/>
    <w:rsid w:val="00606478"/>
    <w:rsid w:val="00622F9A"/>
    <w:rsid w:val="0062763F"/>
    <w:rsid w:val="006771AB"/>
    <w:rsid w:val="00687414"/>
    <w:rsid w:val="006A25C8"/>
    <w:rsid w:val="006D30DE"/>
    <w:rsid w:val="006D4A78"/>
    <w:rsid w:val="006E225A"/>
    <w:rsid w:val="00701935"/>
    <w:rsid w:val="00716D65"/>
    <w:rsid w:val="00733232"/>
    <w:rsid w:val="00796541"/>
    <w:rsid w:val="007A6793"/>
    <w:rsid w:val="007B671D"/>
    <w:rsid w:val="007D50ED"/>
    <w:rsid w:val="007D6F2F"/>
    <w:rsid w:val="007F259D"/>
    <w:rsid w:val="00814FE2"/>
    <w:rsid w:val="008173A6"/>
    <w:rsid w:val="0082164B"/>
    <w:rsid w:val="008324D9"/>
    <w:rsid w:val="008A3622"/>
    <w:rsid w:val="008B569E"/>
    <w:rsid w:val="00976613"/>
    <w:rsid w:val="009A3476"/>
    <w:rsid w:val="009B6A93"/>
    <w:rsid w:val="009C7BEE"/>
    <w:rsid w:val="009E3F1B"/>
    <w:rsid w:val="00A50F50"/>
    <w:rsid w:val="00A73A3D"/>
    <w:rsid w:val="00A811DC"/>
    <w:rsid w:val="00A872CB"/>
    <w:rsid w:val="00AC3864"/>
    <w:rsid w:val="00B069A0"/>
    <w:rsid w:val="00B13F63"/>
    <w:rsid w:val="00B465F0"/>
    <w:rsid w:val="00B5313B"/>
    <w:rsid w:val="00BC508D"/>
    <w:rsid w:val="00C06C75"/>
    <w:rsid w:val="00C14409"/>
    <w:rsid w:val="00C3393D"/>
    <w:rsid w:val="00C62B2F"/>
    <w:rsid w:val="00CA67A7"/>
    <w:rsid w:val="00CC01B2"/>
    <w:rsid w:val="00CE4857"/>
    <w:rsid w:val="00D05EDD"/>
    <w:rsid w:val="00D10ABE"/>
    <w:rsid w:val="00D13009"/>
    <w:rsid w:val="00D146E7"/>
    <w:rsid w:val="00D5351B"/>
    <w:rsid w:val="00D64941"/>
    <w:rsid w:val="00D86C5C"/>
    <w:rsid w:val="00D87113"/>
    <w:rsid w:val="00DA2FB6"/>
    <w:rsid w:val="00DB4EF5"/>
    <w:rsid w:val="00DF2CDB"/>
    <w:rsid w:val="00DF504B"/>
    <w:rsid w:val="00E0615F"/>
    <w:rsid w:val="00E414E4"/>
    <w:rsid w:val="00E84A15"/>
    <w:rsid w:val="00E85425"/>
    <w:rsid w:val="00E976BB"/>
    <w:rsid w:val="00EA2FEA"/>
    <w:rsid w:val="00EA4F5D"/>
    <w:rsid w:val="00EB40CE"/>
    <w:rsid w:val="00EC3596"/>
    <w:rsid w:val="00EC6A25"/>
    <w:rsid w:val="00ED1B98"/>
    <w:rsid w:val="00ED770B"/>
    <w:rsid w:val="00ED7E36"/>
    <w:rsid w:val="00EF2BE7"/>
    <w:rsid w:val="00F218F2"/>
    <w:rsid w:val="00F25DB1"/>
    <w:rsid w:val="00F31048"/>
    <w:rsid w:val="00F425B8"/>
    <w:rsid w:val="00F70F85"/>
    <w:rsid w:val="00F7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88AB31"/>
  <w15:chartTrackingRefBased/>
  <w15:docId w15:val="{23C1DF2F-4702-994D-96F7-939DB473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C75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C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C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C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C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C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C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C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8A3622"/>
    <w:pPr>
      <w:ind w:left="720" w:hanging="720"/>
    </w:pPr>
    <w:rPr>
      <w:rFonts w:ascii="Arial" w:eastAsiaTheme="minorHAnsi" w:hAnsi="Arial" w:cs="Calibri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8A3622"/>
    <w:rPr>
      <w:rFonts w:ascii="Arial" w:hAnsi="Arial" w:cs="Calibri"/>
      <w:kern w:val="0"/>
      <w:sz w:val="2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06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C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6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C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6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C7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6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C75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6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C7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D1B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B98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D1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1340</Words>
  <Characters>7641</Characters>
  <Application>Microsoft Office Word</Application>
  <DocSecurity>0</DocSecurity>
  <Lines>63</Lines>
  <Paragraphs>17</Paragraphs>
  <ScaleCrop>false</ScaleCrop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Bennett</dc:creator>
  <cp:keywords/>
  <dc:description/>
  <cp:lastModifiedBy>Allen, Bennett</cp:lastModifiedBy>
  <cp:revision>2</cp:revision>
  <dcterms:created xsi:type="dcterms:W3CDTF">2025-04-18T19:16:00Z</dcterms:created>
  <dcterms:modified xsi:type="dcterms:W3CDTF">2025-04-18T19:22:00Z</dcterms:modified>
</cp:coreProperties>
</file>