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C2320" w14:textId="17122DD3" w:rsidR="00855A0B" w:rsidRPr="00A37020" w:rsidRDefault="003B01B0" w:rsidP="003B01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7020">
        <w:rPr>
          <w:rFonts w:ascii="Times New Roman" w:hAnsi="Times New Roman" w:cs="Times New Roman"/>
          <w:b/>
          <w:bCs/>
          <w:sz w:val="24"/>
          <w:szCs w:val="24"/>
        </w:rPr>
        <w:t>Appendix B</w:t>
      </w:r>
    </w:p>
    <w:p w14:paraId="51830D55" w14:textId="156045E3" w:rsidR="003B01B0" w:rsidRPr="00A37020" w:rsidRDefault="003B01B0" w:rsidP="003B01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7020">
        <w:rPr>
          <w:rFonts w:ascii="Times New Roman" w:hAnsi="Times New Roman" w:cs="Times New Roman"/>
          <w:b/>
          <w:bCs/>
          <w:sz w:val="24"/>
          <w:szCs w:val="24"/>
        </w:rPr>
        <w:t>Data Transparency Table</w:t>
      </w:r>
    </w:p>
    <w:p w14:paraId="41A98DE9" w14:textId="7B5C34AF" w:rsidR="003B01B0" w:rsidRPr="00A37020" w:rsidRDefault="003B01B0" w:rsidP="003B01B0">
      <w:pPr>
        <w:rPr>
          <w:rFonts w:ascii="Times New Roman" w:hAnsi="Times New Roman" w:cs="Times New Roman"/>
          <w:sz w:val="24"/>
          <w:szCs w:val="24"/>
        </w:rPr>
      </w:pPr>
      <w:r w:rsidRPr="00A37020">
        <w:rPr>
          <w:rFonts w:ascii="Times New Roman" w:hAnsi="Times New Roman" w:cs="Times New Roman"/>
          <w:sz w:val="24"/>
          <w:szCs w:val="24"/>
        </w:rPr>
        <w:tab/>
        <w:t xml:space="preserve">Data for this study were collected by the Work Family and Health Network. Data can be found at: </w:t>
      </w:r>
      <w:hyperlink r:id="rId4" w:history="1">
        <w:r w:rsidRPr="00A37020">
          <w:rPr>
            <w:rStyle w:val="Hyperlink"/>
            <w:rFonts w:ascii="Times New Roman" w:hAnsi="Times New Roman" w:cs="Times New Roman"/>
            <w:sz w:val="24"/>
            <w:szCs w:val="24"/>
          </w:rPr>
          <w:t>https://workfamilyhealthnetwork.org/data</w:t>
        </w:r>
      </w:hyperlink>
      <w:r w:rsidRPr="00A37020">
        <w:rPr>
          <w:rFonts w:ascii="Times New Roman" w:hAnsi="Times New Roman" w:cs="Times New Roman"/>
          <w:sz w:val="24"/>
          <w:szCs w:val="24"/>
        </w:rPr>
        <w:t xml:space="preserve">. A list of publications using the data can be found at: </w:t>
      </w:r>
      <w:hyperlink r:id="rId5" w:history="1">
        <w:r w:rsidRPr="00A37020">
          <w:rPr>
            <w:rStyle w:val="Hyperlink"/>
            <w:rFonts w:ascii="Times New Roman" w:hAnsi="Times New Roman" w:cs="Times New Roman"/>
            <w:sz w:val="24"/>
            <w:szCs w:val="24"/>
          </w:rPr>
          <w:t>https://workfamilyhealthnetwork.org/publications</w:t>
        </w:r>
      </w:hyperlink>
      <w:r w:rsidRPr="00A37020">
        <w:rPr>
          <w:rFonts w:ascii="Times New Roman" w:hAnsi="Times New Roman" w:cs="Times New Roman"/>
          <w:sz w:val="24"/>
          <w:szCs w:val="24"/>
        </w:rPr>
        <w:t>. All publication titles were screened for potential data overlap, and select relevant articles were screened in more detail for potential overlap. The transparency table for these tables is shown below.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0"/>
        <w:gridCol w:w="1011"/>
        <w:gridCol w:w="962"/>
        <w:gridCol w:w="1123"/>
        <w:gridCol w:w="1582"/>
        <w:gridCol w:w="1342"/>
        <w:gridCol w:w="827"/>
        <w:gridCol w:w="1039"/>
        <w:gridCol w:w="772"/>
        <w:gridCol w:w="872"/>
      </w:tblGrid>
      <w:tr w:rsidR="003B01B0" w:rsidRPr="003B01B0" w14:paraId="6FB81FD4" w14:textId="77777777" w:rsidTr="003B01B0">
        <w:trPr>
          <w:trHeight w:val="580"/>
        </w:trPr>
        <w:tc>
          <w:tcPr>
            <w:tcW w:w="3996" w:type="dxa"/>
            <w:tcBorders>
              <w:bottom w:val="single" w:sz="4" w:space="0" w:color="auto"/>
            </w:tcBorders>
            <w:vAlign w:val="bottom"/>
          </w:tcPr>
          <w:p w14:paraId="192DB2C8" w14:textId="77777777" w:rsidR="003B01B0" w:rsidRPr="003B01B0" w:rsidRDefault="003B01B0" w:rsidP="003B01B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 xml:space="preserve">Table B. </w:t>
            </w:r>
          </w:p>
          <w:p w14:paraId="5087B038" w14:textId="63DFBB9F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Data transparency table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bottom"/>
          </w:tcPr>
          <w:p w14:paraId="0080403F" w14:textId="08A15E3B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  <w:vAlign w:val="bottom"/>
          </w:tcPr>
          <w:p w14:paraId="532D5394" w14:textId="37E5DECE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vAlign w:val="bottom"/>
          </w:tcPr>
          <w:p w14:paraId="0CEC326E" w14:textId="0CF1EB8B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  <w:vAlign w:val="bottom"/>
          </w:tcPr>
          <w:p w14:paraId="5C5766D9" w14:textId="57D4774F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bottom w:val="single" w:sz="4" w:space="0" w:color="auto"/>
            </w:tcBorders>
            <w:vAlign w:val="bottom"/>
          </w:tcPr>
          <w:p w14:paraId="20117836" w14:textId="454DE199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  <w:vAlign w:val="bottom"/>
          </w:tcPr>
          <w:p w14:paraId="593D803D" w14:textId="3AA0C90E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bottom w:val="single" w:sz="4" w:space="0" w:color="auto"/>
            </w:tcBorders>
            <w:vAlign w:val="bottom"/>
          </w:tcPr>
          <w:p w14:paraId="276D8F16" w14:textId="0C768A35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  <w:vAlign w:val="bottom"/>
          </w:tcPr>
          <w:p w14:paraId="3116FA30" w14:textId="2B12D4B2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  <w:vAlign w:val="bottom"/>
          </w:tcPr>
          <w:p w14:paraId="5988C9F2" w14:textId="66F6F49B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1B0" w:rsidRPr="003B01B0" w14:paraId="330838C0" w14:textId="77777777" w:rsidTr="003B01B0">
        <w:trPr>
          <w:trHeight w:val="580"/>
        </w:trPr>
        <w:tc>
          <w:tcPr>
            <w:tcW w:w="39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A4D14B" w14:textId="49E65637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Citation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FDE1EB" w14:textId="24864723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Uses TOMO daily data?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D0CCA2" w14:textId="7261EC9F" w:rsidR="003B01B0" w:rsidRPr="003B01B0" w:rsidRDefault="003B01B0" w:rsidP="00A370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Uses parent reports</w:t>
            </w:r>
            <w:r w:rsidR="00A37020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476201" w14:textId="15421A0A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Uses adolescent reports</w:t>
            </w:r>
            <w:r w:rsidR="00A37020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87A393" w14:textId="0D8190F6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Parent Stressor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9ADE66" w14:textId="3EA2F8D2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Adolescent stressors</w:t>
            </w:r>
          </w:p>
        </w:tc>
        <w:tc>
          <w:tcPr>
            <w:tcW w:w="5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52B809" w14:textId="0D3066C2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Diurnal cortisol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6B1EF6" w14:textId="14E2EB7C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Physical symptoms</w:t>
            </w:r>
          </w:p>
        </w:tc>
        <w:tc>
          <w:tcPr>
            <w:tcW w:w="5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8FC093" w14:textId="6070A0B4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Sleep quality</w:t>
            </w:r>
          </w:p>
        </w:tc>
        <w:tc>
          <w:tcPr>
            <w:tcW w:w="5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DB8EF5" w14:textId="5BD1FD1E" w:rsidR="003B01B0" w:rsidRPr="003B01B0" w:rsidRDefault="003B01B0" w:rsidP="003B01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Sleep quantity</w:t>
            </w:r>
          </w:p>
        </w:tc>
      </w:tr>
      <w:tr w:rsidR="003B01B0" w:rsidRPr="003B01B0" w14:paraId="4A132F3D" w14:textId="77777777" w:rsidTr="003B01B0">
        <w:trPr>
          <w:trHeight w:val="880"/>
        </w:trPr>
        <w:tc>
          <w:tcPr>
            <w:tcW w:w="3996" w:type="dxa"/>
            <w:tcBorders>
              <w:top w:val="single" w:sz="4" w:space="0" w:color="auto"/>
            </w:tcBorders>
            <w:hideMark/>
          </w:tcPr>
          <w:p w14:paraId="05A9FCD5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6" w:history="1"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Vigoureux TFD, Lee S, Buxton OM, Almeida DM. Stressor reactivity to insufficient sleep and its association with body mass index in middle-aged workers. Journal of Sleep Research. </w:t>
              </w:r>
              <w:proofErr w:type="gramStart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2019;n</w:t>
              </w:r>
              <w:proofErr w:type="gramEnd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/a (n/a) :e12955.</w:t>
              </w:r>
            </w:hyperlink>
          </w:p>
        </w:tc>
        <w:tc>
          <w:tcPr>
            <w:tcW w:w="1139" w:type="dxa"/>
            <w:tcBorders>
              <w:top w:val="single" w:sz="4" w:space="0" w:color="auto"/>
            </w:tcBorders>
            <w:hideMark/>
          </w:tcPr>
          <w:p w14:paraId="655531BF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hideMark/>
          </w:tcPr>
          <w:p w14:paraId="10625956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hideMark/>
          </w:tcPr>
          <w:p w14:paraId="2809EFC4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61" w:type="dxa"/>
            <w:tcBorders>
              <w:top w:val="single" w:sz="4" w:space="0" w:color="auto"/>
            </w:tcBorders>
            <w:hideMark/>
          </w:tcPr>
          <w:p w14:paraId="203FFC89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Single index of stressor frequency (work and nonwork)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hideMark/>
          </w:tcPr>
          <w:p w14:paraId="51C7CE70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4" w:space="0" w:color="auto"/>
            </w:tcBorders>
            <w:hideMark/>
          </w:tcPr>
          <w:p w14:paraId="79478124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</w:tcBorders>
            <w:hideMark/>
          </w:tcPr>
          <w:p w14:paraId="473235D8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4" w:space="0" w:color="auto"/>
            </w:tcBorders>
            <w:hideMark/>
          </w:tcPr>
          <w:p w14:paraId="6C486B5E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5" w:type="dxa"/>
            <w:tcBorders>
              <w:top w:val="single" w:sz="4" w:space="0" w:color="auto"/>
            </w:tcBorders>
            <w:hideMark/>
          </w:tcPr>
          <w:p w14:paraId="314BF56D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B01B0" w:rsidRPr="003B01B0" w14:paraId="6DD90E76" w14:textId="77777777" w:rsidTr="003B01B0">
        <w:trPr>
          <w:trHeight w:val="870"/>
        </w:trPr>
        <w:tc>
          <w:tcPr>
            <w:tcW w:w="3996" w:type="dxa"/>
            <w:hideMark/>
          </w:tcPr>
          <w:p w14:paraId="5D080C6D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7" w:history="1"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Drury T, Lee S, Buxton OM, Almeida DM. PSYCHOCOGNITIVE REACTIVITY TO INSUFFICIENT SLEEP AND ITS ASSOCIATION WITH BODY MASS. Innovation in Aging. 2019;3 (Suppl 1</w:t>
              </w:r>
              <w:proofErr w:type="gramStart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) :S</w:t>
              </w:r>
              <w:proofErr w:type="gramEnd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640–S641.</w:t>
              </w:r>
            </w:hyperlink>
          </w:p>
        </w:tc>
        <w:tc>
          <w:tcPr>
            <w:tcW w:w="1139" w:type="dxa"/>
            <w:hideMark/>
          </w:tcPr>
          <w:p w14:paraId="18D1A690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25" w:type="dxa"/>
            <w:hideMark/>
          </w:tcPr>
          <w:p w14:paraId="3DEFAA8B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2E6E743C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61" w:type="dxa"/>
            <w:hideMark/>
          </w:tcPr>
          <w:p w14:paraId="5E6DDE30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Single index of stressor frequency (work and nonwork)</w:t>
            </w:r>
          </w:p>
        </w:tc>
        <w:tc>
          <w:tcPr>
            <w:tcW w:w="1482" w:type="dxa"/>
            <w:hideMark/>
          </w:tcPr>
          <w:p w14:paraId="37F1C0B6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507AE7D3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hideMark/>
          </w:tcPr>
          <w:p w14:paraId="161C5E19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5952B3C1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5" w:type="dxa"/>
            <w:hideMark/>
          </w:tcPr>
          <w:p w14:paraId="54C6E8AD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B01B0" w:rsidRPr="003B01B0" w14:paraId="64C8753B" w14:textId="77777777" w:rsidTr="003B01B0">
        <w:trPr>
          <w:trHeight w:val="1160"/>
        </w:trPr>
        <w:tc>
          <w:tcPr>
            <w:tcW w:w="3996" w:type="dxa"/>
            <w:hideMark/>
          </w:tcPr>
          <w:p w14:paraId="3B0CA7FF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8" w:history="1"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Sin NL, Almeida DM, Crain TL, </w:t>
              </w:r>
              <w:proofErr w:type="spellStart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Kossek</w:t>
              </w:r>
              <w:proofErr w:type="spellEnd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 EE, Berkman LF, Buxton OM. Bidirectional, Temporal Associations of Sleep with Positive Events, Affect, and Stressors in Daily Life Across a Week. Annals of Behavioral Medicine. 2017 :1–14.</w:t>
              </w:r>
            </w:hyperlink>
          </w:p>
        </w:tc>
        <w:tc>
          <w:tcPr>
            <w:tcW w:w="1139" w:type="dxa"/>
            <w:hideMark/>
          </w:tcPr>
          <w:p w14:paraId="6F95C776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25" w:type="dxa"/>
            <w:hideMark/>
          </w:tcPr>
          <w:p w14:paraId="6011F44C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2BD60052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61" w:type="dxa"/>
            <w:hideMark/>
          </w:tcPr>
          <w:p w14:paraId="4BD7152B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Dichotomous (stressors did/did not occur; work and nonwork)</w:t>
            </w:r>
          </w:p>
        </w:tc>
        <w:tc>
          <w:tcPr>
            <w:tcW w:w="1482" w:type="dxa"/>
            <w:hideMark/>
          </w:tcPr>
          <w:p w14:paraId="1553E21F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4E168E63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hideMark/>
          </w:tcPr>
          <w:p w14:paraId="52613E9C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77ABCDEC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5" w:type="dxa"/>
            <w:hideMark/>
          </w:tcPr>
          <w:p w14:paraId="1507BC1E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B01B0" w:rsidRPr="003B01B0" w14:paraId="62C22C85" w14:textId="77777777" w:rsidTr="003B01B0">
        <w:trPr>
          <w:trHeight w:val="870"/>
        </w:trPr>
        <w:tc>
          <w:tcPr>
            <w:tcW w:w="3996" w:type="dxa"/>
            <w:hideMark/>
          </w:tcPr>
          <w:p w14:paraId="79464A52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9" w:history="1"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Lee S, Crain TL, McHale SM, Almeida DM, Buxton OM. Daily </w:t>
              </w:r>
              <w:proofErr w:type="gramStart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antecedents</w:t>
              </w:r>
              <w:proofErr w:type="gramEnd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 and consequences of nightly sleep. Journal of Sleep Research. 2016.</w:t>
              </w:r>
            </w:hyperlink>
          </w:p>
        </w:tc>
        <w:tc>
          <w:tcPr>
            <w:tcW w:w="1139" w:type="dxa"/>
            <w:hideMark/>
          </w:tcPr>
          <w:p w14:paraId="189E2F97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25" w:type="dxa"/>
            <w:hideMark/>
          </w:tcPr>
          <w:p w14:paraId="07947AD1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663857ED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hideMark/>
          </w:tcPr>
          <w:p w14:paraId="1A91FB30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hideMark/>
          </w:tcPr>
          <w:p w14:paraId="6D5E1CFA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4E8A9A08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hideMark/>
          </w:tcPr>
          <w:p w14:paraId="3643FE72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69853793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5" w:type="dxa"/>
            <w:hideMark/>
          </w:tcPr>
          <w:p w14:paraId="36B1EC47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3B01B0" w:rsidRPr="003B01B0" w14:paraId="2F67B765" w14:textId="77777777" w:rsidTr="003B01B0">
        <w:trPr>
          <w:trHeight w:val="870"/>
        </w:trPr>
        <w:tc>
          <w:tcPr>
            <w:tcW w:w="3996" w:type="dxa"/>
            <w:hideMark/>
          </w:tcPr>
          <w:p w14:paraId="4E32C428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0" w:history="1">
              <w:proofErr w:type="spellStart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Lippold</w:t>
              </w:r>
              <w:proofErr w:type="spellEnd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 MA, Davis KD, Lawson KM, McHale SM. Day-to-day Consistency in Positive Parent–Child Interactions and Youth Well-Being. Journal of Child and Family Studies. 2016 :1–9.</w:t>
              </w:r>
            </w:hyperlink>
          </w:p>
        </w:tc>
        <w:tc>
          <w:tcPr>
            <w:tcW w:w="1139" w:type="dxa"/>
            <w:hideMark/>
          </w:tcPr>
          <w:p w14:paraId="0C9C0435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25" w:type="dxa"/>
            <w:hideMark/>
          </w:tcPr>
          <w:p w14:paraId="585A1847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61" w:type="dxa"/>
            <w:hideMark/>
          </w:tcPr>
          <w:p w14:paraId="13625062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61" w:type="dxa"/>
            <w:hideMark/>
          </w:tcPr>
          <w:p w14:paraId="3DB28B5B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hideMark/>
          </w:tcPr>
          <w:p w14:paraId="0598EE0A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56F0B027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hideMark/>
          </w:tcPr>
          <w:p w14:paraId="6AA29CAF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5" w:type="dxa"/>
            <w:hideMark/>
          </w:tcPr>
          <w:p w14:paraId="7B61E194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7517DC34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1B0" w:rsidRPr="003B01B0" w14:paraId="5B9F946D" w14:textId="77777777" w:rsidTr="003B01B0">
        <w:trPr>
          <w:trHeight w:val="870"/>
        </w:trPr>
        <w:tc>
          <w:tcPr>
            <w:tcW w:w="3996" w:type="dxa"/>
            <w:hideMark/>
          </w:tcPr>
          <w:p w14:paraId="38F364F3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1" w:history="1">
              <w:proofErr w:type="spellStart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Lippold</w:t>
              </w:r>
              <w:proofErr w:type="spellEnd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 MA, Davis KD, McHale SM, Buxton OM, Almeida DM. Daily Stressor Reactivity During Adolescence: The Buffering Role of Parental Warmth. Health Psychology. 2016.</w:t>
              </w:r>
            </w:hyperlink>
          </w:p>
        </w:tc>
        <w:tc>
          <w:tcPr>
            <w:tcW w:w="1139" w:type="dxa"/>
            <w:hideMark/>
          </w:tcPr>
          <w:p w14:paraId="6C748E26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25" w:type="dxa"/>
            <w:hideMark/>
          </w:tcPr>
          <w:p w14:paraId="4E7E39C5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61" w:type="dxa"/>
            <w:hideMark/>
          </w:tcPr>
          <w:p w14:paraId="5B7B1F0B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61" w:type="dxa"/>
            <w:hideMark/>
          </w:tcPr>
          <w:p w14:paraId="1D62D917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hideMark/>
          </w:tcPr>
          <w:p w14:paraId="742F1700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Single index of stressor frequency</w:t>
            </w:r>
          </w:p>
        </w:tc>
        <w:tc>
          <w:tcPr>
            <w:tcW w:w="575" w:type="dxa"/>
            <w:hideMark/>
          </w:tcPr>
          <w:p w14:paraId="4D925E6C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61" w:type="dxa"/>
            <w:hideMark/>
          </w:tcPr>
          <w:p w14:paraId="033D4628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5" w:type="dxa"/>
            <w:hideMark/>
          </w:tcPr>
          <w:p w14:paraId="60B915BD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3783F01F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1B0" w:rsidRPr="003B01B0" w14:paraId="02DBA4ED" w14:textId="77777777" w:rsidTr="003B01B0">
        <w:trPr>
          <w:trHeight w:val="1160"/>
        </w:trPr>
        <w:tc>
          <w:tcPr>
            <w:tcW w:w="3996" w:type="dxa"/>
            <w:hideMark/>
          </w:tcPr>
          <w:p w14:paraId="140DF829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2" w:history="1">
              <w:proofErr w:type="spellStart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Lippold</w:t>
              </w:r>
              <w:proofErr w:type="spellEnd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 MA, Davis KD, McHale SM, Almeida DM. Daily parental knowledge of youth activities is linked to youth physical symptoms and HPA functioning. Journal of Family Psychology. 2016;30 (2) :245-253.</w:t>
              </w:r>
            </w:hyperlink>
          </w:p>
        </w:tc>
        <w:tc>
          <w:tcPr>
            <w:tcW w:w="1139" w:type="dxa"/>
            <w:hideMark/>
          </w:tcPr>
          <w:p w14:paraId="76F5F935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25" w:type="dxa"/>
            <w:hideMark/>
          </w:tcPr>
          <w:p w14:paraId="55666EEC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61" w:type="dxa"/>
            <w:hideMark/>
          </w:tcPr>
          <w:p w14:paraId="55BA3990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61" w:type="dxa"/>
            <w:hideMark/>
          </w:tcPr>
          <w:p w14:paraId="643F1D61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hideMark/>
          </w:tcPr>
          <w:p w14:paraId="64570ACC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7A4617E9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61" w:type="dxa"/>
            <w:hideMark/>
          </w:tcPr>
          <w:p w14:paraId="6E1043BF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5" w:type="dxa"/>
            <w:hideMark/>
          </w:tcPr>
          <w:p w14:paraId="0103EB34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0E62E443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1B0" w:rsidRPr="003B01B0" w14:paraId="527518F0" w14:textId="77777777" w:rsidTr="003B01B0">
        <w:trPr>
          <w:trHeight w:val="870"/>
        </w:trPr>
        <w:tc>
          <w:tcPr>
            <w:tcW w:w="3996" w:type="dxa"/>
            <w:hideMark/>
          </w:tcPr>
          <w:p w14:paraId="3F52DB1F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3" w:history="1">
              <w:proofErr w:type="spellStart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Lippold</w:t>
              </w:r>
              <w:proofErr w:type="spellEnd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 MA, McHale SM, Davis KD, </w:t>
              </w:r>
              <w:proofErr w:type="spellStart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Kossek</w:t>
              </w:r>
              <w:proofErr w:type="spellEnd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 EE. Day-to-Day Inconsistency in Parent Knowledge: Links </w:t>
              </w:r>
              <w:proofErr w:type="gramStart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With</w:t>
              </w:r>
              <w:proofErr w:type="gramEnd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 Youth Health and Parents' Stress. Journal of Adolescent Health. 2015;56 (3) :293–299.</w:t>
              </w:r>
            </w:hyperlink>
          </w:p>
        </w:tc>
        <w:tc>
          <w:tcPr>
            <w:tcW w:w="1139" w:type="dxa"/>
            <w:hideMark/>
          </w:tcPr>
          <w:p w14:paraId="68AD0D3D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25" w:type="dxa"/>
            <w:hideMark/>
          </w:tcPr>
          <w:p w14:paraId="51E1D592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hideMark/>
          </w:tcPr>
          <w:p w14:paraId="5FCB17E8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61" w:type="dxa"/>
            <w:hideMark/>
          </w:tcPr>
          <w:p w14:paraId="0D60FF45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Single index of stressor frequency (work and nonwork)</w:t>
            </w:r>
          </w:p>
        </w:tc>
        <w:tc>
          <w:tcPr>
            <w:tcW w:w="1482" w:type="dxa"/>
            <w:hideMark/>
          </w:tcPr>
          <w:p w14:paraId="5D2DA154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3A92F440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hideMark/>
          </w:tcPr>
          <w:p w14:paraId="32B101D5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5" w:type="dxa"/>
            <w:hideMark/>
          </w:tcPr>
          <w:p w14:paraId="4BA02643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hideMark/>
          </w:tcPr>
          <w:p w14:paraId="59E8C908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1B0" w:rsidRPr="003B01B0" w14:paraId="2929557E" w14:textId="77777777" w:rsidTr="003B01B0">
        <w:trPr>
          <w:trHeight w:val="870"/>
        </w:trPr>
        <w:tc>
          <w:tcPr>
            <w:tcW w:w="3996" w:type="dxa"/>
            <w:tcBorders>
              <w:bottom w:val="single" w:sz="4" w:space="0" w:color="auto"/>
            </w:tcBorders>
            <w:hideMark/>
          </w:tcPr>
          <w:p w14:paraId="714A91A4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4" w:history="1"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Lawson KM, Davis KD, McHale SM, Hammer LB, Buxton OM. Daily positive </w:t>
              </w:r>
              <w:proofErr w:type="gramStart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spillover</w:t>
              </w:r>
              <w:proofErr w:type="gramEnd"/>
              <w:r w:rsidRPr="003B01B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 xml:space="preserve"> and crossover from mothers’ work to youth health. Journal of Family Psychology. 2014;28 (6) :897-907.</w:t>
              </w:r>
            </w:hyperlink>
          </w:p>
        </w:tc>
        <w:tc>
          <w:tcPr>
            <w:tcW w:w="1139" w:type="dxa"/>
            <w:tcBorders>
              <w:bottom w:val="single" w:sz="4" w:space="0" w:color="auto"/>
            </w:tcBorders>
            <w:hideMark/>
          </w:tcPr>
          <w:p w14:paraId="54C23457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hideMark/>
          </w:tcPr>
          <w:p w14:paraId="395EDFDF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hideMark/>
          </w:tcPr>
          <w:p w14:paraId="07BF47EE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61" w:type="dxa"/>
            <w:tcBorders>
              <w:bottom w:val="single" w:sz="4" w:space="0" w:color="auto"/>
            </w:tcBorders>
            <w:hideMark/>
          </w:tcPr>
          <w:p w14:paraId="503727BD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bottom w:val="single" w:sz="4" w:space="0" w:color="auto"/>
            </w:tcBorders>
            <w:hideMark/>
          </w:tcPr>
          <w:p w14:paraId="6EFC52ED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  <w:hideMark/>
          </w:tcPr>
          <w:p w14:paraId="6106430F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bottom w:val="single" w:sz="4" w:space="0" w:color="auto"/>
            </w:tcBorders>
            <w:hideMark/>
          </w:tcPr>
          <w:p w14:paraId="4847851E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hideMark/>
          </w:tcPr>
          <w:p w14:paraId="7ACAB499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hideMark/>
          </w:tcPr>
          <w:p w14:paraId="4D7F5694" w14:textId="77777777" w:rsidR="003B01B0" w:rsidRPr="003B01B0" w:rsidRDefault="003B01B0" w:rsidP="003B0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1B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14:paraId="2D9037BA" w14:textId="77777777" w:rsidR="003B01B0" w:rsidRPr="003B01B0" w:rsidRDefault="003B01B0" w:rsidP="003B01B0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3B01B0" w:rsidRPr="003B01B0" w:rsidSect="003B01B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1B0"/>
    <w:rsid w:val="003B01B0"/>
    <w:rsid w:val="0083431B"/>
    <w:rsid w:val="00855A0B"/>
    <w:rsid w:val="00A37020"/>
    <w:rsid w:val="00DE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D608F"/>
  <w15:chartTrackingRefBased/>
  <w15:docId w15:val="{94CF100E-FE90-41D1-B8FE-13FCCA001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01B0"/>
    <w:rPr>
      <w:color w:val="0563C1"/>
      <w:u w:val="single"/>
    </w:rPr>
  </w:style>
  <w:style w:type="table" w:styleId="TableGrid">
    <w:name w:val="Table Grid"/>
    <w:basedOn w:val="TableNormal"/>
    <w:uiPriority w:val="39"/>
    <w:rsid w:val="003B0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B0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kfamilyhealthnetwork.org/publications/bidirectional-temporal-associations-sleep-positive-events-affect-and-stressors" TargetMode="External"/><Relationship Id="rId13" Type="http://schemas.openxmlformats.org/officeDocument/2006/relationships/hyperlink" Target="https://workfamilyhealthnetwork.org/publications/day-day-inconsistency-parent-knowledge-links-youth-health-and-parents-stres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orkfamilyhealthnetwork.org/publications/psychocognitive-reactivity-insufficient-sleep-and-its-association-body-mass" TargetMode="External"/><Relationship Id="rId12" Type="http://schemas.openxmlformats.org/officeDocument/2006/relationships/hyperlink" Target="https://workfamilyhealthnetwork.org/publications/daily-parental-knowledge-youth-activities-linked-youth-physical-symptoms-and-hp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orkfamilyhealthnetwork.org/publications/stressor-reactivity-insufficient-sleep-and-its-association-body-mass-index-middle" TargetMode="External"/><Relationship Id="rId11" Type="http://schemas.openxmlformats.org/officeDocument/2006/relationships/hyperlink" Target="https://workfamilyhealthnetwork.org/publications/daily-stressor-reactivity-during-adolescence-buffering-role-parental-warmth" TargetMode="External"/><Relationship Id="rId5" Type="http://schemas.openxmlformats.org/officeDocument/2006/relationships/hyperlink" Target="https://workfamilyhealthnetwork.org/publication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orkfamilyhealthnetwork.org/publications/day-day-consistency-positive-parent%E2%80%93child-interactions-and-youth-well-being" TargetMode="External"/><Relationship Id="rId4" Type="http://schemas.openxmlformats.org/officeDocument/2006/relationships/hyperlink" Target="https://workfamilyhealthnetwork.org/data" TargetMode="External"/><Relationship Id="rId9" Type="http://schemas.openxmlformats.org/officeDocument/2006/relationships/hyperlink" Target="https://workfamilyhealthnetwork.org/publications/daily-antecedents-and-consequences-nightly-sleep" TargetMode="External"/><Relationship Id="rId14" Type="http://schemas.openxmlformats.org/officeDocument/2006/relationships/hyperlink" Target="https://workfamilyhealthnetwork.org/publications/daily-positive-spillover-and-crossover-mothers%E2%80%99-work-youth-heal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622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French, Kimberly</dc:creator>
  <cp:keywords/>
  <dc:description/>
  <cp:lastModifiedBy>French, Kimberly</cp:lastModifiedBy>
  <cp:revision>2</cp:revision>
  <dcterms:created xsi:type="dcterms:W3CDTF">2023-06-22T21:58:00Z</dcterms:created>
  <dcterms:modified xsi:type="dcterms:W3CDTF">2023-06-22T22:02:00Z</dcterms:modified>
</cp:coreProperties>
</file>