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9C518" w14:textId="77777777" w:rsidR="00CF13A6" w:rsidRPr="00CF13A6" w:rsidRDefault="00CF13A6" w:rsidP="00CF13A6">
      <w:pPr>
        <w:spacing w:line="259" w:lineRule="auto"/>
        <w:outlineLvl w:val="0"/>
        <w:rPr>
          <w:rFonts w:ascii="Calibri" w:eastAsia="Calibri" w:hAnsi="Calibri" w:cs="Calibri"/>
          <w:b/>
          <w:bCs/>
          <w:sz w:val="28"/>
          <w:szCs w:val="28"/>
          <w:lang w:eastAsia="en-US"/>
        </w:rPr>
      </w:pPr>
      <w:r w:rsidRPr="00CF13A6">
        <w:rPr>
          <w:rFonts w:ascii="Calibri" w:eastAsia="Calibri" w:hAnsi="Calibri" w:cs="Calibri"/>
          <w:b/>
          <w:bCs/>
          <w:sz w:val="28"/>
          <w:szCs w:val="28"/>
          <w:lang w:eastAsia="en-US"/>
        </w:rPr>
        <w:t>Supplementary File 1: AIDS-Defining Conditions</w:t>
      </w:r>
    </w:p>
    <w:p w14:paraId="2B4AE896" w14:textId="77777777" w:rsidR="00CF13A6" w:rsidRPr="00CF13A6" w:rsidRDefault="00CF13A6" w:rsidP="00CF13A6">
      <w:pPr>
        <w:rPr>
          <w:rFonts w:ascii="Calibri" w:hAnsi="Calibri" w:cs="Calibri"/>
          <w:lang w:eastAsia="en-US"/>
        </w:rPr>
      </w:pPr>
      <w:r w:rsidRPr="00CF13A6">
        <w:rPr>
          <w:rFonts w:ascii="Calibri" w:hAnsi="Calibri" w:cs="Calibri"/>
          <w:lang w:eastAsia="en-US"/>
        </w:rPr>
        <w:t>The following conditions were considered as AIDS-defining conditions:</w:t>
      </w:r>
    </w:p>
    <w:p w14:paraId="73C9852D" w14:textId="77777777" w:rsidR="00CF13A6" w:rsidRPr="00CF13A6" w:rsidRDefault="00CF13A6" w:rsidP="00CF13A6">
      <w:pPr>
        <w:spacing w:after="0" w:line="276" w:lineRule="auto"/>
        <w:rPr>
          <w:rFonts w:ascii="Calibri" w:hAnsi="Calibri" w:cs="Calibri"/>
          <w:lang w:eastAsia="en-US"/>
        </w:rPr>
        <w:sectPr w:rsidR="00CF13A6" w:rsidRPr="00CF13A6" w:rsidSect="00CF13A6">
          <w:pgSz w:w="12240" w:h="15840"/>
          <w:pgMar w:top="1440" w:right="1440" w:bottom="1440" w:left="1440" w:header="720" w:footer="720" w:gutter="0"/>
          <w:cols w:space="720"/>
          <w:docGrid w:linePitch="360"/>
        </w:sectPr>
      </w:pPr>
    </w:p>
    <w:p w14:paraId="15070284"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Candidiasis bronchi trachea lung</w:t>
      </w:r>
    </w:p>
    <w:p w14:paraId="48F83C79"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Candidiasis esophageal</w:t>
      </w:r>
    </w:p>
    <w:p w14:paraId="7634C279"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Candidiasis AIDS defining unspecified</w:t>
      </w:r>
    </w:p>
    <w:p w14:paraId="611597F6"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Cervical cancer invasive</w:t>
      </w:r>
    </w:p>
    <w:p w14:paraId="1473A9E3"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CMV encephalitis</w:t>
      </w:r>
    </w:p>
    <w:p w14:paraId="3449240F"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CMV entercolitis</w:t>
      </w:r>
    </w:p>
    <w:p w14:paraId="74F92EEF"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CMV esophagitis</w:t>
      </w:r>
    </w:p>
    <w:p w14:paraId="168A7EB6"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CMV entercolitis/esophagitis</w:t>
      </w:r>
    </w:p>
    <w:p w14:paraId="5A2BD792"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CMV pneumonitis</w:t>
      </w:r>
    </w:p>
    <w:p w14:paraId="5EF9D281"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CMV polyradiculopathy</w:t>
      </w:r>
    </w:p>
    <w:p w14:paraId="310D903B"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CMV retinitis</w:t>
      </w:r>
    </w:p>
    <w:p w14:paraId="7062FA74"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CMV disease, not retinitis AIDS defining unspecified</w:t>
      </w:r>
    </w:p>
    <w:p w14:paraId="202F17DF"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CMV AIDS defining unspecified</w:t>
      </w:r>
    </w:p>
    <w:p w14:paraId="49B396DC"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Coccidiomycosis disseminated or extrapulmonary</w:t>
      </w:r>
    </w:p>
    <w:p w14:paraId="09AF4F64"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Cryptococcal meningitis</w:t>
      </w:r>
    </w:p>
    <w:p w14:paraId="25855E29"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Cryptococcosis extrapulmonary, not meningitis</w:t>
      </w:r>
    </w:p>
    <w:p w14:paraId="087A1288"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Cryptococcal AIDS defining unspecified</w:t>
      </w:r>
    </w:p>
    <w:p w14:paraId="4E259165"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Cryptosporidiosis chronic intestinal</w:t>
      </w:r>
    </w:p>
    <w:p w14:paraId="1247AD0E"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Herpes simplex bronchitis pneumonitis</w:t>
      </w:r>
    </w:p>
    <w:p w14:paraId="62C6B1FF"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Herpes simplex chronic ulcer</w:t>
      </w:r>
    </w:p>
    <w:p w14:paraId="7BA78183"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Herpes simplex esophagitis</w:t>
      </w:r>
    </w:p>
    <w:p w14:paraId="642084C9"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Herpes simplex esophagitis bronchitis pneumonitis</w:t>
      </w:r>
    </w:p>
    <w:p w14:paraId="4E92F925"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Herpes simplex AIDS-defining unspecified</w:t>
      </w:r>
    </w:p>
    <w:p w14:paraId="776CF062"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HIV encephalopathy (dementia)</w:t>
      </w:r>
    </w:p>
    <w:p w14:paraId="294EC7AE"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Histoplasmosis disseminated or extrapulmonary</w:t>
      </w:r>
    </w:p>
    <w:p w14:paraId="4E4F1D3A"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Isosporiasis chronic intestinal</w:t>
      </w:r>
    </w:p>
    <w:p w14:paraId="4C210AB1"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Kaposi's sarcoma mucocutaneous</w:t>
      </w:r>
    </w:p>
    <w:p w14:paraId="2AA4133A"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Kaposi's sarcoma visceral</w:t>
      </w:r>
    </w:p>
    <w:p w14:paraId="73825343"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Kaposi's sarcoma AIDS defining unspecified</w:t>
      </w:r>
    </w:p>
    <w:p w14:paraId="69C11E35"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Non-Hodgkin's lymphoma, Burkitt's</w:t>
      </w:r>
    </w:p>
    <w:p w14:paraId="30B0D49C"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Non-Hodgkin's lymphoma, immunoblastic</w:t>
      </w:r>
    </w:p>
    <w:p w14:paraId="0AD93A18"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Non-Hodgkin's lymphoma, Primary CNS</w:t>
      </w:r>
    </w:p>
    <w:p w14:paraId="4A9660E4"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Non-Hodgkin's lymphoma, unspecified</w:t>
      </w:r>
    </w:p>
    <w:p w14:paraId="060FF12F"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MAC or M kansasii disseminated or extrapulmonary</w:t>
      </w:r>
    </w:p>
    <w:p w14:paraId="2CA45032"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Mycobacterium other or unspecified species disseminated or extrapulmonary</w:t>
      </w:r>
    </w:p>
    <w:p w14:paraId="36A569E1"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TB disseminated or extrapulmonary</w:t>
      </w:r>
    </w:p>
    <w:p w14:paraId="02DB9CCE"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TB pulmonary</w:t>
      </w:r>
    </w:p>
    <w:p w14:paraId="3E1B49ED"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TB AIDS-defining unspecified</w:t>
      </w:r>
    </w:p>
    <w:p w14:paraId="37EFE0B1"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Pneumocystis jiroveci pneumonia (PCP)</w:t>
      </w:r>
    </w:p>
    <w:p w14:paraId="088BBDBF"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Pneumonia</w:t>
      </w:r>
    </w:p>
    <w:p w14:paraId="73FAFAE3"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Pneumonia recurrent</w:t>
      </w:r>
    </w:p>
    <w:p w14:paraId="7E77C0A2"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Progressive multifocal leukoencephalopathy (PML)</w:t>
      </w:r>
    </w:p>
    <w:p w14:paraId="532615E4"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Salmonella septicemia</w:t>
      </w:r>
    </w:p>
    <w:p w14:paraId="77229C39"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Salmonella septicemia recurrent</w:t>
      </w:r>
    </w:p>
    <w:p w14:paraId="05D03318"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Toxoplasmosis of brain</w:t>
      </w:r>
    </w:p>
    <w:p w14:paraId="1F44C0EA"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Toxoplasmosis unspecified</w:t>
      </w:r>
    </w:p>
    <w:p w14:paraId="2BA99665"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Wasting syndrome due to HIV</w:t>
      </w:r>
    </w:p>
    <w:p w14:paraId="23FB5BD0"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Pneumonia bacterial, recurrent</w:t>
      </w:r>
    </w:p>
    <w:p w14:paraId="7CFDFA19" w14:textId="77777777" w:rsidR="00CF13A6" w:rsidRPr="00CF13A6" w:rsidRDefault="00CF13A6" w:rsidP="00CF13A6">
      <w:pPr>
        <w:pStyle w:val="ListParagraph"/>
        <w:numPr>
          <w:ilvl w:val="0"/>
          <w:numId w:val="1"/>
        </w:numPr>
        <w:spacing w:after="0" w:line="276" w:lineRule="auto"/>
        <w:rPr>
          <w:rFonts w:ascii="Calibri" w:hAnsi="Calibri" w:cs="Calibri"/>
          <w:lang w:eastAsia="en-US"/>
        </w:rPr>
      </w:pPr>
      <w:r w:rsidRPr="00CF13A6">
        <w:rPr>
          <w:rFonts w:ascii="Calibri" w:hAnsi="Calibri" w:cs="Calibri"/>
          <w:lang w:eastAsia="en-US"/>
        </w:rPr>
        <w:t>Non-Hodgkin's lymphoma, large cell</w:t>
      </w:r>
    </w:p>
    <w:p w14:paraId="3670927C" w14:textId="77777777" w:rsidR="00CF13A6" w:rsidRPr="00CF13A6" w:rsidRDefault="00CF13A6" w:rsidP="00CF13A6">
      <w:pPr>
        <w:spacing w:after="0" w:line="276" w:lineRule="auto"/>
        <w:rPr>
          <w:rFonts w:ascii="Calibri" w:hAnsi="Calibri" w:cs="Calibri"/>
          <w:lang w:eastAsia="en-US"/>
        </w:rPr>
      </w:pPr>
      <w:r w:rsidRPr="00CF13A6">
        <w:rPr>
          <w:rFonts w:ascii="Calibri" w:hAnsi="Calibri" w:cs="Calibri"/>
          <w:lang w:eastAsia="en-US"/>
        </w:rPr>
        <w:br w:type="page"/>
      </w:r>
    </w:p>
    <w:p w14:paraId="17B06D33" w14:textId="77777777" w:rsidR="00CF13A6" w:rsidRPr="00CF13A6" w:rsidRDefault="00CF13A6" w:rsidP="00CF13A6">
      <w:pPr>
        <w:rPr>
          <w:rFonts w:ascii="Calibri" w:hAnsi="Calibri" w:cs="Calibri"/>
          <w:lang w:eastAsia="en-US"/>
        </w:rPr>
        <w:sectPr w:rsidR="00CF13A6" w:rsidRPr="00CF13A6" w:rsidSect="00CF13A6">
          <w:type w:val="continuous"/>
          <w:pgSz w:w="12240" w:h="15840"/>
          <w:pgMar w:top="1440" w:right="1440" w:bottom="1440" w:left="1440" w:header="720" w:footer="720" w:gutter="0"/>
          <w:cols w:num="2" w:space="720"/>
          <w:docGrid w:linePitch="360"/>
        </w:sectPr>
      </w:pPr>
    </w:p>
    <w:p w14:paraId="665A024F" w14:textId="77777777" w:rsidR="00CF13A6" w:rsidRPr="00CF13A6" w:rsidRDefault="00CF13A6" w:rsidP="00CF13A6">
      <w:pPr>
        <w:spacing w:line="259" w:lineRule="auto"/>
        <w:outlineLvl w:val="0"/>
        <w:rPr>
          <w:rFonts w:ascii="Calibri" w:eastAsia="Calibri" w:hAnsi="Calibri" w:cs="Calibri"/>
          <w:b/>
          <w:bCs/>
          <w:sz w:val="28"/>
          <w:szCs w:val="28"/>
          <w:lang w:eastAsia="en-US"/>
        </w:rPr>
      </w:pPr>
      <w:r w:rsidRPr="00CF13A6">
        <w:rPr>
          <w:rFonts w:ascii="Calibri" w:eastAsia="Calibri" w:hAnsi="Calibri" w:cs="Calibri"/>
          <w:b/>
          <w:bCs/>
          <w:sz w:val="28"/>
          <w:szCs w:val="28"/>
          <w:lang w:eastAsia="en-US"/>
        </w:rPr>
        <w:lastRenderedPageBreak/>
        <w:t>Supplementary File 2: Methods Supplement</w:t>
      </w:r>
    </w:p>
    <w:p w14:paraId="2617872A" w14:textId="77777777" w:rsidR="00CF13A6" w:rsidRDefault="00CF13A6" w:rsidP="00CF13A6">
      <w:pPr>
        <w:rPr>
          <w:rFonts w:ascii="Calibri" w:hAnsi="Calibri" w:cs="Calibri"/>
          <w:lang w:eastAsia="en-US"/>
        </w:rPr>
      </w:pPr>
    </w:p>
    <w:p w14:paraId="5939D49E" w14:textId="77777777" w:rsidR="00CB4574" w:rsidRPr="00CF13A6" w:rsidRDefault="00CB4574" w:rsidP="00CF13A6">
      <w:pPr>
        <w:rPr>
          <w:rFonts w:ascii="Calibri" w:hAnsi="Calibri" w:cs="Calibri"/>
          <w:lang w:eastAsia="en-US"/>
        </w:rPr>
      </w:pPr>
    </w:p>
    <w:p w14:paraId="6FA91066" w14:textId="77777777" w:rsidR="00CF13A6" w:rsidRPr="00CF13A6" w:rsidRDefault="00CF13A6" w:rsidP="00CF13A6">
      <w:pPr>
        <w:rPr>
          <w:rFonts w:ascii="Calibri" w:hAnsi="Calibri" w:cs="Calibri"/>
          <w:i/>
          <w:iCs/>
          <w:lang w:eastAsia="en-US"/>
        </w:rPr>
      </w:pPr>
      <w:r w:rsidRPr="00CF13A6">
        <w:rPr>
          <w:rFonts w:ascii="Calibri" w:hAnsi="Calibri" w:cs="Calibri"/>
          <w:i/>
          <w:iCs/>
          <w:lang w:eastAsia="en-US"/>
        </w:rPr>
        <w:t>Using propensity scores for descriptive analysis</w:t>
      </w:r>
    </w:p>
    <w:p w14:paraId="43E71775" w14:textId="77777777" w:rsidR="00CF13A6" w:rsidRPr="00CF13A6" w:rsidRDefault="00CF13A6" w:rsidP="00CF13A6">
      <w:pPr>
        <w:rPr>
          <w:rFonts w:ascii="Calibri" w:hAnsi="Calibri" w:cs="Calibri"/>
          <w:lang w:eastAsia="en-US"/>
        </w:rPr>
      </w:pPr>
      <w:r w:rsidRPr="00CF13A6">
        <w:rPr>
          <w:rFonts w:ascii="Calibri" w:hAnsi="Calibri" w:cs="Calibri"/>
          <w:lang w:eastAsia="en-US"/>
        </w:rPr>
        <w:t>Li and Li (2023)</w:t>
      </w:r>
      <w:r w:rsidRPr="00CF13A6">
        <w:rPr>
          <w:rFonts w:ascii="Calibri" w:hAnsi="Calibri" w:cs="Calibri"/>
          <w:vertAlign w:val="superscript"/>
          <w:lang w:eastAsia="en-US"/>
        </w:rPr>
        <w:t>1</w:t>
      </w:r>
      <w:r w:rsidRPr="00CF13A6">
        <w:rPr>
          <w:rFonts w:ascii="Calibri" w:hAnsi="Calibri" w:cs="Calibri"/>
          <w:lang w:eastAsia="en-US"/>
        </w:rPr>
        <w:t xml:space="preserve"> present a framework for using propensity scores in descriptive analyses. We describe this framework specific to our study as follows:</w:t>
      </w:r>
    </w:p>
    <w:p w14:paraId="137BCDD5" w14:textId="77777777" w:rsidR="00CF13A6" w:rsidRPr="00CF13A6" w:rsidRDefault="00CF13A6" w:rsidP="00CF13A6">
      <w:pPr>
        <w:ind w:left="720" w:hanging="720"/>
        <w:rPr>
          <w:rFonts w:ascii="Calibri" w:hAnsi="Calibri" w:cs="Calibri"/>
          <w:lang w:eastAsia="en-US"/>
        </w:rPr>
      </w:pPr>
      <w:r w:rsidRPr="00CF13A6">
        <w:rPr>
          <w:rFonts w:ascii="Calibri" w:hAnsi="Calibri" w:cs="Calibri"/>
          <w:lang w:eastAsia="en-US"/>
        </w:rPr>
        <w:t xml:space="preserve">Let </w:t>
      </w:r>
      <w:r w:rsidRPr="00CF13A6">
        <w:rPr>
          <w:rFonts w:ascii="Calibri" w:hAnsi="Calibri" w:cs="Calibri"/>
          <w:lang w:eastAsia="en-US"/>
        </w:rPr>
        <w:tab/>
      </w:r>
      <m:oMath>
        <m:r>
          <w:rPr>
            <w:rFonts w:ascii="Cambria Math" w:hAnsi="Cambria Math" w:cs="Calibri"/>
            <w:lang w:eastAsia="en-US"/>
          </w:rPr>
          <m:t>Y</m:t>
        </m:r>
      </m:oMath>
      <w:r w:rsidRPr="00CF13A6">
        <w:rPr>
          <w:rFonts w:ascii="Calibri" w:hAnsi="Calibri" w:cs="Calibri"/>
          <w:lang w:eastAsia="en-US"/>
        </w:rPr>
        <w:t xml:space="preserve"> be the outcome variable, i.e. AIDS defining condition (ADC)</w:t>
      </w:r>
      <w:r w:rsidRPr="00CF13A6">
        <w:rPr>
          <w:rFonts w:ascii="Calibri" w:hAnsi="Calibri" w:cs="Calibri"/>
          <w:lang w:eastAsia="en-US"/>
        </w:rPr>
        <w:br/>
      </w:r>
      <m:oMath>
        <m:r>
          <w:rPr>
            <w:rFonts w:ascii="Cambria Math" w:hAnsi="Cambria Math" w:cs="Calibri"/>
            <w:lang w:eastAsia="en-US"/>
          </w:rPr>
          <m:t>A</m:t>
        </m:r>
      </m:oMath>
      <w:r w:rsidRPr="00CF13A6">
        <w:rPr>
          <w:rFonts w:ascii="Calibri" w:hAnsi="Calibri" w:cs="Calibri"/>
          <w:lang w:eastAsia="en-US"/>
        </w:rPr>
        <w:t xml:space="preserve"> be the exposure variable, i.e. perinatal HIV acquisition risk factor</w:t>
      </w:r>
      <w:r w:rsidRPr="00CF13A6">
        <w:rPr>
          <w:rFonts w:ascii="Calibri" w:hAnsi="Calibri" w:cs="Calibri"/>
          <w:lang w:eastAsia="en-US"/>
        </w:rPr>
        <w:br/>
      </w:r>
      <m:oMath>
        <m:r>
          <w:rPr>
            <w:rFonts w:ascii="Cambria Math" w:hAnsi="Cambria Math" w:cs="Calibri"/>
            <w:lang w:eastAsia="en-US"/>
          </w:rPr>
          <m:t>Z</m:t>
        </m:r>
      </m:oMath>
      <w:r w:rsidRPr="00CF13A6">
        <w:rPr>
          <w:rFonts w:ascii="Calibri" w:hAnsi="Calibri" w:cs="Calibri"/>
          <w:lang w:eastAsia="en-US"/>
        </w:rPr>
        <w:t xml:space="preserve"> be the set of covariates used to standardize perinatal and non-perinatal HIV groups, i.e. sex, race, age at study entry, calendar time at study entry, and CD4 count at study entry</w:t>
      </w:r>
      <w:r w:rsidRPr="00CF13A6">
        <w:rPr>
          <w:rFonts w:ascii="Calibri" w:hAnsi="Calibri" w:cs="Calibri"/>
          <w:lang w:eastAsia="en-US"/>
        </w:rPr>
        <w:br/>
      </w:r>
      <m:oMath>
        <m:r>
          <w:rPr>
            <w:rFonts w:ascii="Cambria Math" w:hAnsi="Cambria Math" w:cs="Calibri"/>
            <w:lang w:eastAsia="en-US"/>
          </w:rPr>
          <m:t>e</m:t>
        </m:r>
        <m:d>
          <m:dPr>
            <m:ctrlPr>
              <w:rPr>
                <w:rFonts w:ascii="Cambria Math" w:hAnsi="Cambria Math" w:cs="Calibri"/>
                <w:i/>
                <w:lang w:eastAsia="en-US"/>
              </w:rPr>
            </m:ctrlPr>
          </m:dPr>
          <m:e>
            <m:r>
              <w:rPr>
                <w:rFonts w:ascii="Cambria Math" w:hAnsi="Cambria Math" w:cs="Calibri"/>
                <w:lang w:eastAsia="en-US"/>
              </w:rPr>
              <m:t>x</m:t>
            </m:r>
          </m:e>
        </m:d>
        <m:r>
          <w:rPr>
            <w:rFonts w:ascii="Cambria Math" w:hAnsi="Cambria Math" w:cs="Calibri"/>
            <w:lang w:eastAsia="en-US"/>
          </w:rPr>
          <m:t>=P(A=1|Z=1)</m:t>
        </m:r>
      </m:oMath>
      <w:r w:rsidRPr="00CF13A6">
        <w:rPr>
          <w:rFonts w:ascii="Calibri" w:hAnsi="Calibri" w:cs="Calibri"/>
          <w:lang w:eastAsia="en-US"/>
        </w:rPr>
        <w:t xml:space="preserve"> be the propensity score, or the conditional probability of being in the perinatal HIV group given covariates </w:t>
      </w:r>
      <m:oMath>
        <m:r>
          <w:rPr>
            <w:rFonts w:ascii="Cambria Math" w:hAnsi="Cambria Math" w:cs="Calibri"/>
            <w:lang w:eastAsia="en-US"/>
          </w:rPr>
          <m:t>Z</m:t>
        </m:r>
      </m:oMath>
    </w:p>
    <w:p w14:paraId="0F940E31" w14:textId="77777777" w:rsidR="00CF13A6" w:rsidRPr="00CF13A6" w:rsidRDefault="00CF13A6" w:rsidP="00CF13A6">
      <w:pPr>
        <w:rPr>
          <w:rFonts w:ascii="Calibri" w:hAnsi="Calibri" w:cs="Calibri"/>
          <w:lang w:eastAsia="en-US"/>
        </w:rPr>
      </w:pPr>
    </w:p>
    <w:p w14:paraId="3DF12EEA" w14:textId="77777777" w:rsidR="00CF13A6" w:rsidRPr="00CF13A6" w:rsidRDefault="00CF13A6" w:rsidP="00CF13A6">
      <w:pPr>
        <w:rPr>
          <w:rFonts w:ascii="Calibri" w:hAnsi="Calibri" w:cs="Calibri"/>
          <w:lang w:eastAsia="en-US"/>
        </w:rPr>
      </w:pPr>
      <w:r w:rsidRPr="00CF13A6">
        <w:rPr>
          <w:rFonts w:ascii="Calibri" w:hAnsi="Calibri" w:cs="Calibri"/>
          <w:lang w:eastAsia="en-US"/>
        </w:rPr>
        <w:t>We are primarily interested in two estimands:</w:t>
      </w:r>
    </w:p>
    <w:p w14:paraId="68A19AED" w14:textId="77777777" w:rsidR="00CF13A6" w:rsidRPr="00CF13A6" w:rsidRDefault="00CF13A6" w:rsidP="00CF13A6">
      <w:pPr>
        <w:pStyle w:val="ListParagraph"/>
        <w:numPr>
          <w:ilvl w:val="0"/>
          <w:numId w:val="4"/>
        </w:numPr>
        <w:rPr>
          <w:rFonts w:ascii="Calibri" w:hAnsi="Calibri" w:cs="Calibri"/>
          <w:lang w:eastAsia="en-US"/>
        </w:rPr>
      </w:pPr>
      <w:r w:rsidRPr="00CF13A6">
        <w:rPr>
          <w:rFonts w:ascii="Calibri" w:hAnsi="Calibri" w:cs="Calibri"/>
          <w:lang w:eastAsia="en-US"/>
        </w:rPr>
        <w:t xml:space="preserve">The incidence of ADCs among people with perinatal HIV, </w:t>
      </w:r>
      <m:oMath>
        <m:r>
          <w:rPr>
            <w:rFonts w:ascii="Cambria Math" w:hAnsi="Cambria Math" w:cs="Calibri"/>
            <w:lang w:eastAsia="en-US"/>
          </w:rPr>
          <m:t>E</m:t>
        </m:r>
        <m:d>
          <m:dPr>
            <m:ctrlPr>
              <w:rPr>
                <w:rFonts w:ascii="Cambria Math" w:hAnsi="Cambria Math" w:cs="Calibri"/>
                <w:i/>
                <w:lang w:eastAsia="en-US"/>
              </w:rPr>
            </m:ctrlPr>
          </m:dPr>
          <m:e>
            <m:r>
              <w:rPr>
                <w:rFonts w:ascii="Cambria Math" w:hAnsi="Cambria Math" w:cs="Calibri"/>
                <w:lang w:eastAsia="en-US"/>
              </w:rPr>
              <m:t>Y | A=1</m:t>
            </m:r>
          </m:e>
        </m:d>
      </m:oMath>
    </w:p>
    <w:p w14:paraId="1AC160B9" w14:textId="77777777" w:rsidR="00CF13A6" w:rsidRPr="00CF13A6" w:rsidRDefault="00CF13A6" w:rsidP="00CF13A6">
      <w:pPr>
        <w:pStyle w:val="ListParagraph"/>
        <w:numPr>
          <w:ilvl w:val="0"/>
          <w:numId w:val="4"/>
        </w:numPr>
        <w:rPr>
          <w:rFonts w:ascii="Calibri" w:hAnsi="Calibri" w:cs="Calibri"/>
          <w:lang w:eastAsia="en-US"/>
        </w:rPr>
      </w:pPr>
      <w:r w:rsidRPr="00CF13A6">
        <w:rPr>
          <w:rFonts w:ascii="Calibri" w:hAnsi="Calibri" w:cs="Calibri"/>
          <w:lang w:eastAsia="en-US"/>
        </w:rPr>
        <w:t xml:space="preserve">The average </w:t>
      </w:r>
      <w:r w:rsidRPr="00CF13A6">
        <w:rPr>
          <w:rFonts w:ascii="Calibri" w:hAnsi="Calibri" w:cs="Calibri"/>
          <w:b/>
          <w:bCs/>
          <w:lang w:eastAsia="en-US"/>
        </w:rPr>
        <w:t>controlled</w:t>
      </w:r>
      <w:r w:rsidRPr="00CF13A6">
        <w:rPr>
          <w:rFonts w:ascii="Calibri" w:hAnsi="Calibri" w:cs="Calibri"/>
          <w:lang w:eastAsia="en-US"/>
        </w:rPr>
        <w:t xml:space="preserve"> difference of perinatal vs. non-perinatal given covariate values </w:t>
      </w:r>
      <m:oMath>
        <m:r>
          <w:rPr>
            <w:rFonts w:ascii="Cambria Math" w:hAnsi="Cambria Math" w:cs="Calibri"/>
            <w:lang w:eastAsia="en-US"/>
          </w:rPr>
          <m:t>z</m:t>
        </m:r>
      </m:oMath>
      <w:r w:rsidRPr="00CF13A6">
        <w:rPr>
          <w:rFonts w:ascii="Calibri" w:hAnsi="Calibri" w:cs="Calibri"/>
          <w:lang w:eastAsia="en-US"/>
        </w:rPr>
        <w:t xml:space="preserve">: </w:t>
      </w:r>
      <m:oMath>
        <m:r>
          <w:rPr>
            <w:rFonts w:ascii="Cambria Math" w:hAnsi="Cambria Math" w:cs="Calibri"/>
            <w:lang w:eastAsia="en-US"/>
          </w:rPr>
          <m:t>E</m:t>
        </m:r>
        <m:d>
          <m:dPr>
            <m:ctrlPr>
              <w:rPr>
                <w:rFonts w:ascii="Cambria Math" w:hAnsi="Cambria Math" w:cs="Calibri"/>
                <w:i/>
                <w:lang w:eastAsia="en-US"/>
              </w:rPr>
            </m:ctrlPr>
          </m:dPr>
          <m:e>
            <m:r>
              <w:rPr>
                <w:rFonts w:ascii="Cambria Math" w:hAnsi="Cambria Math" w:cs="Calibri"/>
                <w:lang w:eastAsia="en-US"/>
              </w:rPr>
              <m:t>Y | A=1</m:t>
            </m:r>
          </m:e>
        </m:d>
        <m:r>
          <w:rPr>
            <w:rFonts w:ascii="Cambria Math" w:hAnsi="Cambria Math" w:cs="Calibri"/>
            <w:lang w:eastAsia="en-US"/>
          </w:rPr>
          <m:t>-E</m:t>
        </m:r>
        <m:d>
          <m:dPr>
            <m:ctrlPr>
              <w:rPr>
                <w:rFonts w:ascii="Cambria Math" w:hAnsi="Cambria Math" w:cs="Calibri"/>
                <w:i/>
                <w:lang w:eastAsia="en-US"/>
              </w:rPr>
            </m:ctrlPr>
          </m:dPr>
          <m:e>
            <m:r>
              <w:rPr>
                <w:rFonts w:ascii="Cambria Math" w:hAnsi="Cambria Math" w:cs="Calibri"/>
                <w:lang w:eastAsia="en-US"/>
              </w:rPr>
              <m:t>Y | A=0</m:t>
            </m:r>
          </m:e>
        </m:d>
      </m:oMath>
      <w:r w:rsidRPr="00CF13A6">
        <w:rPr>
          <w:rFonts w:ascii="Calibri" w:hAnsi="Calibri" w:cs="Calibri"/>
          <w:lang w:eastAsia="en-US"/>
        </w:rPr>
        <w:t>. We simplify the notation for each non-perinatal group as "</w:t>
      </w:r>
      <m:oMath>
        <m:r>
          <w:rPr>
            <w:rFonts w:ascii="Cambria Math" w:hAnsi="Cambria Math" w:cs="Calibri"/>
            <w:lang w:eastAsia="en-US"/>
          </w:rPr>
          <m:t>A=0</m:t>
        </m:r>
      </m:oMath>
      <w:r w:rsidRPr="00CF13A6">
        <w:rPr>
          <w:rFonts w:ascii="Calibri" w:hAnsi="Calibri" w:cs="Calibri"/>
          <w:lang w:eastAsia="en-US"/>
        </w:rPr>
        <w:t xml:space="preserve">”. </w:t>
      </w:r>
    </w:p>
    <w:p w14:paraId="07A85EE5" w14:textId="77777777" w:rsidR="00CF13A6" w:rsidRPr="00CF13A6" w:rsidRDefault="00CF13A6" w:rsidP="00CF13A6">
      <w:pPr>
        <w:rPr>
          <w:rFonts w:ascii="Calibri" w:hAnsi="Calibri" w:cs="Calibri"/>
          <w:lang w:eastAsia="en-US"/>
        </w:rPr>
      </w:pPr>
    </w:p>
    <w:p w14:paraId="614D27D1" w14:textId="77777777" w:rsidR="00CF13A6" w:rsidRPr="00CF13A6" w:rsidRDefault="00CF13A6" w:rsidP="00CF13A6">
      <w:pPr>
        <w:rPr>
          <w:rFonts w:ascii="Calibri" w:hAnsi="Calibri" w:cs="Calibri"/>
          <w:lang w:eastAsia="en-US"/>
        </w:rPr>
      </w:pPr>
      <w:r w:rsidRPr="00CF13A6">
        <w:rPr>
          <w:rFonts w:ascii="Calibri" w:hAnsi="Calibri" w:cs="Calibri"/>
          <w:lang w:eastAsia="en-US"/>
        </w:rPr>
        <w:t xml:space="preserve">In the context of descriptive studies, covariates </w:t>
      </w:r>
      <m:oMath>
        <m:r>
          <w:rPr>
            <w:rFonts w:ascii="Cambria Math" w:hAnsi="Cambria Math" w:cs="Calibri"/>
            <w:lang w:eastAsia="en-US"/>
          </w:rPr>
          <m:t>Z</m:t>
        </m:r>
      </m:oMath>
      <w:r w:rsidRPr="00CF13A6">
        <w:rPr>
          <w:rFonts w:ascii="Calibri" w:hAnsi="Calibri" w:cs="Calibri"/>
          <w:lang w:eastAsia="en-US"/>
        </w:rPr>
        <w:t xml:space="preserve"> are not confounders: rather they are characteristics that we are interested in making similar between perinatal and non-perinatal groups to provide numerical context on the magnitude of incidence of ADCs observed among the perinatal HIV group.</w:t>
      </w:r>
    </w:p>
    <w:p w14:paraId="67FD78B5" w14:textId="107C1CD7" w:rsidR="00CF13A6" w:rsidRPr="00CF13A6" w:rsidRDefault="00CF13A6" w:rsidP="00CF13A6">
      <w:pPr>
        <w:rPr>
          <w:rFonts w:ascii="Calibri" w:hAnsi="Calibri" w:cs="Calibri"/>
          <w:lang w:eastAsia="en-US"/>
        </w:rPr>
      </w:pPr>
    </w:p>
    <w:p w14:paraId="020C944B" w14:textId="7CF359D2" w:rsidR="00CF13A6" w:rsidRPr="00CF13A6" w:rsidRDefault="00CF13A6" w:rsidP="00CF13A6">
      <w:pPr>
        <w:rPr>
          <w:rFonts w:ascii="Calibri" w:hAnsi="Calibri" w:cs="Calibri"/>
          <w:lang w:eastAsia="en-US"/>
        </w:rPr>
      </w:pPr>
      <w:r w:rsidRPr="00CF13A6">
        <w:rPr>
          <w:rFonts w:ascii="Calibri" w:hAnsi="Calibri" w:cs="Calibri"/>
          <w:lang w:eastAsia="en-US"/>
        </w:rPr>
        <w:t xml:space="preserve">We aim to define the average controlled difference on the perinatal HIV group, which is akin to the average treatment effect among the treated (ATT) in causal analyses. </w:t>
      </w:r>
      <w:r w:rsidR="002C254A">
        <w:rPr>
          <w:rFonts w:ascii="Calibri" w:hAnsi="Calibri" w:cs="Calibri"/>
          <w:lang w:eastAsia="en-US"/>
        </w:rPr>
        <w:t xml:space="preserve">This means we are </w:t>
      </w:r>
      <w:r w:rsidR="00C97F4F">
        <w:rPr>
          <w:rFonts w:ascii="Calibri" w:hAnsi="Calibri" w:cs="Calibri"/>
          <w:lang w:eastAsia="en-US"/>
        </w:rPr>
        <w:t xml:space="preserve">making the characteristics similar of the non-perinatal HIV groups </w:t>
      </w:r>
      <w:r w:rsidR="008C1FCC">
        <w:rPr>
          <w:rFonts w:ascii="Calibri" w:hAnsi="Calibri" w:cs="Calibri"/>
          <w:lang w:eastAsia="en-US"/>
        </w:rPr>
        <w:t xml:space="preserve">with </w:t>
      </w:r>
      <w:r w:rsidR="00C97F4F">
        <w:rPr>
          <w:rFonts w:ascii="Calibri" w:hAnsi="Calibri" w:cs="Calibri"/>
          <w:lang w:eastAsia="en-US"/>
        </w:rPr>
        <w:t xml:space="preserve">the perinatal HIV group. </w:t>
      </w:r>
      <w:r w:rsidRPr="00CF13A6">
        <w:rPr>
          <w:rFonts w:ascii="Calibri" w:hAnsi="Calibri" w:cs="Calibri"/>
          <w:lang w:eastAsia="en-US"/>
        </w:rPr>
        <w:t>We used a weighting approach to arrive at this marginal estimate. The weights are:</w:t>
      </w:r>
    </w:p>
    <w:p w14:paraId="37A1C13C" w14:textId="77777777" w:rsidR="00CF13A6" w:rsidRPr="00CF13A6" w:rsidRDefault="00CF13A6" w:rsidP="00CF13A6">
      <w:pPr>
        <w:pStyle w:val="ListParagraph"/>
        <w:numPr>
          <w:ilvl w:val="0"/>
          <w:numId w:val="2"/>
        </w:numPr>
        <w:rPr>
          <w:rFonts w:ascii="Calibri" w:hAnsi="Calibri" w:cs="Calibri"/>
          <w:lang w:eastAsia="en-US"/>
        </w:rPr>
      </w:pPr>
      <w:r w:rsidRPr="00CF13A6">
        <w:rPr>
          <w:rFonts w:ascii="Calibri" w:hAnsi="Calibri" w:cs="Calibri"/>
          <w:lang w:eastAsia="en-US"/>
        </w:rPr>
        <w:t>1 for the perinatal HIV group (as they are the “reference” group that we aim to make similar to)</w:t>
      </w:r>
    </w:p>
    <w:p w14:paraId="32DBC635" w14:textId="77777777" w:rsidR="00E13C0D" w:rsidRDefault="00000000" w:rsidP="00CF13A6">
      <w:pPr>
        <w:pStyle w:val="ListParagraph"/>
        <w:numPr>
          <w:ilvl w:val="0"/>
          <w:numId w:val="2"/>
        </w:numPr>
        <w:rPr>
          <w:rFonts w:ascii="Calibri" w:hAnsi="Calibri" w:cs="Calibri"/>
          <w:lang w:eastAsia="en-US"/>
        </w:rPr>
      </w:pPr>
      <m:oMath>
        <m:f>
          <m:fPr>
            <m:ctrlPr>
              <w:rPr>
                <w:rFonts w:ascii="Cambria Math" w:hAnsi="Cambria Math" w:cs="Calibri"/>
                <w:i/>
                <w:lang w:eastAsia="en-US"/>
              </w:rPr>
            </m:ctrlPr>
          </m:fPr>
          <m:num>
            <m:r>
              <w:rPr>
                <w:rFonts w:ascii="Cambria Math" w:hAnsi="Cambria Math" w:cs="Calibri"/>
                <w:lang w:eastAsia="en-US"/>
              </w:rPr>
              <m:t>e(x)</m:t>
            </m:r>
          </m:num>
          <m:den>
            <m:r>
              <w:rPr>
                <w:rFonts w:ascii="Cambria Math" w:hAnsi="Cambria Math" w:cs="Calibri"/>
                <w:lang w:eastAsia="en-US"/>
              </w:rPr>
              <m:t>1-e(x)</m:t>
            </m:r>
          </m:den>
        </m:f>
      </m:oMath>
      <w:r w:rsidR="00CF13A6" w:rsidRPr="00CF13A6">
        <w:rPr>
          <w:rFonts w:ascii="Calibri" w:hAnsi="Calibri" w:cs="Calibri"/>
          <w:lang w:eastAsia="en-US"/>
        </w:rPr>
        <w:t xml:space="preserve"> for each of the non-perinatal HIV groups. The weights are expressed as </w:t>
      </w:r>
      <w:r w:rsidR="00CF13A6" w:rsidRPr="00CF13A6">
        <w:rPr>
          <w:rFonts w:ascii="Calibri" w:hAnsi="Calibri" w:cs="Calibri"/>
          <w:b/>
          <w:bCs/>
          <w:lang w:eastAsia="en-US"/>
        </w:rPr>
        <w:t>odds</w:t>
      </w:r>
      <w:r w:rsidR="00CF13A6" w:rsidRPr="00CF13A6">
        <w:rPr>
          <w:rFonts w:ascii="Calibri" w:hAnsi="Calibri" w:cs="Calibri"/>
          <w:lang w:eastAsia="en-US"/>
        </w:rPr>
        <w:t xml:space="preserve"> of the propensity score.</w:t>
      </w:r>
      <w:r w:rsidR="00E13C0D">
        <w:rPr>
          <w:rFonts w:ascii="Calibri" w:hAnsi="Calibri" w:cs="Calibri"/>
          <w:lang w:eastAsia="en-US"/>
        </w:rPr>
        <w:t xml:space="preserve"> </w:t>
      </w:r>
    </w:p>
    <w:p w14:paraId="3DFF7575" w14:textId="77777777" w:rsidR="00E13C0D" w:rsidRDefault="00E13C0D" w:rsidP="00E13C0D">
      <w:pPr>
        <w:rPr>
          <w:rFonts w:ascii="Calibri" w:hAnsi="Calibri" w:cs="Calibri"/>
          <w:lang w:eastAsia="en-US"/>
        </w:rPr>
      </w:pPr>
    </w:p>
    <w:p w14:paraId="1EA11587" w14:textId="701EEF1C" w:rsidR="00412C6A" w:rsidRDefault="00E13C0D" w:rsidP="00E13C0D">
      <w:pPr>
        <w:rPr>
          <w:rFonts w:ascii="Calibri" w:hAnsi="Calibri" w:cs="Calibri"/>
          <w:lang w:eastAsia="en-US"/>
        </w:rPr>
      </w:pPr>
      <w:r>
        <w:rPr>
          <w:rFonts w:ascii="Calibri" w:hAnsi="Calibri" w:cs="Calibri"/>
          <w:lang w:eastAsia="en-US"/>
        </w:rPr>
        <w:t>If the objective was to assess an</w:t>
      </w:r>
      <w:r w:rsidR="002C254A">
        <w:rPr>
          <w:rFonts w:ascii="Calibri" w:hAnsi="Calibri" w:cs="Calibri"/>
          <w:lang w:eastAsia="en-US"/>
        </w:rPr>
        <w:t xml:space="preserve"> average controlled difference in the whole population living with HIV</w:t>
      </w:r>
      <w:r w:rsidR="002046CF">
        <w:rPr>
          <w:rFonts w:ascii="Calibri" w:hAnsi="Calibri" w:cs="Calibri"/>
          <w:lang w:eastAsia="en-US"/>
        </w:rPr>
        <w:t xml:space="preserve">, we would make the characteristics of </w:t>
      </w:r>
      <w:r w:rsidR="002046CF" w:rsidRPr="002046CF">
        <w:rPr>
          <w:rFonts w:ascii="Calibri" w:hAnsi="Calibri" w:cs="Calibri"/>
          <w:lang w:eastAsia="en-US"/>
        </w:rPr>
        <w:t>each</w:t>
      </w:r>
      <w:r w:rsidR="002046CF">
        <w:rPr>
          <w:rFonts w:ascii="Calibri" w:hAnsi="Calibri" w:cs="Calibri"/>
          <w:i/>
          <w:iCs/>
          <w:lang w:eastAsia="en-US"/>
        </w:rPr>
        <w:t xml:space="preserve"> </w:t>
      </w:r>
      <w:r w:rsidR="002046CF">
        <w:rPr>
          <w:rFonts w:ascii="Calibri" w:hAnsi="Calibri" w:cs="Calibri"/>
          <w:lang w:eastAsia="en-US"/>
        </w:rPr>
        <w:t xml:space="preserve">HIV risk acquisition group similar to the </w:t>
      </w:r>
      <w:r w:rsidR="002046CF" w:rsidRPr="002046CF">
        <w:rPr>
          <w:rFonts w:ascii="Calibri" w:hAnsi="Calibri" w:cs="Calibri"/>
          <w:lang w:eastAsia="en-US"/>
        </w:rPr>
        <w:t>overall</w:t>
      </w:r>
      <w:r w:rsidR="002046CF">
        <w:rPr>
          <w:rFonts w:ascii="Calibri" w:hAnsi="Calibri" w:cs="Calibri"/>
          <w:i/>
          <w:iCs/>
          <w:lang w:eastAsia="en-US"/>
        </w:rPr>
        <w:t xml:space="preserve"> </w:t>
      </w:r>
      <w:r w:rsidR="002046CF">
        <w:rPr>
          <w:rFonts w:ascii="Calibri" w:hAnsi="Calibri" w:cs="Calibri"/>
          <w:lang w:eastAsia="en-US"/>
        </w:rPr>
        <w:t>sample of people living with HI</w:t>
      </w:r>
      <w:r w:rsidR="00412C6A">
        <w:rPr>
          <w:rFonts w:ascii="Calibri" w:hAnsi="Calibri" w:cs="Calibri"/>
          <w:lang w:eastAsia="en-US"/>
        </w:rPr>
        <w:t>V, so the weights would be inverse probability weights</w:t>
      </w:r>
      <w:r w:rsidR="000B183A">
        <w:rPr>
          <w:rFonts w:ascii="Calibri" w:hAnsi="Calibri" w:cs="Calibri"/>
          <w:lang w:eastAsia="en-US"/>
        </w:rPr>
        <w:t>:</w:t>
      </w:r>
    </w:p>
    <w:p w14:paraId="7DA251B9" w14:textId="6F139257" w:rsidR="00412C6A" w:rsidRDefault="00000000" w:rsidP="00412C6A">
      <w:pPr>
        <w:pStyle w:val="ListParagraph"/>
        <w:numPr>
          <w:ilvl w:val="0"/>
          <w:numId w:val="2"/>
        </w:numPr>
        <w:rPr>
          <w:rFonts w:ascii="Calibri" w:hAnsi="Calibri" w:cs="Calibri"/>
          <w:lang w:eastAsia="en-US"/>
        </w:rPr>
      </w:pPr>
      <m:oMath>
        <m:f>
          <m:fPr>
            <m:ctrlPr>
              <w:rPr>
                <w:rFonts w:ascii="Cambria Math" w:hAnsi="Cambria Math" w:cs="Calibri"/>
                <w:i/>
                <w:lang w:eastAsia="en-US"/>
              </w:rPr>
            </m:ctrlPr>
          </m:fPr>
          <m:num>
            <m:r>
              <w:rPr>
                <w:rFonts w:ascii="Cambria Math" w:hAnsi="Cambria Math" w:cs="Calibri"/>
                <w:lang w:eastAsia="en-US"/>
              </w:rPr>
              <m:t>1</m:t>
            </m:r>
          </m:num>
          <m:den>
            <m:r>
              <w:rPr>
                <w:rFonts w:ascii="Cambria Math" w:hAnsi="Cambria Math" w:cs="Calibri"/>
                <w:lang w:eastAsia="en-US"/>
              </w:rPr>
              <m:t>e(x)</m:t>
            </m:r>
          </m:den>
        </m:f>
      </m:oMath>
      <w:r w:rsidR="00596D30">
        <w:rPr>
          <w:rFonts w:ascii="Calibri" w:hAnsi="Calibri" w:cs="Calibri"/>
          <w:lang w:eastAsia="en-US"/>
        </w:rPr>
        <w:t xml:space="preserve"> for the perinatal HIV group</w:t>
      </w:r>
    </w:p>
    <w:p w14:paraId="2F03974C" w14:textId="420B0B7E" w:rsidR="00E13C0D" w:rsidRDefault="00000000" w:rsidP="000B183A">
      <w:pPr>
        <w:pStyle w:val="ListParagraph"/>
        <w:numPr>
          <w:ilvl w:val="0"/>
          <w:numId w:val="2"/>
        </w:numPr>
        <w:rPr>
          <w:rFonts w:ascii="Calibri" w:hAnsi="Calibri" w:cs="Calibri"/>
          <w:lang w:eastAsia="en-US"/>
        </w:rPr>
      </w:pPr>
      <m:oMath>
        <m:f>
          <m:fPr>
            <m:ctrlPr>
              <w:rPr>
                <w:rFonts w:ascii="Cambria Math" w:hAnsi="Cambria Math" w:cs="Calibri"/>
                <w:i/>
                <w:lang w:eastAsia="en-US"/>
              </w:rPr>
            </m:ctrlPr>
          </m:fPr>
          <m:num>
            <m:r>
              <w:rPr>
                <w:rFonts w:ascii="Cambria Math" w:hAnsi="Cambria Math" w:cs="Calibri"/>
                <w:lang w:eastAsia="en-US"/>
              </w:rPr>
              <m:t>1</m:t>
            </m:r>
          </m:num>
          <m:den>
            <m:r>
              <w:rPr>
                <w:rFonts w:ascii="Cambria Math" w:hAnsi="Cambria Math" w:cs="Calibri"/>
                <w:lang w:eastAsia="en-US"/>
              </w:rPr>
              <m:t>1-e(x)</m:t>
            </m:r>
          </m:den>
        </m:f>
      </m:oMath>
      <w:r w:rsidR="00A804D0">
        <w:rPr>
          <w:rFonts w:ascii="Calibri" w:hAnsi="Calibri" w:cs="Calibri"/>
          <w:lang w:eastAsia="en-US"/>
        </w:rPr>
        <w:t xml:space="preserve"> for each non-perinatal HIV</w:t>
      </w:r>
      <w:r w:rsidR="000B183A">
        <w:rPr>
          <w:rFonts w:ascii="Calibri" w:hAnsi="Calibri" w:cs="Calibri"/>
          <w:lang w:eastAsia="en-US"/>
        </w:rPr>
        <w:t xml:space="preserve"> group</w:t>
      </w:r>
    </w:p>
    <w:p w14:paraId="610CF828" w14:textId="77777777" w:rsidR="000B183A" w:rsidRPr="000B183A" w:rsidRDefault="000B183A" w:rsidP="000B183A">
      <w:pPr>
        <w:rPr>
          <w:rFonts w:ascii="Calibri" w:hAnsi="Calibri" w:cs="Calibri"/>
          <w:lang w:eastAsia="en-US"/>
        </w:rPr>
      </w:pPr>
    </w:p>
    <w:p w14:paraId="0C3C1560" w14:textId="050EBDB7" w:rsidR="00CF13A6" w:rsidRPr="00CF13A6" w:rsidRDefault="000B183A" w:rsidP="00CF13A6">
      <w:pPr>
        <w:rPr>
          <w:rFonts w:ascii="Calibri" w:hAnsi="Calibri" w:cs="Calibri"/>
          <w:vertAlign w:val="superscript"/>
          <w:lang w:eastAsia="en-US"/>
        </w:rPr>
      </w:pPr>
      <w:r>
        <w:rPr>
          <w:rFonts w:ascii="Calibri" w:hAnsi="Calibri" w:cs="Calibri"/>
          <w:lang w:eastAsia="en-US"/>
        </w:rPr>
        <w:t>Additionally, b</w:t>
      </w:r>
      <w:r w:rsidR="00DD7DE1">
        <w:rPr>
          <w:rFonts w:ascii="Calibri" w:hAnsi="Calibri" w:cs="Calibri"/>
          <w:lang w:eastAsia="en-US"/>
        </w:rPr>
        <w:t>ec</w:t>
      </w:r>
      <w:r w:rsidR="00CF13A6" w:rsidRPr="00CF13A6">
        <w:rPr>
          <w:rFonts w:ascii="Calibri" w:hAnsi="Calibri" w:cs="Calibri"/>
          <w:lang w:eastAsia="en-US"/>
        </w:rPr>
        <w:t>ause this is a descriptive analysis, the causal identifiability conditions of consistency and (conditional) exchangeability are not required, as we are not dealing with potential outcomes as in a causal analysis.</w:t>
      </w:r>
      <w:r w:rsidR="00CF13A6" w:rsidRPr="00CF13A6">
        <w:rPr>
          <w:rFonts w:ascii="Calibri" w:hAnsi="Calibri" w:cs="Calibri"/>
          <w:vertAlign w:val="superscript"/>
          <w:lang w:eastAsia="en-US"/>
        </w:rPr>
        <w:t xml:space="preserve"> </w:t>
      </w:r>
      <w:r w:rsidR="00CF13A6" w:rsidRPr="00CF13A6">
        <w:rPr>
          <w:rFonts w:ascii="Calibri" w:hAnsi="Calibri" w:cs="Calibri"/>
          <w:lang w:eastAsia="en-US"/>
        </w:rPr>
        <w:t>Only positivity is required. Also, the exposure need not be modifiable.</w:t>
      </w:r>
      <w:r w:rsidR="00CF13A6" w:rsidRPr="00CF13A6">
        <w:rPr>
          <w:rFonts w:ascii="Calibri" w:hAnsi="Calibri" w:cs="Calibri"/>
          <w:vertAlign w:val="superscript"/>
          <w:lang w:eastAsia="en-US"/>
        </w:rPr>
        <w:t>1</w:t>
      </w:r>
    </w:p>
    <w:p w14:paraId="780CC3C9" w14:textId="77777777" w:rsidR="00CF13A6" w:rsidRDefault="00CF13A6" w:rsidP="00CF13A6">
      <w:pPr>
        <w:rPr>
          <w:rFonts w:ascii="Calibri" w:hAnsi="Calibri" w:cs="Calibri"/>
          <w:lang w:eastAsia="en-US"/>
        </w:rPr>
      </w:pPr>
    </w:p>
    <w:p w14:paraId="5013EC0A" w14:textId="77777777" w:rsidR="00CB4574" w:rsidRPr="00CF13A6" w:rsidRDefault="00CB4574" w:rsidP="00CF13A6">
      <w:pPr>
        <w:rPr>
          <w:rFonts w:ascii="Calibri" w:hAnsi="Calibri" w:cs="Calibri"/>
          <w:lang w:eastAsia="en-US"/>
        </w:rPr>
      </w:pPr>
    </w:p>
    <w:p w14:paraId="1CBFF3E7" w14:textId="77777777" w:rsidR="00CF13A6" w:rsidRDefault="00CF13A6" w:rsidP="00CF13A6">
      <w:pPr>
        <w:rPr>
          <w:rFonts w:ascii="Calibri" w:hAnsi="Calibri" w:cs="Calibri"/>
          <w:i/>
          <w:iCs/>
          <w:lang w:eastAsia="en-US"/>
        </w:rPr>
      </w:pPr>
      <w:r w:rsidRPr="00CF13A6">
        <w:rPr>
          <w:rFonts w:ascii="Calibri" w:hAnsi="Calibri" w:cs="Calibri"/>
          <w:i/>
          <w:iCs/>
          <w:lang w:eastAsia="en-US"/>
        </w:rPr>
        <w:lastRenderedPageBreak/>
        <w:t>Propensity score model specifications and diagnostics</w:t>
      </w:r>
    </w:p>
    <w:p w14:paraId="1A29EFAD" w14:textId="736D4D10" w:rsidR="00CA71F5" w:rsidRPr="00CA71F5" w:rsidRDefault="00CA71F5" w:rsidP="00CF13A6">
      <w:pPr>
        <w:rPr>
          <w:rFonts w:ascii="Calibri" w:hAnsi="Calibri" w:cs="Calibri"/>
          <w:lang w:eastAsia="en-US"/>
        </w:rPr>
      </w:pPr>
      <w:r>
        <w:rPr>
          <w:rFonts w:ascii="Calibri" w:hAnsi="Calibri" w:cs="Calibri"/>
          <w:lang w:eastAsia="en-US"/>
        </w:rPr>
        <w:t>The weights used in the study were a product of inverse odds of exposure weights to make the characteristics of each non-perinatal HIV group similar to the perinatal HIV group, and inverse probability of censoring weights to account for informative censoring.</w:t>
      </w:r>
    </w:p>
    <w:p w14:paraId="4863FBCC" w14:textId="77777777" w:rsidR="00CA71F5" w:rsidRDefault="00CA71F5" w:rsidP="00CF13A6">
      <w:pPr>
        <w:rPr>
          <w:rFonts w:ascii="Calibri" w:hAnsi="Calibri" w:cs="Calibri"/>
          <w:lang w:eastAsia="en-US"/>
        </w:rPr>
      </w:pPr>
    </w:p>
    <w:p w14:paraId="0AFC9E64" w14:textId="7C729671" w:rsidR="00CF13A6" w:rsidRPr="00CF13A6" w:rsidRDefault="00CF13A6" w:rsidP="00CF13A6">
      <w:pPr>
        <w:rPr>
          <w:rFonts w:ascii="Calibri" w:hAnsi="Calibri" w:cs="Calibri"/>
        </w:rPr>
      </w:pPr>
      <w:r w:rsidRPr="00CF13A6">
        <w:rPr>
          <w:rFonts w:ascii="Calibri" w:hAnsi="Calibri" w:cs="Calibri"/>
          <w:lang w:eastAsia="en-US"/>
        </w:rPr>
        <w:t>As we have four categories of HIV risk acquisition group, we used a multinomial logistic regression model for the propensity score</w:t>
      </w:r>
      <w:r w:rsidR="00CA71F5">
        <w:rPr>
          <w:rFonts w:ascii="Calibri" w:hAnsi="Calibri" w:cs="Calibri"/>
          <w:lang w:eastAsia="en-US"/>
        </w:rPr>
        <w:t xml:space="preserve"> model of exposure weights</w:t>
      </w:r>
      <w:r w:rsidRPr="00CF13A6">
        <w:rPr>
          <w:rFonts w:ascii="Calibri" w:hAnsi="Calibri" w:cs="Calibri"/>
          <w:lang w:eastAsia="en-US"/>
        </w:rPr>
        <w:t>. We estimate</w:t>
      </w:r>
      <w:r w:rsidR="007A6851">
        <w:rPr>
          <w:rFonts w:ascii="Calibri" w:hAnsi="Calibri" w:cs="Calibri"/>
          <w:lang w:eastAsia="en-US"/>
        </w:rPr>
        <w:t>d</w:t>
      </w:r>
      <w:r w:rsidRPr="00CF13A6">
        <w:rPr>
          <w:rFonts w:ascii="Calibri" w:hAnsi="Calibri" w:cs="Calibri"/>
          <w:lang w:eastAsia="en-US"/>
        </w:rPr>
        <w:t xml:space="preserve"> the probability of being “exposed” to the perinatal HIV group from this model. Since one of the groups is male-to-male sexual contact (MMSC), which only includes males, we stratified the propensity score model by sex. Race, with 17% missingness, was modeled as Black, non-Black, and missing race. Majority of NA-ACCORD participants are either White or Black race</w:t>
      </w:r>
      <w:r w:rsidRPr="00CF13A6">
        <w:rPr>
          <w:rFonts w:ascii="Calibri" w:hAnsi="Calibri" w:cs="Calibri"/>
          <w:vertAlign w:val="superscript"/>
          <w:lang w:eastAsia="en-US"/>
        </w:rPr>
        <w:t>2</w:t>
      </w:r>
      <w:r w:rsidRPr="00CF13A6">
        <w:rPr>
          <w:rFonts w:ascii="Calibri" w:hAnsi="Calibri" w:cs="Calibri"/>
          <w:lang w:eastAsia="en-US"/>
        </w:rPr>
        <w:t xml:space="preserve">, so all other races with White race were combined in the non-Black category. The use of a missingness indicator is an ideal approach to addressing missingness </w:t>
      </w:r>
      <w:r w:rsidRPr="00CF13A6">
        <w:rPr>
          <w:rFonts w:ascii="Calibri" w:hAnsi="Calibri" w:cs="Calibri"/>
        </w:rPr>
        <w:t>in propensity score models in the presence of a suspected unmeasured covariate associated with the missingness.</w:t>
      </w:r>
      <w:r w:rsidRPr="00CF13A6">
        <w:rPr>
          <w:rFonts w:ascii="Calibri" w:hAnsi="Calibri" w:cs="Calibri"/>
          <w:vertAlign w:val="superscript"/>
        </w:rPr>
        <w:t>3</w:t>
      </w:r>
      <w:r w:rsidRPr="00CF13A6">
        <w:rPr>
          <w:rFonts w:ascii="Calibri" w:hAnsi="Calibri" w:cs="Calibri"/>
        </w:rPr>
        <w:t xml:space="preserve"> We modeled calendar time and CD4 at study entry flexibly as a natural spline with three degrees of freedom. CD4 at study entry had 4% missingness, so a missingness indicator was also added in the model.</w:t>
      </w:r>
    </w:p>
    <w:p w14:paraId="39B123AC" w14:textId="0FB04B6D" w:rsidR="00CA71F5" w:rsidRDefault="00CA71F5" w:rsidP="00CF13A6">
      <w:pPr>
        <w:rPr>
          <w:rFonts w:ascii="Calibri" w:hAnsi="Calibri" w:cs="Calibri"/>
        </w:rPr>
      </w:pPr>
    </w:p>
    <w:p w14:paraId="32A787F8" w14:textId="26F37B5E" w:rsidR="00CA71F5" w:rsidRDefault="007A6851" w:rsidP="00CF13A6">
      <w:pPr>
        <w:rPr>
          <w:rFonts w:ascii="Calibri" w:hAnsi="Calibri" w:cs="Calibri"/>
        </w:rPr>
      </w:pPr>
      <w:r>
        <w:rPr>
          <w:rFonts w:ascii="Calibri" w:hAnsi="Calibri" w:cs="Calibri"/>
        </w:rPr>
        <w:t>For censoring weights, we partitioned the data set in person months and u</w:t>
      </w:r>
      <w:r w:rsidR="00CA71F5">
        <w:rPr>
          <w:rFonts w:ascii="Calibri" w:hAnsi="Calibri" w:cs="Calibri"/>
        </w:rPr>
        <w:t>sed a pooled logistic regression model</w:t>
      </w:r>
      <w:r>
        <w:rPr>
          <w:rFonts w:ascii="Calibri" w:hAnsi="Calibri" w:cs="Calibri"/>
        </w:rPr>
        <w:t>.</w:t>
      </w:r>
      <w:r w:rsidR="0061227A" w:rsidRPr="0061227A">
        <w:rPr>
          <w:rFonts w:ascii="Calibri" w:hAnsi="Calibri" w:cs="Calibri"/>
          <w:vertAlign w:val="superscript"/>
        </w:rPr>
        <w:t>4</w:t>
      </w:r>
      <w:r>
        <w:rPr>
          <w:rFonts w:ascii="Calibri" w:hAnsi="Calibri" w:cs="Calibri"/>
        </w:rPr>
        <w:t xml:space="preserve"> The denominator was</w:t>
      </w:r>
      <w:r w:rsidR="00235C9D">
        <w:rPr>
          <w:rFonts w:ascii="Calibri" w:hAnsi="Calibri" w:cs="Calibri"/>
        </w:rPr>
        <w:t xml:space="preserve"> estimated from</w:t>
      </w:r>
      <w:r>
        <w:rPr>
          <w:rFonts w:ascii="Calibri" w:hAnsi="Calibri" w:cs="Calibri"/>
        </w:rPr>
        <w:t xml:space="preserve"> a pooled logistic regression model of </w:t>
      </w:r>
      <w:r w:rsidR="00134157">
        <w:rPr>
          <w:rFonts w:ascii="Calibri" w:hAnsi="Calibri" w:cs="Calibri"/>
        </w:rPr>
        <w:t xml:space="preserve">HIV acquisition </w:t>
      </w:r>
      <w:r w:rsidR="00B65AC3">
        <w:rPr>
          <w:rFonts w:ascii="Calibri" w:hAnsi="Calibri" w:cs="Calibri"/>
        </w:rPr>
        <w:t xml:space="preserve">risk </w:t>
      </w:r>
      <w:r w:rsidR="00134157">
        <w:rPr>
          <w:rFonts w:ascii="Calibri" w:hAnsi="Calibri" w:cs="Calibri"/>
        </w:rPr>
        <w:t>group, calendar month</w:t>
      </w:r>
      <w:r w:rsidR="002B5A27">
        <w:rPr>
          <w:rFonts w:ascii="Calibri" w:hAnsi="Calibri" w:cs="Calibri"/>
        </w:rPr>
        <w:t xml:space="preserve">, Black race (Black, non-Black, missing), age at study entry, time-updated viral load, </w:t>
      </w:r>
      <w:r w:rsidR="00235C9D">
        <w:rPr>
          <w:rFonts w:ascii="Calibri" w:hAnsi="Calibri" w:cs="Calibri"/>
        </w:rPr>
        <w:t xml:space="preserve">and </w:t>
      </w:r>
      <w:r w:rsidR="002B5A27">
        <w:rPr>
          <w:rFonts w:ascii="Calibri" w:hAnsi="Calibri" w:cs="Calibri"/>
        </w:rPr>
        <w:t xml:space="preserve">time-updated </w:t>
      </w:r>
      <w:r w:rsidR="00235C9D">
        <w:rPr>
          <w:rFonts w:ascii="Calibri" w:hAnsi="Calibri" w:cs="Calibri"/>
        </w:rPr>
        <w:t>CD4 cell count, while the numerator was estimated from a pooled logistic regression model of calendar month and HIV acquisition</w:t>
      </w:r>
      <w:r w:rsidR="00B65AC3">
        <w:rPr>
          <w:rFonts w:ascii="Calibri" w:hAnsi="Calibri" w:cs="Calibri"/>
        </w:rPr>
        <w:t xml:space="preserve"> risk</w:t>
      </w:r>
      <w:r w:rsidR="00235C9D">
        <w:rPr>
          <w:rFonts w:ascii="Calibri" w:hAnsi="Calibri" w:cs="Calibri"/>
        </w:rPr>
        <w:t xml:space="preserve"> group. All the continuous covariates, i.e. calendar month, age at study entry, time-updated viral load, and time-updated CD4-cell count, were modeled as restricted cubic splines with four degrees of freedom.</w:t>
      </w:r>
      <w:r w:rsidR="001F3494">
        <w:rPr>
          <w:rFonts w:ascii="Calibri" w:hAnsi="Calibri" w:cs="Calibri"/>
        </w:rPr>
        <w:t xml:space="preserve"> </w:t>
      </w:r>
      <w:r w:rsidR="004B36BA">
        <w:rPr>
          <w:rFonts w:ascii="Calibri" w:hAnsi="Calibri" w:cs="Calibri"/>
        </w:rPr>
        <w:t xml:space="preserve">The censoring weights </w:t>
      </w:r>
      <w:r w:rsidR="00CB4574">
        <w:rPr>
          <w:rFonts w:ascii="Calibri" w:hAnsi="Calibri" w:cs="Calibri"/>
        </w:rPr>
        <w:t xml:space="preserve">at a specific </w:t>
      </w:r>
      <w:r w:rsidR="00CB4574">
        <w:rPr>
          <w:rFonts w:ascii="Calibri" w:hAnsi="Calibri" w:cs="Calibri"/>
        </w:rPr>
        <w:lastRenderedPageBreak/>
        <w:t xml:space="preserve">person month were estimated as the cumulative product of weights from the baseline month to the current month. In this study, the exposure weights </w:t>
      </w:r>
      <w:r w:rsidR="00620090">
        <w:rPr>
          <w:rFonts w:ascii="Calibri" w:hAnsi="Calibri" w:cs="Calibri"/>
        </w:rPr>
        <w:t>were</w:t>
      </w:r>
      <w:r w:rsidR="00CB4574">
        <w:rPr>
          <w:rFonts w:ascii="Calibri" w:hAnsi="Calibri" w:cs="Calibri"/>
        </w:rPr>
        <w:t xml:space="preserve"> time-fixed at baseline while the censoring weights </w:t>
      </w:r>
      <w:r w:rsidR="00620090">
        <w:rPr>
          <w:rFonts w:ascii="Calibri" w:hAnsi="Calibri" w:cs="Calibri"/>
        </w:rPr>
        <w:t>were</w:t>
      </w:r>
      <w:r w:rsidR="00CB4574">
        <w:rPr>
          <w:rFonts w:ascii="Calibri" w:hAnsi="Calibri" w:cs="Calibri"/>
        </w:rPr>
        <w:t xml:space="preserve"> time-updated monthly.</w:t>
      </w:r>
    </w:p>
    <w:p w14:paraId="56B7675B" w14:textId="77777777" w:rsidR="00CA71F5" w:rsidRPr="00CF13A6" w:rsidRDefault="00CA71F5" w:rsidP="00CF13A6">
      <w:pPr>
        <w:rPr>
          <w:rFonts w:ascii="Calibri" w:hAnsi="Calibri" w:cs="Calibri"/>
        </w:rPr>
      </w:pPr>
    </w:p>
    <w:p w14:paraId="1506DC6E" w14:textId="4E8E9EF1" w:rsidR="00CF13A6" w:rsidRPr="00CF13A6" w:rsidRDefault="00CF13A6" w:rsidP="00CF13A6">
      <w:pPr>
        <w:rPr>
          <w:rFonts w:ascii="Calibri" w:hAnsi="Calibri" w:cs="Calibri"/>
        </w:rPr>
      </w:pPr>
      <w:r w:rsidRPr="00CF13A6">
        <w:rPr>
          <w:rFonts w:ascii="Calibri" w:hAnsi="Calibri" w:cs="Calibri"/>
        </w:rPr>
        <w:t>In Supplementary File 3, we presented the following diagnostics of the propensity score model</w:t>
      </w:r>
      <w:r w:rsidR="0061227A">
        <w:rPr>
          <w:rFonts w:ascii="Calibri" w:hAnsi="Calibri" w:cs="Calibri"/>
        </w:rPr>
        <w:t xml:space="preserve"> for the exposure weights</w:t>
      </w:r>
      <w:r w:rsidRPr="00CF13A6">
        <w:rPr>
          <w:rFonts w:ascii="Calibri" w:hAnsi="Calibri" w:cs="Calibri"/>
        </w:rPr>
        <w:t>: (1) kernel density plots of the propensity scores by HIV acquisition risk group to show overlaps in the propensity scores; (2) Love plot showing how standardized mean differences between perinatal HIV and each non-perinatal HIV group changed before and after weighting; (3) a descriptive summary table of the weighted statistics of each covariate to show balance after weighting and the effective sample size.</w:t>
      </w:r>
      <w:r w:rsidR="00521749">
        <w:rPr>
          <w:rFonts w:ascii="Calibri" w:hAnsi="Calibri" w:cs="Calibri"/>
        </w:rPr>
        <w:t xml:space="preserve"> Diagnostics for the propensity model for censoring weights </w:t>
      </w:r>
      <w:r w:rsidR="008E5572">
        <w:rPr>
          <w:rFonts w:ascii="Calibri" w:hAnsi="Calibri" w:cs="Calibri"/>
        </w:rPr>
        <w:t xml:space="preserve">are less formal: usually </w:t>
      </w:r>
      <w:r w:rsidR="001F3494">
        <w:rPr>
          <w:rFonts w:ascii="Calibri" w:hAnsi="Calibri" w:cs="Calibri"/>
        </w:rPr>
        <w:t xml:space="preserve">what is only </w:t>
      </w:r>
      <w:r w:rsidR="00CB4574">
        <w:rPr>
          <w:rFonts w:ascii="Calibri" w:hAnsi="Calibri" w:cs="Calibri"/>
        </w:rPr>
        <w:t>examined</w:t>
      </w:r>
      <w:r w:rsidR="001F3494">
        <w:rPr>
          <w:rFonts w:ascii="Calibri" w:hAnsi="Calibri" w:cs="Calibri"/>
        </w:rPr>
        <w:t xml:space="preserve"> is that the mean of the censoring weights </w:t>
      </w:r>
      <w:r w:rsidR="00CB4574">
        <w:rPr>
          <w:rFonts w:ascii="Calibri" w:hAnsi="Calibri" w:cs="Calibri"/>
        </w:rPr>
        <w:t>is close to 1 and that there are no extreme weights.</w:t>
      </w:r>
      <w:r w:rsidR="00CB4574" w:rsidRPr="00CB4574">
        <w:rPr>
          <w:rFonts w:ascii="Calibri" w:hAnsi="Calibri" w:cs="Calibri"/>
          <w:vertAlign w:val="superscript"/>
        </w:rPr>
        <w:t>5</w:t>
      </w:r>
      <w:r w:rsidR="00CB4574">
        <w:rPr>
          <w:rFonts w:ascii="Calibri" w:hAnsi="Calibri" w:cs="Calibri"/>
        </w:rPr>
        <w:t xml:space="preserve"> In Supplementary File 3, we show a kernel density plot of the censoring weights.</w:t>
      </w:r>
    </w:p>
    <w:p w14:paraId="43432DCB" w14:textId="77777777" w:rsidR="00CF13A6" w:rsidRPr="00CF13A6" w:rsidRDefault="00CF13A6" w:rsidP="00CF13A6">
      <w:pPr>
        <w:rPr>
          <w:rFonts w:ascii="Calibri" w:hAnsi="Calibri" w:cs="Calibri"/>
        </w:rPr>
      </w:pPr>
    </w:p>
    <w:p w14:paraId="0340A9AE" w14:textId="77777777" w:rsidR="00CF13A6" w:rsidRPr="00CF13A6" w:rsidRDefault="00CF13A6" w:rsidP="00CF13A6">
      <w:pPr>
        <w:rPr>
          <w:rFonts w:ascii="Calibri" w:hAnsi="Calibri" w:cs="Calibri"/>
        </w:rPr>
      </w:pPr>
      <w:r w:rsidRPr="00CF13A6">
        <w:rPr>
          <w:rFonts w:ascii="Calibri" w:hAnsi="Calibri" w:cs="Calibri"/>
          <w:i/>
          <w:iCs/>
        </w:rPr>
        <w:t>Weighted mean cumulative count estimator</w:t>
      </w:r>
    </w:p>
    <w:p w14:paraId="19450678" w14:textId="4C036E1D" w:rsidR="00CF13A6" w:rsidRPr="00CF13A6" w:rsidRDefault="00CF13A6" w:rsidP="00CF13A6">
      <w:pPr>
        <w:rPr>
          <w:rFonts w:ascii="Calibri" w:hAnsi="Calibri" w:cs="Calibri"/>
        </w:rPr>
      </w:pPr>
      <w:r w:rsidRPr="00CF13A6">
        <w:rPr>
          <w:rFonts w:ascii="Calibri" w:hAnsi="Calibri" w:cs="Calibri"/>
        </w:rPr>
        <w:t xml:space="preserve">The mean cumulative count (MCC) describes the average number of recurrent events per individual. The MCC estimator developed by Gaber </w:t>
      </w:r>
      <w:r w:rsidRPr="00CF13A6">
        <w:rPr>
          <w:rFonts w:ascii="Calibri" w:hAnsi="Calibri" w:cs="Calibri"/>
          <w:i/>
          <w:iCs/>
        </w:rPr>
        <w:t>et al</w:t>
      </w:r>
      <w:r w:rsidRPr="00CF13A6">
        <w:rPr>
          <w:rFonts w:ascii="Calibri" w:hAnsi="Calibri" w:cs="Calibri"/>
        </w:rPr>
        <w:t xml:space="preserve"> (2023) is a nonparametric calculation of the MCC that accounts for (1) both right censoring and competing risk of death, and (2) weights from a propensity score model.</w:t>
      </w:r>
      <w:r w:rsidR="00CB4574">
        <w:rPr>
          <w:rFonts w:ascii="Calibri" w:hAnsi="Calibri" w:cs="Calibri"/>
          <w:vertAlign w:val="superscript"/>
        </w:rPr>
        <w:t>6</w:t>
      </w:r>
      <w:r w:rsidRPr="00CF13A6">
        <w:rPr>
          <w:rFonts w:ascii="Calibri" w:hAnsi="Calibri" w:cs="Calibri"/>
        </w:rPr>
        <w:t xml:space="preserve"> The MCC estimate calculated at each event </w:t>
      </w:r>
      <w:r w:rsidRPr="00CF13A6">
        <w:rPr>
          <w:rFonts w:ascii="Calibri" w:hAnsi="Calibri" w:cs="Calibri"/>
          <w:i/>
          <w:iCs/>
        </w:rPr>
        <w:t>j</w:t>
      </w:r>
      <w:r w:rsidRPr="00CF13A6">
        <w:rPr>
          <w:rFonts w:ascii="Calibri" w:hAnsi="Calibri" w:cs="Calibri"/>
        </w:rPr>
        <w:t xml:space="preserve">, where the risk set at time </w:t>
      </w:r>
      <w:r w:rsidRPr="00CF13A6">
        <w:rPr>
          <w:rFonts w:ascii="Calibri" w:hAnsi="Calibri" w:cs="Calibri"/>
          <w:i/>
          <w:iCs/>
        </w:rPr>
        <w:t>j</w:t>
      </w:r>
      <w:r w:rsidRPr="00CF13A6">
        <w:rPr>
          <w:rFonts w:ascii="Calibri" w:hAnsi="Calibri" w:cs="Calibri"/>
        </w:rPr>
        <w:t xml:space="preserve"> is the total weighted at risk population at the start of follow-up deducted by the number of weighted participants who were censored or experienced a competing event. Participant study entry and exit times are not defined by whether they have experienced the event of interest. In the hypothetical example of three participants with the same study entry and study exit times in Figure S2.1, all three participants contribute the same follow-up time, as P1 and P2 continue to contribute person-time even after the first instance of any ADC. </w:t>
      </w:r>
      <w:r w:rsidRPr="00CF13A6">
        <w:rPr>
          <w:rFonts w:ascii="Calibri" w:hAnsi="Calibri" w:cs="Calibri"/>
        </w:rPr>
        <w:lastRenderedPageBreak/>
        <w:t>It does not matter whether the ADC is a</w:t>
      </w:r>
      <w:r w:rsidR="0061227A">
        <w:rPr>
          <w:rFonts w:ascii="Calibri" w:hAnsi="Calibri" w:cs="Calibri"/>
        </w:rPr>
        <w:t>n</w:t>
      </w:r>
      <w:r w:rsidRPr="00CF13A6">
        <w:rPr>
          <w:rFonts w:ascii="Calibri" w:hAnsi="Calibri" w:cs="Calibri"/>
        </w:rPr>
        <w:t xml:space="preserve"> infectious or chronic condition – the event is recorded at the diagnosis date and person-time continues instantaneously after that event.</w:t>
      </w:r>
    </w:p>
    <w:p w14:paraId="0815F98C" w14:textId="77777777" w:rsidR="00CF13A6" w:rsidRPr="00CF13A6" w:rsidRDefault="00CF13A6" w:rsidP="00CF13A6">
      <w:pPr>
        <w:rPr>
          <w:rFonts w:ascii="Calibri" w:hAnsi="Calibri" w:cs="Calibri"/>
        </w:rPr>
      </w:pPr>
    </w:p>
    <w:p w14:paraId="4E131C11" w14:textId="77777777" w:rsidR="00CF13A6" w:rsidRPr="00CF13A6" w:rsidRDefault="00CF13A6" w:rsidP="00CF13A6">
      <w:pPr>
        <w:rPr>
          <w:rFonts w:ascii="Calibri" w:hAnsi="Calibri" w:cs="Calibri"/>
        </w:rPr>
      </w:pPr>
      <w:r w:rsidRPr="00CF13A6">
        <w:rPr>
          <w:rFonts w:ascii="Calibri" w:hAnsi="Calibri" w:cs="Calibri"/>
        </w:rPr>
        <w:t>The MCC estimate is best interpreted similar to cumulative incidence: By some years from study entry, what is the average number of recurrent events that an individual is expected to experience? They may also be interpreted at a population level: By some years from study entry, what is the average number of recurrent events by 100 participants?</w:t>
      </w:r>
    </w:p>
    <w:p w14:paraId="4E289875" w14:textId="77777777" w:rsidR="00CF13A6" w:rsidRPr="00CF13A6" w:rsidRDefault="00CF13A6" w:rsidP="00CF13A6">
      <w:pPr>
        <w:rPr>
          <w:rFonts w:ascii="Calibri" w:hAnsi="Calibri" w:cs="Calibri"/>
        </w:rPr>
      </w:pPr>
    </w:p>
    <w:p w14:paraId="066DAA02" w14:textId="77777777" w:rsidR="00CF13A6" w:rsidRPr="00CF13A6" w:rsidRDefault="00CF13A6" w:rsidP="00CF13A6">
      <w:pPr>
        <w:jc w:val="center"/>
        <w:rPr>
          <w:rFonts w:ascii="Calibri" w:hAnsi="Calibri" w:cs="Calibri"/>
        </w:rPr>
      </w:pPr>
      <w:r w:rsidRPr="00CF13A6">
        <w:rPr>
          <w:rFonts w:ascii="Calibri" w:hAnsi="Calibri" w:cs="Calibri"/>
          <w:noProof/>
        </w:rPr>
        <w:drawing>
          <wp:inline distT="0" distB="0" distL="0" distR="0" wp14:anchorId="06D5A3CF" wp14:editId="4CF9ECFA">
            <wp:extent cx="5638127" cy="2224870"/>
            <wp:effectExtent l="0" t="0" r="0" b="4445"/>
            <wp:docPr id="1899234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42885" cy="2226747"/>
                    </a:xfrm>
                    <a:prstGeom prst="rect">
                      <a:avLst/>
                    </a:prstGeom>
                    <a:noFill/>
                  </pic:spPr>
                </pic:pic>
              </a:graphicData>
            </a:graphic>
          </wp:inline>
        </w:drawing>
      </w:r>
    </w:p>
    <w:p w14:paraId="7D4B43BD" w14:textId="13BA340F" w:rsidR="00CB4574" w:rsidRPr="00CF13A6" w:rsidRDefault="00CF13A6" w:rsidP="00CB4574">
      <w:pPr>
        <w:jc w:val="center"/>
        <w:rPr>
          <w:rFonts w:ascii="Calibri" w:hAnsi="Calibri" w:cs="Calibri"/>
        </w:rPr>
      </w:pPr>
      <w:r w:rsidRPr="00CF13A6">
        <w:rPr>
          <w:rFonts w:ascii="Calibri" w:hAnsi="Calibri" w:cs="Calibri"/>
        </w:rPr>
        <w:t>Figure S2.1. Toy example of three hypothetical participants in the study with varying event counts.</w:t>
      </w:r>
    </w:p>
    <w:p w14:paraId="1EBB79B3" w14:textId="77777777" w:rsidR="00CF13A6" w:rsidRPr="00CF13A6" w:rsidRDefault="00CF13A6" w:rsidP="00CF13A6">
      <w:pPr>
        <w:rPr>
          <w:rFonts w:ascii="Calibri" w:hAnsi="Calibri" w:cs="Calibri"/>
        </w:rPr>
      </w:pPr>
    </w:p>
    <w:p w14:paraId="19388CAA" w14:textId="77777777" w:rsidR="00CF13A6" w:rsidRPr="00CF13A6" w:rsidRDefault="00CF13A6" w:rsidP="00CF13A6">
      <w:pPr>
        <w:rPr>
          <w:rFonts w:ascii="Calibri" w:hAnsi="Calibri" w:cs="Calibri"/>
        </w:rPr>
      </w:pPr>
      <w:r w:rsidRPr="00CF13A6">
        <w:rPr>
          <w:rFonts w:ascii="Calibri" w:hAnsi="Calibri" w:cs="Calibri"/>
          <w:i/>
          <w:iCs/>
        </w:rPr>
        <w:t>Sensitivity Analysis</w:t>
      </w:r>
    </w:p>
    <w:p w14:paraId="297917EC" w14:textId="77777777" w:rsidR="00CF13A6" w:rsidRPr="00CF13A6" w:rsidRDefault="00CF13A6" w:rsidP="00CF13A6">
      <w:pPr>
        <w:rPr>
          <w:rFonts w:ascii="Calibri" w:hAnsi="Calibri" w:cs="Calibri"/>
        </w:rPr>
      </w:pPr>
      <w:r w:rsidRPr="00CF13A6">
        <w:rPr>
          <w:rFonts w:ascii="Calibri" w:hAnsi="Calibri" w:cs="Calibri"/>
        </w:rPr>
        <w:t>We considered two sensitivity analyses: (1) adjusting the bootstrapping approach, stratifying by cohort to potentially account for within cohort correlation; and (2) removing CD4 at study entry as a covariate in the propensity score model. The weighted MCC results at 3 years at study entry are similar among the main result and the sensitivity analyses (Table S2.1).</w:t>
      </w:r>
    </w:p>
    <w:p w14:paraId="25977B1F" w14:textId="77777777" w:rsidR="00CF13A6" w:rsidRPr="00CF13A6" w:rsidRDefault="00CF13A6" w:rsidP="00CF13A6">
      <w:pPr>
        <w:rPr>
          <w:rFonts w:ascii="Calibri" w:hAnsi="Calibri" w:cs="Calibri"/>
        </w:rPr>
      </w:pPr>
    </w:p>
    <w:p w14:paraId="3F5B2B8E" w14:textId="77777777" w:rsidR="00CF13A6" w:rsidRPr="00CF13A6" w:rsidRDefault="00CF13A6" w:rsidP="00CF13A6">
      <w:pPr>
        <w:rPr>
          <w:rFonts w:ascii="Calibri" w:hAnsi="Calibri" w:cs="Calibri"/>
        </w:rPr>
      </w:pPr>
      <w:r w:rsidRPr="00CF13A6">
        <w:rPr>
          <w:rFonts w:ascii="Calibri" w:hAnsi="Calibri" w:cs="Calibri"/>
        </w:rPr>
        <w:t>Table S2.1. Sensitivity analysis results.</w:t>
      </w:r>
    </w:p>
    <w:tbl>
      <w:tblPr>
        <w:tblStyle w:val="TableGrid2"/>
        <w:tblW w:w="9360" w:type="dxa"/>
        <w:tblInd w:w="-90" w:type="dxa"/>
        <w:tblLayout w:type="fixed"/>
        <w:tblLook w:val="04A0" w:firstRow="1" w:lastRow="0" w:firstColumn="1" w:lastColumn="0" w:noHBand="0" w:noVBand="1"/>
      </w:tblPr>
      <w:tblGrid>
        <w:gridCol w:w="2880"/>
        <w:gridCol w:w="1710"/>
        <w:gridCol w:w="2070"/>
        <w:gridCol w:w="2700"/>
      </w:tblGrid>
      <w:tr w:rsidR="00CF13A6" w:rsidRPr="00CF13A6" w14:paraId="1644CB37" w14:textId="77777777" w:rsidTr="00CB4574">
        <w:tc>
          <w:tcPr>
            <w:tcW w:w="2880" w:type="dxa"/>
            <w:vMerge w:val="restart"/>
            <w:tcBorders>
              <w:top w:val="single" w:sz="4" w:space="0" w:color="auto"/>
              <w:left w:val="nil"/>
              <w:bottom w:val="single" w:sz="4" w:space="0" w:color="auto"/>
              <w:right w:val="nil"/>
            </w:tcBorders>
          </w:tcPr>
          <w:p w14:paraId="27A2B184" w14:textId="77777777" w:rsidR="00CF13A6" w:rsidRPr="00CF13A6" w:rsidRDefault="00CF13A6" w:rsidP="00516996">
            <w:pPr>
              <w:spacing w:line="240" w:lineRule="auto"/>
              <w:rPr>
                <w:rFonts w:ascii="Calibri" w:eastAsia="PMingLiU" w:hAnsi="Calibri" w:cs="Calibri"/>
              </w:rPr>
            </w:pPr>
            <w:r w:rsidRPr="00CF13A6">
              <w:rPr>
                <w:rFonts w:ascii="Calibri" w:eastAsia="PMingLiU" w:hAnsi="Calibri" w:cs="Calibri"/>
              </w:rPr>
              <w:t>HIV acquisition risk</w:t>
            </w:r>
          </w:p>
        </w:tc>
        <w:tc>
          <w:tcPr>
            <w:tcW w:w="6480" w:type="dxa"/>
            <w:gridSpan w:val="3"/>
            <w:tcBorders>
              <w:top w:val="single" w:sz="4" w:space="0" w:color="auto"/>
              <w:left w:val="nil"/>
              <w:bottom w:val="single" w:sz="4" w:space="0" w:color="auto"/>
              <w:right w:val="nil"/>
            </w:tcBorders>
          </w:tcPr>
          <w:p w14:paraId="2780E102" w14:textId="77777777" w:rsidR="00CF13A6" w:rsidRPr="00CF13A6" w:rsidRDefault="00CF13A6" w:rsidP="00516996">
            <w:pPr>
              <w:spacing w:line="240" w:lineRule="auto"/>
              <w:jc w:val="center"/>
              <w:rPr>
                <w:rFonts w:ascii="Calibri" w:eastAsia="PMingLiU" w:hAnsi="Calibri" w:cs="Calibri"/>
              </w:rPr>
            </w:pPr>
            <w:r w:rsidRPr="00CF13A6">
              <w:rPr>
                <w:rFonts w:ascii="Calibri" w:eastAsia="PMingLiU" w:hAnsi="Calibri" w:cs="Calibri"/>
              </w:rPr>
              <w:t>Weighted mean cumulative count (MCC) of AIDS defining conditions at three years in adult HIV care, per 100 persons (95% CI)</w:t>
            </w:r>
          </w:p>
        </w:tc>
      </w:tr>
      <w:tr w:rsidR="00CF13A6" w:rsidRPr="00CF13A6" w14:paraId="25FC2DA7" w14:textId="77777777" w:rsidTr="00CB45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880" w:type="dxa"/>
            <w:vMerge/>
            <w:tcBorders>
              <w:top w:val="single" w:sz="4" w:space="0" w:color="auto"/>
              <w:bottom w:val="single" w:sz="4" w:space="0" w:color="auto"/>
            </w:tcBorders>
          </w:tcPr>
          <w:p w14:paraId="6834CD60" w14:textId="77777777" w:rsidR="00CF13A6" w:rsidRPr="00CF13A6" w:rsidRDefault="00CF13A6" w:rsidP="00516996">
            <w:pPr>
              <w:spacing w:line="240" w:lineRule="auto"/>
              <w:rPr>
                <w:rFonts w:ascii="Calibri" w:eastAsia="PMingLiU" w:hAnsi="Calibri" w:cs="Calibri"/>
              </w:rPr>
            </w:pPr>
          </w:p>
        </w:tc>
        <w:tc>
          <w:tcPr>
            <w:tcW w:w="1710" w:type="dxa"/>
            <w:tcBorders>
              <w:top w:val="single" w:sz="4" w:space="0" w:color="auto"/>
              <w:bottom w:val="single" w:sz="4" w:space="0" w:color="auto"/>
            </w:tcBorders>
          </w:tcPr>
          <w:p w14:paraId="4CB7D841" w14:textId="77777777" w:rsidR="00CF13A6" w:rsidRPr="00CF13A6" w:rsidRDefault="00CF13A6" w:rsidP="00516996">
            <w:pPr>
              <w:spacing w:line="240" w:lineRule="auto"/>
              <w:jc w:val="center"/>
              <w:rPr>
                <w:rFonts w:ascii="Calibri" w:eastAsia="PMingLiU" w:hAnsi="Calibri" w:cs="Calibri"/>
              </w:rPr>
            </w:pPr>
            <w:r w:rsidRPr="00CF13A6">
              <w:rPr>
                <w:rFonts w:ascii="Calibri" w:eastAsia="PMingLiU" w:hAnsi="Calibri" w:cs="Calibri"/>
              </w:rPr>
              <w:t>Main result</w:t>
            </w:r>
          </w:p>
        </w:tc>
        <w:tc>
          <w:tcPr>
            <w:tcW w:w="2070" w:type="dxa"/>
            <w:tcBorders>
              <w:top w:val="single" w:sz="4" w:space="0" w:color="auto"/>
              <w:bottom w:val="single" w:sz="4" w:space="0" w:color="auto"/>
            </w:tcBorders>
          </w:tcPr>
          <w:p w14:paraId="43F02388" w14:textId="77777777" w:rsidR="00CF13A6" w:rsidRPr="00CF13A6" w:rsidRDefault="00CF13A6" w:rsidP="00516996">
            <w:pPr>
              <w:spacing w:line="240" w:lineRule="auto"/>
              <w:jc w:val="center"/>
              <w:rPr>
                <w:rFonts w:ascii="Calibri" w:eastAsia="PMingLiU" w:hAnsi="Calibri" w:cs="Calibri"/>
              </w:rPr>
            </w:pPr>
            <w:r w:rsidRPr="00CF13A6">
              <w:rPr>
                <w:rFonts w:ascii="Calibri" w:eastAsia="PMingLiU" w:hAnsi="Calibri" w:cs="Calibri"/>
              </w:rPr>
              <w:t>Bootstrapping stratified by cohort</w:t>
            </w:r>
          </w:p>
        </w:tc>
        <w:tc>
          <w:tcPr>
            <w:tcW w:w="2700" w:type="dxa"/>
            <w:tcBorders>
              <w:top w:val="single" w:sz="4" w:space="0" w:color="auto"/>
              <w:bottom w:val="single" w:sz="4" w:space="0" w:color="auto"/>
            </w:tcBorders>
          </w:tcPr>
          <w:p w14:paraId="6E900427" w14:textId="77777777" w:rsidR="00CF13A6" w:rsidRPr="00CF13A6" w:rsidRDefault="00CF13A6" w:rsidP="00516996">
            <w:pPr>
              <w:spacing w:line="240" w:lineRule="auto"/>
              <w:jc w:val="center"/>
              <w:rPr>
                <w:rFonts w:ascii="Calibri" w:eastAsia="PMingLiU" w:hAnsi="Calibri" w:cs="Calibri"/>
              </w:rPr>
            </w:pPr>
            <w:r w:rsidRPr="00CF13A6">
              <w:rPr>
                <w:rFonts w:ascii="Calibri" w:eastAsia="PMingLiU" w:hAnsi="Calibri" w:cs="Calibri"/>
              </w:rPr>
              <w:t>No CD4 at study entry in propensity score model</w:t>
            </w:r>
          </w:p>
        </w:tc>
      </w:tr>
      <w:tr w:rsidR="00CF13A6" w:rsidRPr="00CF13A6" w14:paraId="266CEF2A" w14:textId="77777777" w:rsidTr="005169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0" w:type="dxa"/>
            <w:gridSpan w:val="4"/>
          </w:tcPr>
          <w:p w14:paraId="56701F48" w14:textId="77777777" w:rsidR="00CF13A6" w:rsidRPr="00CF13A6" w:rsidRDefault="00CF13A6" w:rsidP="00516996">
            <w:pPr>
              <w:spacing w:line="240" w:lineRule="auto"/>
              <w:rPr>
                <w:rFonts w:ascii="Calibri" w:eastAsia="PMingLiU" w:hAnsi="Calibri" w:cs="Calibri"/>
                <w:i/>
                <w:iCs/>
              </w:rPr>
            </w:pPr>
            <w:r w:rsidRPr="00CF13A6">
              <w:rPr>
                <w:rFonts w:ascii="Calibri" w:eastAsia="PMingLiU" w:hAnsi="Calibri" w:cs="Calibri"/>
                <w:i/>
              </w:rPr>
              <w:t>2000 to 2011</w:t>
            </w:r>
          </w:p>
        </w:tc>
      </w:tr>
      <w:tr w:rsidR="00CF13A6" w:rsidRPr="00CF13A6" w14:paraId="7DAD8FE1" w14:textId="77777777" w:rsidTr="005169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880" w:type="dxa"/>
          </w:tcPr>
          <w:p w14:paraId="3C1FE836" w14:textId="77777777" w:rsidR="00CF13A6" w:rsidRPr="00CF13A6" w:rsidRDefault="00CF13A6" w:rsidP="00516996">
            <w:pPr>
              <w:spacing w:line="240" w:lineRule="auto"/>
              <w:rPr>
                <w:rFonts w:ascii="Calibri" w:eastAsia="PMingLiU" w:hAnsi="Calibri" w:cs="Calibri"/>
              </w:rPr>
            </w:pPr>
            <w:r w:rsidRPr="00CF13A6">
              <w:rPr>
                <w:rFonts w:ascii="Calibri" w:eastAsia="PMingLiU" w:hAnsi="Calibri" w:cs="Calibri"/>
              </w:rPr>
              <w:t>Perinatal</w:t>
            </w:r>
          </w:p>
        </w:tc>
        <w:tc>
          <w:tcPr>
            <w:tcW w:w="1710" w:type="dxa"/>
            <w:vAlign w:val="bottom"/>
          </w:tcPr>
          <w:p w14:paraId="2F1C442C" w14:textId="77777777" w:rsidR="00CF13A6" w:rsidRPr="00CF13A6" w:rsidRDefault="00CF13A6" w:rsidP="00516996">
            <w:pPr>
              <w:spacing w:line="240" w:lineRule="auto"/>
              <w:jc w:val="center"/>
              <w:rPr>
                <w:rFonts w:ascii="Calibri" w:eastAsia="PMingLiU" w:hAnsi="Calibri" w:cs="Calibri"/>
              </w:rPr>
            </w:pPr>
            <w:r w:rsidRPr="00CF13A6">
              <w:rPr>
                <w:rFonts w:ascii="Calibri" w:hAnsi="Calibri" w:cs="Calibri"/>
                <w:color w:val="000000"/>
              </w:rPr>
              <w:t>27 (14, 42)</w:t>
            </w:r>
          </w:p>
        </w:tc>
        <w:tc>
          <w:tcPr>
            <w:tcW w:w="2070" w:type="dxa"/>
            <w:vAlign w:val="bottom"/>
          </w:tcPr>
          <w:p w14:paraId="6A701CAE" w14:textId="77777777" w:rsidR="00CF13A6" w:rsidRPr="00CF13A6" w:rsidRDefault="00CF13A6" w:rsidP="00516996">
            <w:pPr>
              <w:spacing w:line="240" w:lineRule="auto"/>
              <w:jc w:val="center"/>
              <w:rPr>
                <w:rFonts w:ascii="Calibri" w:eastAsia="PMingLiU" w:hAnsi="Calibri" w:cs="Calibri"/>
              </w:rPr>
            </w:pPr>
            <w:r w:rsidRPr="00CF13A6">
              <w:rPr>
                <w:rFonts w:ascii="Calibri" w:eastAsia="PMingLiU" w:hAnsi="Calibri" w:cs="Calibri"/>
              </w:rPr>
              <w:t>27 (14, 42)</w:t>
            </w:r>
          </w:p>
        </w:tc>
        <w:tc>
          <w:tcPr>
            <w:tcW w:w="2700" w:type="dxa"/>
            <w:vAlign w:val="bottom"/>
          </w:tcPr>
          <w:p w14:paraId="6A09311A" w14:textId="77777777" w:rsidR="00CF13A6" w:rsidRPr="00CF13A6" w:rsidRDefault="00CF13A6" w:rsidP="00516996">
            <w:pPr>
              <w:spacing w:line="240" w:lineRule="auto"/>
              <w:jc w:val="center"/>
              <w:rPr>
                <w:rFonts w:ascii="Calibri" w:eastAsia="PMingLiU" w:hAnsi="Calibri" w:cs="Calibri"/>
              </w:rPr>
            </w:pPr>
            <w:r w:rsidRPr="00CF13A6">
              <w:rPr>
                <w:rFonts w:ascii="Calibri" w:eastAsia="PMingLiU" w:hAnsi="Calibri" w:cs="Calibri"/>
              </w:rPr>
              <w:t>27 (14, 42)</w:t>
            </w:r>
          </w:p>
        </w:tc>
      </w:tr>
      <w:tr w:rsidR="00CF13A6" w:rsidRPr="00CF13A6" w14:paraId="266F9C81" w14:textId="77777777" w:rsidTr="005169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880" w:type="dxa"/>
          </w:tcPr>
          <w:p w14:paraId="067597FD" w14:textId="77777777" w:rsidR="00CF13A6" w:rsidRPr="00CF13A6" w:rsidRDefault="00CF13A6" w:rsidP="00516996">
            <w:pPr>
              <w:spacing w:line="240" w:lineRule="auto"/>
              <w:rPr>
                <w:rFonts w:ascii="Calibri" w:eastAsia="PMingLiU" w:hAnsi="Calibri" w:cs="Calibri"/>
              </w:rPr>
            </w:pPr>
            <w:r w:rsidRPr="00CF13A6">
              <w:rPr>
                <w:rFonts w:ascii="Calibri" w:eastAsia="PMingLiU" w:hAnsi="Calibri" w:cs="Calibri"/>
              </w:rPr>
              <w:t>Male-to-male sexual contact</w:t>
            </w:r>
          </w:p>
        </w:tc>
        <w:tc>
          <w:tcPr>
            <w:tcW w:w="1710" w:type="dxa"/>
            <w:vAlign w:val="bottom"/>
          </w:tcPr>
          <w:p w14:paraId="68547217" w14:textId="77777777" w:rsidR="00CF13A6" w:rsidRPr="00CF13A6" w:rsidRDefault="00CF13A6" w:rsidP="00516996">
            <w:pPr>
              <w:spacing w:line="240" w:lineRule="auto"/>
              <w:jc w:val="center"/>
              <w:rPr>
                <w:rFonts w:ascii="Calibri" w:eastAsia="PMingLiU" w:hAnsi="Calibri" w:cs="Calibri"/>
              </w:rPr>
            </w:pPr>
            <w:r w:rsidRPr="00CF13A6">
              <w:rPr>
                <w:rFonts w:ascii="Calibri" w:hAnsi="Calibri" w:cs="Calibri"/>
                <w:color w:val="000000"/>
              </w:rPr>
              <w:t>23 (16, 34)</w:t>
            </w:r>
          </w:p>
        </w:tc>
        <w:tc>
          <w:tcPr>
            <w:tcW w:w="2070" w:type="dxa"/>
            <w:vAlign w:val="bottom"/>
          </w:tcPr>
          <w:p w14:paraId="0AA9CA81" w14:textId="77777777" w:rsidR="00CF13A6" w:rsidRPr="00CF13A6" w:rsidRDefault="00CF13A6" w:rsidP="00516996">
            <w:pPr>
              <w:spacing w:line="240" w:lineRule="auto"/>
              <w:jc w:val="center"/>
              <w:rPr>
                <w:rFonts w:ascii="Calibri" w:eastAsia="PMingLiU" w:hAnsi="Calibri" w:cs="Calibri"/>
              </w:rPr>
            </w:pPr>
            <w:r w:rsidRPr="00CF13A6">
              <w:rPr>
                <w:rFonts w:ascii="Calibri" w:eastAsia="PMingLiU" w:hAnsi="Calibri" w:cs="Calibri"/>
              </w:rPr>
              <w:t>23 (17, 34)</w:t>
            </w:r>
          </w:p>
        </w:tc>
        <w:tc>
          <w:tcPr>
            <w:tcW w:w="2700" w:type="dxa"/>
            <w:vAlign w:val="bottom"/>
          </w:tcPr>
          <w:p w14:paraId="2ECA6ACA" w14:textId="77777777" w:rsidR="00CF13A6" w:rsidRPr="00CF13A6" w:rsidRDefault="00CF13A6" w:rsidP="00516996">
            <w:pPr>
              <w:spacing w:line="240" w:lineRule="auto"/>
              <w:jc w:val="center"/>
              <w:rPr>
                <w:rFonts w:ascii="Calibri" w:eastAsia="PMingLiU" w:hAnsi="Calibri" w:cs="Calibri"/>
              </w:rPr>
            </w:pPr>
            <w:r w:rsidRPr="00CF13A6">
              <w:rPr>
                <w:rFonts w:ascii="Calibri" w:eastAsia="PMingLiU" w:hAnsi="Calibri" w:cs="Calibri"/>
              </w:rPr>
              <w:t>25 (18, 34)</w:t>
            </w:r>
          </w:p>
        </w:tc>
      </w:tr>
      <w:tr w:rsidR="00CF13A6" w:rsidRPr="00CF13A6" w14:paraId="29AD9BAC" w14:textId="77777777" w:rsidTr="005169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880" w:type="dxa"/>
          </w:tcPr>
          <w:p w14:paraId="22D3C187" w14:textId="77777777" w:rsidR="00CF13A6" w:rsidRPr="00CF13A6" w:rsidRDefault="00CF13A6" w:rsidP="00516996">
            <w:pPr>
              <w:spacing w:line="240" w:lineRule="auto"/>
              <w:rPr>
                <w:rFonts w:ascii="Calibri" w:eastAsia="PMingLiU" w:hAnsi="Calibri" w:cs="Calibri"/>
              </w:rPr>
            </w:pPr>
            <w:r w:rsidRPr="00CF13A6">
              <w:rPr>
                <w:rFonts w:ascii="Calibri" w:eastAsia="PMingLiU" w:hAnsi="Calibri" w:cs="Calibri"/>
              </w:rPr>
              <w:t>Persons who inject drugs</w:t>
            </w:r>
          </w:p>
        </w:tc>
        <w:tc>
          <w:tcPr>
            <w:tcW w:w="1710" w:type="dxa"/>
            <w:vAlign w:val="bottom"/>
          </w:tcPr>
          <w:p w14:paraId="30B42884" w14:textId="77777777" w:rsidR="00CF13A6" w:rsidRPr="00CF13A6" w:rsidRDefault="00CF13A6" w:rsidP="00516996">
            <w:pPr>
              <w:spacing w:line="240" w:lineRule="auto"/>
              <w:jc w:val="center"/>
              <w:rPr>
                <w:rFonts w:ascii="Calibri" w:eastAsia="PMingLiU" w:hAnsi="Calibri" w:cs="Calibri"/>
              </w:rPr>
            </w:pPr>
            <w:r w:rsidRPr="00CF13A6">
              <w:rPr>
                <w:rFonts w:ascii="Calibri" w:hAnsi="Calibri" w:cs="Calibri"/>
                <w:color w:val="000000"/>
              </w:rPr>
              <w:t>28 (11, 50)</w:t>
            </w:r>
          </w:p>
        </w:tc>
        <w:tc>
          <w:tcPr>
            <w:tcW w:w="2070" w:type="dxa"/>
            <w:vAlign w:val="bottom"/>
          </w:tcPr>
          <w:p w14:paraId="0A832CF1" w14:textId="77777777" w:rsidR="00CF13A6" w:rsidRPr="00CF13A6" w:rsidRDefault="00CF13A6" w:rsidP="00516996">
            <w:pPr>
              <w:spacing w:line="240" w:lineRule="auto"/>
              <w:jc w:val="center"/>
              <w:rPr>
                <w:rFonts w:ascii="Calibri" w:eastAsia="PMingLiU" w:hAnsi="Calibri" w:cs="Calibri"/>
              </w:rPr>
            </w:pPr>
            <w:r w:rsidRPr="00CF13A6">
              <w:rPr>
                <w:rFonts w:ascii="Calibri" w:eastAsia="PMingLiU" w:hAnsi="Calibri" w:cs="Calibri"/>
              </w:rPr>
              <w:t>28 (11, 50)</w:t>
            </w:r>
          </w:p>
        </w:tc>
        <w:tc>
          <w:tcPr>
            <w:tcW w:w="2700" w:type="dxa"/>
            <w:vAlign w:val="bottom"/>
          </w:tcPr>
          <w:p w14:paraId="655FDCFC" w14:textId="77777777" w:rsidR="00CF13A6" w:rsidRPr="00CF13A6" w:rsidRDefault="00CF13A6" w:rsidP="00516996">
            <w:pPr>
              <w:spacing w:line="240" w:lineRule="auto"/>
              <w:jc w:val="center"/>
              <w:rPr>
                <w:rFonts w:ascii="Calibri" w:eastAsia="PMingLiU" w:hAnsi="Calibri" w:cs="Calibri"/>
              </w:rPr>
            </w:pPr>
            <w:r w:rsidRPr="00CF13A6">
              <w:rPr>
                <w:rFonts w:ascii="Calibri" w:eastAsia="PMingLiU" w:hAnsi="Calibri" w:cs="Calibri"/>
              </w:rPr>
              <w:t>32 (12, 57)</w:t>
            </w:r>
          </w:p>
        </w:tc>
      </w:tr>
      <w:tr w:rsidR="00CF13A6" w:rsidRPr="00CF13A6" w14:paraId="69AA9ED4" w14:textId="77777777" w:rsidTr="005169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880" w:type="dxa"/>
            <w:tcBorders>
              <w:bottom w:val="single" w:sz="4" w:space="0" w:color="auto"/>
            </w:tcBorders>
          </w:tcPr>
          <w:p w14:paraId="0439CD16" w14:textId="77777777" w:rsidR="00CF13A6" w:rsidRPr="00CF13A6" w:rsidRDefault="00CF13A6" w:rsidP="00516996">
            <w:pPr>
              <w:spacing w:line="240" w:lineRule="auto"/>
              <w:rPr>
                <w:rFonts w:ascii="Calibri" w:eastAsia="PMingLiU" w:hAnsi="Calibri" w:cs="Calibri"/>
              </w:rPr>
            </w:pPr>
            <w:r w:rsidRPr="00CF13A6">
              <w:rPr>
                <w:rFonts w:ascii="Calibri" w:eastAsia="PMingLiU" w:hAnsi="Calibri" w:cs="Calibri"/>
              </w:rPr>
              <w:t>Heterosexual</w:t>
            </w:r>
          </w:p>
        </w:tc>
        <w:tc>
          <w:tcPr>
            <w:tcW w:w="1710" w:type="dxa"/>
            <w:tcBorders>
              <w:bottom w:val="single" w:sz="4" w:space="0" w:color="auto"/>
            </w:tcBorders>
            <w:vAlign w:val="bottom"/>
          </w:tcPr>
          <w:p w14:paraId="387D6FED" w14:textId="77777777" w:rsidR="00CF13A6" w:rsidRPr="00CF13A6" w:rsidRDefault="00CF13A6" w:rsidP="00516996">
            <w:pPr>
              <w:spacing w:line="240" w:lineRule="auto"/>
              <w:jc w:val="center"/>
              <w:rPr>
                <w:rFonts w:ascii="Calibri" w:eastAsia="PMingLiU" w:hAnsi="Calibri" w:cs="Calibri"/>
              </w:rPr>
            </w:pPr>
            <w:r w:rsidRPr="00CF13A6">
              <w:rPr>
                <w:rFonts w:ascii="Calibri" w:hAnsi="Calibri" w:cs="Calibri"/>
                <w:color w:val="000000"/>
              </w:rPr>
              <w:t>32 (24, 46)</w:t>
            </w:r>
          </w:p>
        </w:tc>
        <w:tc>
          <w:tcPr>
            <w:tcW w:w="2070" w:type="dxa"/>
            <w:tcBorders>
              <w:bottom w:val="single" w:sz="4" w:space="0" w:color="auto"/>
            </w:tcBorders>
            <w:vAlign w:val="bottom"/>
          </w:tcPr>
          <w:p w14:paraId="3F3BB402" w14:textId="77777777" w:rsidR="00CF13A6" w:rsidRPr="00CF13A6" w:rsidRDefault="00CF13A6" w:rsidP="00516996">
            <w:pPr>
              <w:spacing w:line="240" w:lineRule="auto"/>
              <w:jc w:val="center"/>
              <w:rPr>
                <w:rFonts w:ascii="Calibri" w:eastAsia="PMingLiU" w:hAnsi="Calibri" w:cs="Calibri"/>
              </w:rPr>
            </w:pPr>
            <w:r w:rsidRPr="00CF13A6">
              <w:rPr>
                <w:rFonts w:ascii="Calibri" w:eastAsia="PMingLiU" w:hAnsi="Calibri" w:cs="Calibri"/>
              </w:rPr>
              <w:t>32 (23, 46)</w:t>
            </w:r>
          </w:p>
        </w:tc>
        <w:tc>
          <w:tcPr>
            <w:tcW w:w="2700" w:type="dxa"/>
            <w:tcBorders>
              <w:bottom w:val="single" w:sz="4" w:space="0" w:color="auto"/>
            </w:tcBorders>
            <w:vAlign w:val="bottom"/>
          </w:tcPr>
          <w:p w14:paraId="7075938E" w14:textId="77777777" w:rsidR="00CF13A6" w:rsidRPr="00CF13A6" w:rsidRDefault="00CF13A6" w:rsidP="00516996">
            <w:pPr>
              <w:spacing w:line="240" w:lineRule="auto"/>
              <w:jc w:val="center"/>
              <w:rPr>
                <w:rFonts w:ascii="Calibri" w:eastAsia="PMingLiU" w:hAnsi="Calibri" w:cs="Calibri"/>
              </w:rPr>
            </w:pPr>
            <w:r w:rsidRPr="00CF13A6">
              <w:rPr>
                <w:rFonts w:ascii="Calibri" w:eastAsia="PMingLiU" w:hAnsi="Calibri" w:cs="Calibri"/>
              </w:rPr>
              <w:t>36 (26, 50)</w:t>
            </w:r>
          </w:p>
        </w:tc>
      </w:tr>
      <w:tr w:rsidR="00CF13A6" w:rsidRPr="00CF13A6" w14:paraId="6A089081" w14:textId="77777777" w:rsidTr="005169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0" w:type="dxa"/>
            <w:gridSpan w:val="4"/>
          </w:tcPr>
          <w:p w14:paraId="519C08C0" w14:textId="77777777" w:rsidR="00CF13A6" w:rsidRPr="00CF13A6" w:rsidRDefault="00CF13A6" w:rsidP="00516996">
            <w:pPr>
              <w:spacing w:line="240" w:lineRule="auto"/>
              <w:rPr>
                <w:rFonts w:ascii="Calibri" w:eastAsia="PMingLiU" w:hAnsi="Calibri" w:cs="Calibri"/>
                <w:i/>
                <w:iCs/>
              </w:rPr>
            </w:pPr>
            <w:r w:rsidRPr="00CF13A6">
              <w:rPr>
                <w:rFonts w:ascii="Calibri" w:eastAsia="PMingLiU" w:hAnsi="Calibri" w:cs="Calibri"/>
                <w:i/>
              </w:rPr>
              <w:t>2012 to 2022</w:t>
            </w:r>
          </w:p>
        </w:tc>
      </w:tr>
      <w:tr w:rsidR="00CF13A6" w:rsidRPr="00CF13A6" w14:paraId="71FF79D0" w14:textId="77777777" w:rsidTr="005169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880" w:type="dxa"/>
          </w:tcPr>
          <w:p w14:paraId="659C8E23" w14:textId="77777777" w:rsidR="00CF13A6" w:rsidRPr="00CF13A6" w:rsidRDefault="00CF13A6" w:rsidP="00516996">
            <w:pPr>
              <w:spacing w:line="240" w:lineRule="auto"/>
              <w:rPr>
                <w:rFonts w:ascii="Calibri" w:eastAsia="PMingLiU" w:hAnsi="Calibri" w:cs="Calibri"/>
              </w:rPr>
            </w:pPr>
            <w:r w:rsidRPr="00CF13A6">
              <w:rPr>
                <w:rFonts w:ascii="Calibri" w:eastAsia="PMingLiU" w:hAnsi="Calibri" w:cs="Calibri"/>
              </w:rPr>
              <w:t>Perinatal</w:t>
            </w:r>
          </w:p>
        </w:tc>
        <w:tc>
          <w:tcPr>
            <w:tcW w:w="1710" w:type="dxa"/>
            <w:vAlign w:val="bottom"/>
          </w:tcPr>
          <w:p w14:paraId="4205B66C" w14:textId="77777777" w:rsidR="00CF13A6" w:rsidRPr="00CF13A6" w:rsidRDefault="00CF13A6" w:rsidP="00516996">
            <w:pPr>
              <w:spacing w:line="240" w:lineRule="auto"/>
              <w:jc w:val="center"/>
              <w:rPr>
                <w:rFonts w:ascii="Calibri" w:eastAsia="PMingLiU" w:hAnsi="Calibri" w:cs="Calibri"/>
              </w:rPr>
            </w:pPr>
            <w:r w:rsidRPr="00CF13A6">
              <w:rPr>
                <w:rFonts w:ascii="Calibri" w:hAnsi="Calibri" w:cs="Calibri"/>
                <w:color w:val="000000"/>
              </w:rPr>
              <w:t>18 (9, 28)</w:t>
            </w:r>
          </w:p>
        </w:tc>
        <w:tc>
          <w:tcPr>
            <w:tcW w:w="2070" w:type="dxa"/>
            <w:vAlign w:val="bottom"/>
          </w:tcPr>
          <w:p w14:paraId="703421AD" w14:textId="77777777" w:rsidR="00CF13A6" w:rsidRPr="00CF13A6" w:rsidRDefault="00CF13A6" w:rsidP="00516996">
            <w:pPr>
              <w:spacing w:line="240" w:lineRule="auto"/>
              <w:jc w:val="center"/>
              <w:rPr>
                <w:rFonts w:ascii="Calibri" w:eastAsia="PMingLiU" w:hAnsi="Calibri" w:cs="Calibri"/>
              </w:rPr>
            </w:pPr>
            <w:r w:rsidRPr="00CF13A6">
              <w:rPr>
                <w:rFonts w:ascii="Calibri" w:eastAsia="PMingLiU" w:hAnsi="Calibri" w:cs="Calibri"/>
              </w:rPr>
              <w:t>18 (9, 27)</w:t>
            </w:r>
          </w:p>
        </w:tc>
        <w:tc>
          <w:tcPr>
            <w:tcW w:w="2700" w:type="dxa"/>
            <w:vAlign w:val="bottom"/>
          </w:tcPr>
          <w:p w14:paraId="1AFCDEE3" w14:textId="77777777" w:rsidR="00CF13A6" w:rsidRPr="00CF13A6" w:rsidRDefault="00CF13A6" w:rsidP="00516996">
            <w:pPr>
              <w:spacing w:line="240" w:lineRule="auto"/>
              <w:jc w:val="center"/>
              <w:rPr>
                <w:rFonts w:ascii="Calibri" w:eastAsia="PMingLiU" w:hAnsi="Calibri" w:cs="Calibri"/>
              </w:rPr>
            </w:pPr>
            <w:r w:rsidRPr="00CF13A6">
              <w:rPr>
                <w:rFonts w:ascii="Calibri" w:eastAsia="PMingLiU" w:hAnsi="Calibri" w:cs="Calibri"/>
              </w:rPr>
              <w:t>18 (9, 28)</w:t>
            </w:r>
          </w:p>
        </w:tc>
      </w:tr>
      <w:tr w:rsidR="00CF13A6" w:rsidRPr="00CF13A6" w14:paraId="24092C9D" w14:textId="77777777" w:rsidTr="005169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880" w:type="dxa"/>
          </w:tcPr>
          <w:p w14:paraId="70F1081C" w14:textId="77777777" w:rsidR="00CF13A6" w:rsidRPr="00CF13A6" w:rsidRDefault="00CF13A6" w:rsidP="00516996">
            <w:pPr>
              <w:spacing w:line="240" w:lineRule="auto"/>
              <w:rPr>
                <w:rFonts w:ascii="Calibri" w:eastAsia="PMingLiU" w:hAnsi="Calibri" w:cs="Calibri"/>
              </w:rPr>
            </w:pPr>
            <w:r w:rsidRPr="00CF13A6">
              <w:rPr>
                <w:rFonts w:ascii="Calibri" w:eastAsia="PMingLiU" w:hAnsi="Calibri" w:cs="Calibri"/>
              </w:rPr>
              <w:t>Male-to-male sexual contact</w:t>
            </w:r>
          </w:p>
        </w:tc>
        <w:tc>
          <w:tcPr>
            <w:tcW w:w="1710" w:type="dxa"/>
            <w:vAlign w:val="bottom"/>
          </w:tcPr>
          <w:p w14:paraId="69D11B92" w14:textId="77777777" w:rsidR="00CF13A6" w:rsidRPr="00CF13A6" w:rsidRDefault="00CF13A6" w:rsidP="00516996">
            <w:pPr>
              <w:spacing w:line="240" w:lineRule="auto"/>
              <w:jc w:val="center"/>
              <w:rPr>
                <w:rFonts w:ascii="Calibri" w:eastAsia="PMingLiU" w:hAnsi="Calibri" w:cs="Calibri"/>
              </w:rPr>
            </w:pPr>
            <w:r w:rsidRPr="00CF13A6">
              <w:rPr>
                <w:rFonts w:ascii="Calibri" w:hAnsi="Calibri" w:cs="Calibri"/>
                <w:color w:val="000000"/>
              </w:rPr>
              <w:t>15 (11, 21)</w:t>
            </w:r>
          </w:p>
        </w:tc>
        <w:tc>
          <w:tcPr>
            <w:tcW w:w="2070" w:type="dxa"/>
            <w:vAlign w:val="bottom"/>
          </w:tcPr>
          <w:p w14:paraId="161BA48E" w14:textId="77777777" w:rsidR="00CF13A6" w:rsidRPr="00CF13A6" w:rsidRDefault="00CF13A6" w:rsidP="00516996">
            <w:pPr>
              <w:spacing w:line="240" w:lineRule="auto"/>
              <w:jc w:val="center"/>
              <w:rPr>
                <w:rFonts w:ascii="Calibri" w:eastAsia="PMingLiU" w:hAnsi="Calibri" w:cs="Calibri"/>
              </w:rPr>
            </w:pPr>
            <w:r w:rsidRPr="00CF13A6">
              <w:rPr>
                <w:rFonts w:ascii="Calibri" w:eastAsia="PMingLiU" w:hAnsi="Calibri" w:cs="Calibri"/>
              </w:rPr>
              <w:t>15 (11, 21)</w:t>
            </w:r>
          </w:p>
        </w:tc>
        <w:tc>
          <w:tcPr>
            <w:tcW w:w="2700" w:type="dxa"/>
            <w:vAlign w:val="bottom"/>
          </w:tcPr>
          <w:p w14:paraId="3D84A05F" w14:textId="77777777" w:rsidR="00CF13A6" w:rsidRPr="00CF13A6" w:rsidRDefault="00CF13A6" w:rsidP="00516996">
            <w:pPr>
              <w:spacing w:line="240" w:lineRule="auto"/>
              <w:jc w:val="center"/>
              <w:rPr>
                <w:rFonts w:ascii="Calibri" w:eastAsia="PMingLiU" w:hAnsi="Calibri" w:cs="Calibri"/>
              </w:rPr>
            </w:pPr>
            <w:r w:rsidRPr="00CF13A6">
              <w:rPr>
                <w:rFonts w:ascii="Calibri" w:eastAsia="PMingLiU" w:hAnsi="Calibri" w:cs="Calibri"/>
              </w:rPr>
              <w:t>16 (12, 22)</w:t>
            </w:r>
          </w:p>
        </w:tc>
      </w:tr>
      <w:tr w:rsidR="00CF13A6" w:rsidRPr="00CF13A6" w14:paraId="050B647E" w14:textId="77777777" w:rsidTr="005169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880" w:type="dxa"/>
          </w:tcPr>
          <w:p w14:paraId="0F013D2F" w14:textId="77777777" w:rsidR="00CF13A6" w:rsidRPr="00CF13A6" w:rsidRDefault="00CF13A6" w:rsidP="00516996">
            <w:pPr>
              <w:spacing w:line="240" w:lineRule="auto"/>
              <w:rPr>
                <w:rFonts w:ascii="Calibri" w:eastAsia="PMingLiU" w:hAnsi="Calibri" w:cs="Calibri"/>
              </w:rPr>
            </w:pPr>
            <w:r w:rsidRPr="00CF13A6">
              <w:rPr>
                <w:rFonts w:ascii="Calibri" w:eastAsia="PMingLiU" w:hAnsi="Calibri" w:cs="Calibri"/>
              </w:rPr>
              <w:t>Persons who inject drugs</w:t>
            </w:r>
          </w:p>
        </w:tc>
        <w:tc>
          <w:tcPr>
            <w:tcW w:w="1710" w:type="dxa"/>
            <w:vAlign w:val="bottom"/>
          </w:tcPr>
          <w:p w14:paraId="3D94E5C1" w14:textId="77777777" w:rsidR="00CF13A6" w:rsidRPr="00CF13A6" w:rsidRDefault="00CF13A6" w:rsidP="00516996">
            <w:pPr>
              <w:spacing w:line="240" w:lineRule="auto"/>
              <w:jc w:val="center"/>
              <w:rPr>
                <w:rFonts w:ascii="Calibri" w:eastAsia="PMingLiU" w:hAnsi="Calibri" w:cs="Calibri"/>
              </w:rPr>
            </w:pPr>
            <w:r w:rsidRPr="00CF13A6">
              <w:rPr>
                <w:rFonts w:ascii="Calibri" w:hAnsi="Calibri" w:cs="Calibri"/>
                <w:color w:val="000000"/>
              </w:rPr>
              <w:t>16 (6, 31)</w:t>
            </w:r>
          </w:p>
        </w:tc>
        <w:tc>
          <w:tcPr>
            <w:tcW w:w="2070" w:type="dxa"/>
            <w:vAlign w:val="bottom"/>
          </w:tcPr>
          <w:p w14:paraId="143EE100" w14:textId="77777777" w:rsidR="00CF13A6" w:rsidRPr="00CF13A6" w:rsidRDefault="00CF13A6" w:rsidP="00516996">
            <w:pPr>
              <w:spacing w:line="240" w:lineRule="auto"/>
              <w:jc w:val="center"/>
              <w:rPr>
                <w:rFonts w:ascii="Calibri" w:eastAsia="PMingLiU" w:hAnsi="Calibri" w:cs="Calibri"/>
              </w:rPr>
            </w:pPr>
            <w:r w:rsidRPr="00CF13A6">
              <w:rPr>
                <w:rFonts w:ascii="Calibri" w:eastAsia="PMingLiU" w:hAnsi="Calibri" w:cs="Calibri"/>
              </w:rPr>
              <w:t>16 (6, 31)</w:t>
            </w:r>
          </w:p>
        </w:tc>
        <w:tc>
          <w:tcPr>
            <w:tcW w:w="2700" w:type="dxa"/>
            <w:vAlign w:val="bottom"/>
          </w:tcPr>
          <w:p w14:paraId="4B4A8634" w14:textId="77777777" w:rsidR="00CF13A6" w:rsidRPr="00CF13A6" w:rsidRDefault="00CF13A6" w:rsidP="00516996">
            <w:pPr>
              <w:spacing w:line="240" w:lineRule="auto"/>
              <w:jc w:val="center"/>
              <w:rPr>
                <w:rFonts w:ascii="Calibri" w:eastAsia="PMingLiU" w:hAnsi="Calibri" w:cs="Calibri"/>
              </w:rPr>
            </w:pPr>
            <w:r w:rsidRPr="00CF13A6">
              <w:rPr>
                <w:rFonts w:ascii="Calibri" w:eastAsia="PMingLiU" w:hAnsi="Calibri" w:cs="Calibri"/>
              </w:rPr>
              <w:t>15 (5, 27)</w:t>
            </w:r>
          </w:p>
        </w:tc>
      </w:tr>
      <w:tr w:rsidR="00CF13A6" w:rsidRPr="00CF13A6" w14:paraId="165ED0F4" w14:textId="77777777" w:rsidTr="005169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880" w:type="dxa"/>
            <w:tcBorders>
              <w:bottom w:val="single" w:sz="4" w:space="0" w:color="auto"/>
            </w:tcBorders>
          </w:tcPr>
          <w:p w14:paraId="211AE2F5" w14:textId="77777777" w:rsidR="00CF13A6" w:rsidRPr="00CF13A6" w:rsidRDefault="00CF13A6" w:rsidP="00516996">
            <w:pPr>
              <w:spacing w:line="240" w:lineRule="auto"/>
              <w:rPr>
                <w:rFonts w:ascii="Calibri" w:eastAsia="PMingLiU" w:hAnsi="Calibri" w:cs="Calibri"/>
              </w:rPr>
            </w:pPr>
            <w:r w:rsidRPr="00CF13A6">
              <w:rPr>
                <w:rFonts w:ascii="Calibri" w:eastAsia="PMingLiU" w:hAnsi="Calibri" w:cs="Calibri"/>
              </w:rPr>
              <w:t>Heterosexual</w:t>
            </w:r>
          </w:p>
        </w:tc>
        <w:tc>
          <w:tcPr>
            <w:tcW w:w="1710" w:type="dxa"/>
            <w:tcBorders>
              <w:bottom w:val="single" w:sz="4" w:space="0" w:color="auto"/>
            </w:tcBorders>
            <w:vAlign w:val="bottom"/>
          </w:tcPr>
          <w:p w14:paraId="1F8198CA" w14:textId="77777777" w:rsidR="00CF13A6" w:rsidRPr="00CF13A6" w:rsidRDefault="00CF13A6" w:rsidP="00516996">
            <w:pPr>
              <w:spacing w:line="240" w:lineRule="auto"/>
              <w:jc w:val="center"/>
              <w:rPr>
                <w:rFonts w:ascii="Calibri" w:eastAsia="PMingLiU" w:hAnsi="Calibri" w:cs="Calibri"/>
              </w:rPr>
            </w:pPr>
            <w:r w:rsidRPr="00CF13A6">
              <w:rPr>
                <w:rFonts w:ascii="Calibri" w:hAnsi="Calibri" w:cs="Calibri"/>
                <w:color w:val="000000"/>
              </w:rPr>
              <w:t>22 (15, 31)</w:t>
            </w:r>
          </w:p>
        </w:tc>
        <w:tc>
          <w:tcPr>
            <w:tcW w:w="2070" w:type="dxa"/>
            <w:tcBorders>
              <w:bottom w:val="single" w:sz="4" w:space="0" w:color="auto"/>
            </w:tcBorders>
            <w:vAlign w:val="bottom"/>
          </w:tcPr>
          <w:p w14:paraId="49CF314F" w14:textId="77777777" w:rsidR="00CF13A6" w:rsidRPr="00CF13A6" w:rsidRDefault="00CF13A6" w:rsidP="00516996">
            <w:pPr>
              <w:spacing w:line="240" w:lineRule="auto"/>
              <w:jc w:val="center"/>
              <w:rPr>
                <w:rFonts w:ascii="Calibri" w:eastAsia="PMingLiU" w:hAnsi="Calibri" w:cs="Calibri"/>
              </w:rPr>
            </w:pPr>
            <w:r w:rsidRPr="00CF13A6">
              <w:rPr>
                <w:rFonts w:ascii="Calibri" w:eastAsia="PMingLiU" w:hAnsi="Calibri" w:cs="Calibri"/>
              </w:rPr>
              <w:t>22 (15, 32)</w:t>
            </w:r>
          </w:p>
        </w:tc>
        <w:tc>
          <w:tcPr>
            <w:tcW w:w="2700" w:type="dxa"/>
            <w:tcBorders>
              <w:bottom w:val="single" w:sz="4" w:space="0" w:color="auto"/>
            </w:tcBorders>
            <w:vAlign w:val="bottom"/>
          </w:tcPr>
          <w:p w14:paraId="2CA378D2" w14:textId="77777777" w:rsidR="00CF13A6" w:rsidRPr="00CF13A6" w:rsidRDefault="00CF13A6" w:rsidP="00516996">
            <w:pPr>
              <w:spacing w:line="240" w:lineRule="auto"/>
              <w:jc w:val="center"/>
              <w:rPr>
                <w:rFonts w:ascii="Calibri" w:eastAsia="PMingLiU" w:hAnsi="Calibri" w:cs="Calibri"/>
              </w:rPr>
            </w:pPr>
            <w:r w:rsidRPr="00CF13A6">
              <w:rPr>
                <w:rFonts w:ascii="Calibri" w:eastAsia="PMingLiU" w:hAnsi="Calibri" w:cs="Calibri"/>
              </w:rPr>
              <w:t>26 (17, 36)</w:t>
            </w:r>
          </w:p>
        </w:tc>
      </w:tr>
    </w:tbl>
    <w:p w14:paraId="4E82F11D" w14:textId="77777777" w:rsidR="00CF13A6" w:rsidRPr="00CF13A6" w:rsidRDefault="00CF13A6" w:rsidP="00CF13A6">
      <w:pPr>
        <w:rPr>
          <w:rFonts w:ascii="Calibri" w:hAnsi="Calibri" w:cs="Calibri"/>
          <w:lang w:eastAsia="en-US"/>
        </w:rPr>
      </w:pPr>
    </w:p>
    <w:p w14:paraId="1068C286" w14:textId="77777777" w:rsidR="00CF13A6" w:rsidRPr="00CF13A6" w:rsidRDefault="00CF13A6" w:rsidP="00CF13A6">
      <w:pPr>
        <w:rPr>
          <w:rFonts w:ascii="Calibri" w:hAnsi="Calibri" w:cs="Calibri"/>
          <w:lang w:eastAsia="en-US"/>
        </w:rPr>
      </w:pPr>
      <w:r w:rsidRPr="00CF13A6">
        <w:rPr>
          <w:rFonts w:ascii="Calibri" w:hAnsi="Calibri" w:cs="Calibri"/>
          <w:lang w:eastAsia="en-US"/>
        </w:rPr>
        <w:t>References:</w:t>
      </w:r>
    </w:p>
    <w:p w14:paraId="1DFB521E" w14:textId="77777777" w:rsidR="00CF13A6" w:rsidRPr="00CF13A6" w:rsidRDefault="00CF13A6" w:rsidP="00CF13A6">
      <w:pPr>
        <w:pStyle w:val="ListParagraph"/>
        <w:numPr>
          <w:ilvl w:val="0"/>
          <w:numId w:val="3"/>
        </w:numPr>
        <w:rPr>
          <w:rFonts w:ascii="Calibri" w:hAnsi="Calibri" w:cs="Calibri"/>
          <w:lang w:eastAsia="en-US"/>
        </w:rPr>
      </w:pPr>
      <w:r w:rsidRPr="00CF13A6">
        <w:rPr>
          <w:rFonts w:ascii="Calibri" w:hAnsi="Calibri" w:cs="Calibri"/>
          <w:lang w:eastAsia="en-US"/>
        </w:rPr>
        <w:t>Li F, Li F. Using propensity scores for racial disparities analysis. Observational Studies. 2023;9(1):59-68. doi:10.1353/obs.2023.0005.</w:t>
      </w:r>
    </w:p>
    <w:p w14:paraId="4D8A0EA8" w14:textId="77777777" w:rsidR="00CF13A6" w:rsidRPr="00CF13A6" w:rsidRDefault="00CF13A6" w:rsidP="00CF13A6">
      <w:pPr>
        <w:pStyle w:val="ListParagraph"/>
        <w:numPr>
          <w:ilvl w:val="0"/>
          <w:numId w:val="3"/>
        </w:numPr>
        <w:rPr>
          <w:rFonts w:ascii="Calibri" w:hAnsi="Calibri" w:cs="Calibri"/>
          <w:lang w:eastAsia="en-US"/>
        </w:rPr>
      </w:pPr>
      <w:r w:rsidRPr="00CF13A6">
        <w:rPr>
          <w:rFonts w:ascii="Calibri" w:hAnsi="Calibri" w:cs="Calibri"/>
          <w:lang w:eastAsia="en-US"/>
        </w:rPr>
        <w:t>Gange SJ, Kitahata MM, Saag MS, Bangsberg DR, Bosch RJ, Brooks JT, et al. Cohort profile: the North American AIDS Cohort Collaboration on Research and Design (NA-ACCORD). Int J Epidemiol. 2007 Apr;36(2):294-301. doi:10.1093/ije/dyl286.</w:t>
      </w:r>
    </w:p>
    <w:p w14:paraId="446120FE" w14:textId="77777777" w:rsidR="00CF13A6" w:rsidRDefault="00CF13A6" w:rsidP="00CF13A6">
      <w:pPr>
        <w:pStyle w:val="ListParagraph"/>
        <w:numPr>
          <w:ilvl w:val="0"/>
          <w:numId w:val="3"/>
        </w:numPr>
        <w:rPr>
          <w:rFonts w:ascii="Calibri" w:hAnsi="Calibri" w:cs="Calibri"/>
          <w:lang w:eastAsia="en-US"/>
        </w:rPr>
      </w:pPr>
      <w:r w:rsidRPr="00CF13A6">
        <w:rPr>
          <w:rFonts w:ascii="Calibri" w:hAnsi="Calibri" w:cs="Calibri"/>
          <w:lang w:eastAsia="en-US"/>
        </w:rPr>
        <w:t>Choi J, Dekkers OM, le Cessie S. A comparison of different methods to handle missing data in the context of propensity score analysis. Eur J Epidemiol. 2019;34(1):23-36. doi:10.1007/s10654-018-0447-z.</w:t>
      </w:r>
    </w:p>
    <w:p w14:paraId="44A020EC" w14:textId="7FB76712" w:rsidR="001F6FB3" w:rsidRPr="00CF13A6" w:rsidRDefault="001C7291" w:rsidP="00CF13A6">
      <w:pPr>
        <w:pStyle w:val="ListParagraph"/>
        <w:numPr>
          <w:ilvl w:val="0"/>
          <w:numId w:val="3"/>
        </w:numPr>
        <w:rPr>
          <w:rFonts w:ascii="Calibri" w:hAnsi="Calibri" w:cs="Calibri"/>
          <w:lang w:eastAsia="en-US"/>
        </w:rPr>
      </w:pPr>
      <w:r>
        <w:rPr>
          <w:rFonts w:ascii="Calibri" w:hAnsi="Calibri" w:cs="Calibri"/>
          <w:lang w:eastAsia="en-US"/>
        </w:rPr>
        <w:t xml:space="preserve">Buchanan AL, Hudgens MG, Cole SR, Lau B, Adimora AA, for the Women’s Interagency HIV Study. Worth the weight: Using inverse probability weighted Cox models in AIDS research. AIDS Res Hum Retroviruses 2014 Dec 1;30(12);1170-1177. doi: </w:t>
      </w:r>
      <w:r w:rsidR="004A4CFC" w:rsidRPr="004A4CFC">
        <w:rPr>
          <w:rFonts w:ascii="Calibri" w:hAnsi="Calibri" w:cs="Calibri"/>
          <w:lang w:eastAsia="en-US"/>
        </w:rPr>
        <w:t>10.1089/aid.2014.0037</w:t>
      </w:r>
      <w:r w:rsidR="004A4CFC">
        <w:rPr>
          <w:rFonts w:ascii="Calibri" w:hAnsi="Calibri" w:cs="Calibri"/>
          <w:lang w:eastAsia="en-US"/>
        </w:rPr>
        <w:t>.</w:t>
      </w:r>
    </w:p>
    <w:p w14:paraId="4280971D" w14:textId="50AAD56C" w:rsidR="00CB4574" w:rsidRDefault="00CB4574" w:rsidP="00CF13A6">
      <w:pPr>
        <w:pStyle w:val="ListParagraph"/>
        <w:numPr>
          <w:ilvl w:val="0"/>
          <w:numId w:val="3"/>
        </w:numPr>
        <w:rPr>
          <w:rFonts w:ascii="Calibri" w:hAnsi="Calibri" w:cs="Calibri"/>
          <w:lang w:eastAsia="en-US"/>
        </w:rPr>
      </w:pPr>
      <w:r>
        <w:rPr>
          <w:rFonts w:ascii="Calibri" w:hAnsi="Calibri" w:cs="Calibri"/>
          <w:lang w:eastAsia="en-US"/>
        </w:rPr>
        <w:lastRenderedPageBreak/>
        <w:t xml:space="preserve">Howe CJ, Cole SR, Chmiel JS, Muñoz A. Limitation of Inverse Probability-of-Censoring Weights in Estimating Survival in the Presence of Strong Selection Bias. Am J Epidemiol. 2011 Feb 2;173(5):569-577. </w:t>
      </w:r>
      <w:r w:rsidR="00B43635">
        <w:rPr>
          <w:rFonts w:ascii="Calibri" w:hAnsi="Calibri" w:cs="Calibri"/>
          <w:lang w:eastAsia="en-US"/>
        </w:rPr>
        <w:t>d</w:t>
      </w:r>
      <w:r>
        <w:rPr>
          <w:rFonts w:ascii="Calibri" w:hAnsi="Calibri" w:cs="Calibri"/>
          <w:lang w:eastAsia="en-US"/>
        </w:rPr>
        <w:t>oi: 10.1093/aje/kwq385.</w:t>
      </w:r>
    </w:p>
    <w:p w14:paraId="5D3B8192" w14:textId="01B97315" w:rsidR="00CF13A6" w:rsidRPr="00CF13A6" w:rsidRDefault="00CF13A6" w:rsidP="00CF13A6">
      <w:pPr>
        <w:pStyle w:val="ListParagraph"/>
        <w:numPr>
          <w:ilvl w:val="0"/>
          <w:numId w:val="3"/>
        </w:numPr>
        <w:rPr>
          <w:rFonts w:ascii="Calibri" w:hAnsi="Calibri" w:cs="Calibri"/>
          <w:lang w:eastAsia="en-US"/>
        </w:rPr>
      </w:pPr>
      <w:r w:rsidRPr="00CF13A6">
        <w:rPr>
          <w:rFonts w:ascii="Calibri" w:hAnsi="Calibri" w:cs="Calibri"/>
          <w:lang w:eastAsia="en-US"/>
        </w:rPr>
        <w:t>Gaber CE, Edwards JK, Lund JL, Peery AF, Richardson DB, Kinlaw AC. Inverse probability weighting to estimate exposure effects on the burden of recurrent outcomes in the presence of competing events. Am J Epidemiol. 2023;192(5):830-839. doi:10.1093/aje/kwad031.</w:t>
      </w:r>
    </w:p>
    <w:p w14:paraId="4EE69AF3" w14:textId="77777777" w:rsidR="00CF13A6" w:rsidRPr="00CF13A6" w:rsidRDefault="00CF13A6" w:rsidP="00CF13A6">
      <w:pPr>
        <w:pStyle w:val="ListParagraph"/>
        <w:rPr>
          <w:rFonts w:ascii="Calibri" w:hAnsi="Calibri" w:cs="Calibri"/>
          <w:lang w:eastAsia="en-US"/>
        </w:rPr>
      </w:pPr>
      <w:r w:rsidRPr="00CF13A6">
        <w:rPr>
          <w:rFonts w:ascii="Calibri" w:hAnsi="Calibri" w:cs="Calibri"/>
          <w:lang w:eastAsia="en-US"/>
        </w:rPr>
        <w:br w:type="page"/>
      </w:r>
    </w:p>
    <w:p w14:paraId="24131922" w14:textId="6F609A4E" w:rsidR="008D7BDF" w:rsidRDefault="00CF13A6" w:rsidP="00CF13A6">
      <w:pPr>
        <w:spacing w:line="259" w:lineRule="auto"/>
        <w:outlineLvl w:val="0"/>
        <w:rPr>
          <w:rFonts w:ascii="Calibri" w:eastAsia="Calibri" w:hAnsi="Calibri" w:cs="Calibri"/>
          <w:b/>
          <w:bCs/>
          <w:sz w:val="28"/>
          <w:szCs w:val="28"/>
          <w:lang w:eastAsia="en-US"/>
        </w:rPr>
      </w:pPr>
      <w:r w:rsidRPr="00CF13A6">
        <w:rPr>
          <w:rFonts w:ascii="Calibri" w:eastAsia="Calibri" w:hAnsi="Calibri" w:cs="Calibri"/>
          <w:b/>
          <w:bCs/>
          <w:sz w:val="28"/>
          <w:szCs w:val="28"/>
          <w:lang w:eastAsia="en-US"/>
        </w:rPr>
        <w:lastRenderedPageBreak/>
        <w:t>Supplementary File 3: Propensity Score Model Diagnostics</w:t>
      </w:r>
    </w:p>
    <w:p w14:paraId="46E9E3B5" w14:textId="3B30F9CB" w:rsidR="008D7BDF" w:rsidRPr="008D7BDF" w:rsidRDefault="008D7BDF" w:rsidP="008D7BDF">
      <w:pPr>
        <w:rPr>
          <w:rFonts w:ascii="Calibri" w:eastAsia="Calibri" w:hAnsi="Calibri" w:cs="Calibri"/>
          <w:b/>
          <w:bCs/>
          <w:sz w:val="28"/>
          <w:szCs w:val="28"/>
          <w:lang w:eastAsia="en-US"/>
        </w:rPr>
      </w:pPr>
      <w:r w:rsidRPr="008D7BDF">
        <w:rPr>
          <w:rFonts w:ascii="Calibri" w:eastAsia="Calibri" w:hAnsi="Calibri" w:cs="Calibri"/>
          <w:b/>
          <w:bCs/>
          <w:sz w:val="28"/>
          <w:szCs w:val="28"/>
          <w:lang w:eastAsia="en-US"/>
        </w:rPr>
        <w:t>Exposure Weights</w:t>
      </w:r>
    </w:p>
    <w:p w14:paraId="6628DF0D" w14:textId="77777777" w:rsidR="00CF13A6" w:rsidRPr="00CF13A6" w:rsidRDefault="00CF13A6" w:rsidP="00CF13A6">
      <w:pPr>
        <w:spacing w:line="259" w:lineRule="auto"/>
        <w:jc w:val="center"/>
        <w:rPr>
          <w:rFonts w:ascii="Calibri" w:eastAsia="Calibri" w:hAnsi="Calibri" w:cs="Calibri"/>
          <w:lang w:eastAsia="en-US"/>
        </w:rPr>
      </w:pPr>
      <w:r w:rsidRPr="00CF13A6">
        <w:rPr>
          <w:rFonts w:ascii="Calibri" w:eastAsia="Calibri" w:hAnsi="Calibri" w:cs="Calibri"/>
          <w:noProof/>
          <w:lang w:eastAsia="en-US"/>
        </w:rPr>
        <w:drawing>
          <wp:inline distT="0" distB="0" distL="0" distR="0" wp14:anchorId="2B05162D" wp14:editId="35665E41">
            <wp:extent cx="5943600" cy="3169920"/>
            <wp:effectExtent l="0" t="0" r="0" b="0"/>
            <wp:docPr id="400891159" name="Picture 1" descr="A graph of a person's bod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891159" name="Picture 1" descr="A graph of a person's body&#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5943600" cy="3169920"/>
                    </a:xfrm>
                    <a:prstGeom prst="rect">
                      <a:avLst/>
                    </a:prstGeom>
                    <a:noFill/>
                    <a:ln>
                      <a:noFill/>
                    </a:ln>
                  </pic:spPr>
                </pic:pic>
              </a:graphicData>
            </a:graphic>
          </wp:inline>
        </w:drawing>
      </w:r>
    </w:p>
    <w:p w14:paraId="4901D375" w14:textId="77777777" w:rsidR="00CF13A6" w:rsidRPr="00CF13A6" w:rsidRDefault="00CF13A6" w:rsidP="00CF13A6">
      <w:pPr>
        <w:spacing w:line="259" w:lineRule="auto"/>
        <w:rPr>
          <w:rFonts w:ascii="Calibri" w:eastAsia="Calibri" w:hAnsi="Calibri" w:cs="Calibri"/>
          <w:lang w:eastAsia="en-US"/>
        </w:rPr>
      </w:pPr>
      <w:r w:rsidRPr="00CF13A6">
        <w:rPr>
          <w:rFonts w:ascii="Calibri" w:eastAsia="Calibri" w:hAnsi="Calibri" w:cs="Calibri"/>
          <w:lang w:eastAsia="en-US"/>
        </w:rPr>
        <w:t>Figure S3.1. Distribution of propensity score of perinatal HIV acquisition, by sex.</w:t>
      </w:r>
    </w:p>
    <w:p w14:paraId="661A1242" w14:textId="77777777" w:rsidR="00CF13A6" w:rsidRPr="00CF13A6" w:rsidRDefault="00CF13A6" w:rsidP="00CF13A6">
      <w:pPr>
        <w:spacing w:line="259" w:lineRule="auto"/>
        <w:rPr>
          <w:rFonts w:ascii="Calibri" w:eastAsia="Calibri" w:hAnsi="Calibri" w:cs="Calibri"/>
          <w:lang w:eastAsia="en-US"/>
        </w:rPr>
      </w:pPr>
    </w:p>
    <w:p w14:paraId="113B5741" w14:textId="77777777" w:rsidR="00CF13A6" w:rsidRPr="00CF13A6" w:rsidRDefault="00CF13A6" w:rsidP="00CF13A6">
      <w:pPr>
        <w:spacing w:line="259" w:lineRule="auto"/>
        <w:jc w:val="center"/>
        <w:rPr>
          <w:rFonts w:ascii="Calibri" w:eastAsia="Calibri" w:hAnsi="Calibri" w:cs="Calibri"/>
          <w:lang w:eastAsia="en-US"/>
        </w:rPr>
      </w:pPr>
      <w:r w:rsidRPr="00CF13A6">
        <w:rPr>
          <w:rFonts w:ascii="Calibri" w:eastAsia="Calibri" w:hAnsi="Calibri" w:cs="Calibri"/>
          <w:noProof/>
          <w:lang w:eastAsia="en-US"/>
        </w:rPr>
        <w:drawing>
          <wp:inline distT="0" distB="0" distL="0" distR="0" wp14:anchorId="4B29CAAE" wp14:editId="186819D2">
            <wp:extent cx="6353175" cy="2300632"/>
            <wp:effectExtent l="0" t="0" r="0" b="4445"/>
            <wp:docPr id="1422387918" name="Picture 6"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387918" name="Picture 6" descr="A diagram of a graph&#10;&#10;AI-generated content may be incorrect."/>
                    <pic:cNvPicPr/>
                  </pic:nvPicPr>
                  <pic:blipFill rotWithShape="1">
                    <a:blip r:embed="rId7" cstate="print">
                      <a:extLst>
                        <a:ext uri="{28A0092B-C50C-407E-A947-70E740481C1C}">
                          <a14:useLocalDpi xmlns:a14="http://schemas.microsoft.com/office/drawing/2010/main" val="0"/>
                        </a:ext>
                      </a:extLst>
                    </a:blip>
                    <a:srcRect l="21974" r="8937"/>
                    <a:stretch/>
                  </pic:blipFill>
                  <pic:spPr bwMode="auto">
                    <a:xfrm>
                      <a:off x="0" y="0"/>
                      <a:ext cx="6360888" cy="2303425"/>
                    </a:xfrm>
                    <a:prstGeom prst="rect">
                      <a:avLst/>
                    </a:prstGeom>
                    <a:ln>
                      <a:noFill/>
                    </a:ln>
                    <a:extLst>
                      <a:ext uri="{53640926-AAD7-44D8-BBD7-CCE9431645EC}">
                        <a14:shadowObscured xmlns:a14="http://schemas.microsoft.com/office/drawing/2010/main"/>
                      </a:ext>
                    </a:extLst>
                  </pic:spPr>
                </pic:pic>
              </a:graphicData>
            </a:graphic>
          </wp:inline>
        </w:drawing>
      </w:r>
    </w:p>
    <w:p w14:paraId="2C8F13F5" w14:textId="77777777" w:rsidR="00CF13A6" w:rsidRPr="00CF13A6" w:rsidRDefault="00CF13A6" w:rsidP="00CF13A6">
      <w:pPr>
        <w:spacing w:line="259" w:lineRule="auto"/>
        <w:rPr>
          <w:rFonts w:ascii="Calibri" w:eastAsia="Calibri" w:hAnsi="Calibri" w:cs="Calibri"/>
          <w:lang w:eastAsia="en-US"/>
        </w:rPr>
      </w:pPr>
      <w:r w:rsidRPr="00CF13A6">
        <w:rPr>
          <w:rFonts w:ascii="Calibri" w:eastAsia="Calibri" w:hAnsi="Calibri" w:cs="Calibri"/>
          <w:lang w:eastAsia="en-US"/>
        </w:rPr>
        <w:t>Figure S3.2. Love plots of study covariates across all HIV acquisition risk groups before and after weighting, by sex. Dashed lines indicate a standardized mean difference absolute value threshold of 0.1. Abbreviations: PWID: People who inject drugs, MMSC: Male-to-male sexual contact, Hetero: Heterosexual contact, NS: natural spline term.</w:t>
      </w:r>
    </w:p>
    <w:p w14:paraId="07FD7274" w14:textId="77777777" w:rsidR="00CF13A6" w:rsidRPr="00CF13A6" w:rsidRDefault="00CF13A6" w:rsidP="00CF13A6">
      <w:pPr>
        <w:spacing w:line="259" w:lineRule="auto"/>
        <w:rPr>
          <w:rFonts w:ascii="Calibri" w:eastAsia="Calibri" w:hAnsi="Calibri" w:cs="Calibri"/>
          <w:lang w:eastAsia="en-US"/>
        </w:rPr>
        <w:sectPr w:rsidR="00CF13A6" w:rsidRPr="00CF13A6" w:rsidSect="00CF13A6">
          <w:type w:val="continuous"/>
          <w:pgSz w:w="12240" w:h="15840"/>
          <w:pgMar w:top="1440" w:right="1440" w:bottom="1440" w:left="1440" w:header="720" w:footer="720" w:gutter="0"/>
          <w:cols w:space="720"/>
          <w:docGrid w:linePitch="360"/>
        </w:sectPr>
      </w:pPr>
    </w:p>
    <w:p w14:paraId="211C7474" w14:textId="77777777" w:rsidR="00CF13A6" w:rsidRPr="00CF13A6" w:rsidRDefault="00CF13A6" w:rsidP="00CF13A6">
      <w:pPr>
        <w:spacing w:line="259" w:lineRule="auto"/>
        <w:rPr>
          <w:rFonts w:ascii="Calibri" w:eastAsia="Calibri" w:hAnsi="Calibri" w:cs="Calibri"/>
          <w:lang w:eastAsia="en-US"/>
        </w:rPr>
      </w:pPr>
      <w:r w:rsidRPr="00CF13A6">
        <w:rPr>
          <w:rFonts w:ascii="Calibri" w:eastAsia="Calibri" w:hAnsi="Calibri" w:cs="Calibri"/>
          <w:noProof/>
          <w:lang w:eastAsia="en-US"/>
        </w:rPr>
        <w:lastRenderedPageBreak/>
        <w:drawing>
          <wp:inline distT="0" distB="0" distL="0" distR="0" wp14:anchorId="52F67B88" wp14:editId="6CB34B8D">
            <wp:extent cx="8229335" cy="5197475"/>
            <wp:effectExtent l="0" t="0" r="635" b="3175"/>
            <wp:docPr id="2103554701"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554701" name="Picture 1" descr="A screenshot of a graph&#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8229335" cy="5197475"/>
                    </a:xfrm>
                    <a:prstGeom prst="rect">
                      <a:avLst/>
                    </a:prstGeom>
                  </pic:spPr>
                </pic:pic>
              </a:graphicData>
            </a:graphic>
          </wp:inline>
        </w:drawing>
      </w:r>
    </w:p>
    <w:p w14:paraId="5BAC5557" w14:textId="77777777" w:rsidR="00CF13A6" w:rsidRPr="00CF13A6" w:rsidRDefault="00CF13A6" w:rsidP="00CF13A6">
      <w:pPr>
        <w:spacing w:line="259" w:lineRule="auto"/>
        <w:rPr>
          <w:rFonts w:ascii="Calibri" w:eastAsia="Calibri" w:hAnsi="Calibri" w:cs="Calibri"/>
          <w:lang w:eastAsia="en-US"/>
        </w:rPr>
        <w:sectPr w:rsidR="00CF13A6" w:rsidRPr="00CF13A6" w:rsidSect="00CF13A6">
          <w:pgSz w:w="15840" w:h="12240" w:orient="landscape"/>
          <w:pgMar w:top="1440" w:right="1440" w:bottom="1440" w:left="1440" w:header="720" w:footer="720" w:gutter="0"/>
          <w:cols w:space="720"/>
          <w:docGrid w:linePitch="360"/>
        </w:sectPr>
      </w:pPr>
      <w:r w:rsidRPr="00CF13A6">
        <w:rPr>
          <w:rFonts w:ascii="Calibri" w:eastAsia="Calibri" w:hAnsi="Calibri" w:cs="Calibri"/>
          <w:lang w:eastAsia="en-US"/>
        </w:rPr>
        <w:t>Figure S3.3. Distribution of covariates across HIV acquisition groups before and after weighting, stratified by sex.</w:t>
      </w:r>
    </w:p>
    <w:p w14:paraId="7D52C437" w14:textId="4EB0F055" w:rsidR="00CF13A6" w:rsidRPr="00CF13A6" w:rsidRDefault="00CF13A6" w:rsidP="00CF13A6">
      <w:pPr>
        <w:spacing w:line="259" w:lineRule="auto"/>
        <w:rPr>
          <w:rFonts w:ascii="Calibri" w:eastAsia="Calibri" w:hAnsi="Calibri" w:cs="Calibri"/>
          <w:lang w:eastAsia="en-US"/>
        </w:rPr>
      </w:pPr>
      <w:r w:rsidRPr="00CF13A6">
        <w:rPr>
          <w:rFonts w:ascii="Calibri" w:eastAsia="Calibri" w:hAnsi="Calibri" w:cs="Calibri"/>
          <w:lang w:eastAsia="en-US"/>
        </w:rPr>
        <w:lastRenderedPageBreak/>
        <w:t>Table S3.1. Weighted summary statistics of the propensity score model.</w:t>
      </w:r>
    </w:p>
    <w:tbl>
      <w:tblPr>
        <w:tblStyle w:val="TableGrid3"/>
        <w:tblW w:w="1314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1388"/>
        <w:gridCol w:w="1604"/>
        <w:gridCol w:w="1405"/>
        <w:gridCol w:w="1482"/>
        <w:gridCol w:w="238"/>
        <w:gridCol w:w="1286"/>
        <w:gridCol w:w="1337"/>
        <w:gridCol w:w="1479"/>
      </w:tblGrid>
      <w:tr w:rsidR="00CF13A6" w:rsidRPr="00CF13A6" w14:paraId="3B1B7BEB" w14:textId="77777777" w:rsidTr="00516996">
        <w:tc>
          <w:tcPr>
            <w:tcW w:w="2921" w:type="dxa"/>
            <w:tcBorders>
              <w:top w:val="single" w:sz="4" w:space="0" w:color="auto"/>
            </w:tcBorders>
          </w:tcPr>
          <w:p w14:paraId="6B3E7B79" w14:textId="77777777" w:rsidR="00CF13A6" w:rsidRPr="00CF13A6" w:rsidRDefault="00CF13A6" w:rsidP="00516996">
            <w:pPr>
              <w:spacing w:line="259" w:lineRule="auto"/>
              <w:rPr>
                <w:rFonts w:ascii="Calibri" w:hAnsi="Calibri" w:cs="Calibri"/>
                <w:sz w:val="20"/>
                <w:szCs w:val="20"/>
              </w:rPr>
            </w:pPr>
          </w:p>
        </w:tc>
        <w:tc>
          <w:tcPr>
            <w:tcW w:w="5879" w:type="dxa"/>
            <w:gridSpan w:val="4"/>
            <w:tcBorders>
              <w:top w:val="single" w:sz="4" w:space="0" w:color="auto"/>
              <w:bottom w:val="single" w:sz="4" w:space="0" w:color="auto"/>
            </w:tcBorders>
          </w:tcPr>
          <w:p w14:paraId="5713B6C9"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Male</w:t>
            </w:r>
          </w:p>
        </w:tc>
        <w:tc>
          <w:tcPr>
            <w:tcW w:w="238" w:type="dxa"/>
            <w:tcBorders>
              <w:top w:val="single" w:sz="4" w:space="0" w:color="auto"/>
            </w:tcBorders>
          </w:tcPr>
          <w:p w14:paraId="2A58112A" w14:textId="77777777" w:rsidR="00CF13A6" w:rsidRPr="00CF13A6" w:rsidRDefault="00CF13A6" w:rsidP="00516996">
            <w:pPr>
              <w:spacing w:line="259" w:lineRule="auto"/>
              <w:jc w:val="center"/>
              <w:rPr>
                <w:rFonts w:ascii="Calibri" w:hAnsi="Calibri" w:cs="Calibri"/>
                <w:sz w:val="20"/>
                <w:szCs w:val="20"/>
              </w:rPr>
            </w:pPr>
          </w:p>
        </w:tc>
        <w:tc>
          <w:tcPr>
            <w:tcW w:w="4102" w:type="dxa"/>
            <w:gridSpan w:val="3"/>
            <w:tcBorders>
              <w:top w:val="single" w:sz="4" w:space="0" w:color="auto"/>
              <w:bottom w:val="single" w:sz="4" w:space="0" w:color="auto"/>
            </w:tcBorders>
          </w:tcPr>
          <w:p w14:paraId="0F97516D"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Female</w:t>
            </w:r>
          </w:p>
        </w:tc>
      </w:tr>
      <w:tr w:rsidR="00CF13A6" w:rsidRPr="00CF13A6" w14:paraId="4DE7E01C" w14:textId="77777777" w:rsidTr="00516996">
        <w:tc>
          <w:tcPr>
            <w:tcW w:w="2921" w:type="dxa"/>
            <w:tcBorders>
              <w:bottom w:val="single" w:sz="4" w:space="0" w:color="auto"/>
            </w:tcBorders>
          </w:tcPr>
          <w:p w14:paraId="286DBE7D" w14:textId="77777777" w:rsidR="00CF13A6" w:rsidRPr="00CF13A6" w:rsidRDefault="00CF13A6" w:rsidP="00516996">
            <w:pPr>
              <w:spacing w:line="259" w:lineRule="auto"/>
              <w:rPr>
                <w:rFonts w:ascii="Calibri" w:hAnsi="Calibri" w:cs="Calibri"/>
                <w:sz w:val="20"/>
                <w:szCs w:val="20"/>
              </w:rPr>
            </w:pPr>
          </w:p>
        </w:tc>
        <w:tc>
          <w:tcPr>
            <w:tcW w:w="1388" w:type="dxa"/>
            <w:tcBorders>
              <w:top w:val="single" w:sz="4" w:space="0" w:color="auto"/>
              <w:bottom w:val="single" w:sz="4" w:space="0" w:color="auto"/>
            </w:tcBorders>
          </w:tcPr>
          <w:p w14:paraId="15318C44"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Perinatal</w:t>
            </w:r>
          </w:p>
        </w:tc>
        <w:tc>
          <w:tcPr>
            <w:tcW w:w="1604" w:type="dxa"/>
            <w:tcBorders>
              <w:top w:val="single" w:sz="4" w:space="0" w:color="auto"/>
              <w:bottom w:val="single" w:sz="4" w:space="0" w:color="auto"/>
            </w:tcBorders>
          </w:tcPr>
          <w:p w14:paraId="28DED1CA"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Male-to-male sexual contact</w:t>
            </w:r>
          </w:p>
        </w:tc>
        <w:tc>
          <w:tcPr>
            <w:tcW w:w="1405" w:type="dxa"/>
            <w:tcBorders>
              <w:top w:val="single" w:sz="4" w:space="0" w:color="auto"/>
              <w:bottom w:val="single" w:sz="4" w:space="0" w:color="auto"/>
            </w:tcBorders>
          </w:tcPr>
          <w:p w14:paraId="0722F7FF"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Injected drug use</w:t>
            </w:r>
          </w:p>
        </w:tc>
        <w:tc>
          <w:tcPr>
            <w:tcW w:w="1482" w:type="dxa"/>
            <w:tcBorders>
              <w:top w:val="single" w:sz="4" w:space="0" w:color="auto"/>
              <w:bottom w:val="single" w:sz="4" w:space="0" w:color="auto"/>
            </w:tcBorders>
          </w:tcPr>
          <w:p w14:paraId="63909B4C"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Heterosexual contact</w:t>
            </w:r>
          </w:p>
        </w:tc>
        <w:tc>
          <w:tcPr>
            <w:tcW w:w="238" w:type="dxa"/>
            <w:tcBorders>
              <w:bottom w:val="single" w:sz="4" w:space="0" w:color="auto"/>
            </w:tcBorders>
          </w:tcPr>
          <w:p w14:paraId="3DA28C26" w14:textId="77777777" w:rsidR="00CF13A6" w:rsidRPr="00CF13A6" w:rsidRDefault="00CF13A6" w:rsidP="00516996">
            <w:pPr>
              <w:spacing w:line="259" w:lineRule="auto"/>
              <w:jc w:val="center"/>
              <w:rPr>
                <w:rFonts w:ascii="Calibri" w:hAnsi="Calibri" w:cs="Calibri"/>
                <w:sz w:val="20"/>
                <w:szCs w:val="20"/>
              </w:rPr>
            </w:pPr>
          </w:p>
        </w:tc>
        <w:tc>
          <w:tcPr>
            <w:tcW w:w="1286" w:type="dxa"/>
            <w:tcBorders>
              <w:top w:val="single" w:sz="4" w:space="0" w:color="auto"/>
              <w:bottom w:val="single" w:sz="4" w:space="0" w:color="auto"/>
            </w:tcBorders>
          </w:tcPr>
          <w:p w14:paraId="1FE769F8"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Perinatal</w:t>
            </w:r>
          </w:p>
        </w:tc>
        <w:tc>
          <w:tcPr>
            <w:tcW w:w="1337" w:type="dxa"/>
            <w:tcBorders>
              <w:top w:val="single" w:sz="4" w:space="0" w:color="auto"/>
              <w:bottom w:val="single" w:sz="4" w:space="0" w:color="auto"/>
            </w:tcBorders>
          </w:tcPr>
          <w:p w14:paraId="0BD9129C"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Injected drug use</w:t>
            </w:r>
          </w:p>
        </w:tc>
        <w:tc>
          <w:tcPr>
            <w:tcW w:w="1479" w:type="dxa"/>
            <w:tcBorders>
              <w:top w:val="single" w:sz="4" w:space="0" w:color="auto"/>
              <w:bottom w:val="single" w:sz="4" w:space="0" w:color="auto"/>
            </w:tcBorders>
          </w:tcPr>
          <w:p w14:paraId="21AB910A"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Heterosexual contact</w:t>
            </w:r>
          </w:p>
        </w:tc>
      </w:tr>
      <w:tr w:rsidR="00CF13A6" w:rsidRPr="00CF13A6" w14:paraId="7F18CA51" w14:textId="77777777" w:rsidTr="00516996">
        <w:tc>
          <w:tcPr>
            <w:tcW w:w="2921" w:type="dxa"/>
            <w:tcBorders>
              <w:top w:val="single" w:sz="4" w:space="0" w:color="auto"/>
            </w:tcBorders>
          </w:tcPr>
          <w:p w14:paraId="538D63D8" w14:textId="77777777" w:rsidR="00CF13A6" w:rsidRPr="00CF13A6" w:rsidRDefault="00CF13A6" w:rsidP="00516996">
            <w:pPr>
              <w:spacing w:line="259" w:lineRule="auto"/>
              <w:rPr>
                <w:rFonts w:ascii="Calibri" w:hAnsi="Calibri" w:cs="Calibri"/>
                <w:sz w:val="20"/>
                <w:szCs w:val="20"/>
              </w:rPr>
            </w:pPr>
            <w:r w:rsidRPr="00CF13A6">
              <w:rPr>
                <w:rFonts w:ascii="Calibri" w:hAnsi="Calibri" w:cs="Calibri"/>
                <w:sz w:val="20"/>
                <w:szCs w:val="20"/>
              </w:rPr>
              <w:t>Total sample size</w:t>
            </w:r>
          </w:p>
        </w:tc>
        <w:tc>
          <w:tcPr>
            <w:tcW w:w="1388" w:type="dxa"/>
            <w:tcBorders>
              <w:top w:val="single" w:sz="4" w:space="0" w:color="auto"/>
            </w:tcBorders>
          </w:tcPr>
          <w:p w14:paraId="723C2EDB"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205</w:t>
            </w:r>
          </w:p>
        </w:tc>
        <w:tc>
          <w:tcPr>
            <w:tcW w:w="1604" w:type="dxa"/>
            <w:tcBorders>
              <w:top w:val="single" w:sz="4" w:space="0" w:color="auto"/>
            </w:tcBorders>
          </w:tcPr>
          <w:p w14:paraId="09DE7C27"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15,858</w:t>
            </w:r>
          </w:p>
        </w:tc>
        <w:tc>
          <w:tcPr>
            <w:tcW w:w="1405" w:type="dxa"/>
            <w:tcBorders>
              <w:top w:val="single" w:sz="4" w:space="0" w:color="auto"/>
            </w:tcBorders>
          </w:tcPr>
          <w:p w14:paraId="374D898F"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1,023</w:t>
            </w:r>
          </w:p>
        </w:tc>
        <w:tc>
          <w:tcPr>
            <w:tcW w:w="1482" w:type="dxa"/>
            <w:tcBorders>
              <w:top w:val="single" w:sz="4" w:space="0" w:color="auto"/>
            </w:tcBorders>
          </w:tcPr>
          <w:p w14:paraId="34A2FEED"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1,908</w:t>
            </w:r>
          </w:p>
        </w:tc>
        <w:tc>
          <w:tcPr>
            <w:tcW w:w="238" w:type="dxa"/>
            <w:tcBorders>
              <w:top w:val="single" w:sz="4" w:space="0" w:color="auto"/>
            </w:tcBorders>
          </w:tcPr>
          <w:p w14:paraId="6C1AAAFA" w14:textId="77777777" w:rsidR="00CF13A6" w:rsidRPr="00CF13A6" w:rsidRDefault="00CF13A6" w:rsidP="00516996">
            <w:pPr>
              <w:spacing w:line="259" w:lineRule="auto"/>
              <w:jc w:val="center"/>
              <w:rPr>
                <w:rFonts w:ascii="Calibri" w:hAnsi="Calibri" w:cs="Calibri"/>
                <w:sz w:val="20"/>
                <w:szCs w:val="20"/>
              </w:rPr>
            </w:pPr>
          </w:p>
        </w:tc>
        <w:tc>
          <w:tcPr>
            <w:tcW w:w="1286" w:type="dxa"/>
            <w:tcBorders>
              <w:top w:val="single" w:sz="4" w:space="0" w:color="auto"/>
            </w:tcBorders>
          </w:tcPr>
          <w:p w14:paraId="561E33B4" w14:textId="77777777" w:rsidR="00CF13A6" w:rsidRPr="00CF13A6" w:rsidRDefault="00CF13A6" w:rsidP="00516996">
            <w:pPr>
              <w:tabs>
                <w:tab w:val="left" w:pos="300"/>
                <w:tab w:val="center" w:pos="535"/>
              </w:tabs>
              <w:spacing w:line="259" w:lineRule="auto"/>
              <w:rPr>
                <w:rFonts w:ascii="Calibri" w:hAnsi="Calibri" w:cs="Calibri"/>
                <w:sz w:val="20"/>
                <w:szCs w:val="20"/>
              </w:rPr>
            </w:pPr>
            <w:r w:rsidRPr="00CF13A6">
              <w:rPr>
                <w:rFonts w:ascii="Calibri" w:hAnsi="Calibri" w:cs="Calibri"/>
                <w:sz w:val="20"/>
                <w:szCs w:val="20"/>
              </w:rPr>
              <w:tab/>
            </w:r>
            <w:r w:rsidRPr="00CF13A6">
              <w:rPr>
                <w:rFonts w:ascii="Calibri" w:hAnsi="Calibri" w:cs="Calibri"/>
                <w:sz w:val="20"/>
                <w:szCs w:val="20"/>
              </w:rPr>
              <w:tab/>
              <w:t>250</w:t>
            </w:r>
          </w:p>
        </w:tc>
        <w:tc>
          <w:tcPr>
            <w:tcW w:w="1337" w:type="dxa"/>
            <w:tcBorders>
              <w:top w:val="single" w:sz="4" w:space="0" w:color="auto"/>
            </w:tcBorders>
          </w:tcPr>
          <w:p w14:paraId="5FB25608"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214</w:t>
            </w:r>
          </w:p>
        </w:tc>
        <w:tc>
          <w:tcPr>
            <w:tcW w:w="1479" w:type="dxa"/>
            <w:tcBorders>
              <w:top w:val="single" w:sz="4" w:space="0" w:color="auto"/>
            </w:tcBorders>
          </w:tcPr>
          <w:p w14:paraId="579B6259"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3,492</w:t>
            </w:r>
          </w:p>
        </w:tc>
      </w:tr>
      <w:tr w:rsidR="00CF13A6" w:rsidRPr="00CF13A6" w14:paraId="186119FA" w14:textId="77777777" w:rsidTr="00516996">
        <w:tc>
          <w:tcPr>
            <w:tcW w:w="2921" w:type="dxa"/>
            <w:tcBorders>
              <w:bottom w:val="single" w:sz="4" w:space="0" w:color="auto"/>
            </w:tcBorders>
          </w:tcPr>
          <w:p w14:paraId="75168B65" w14:textId="77777777" w:rsidR="00CF13A6" w:rsidRPr="00CF13A6" w:rsidRDefault="00CF13A6" w:rsidP="00516996">
            <w:pPr>
              <w:spacing w:line="259" w:lineRule="auto"/>
              <w:rPr>
                <w:rFonts w:ascii="Calibri" w:hAnsi="Calibri" w:cs="Calibri"/>
                <w:sz w:val="20"/>
                <w:szCs w:val="20"/>
              </w:rPr>
            </w:pPr>
            <w:r w:rsidRPr="00CF13A6">
              <w:rPr>
                <w:rFonts w:ascii="Calibri" w:hAnsi="Calibri" w:cs="Calibri"/>
                <w:sz w:val="20"/>
                <w:szCs w:val="20"/>
              </w:rPr>
              <w:t>Effective sample size</w:t>
            </w:r>
          </w:p>
        </w:tc>
        <w:tc>
          <w:tcPr>
            <w:tcW w:w="1388" w:type="dxa"/>
            <w:tcBorders>
              <w:bottom w:val="single" w:sz="4" w:space="0" w:color="auto"/>
            </w:tcBorders>
          </w:tcPr>
          <w:p w14:paraId="7CEE9933"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205</w:t>
            </w:r>
          </w:p>
        </w:tc>
        <w:tc>
          <w:tcPr>
            <w:tcW w:w="1604" w:type="dxa"/>
            <w:tcBorders>
              <w:bottom w:val="single" w:sz="4" w:space="0" w:color="auto"/>
            </w:tcBorders>
          </w:tcPr>
          <w:p w14:paraId="68782EF0"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4,888</w:t>
            </w:r>
          </w:p>
        </w:tc>
        <w:tc>
          <w:tcPr>
            <w:tcW w:w="1405" w:type="dxa"/>
            <w:tcBorders>
              <w:bottom w:val="single" w:sz="4" w:space="0" w:color="auto"/>
            </w:tcBorders>
          </w:tcPr>
          <w:p w14:paraId="65AD9F4D"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374</w:t>
            </w:r>
          </w:p>
        </w:tc>
        <w:tc>
          <w:tcPr>
            <w:tcW w:w="1482" w:type="dxa"/>
            <w:tcBorders>
              <w:bottom w:val="single" w:sz="4" w:space="0" w:color="auto"/>
            </w:tcBorders>
          </w:tcPr>
          <w:p w14:paraId="50C53F50"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630</w:t>
            </w:r>
          </w:p>
        </w:tc>
        <w:tc>
          <w:tcPr>
            <w:tcW w:w="238" w:type="dxa"/>
            <w:tcBorders>
              <w:bottom w:val="single" w:sz="4" w:space="0" w:color="auto"/>
            </w:tcBorders>
          </w:tcPr>
          <w:p w14:paraId="3A1AC0F2" w14:textId="77777777" w:rsidR="00CF13A6" w:rsidRPr="00CF13A6" w:rsidRDefault="00CF13A6" w:rsidP="00516996">
            <w:pPr>
              <w:spacing w:line="259" w:lineRule="auto"/>
              <w:jc w:val="center"/>
              <w:rPr>
                <w:rFonts w:ascii="Calibri" w:hAnsi="Calibri" w:cs="Calibri"/>
                <w:sz w:val="20"/>
                <w:szCs w:val="20"/>
              </w:rPr>
            </w:pPr>
          </w:p>
        </w:tc>
        <w:tc>
          <w:tcPr>
            <w:tcW w:w="1286" w:type="dxa"/>
            <w:tcBorders>
              <w:bottom w:val="single" w:sz="4" w:space="0" w:color="auto"/>
            </w:tcBorders>
          </w:tcPr>
          <w:p w14:paraId="2F68D86F"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250</w:t>
            </w:r>
          </w:p>
        </w:tc>
        <w:tc>
          <w:tcPr>
            <w:tcW w:w="1337" w:type="dxa"/>
            <w:tcBorders>
              <w:bottom w:val="single" w:sz="4" w:space="0" w:color="auto"/>
            </w:tcBorders>
          </w:tcPr>
          <w:p w14:paraId="6443EFF7"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95</w:t>
            </w:r>
          </w:p>
        </w:tc>
        <w:tc>
          <w:tcPr>
            <w:tcW w:w="1479" w:type="dxa"/>
            <w:tcBorders>
              <w:bottom w:val="single" w:sz="4" w:space="0" w:color="auto"/>
            </w:tcBorders>
          </w:tcPr>
          <w:p w14:paraId="1D59C82D"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673</w:t>
            </w:r>
          </w:p>
        </w:tc>
      </w:tr>
      <w:tr w:rsidR="00CF13A6" w:rsidRPr="00CF13A6" w14:paraId="6A1C6E52" w14:textId="77777777" w:rsidTr="00516996">
        <w:tc>
          <w:tcPr>
            <w:tcW w:w="13140" w:type="dxa"/>
            <w:gridSpan w:val="9"/>
            <w:tcBorders>
              <w:top w:val="single" w:sz="4" w:space="0" w:color="auto"/>
            </w:tcBorders>
          </w:tcPr>
          <w:p w14:paraId="602E4510"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Unweighted statistics</w:t>
            </w:r>
          </w:p>
        </w:tc>
      </w:tr>
      <w:tr w:rsidR="00CF13A6" w:rsidRPr="00CF13A6" w14:paraId="796BAD09" w14:textId="77777777" w:rsidTr="00516996">
        <w:tc>
          <w:tcPr>
            <w:tcW w:w="2921" w:type="dxa"/>
          </w:tcPr>
          <w:p w14:paraId="5FC13520" w14:textId="77777777" w:rsidR="00CF13A6" w:rsidRPr="00CF13A6" w:rsidRDefault="00CF13A6" w:rsidP="00516996">
            <w:pPr>
              <w:spacing w:line="259" w:lineRule="auto"/>
              <w:rPr>
                <w:rFonts w:ascii="Calibri" w:hAnsi="Calibri" w:cs="Calibri"/>
                <w:sz w:val="20"/>
                <w:szCs w:val="20"/>
              </w:rPr>
            </w:pPr>
            <w:r w:rsidRPr="00CF13A6">
              <w:rPr>
                <w:rFonts w:ascii="Calibri" w:hAnsi="Calibri" w:cs="Calibri"/>
                <w:sz w:val="20"/>
                <w:szCs w:val="20"/>
              </w:rPr>
              <w:t>Proportion of Black race</w:t>
            </w:r>
          </w:p>
        </w:tc>
        <w:tc>
          <w:tcPr>
            <w:tcW w:w="1388" w:type="dxa"/>
          </w:tcPr>
          <w:p w14:paraId="121FF7B3"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54.6%</w:t>
            </w:r>
          </w:p>
        </w:tc>
        <w:tc>
          <w:tcPr>
            <w:tcW w:w="1604" w:type="dxa"/>
          </w:tcPr>
          <w:p w14:paraId="6F6E5728"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40.1%</w:t>
            </w:r>
          </w:p>
        </w:tc>
        <w:tc>
          <w:tcPr>
            <w:tcW w:w="1405" w:type="dxa"/>
          </w:tcPr>
          <w:p w14:paraId="77127E28"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14.7%</w:t>
            </w:r>
          </w:p>
        </w:tc>
        <w:tc>
          <w:tcPr>
            <w:tcW w:w="1482" w:type="dxa"/>
          </w:tcPr>
          <w:p w14:paraId="1B7EC2A3"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56.3%</w:t>
            </w:r>
          </w:p>
        </w:tc>
        <w:tc>
          <w:tcPr>
            <w:tcW w:w="238" w:type="dxa"/>
          </w:tcPr>
          <w:p w14:paraId="68FDB5AA" w14:textId="77777777" w:rsidR="00CF13A6" w:rsidRPr="00CF13A6" w:rsidRDefault="00CF13A6" w:rsidP="00516996">
            <w:pPr>
              <w:spacing w:line="259" w:lineRule="auto"/>
              <w:jc w:val="center"/>
              <w:rPr>
                <w:rFonts w:ascii="Calibri" w:hAnsi="Calibri" w:cs="Calibri"/>
                <w:sz w:val="20"/>
                <w:szCs w:val="20"/>
              </w:rPr>
            </w:pPr>
          </w:p>
        </w:tc>
        <w:tc>
          <w:tcPr>
            <w:tcW w:w="1286" w:type="dxa"/>
          </w:tcPr>
          <w:p w14:paraId="682F1B6A"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60.4%</w:t>
            </w:r>
          </w:p>
        </w:tc>
        <w:tc>
          <w:tcPr>
            <w:tcW w:w="1337" w:type="dxa"/>
          </w:tcPr>
          <w:p w14:paraId="723B977C"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21.0%</w:t>
            </w:r>
          </w:p>
        </w:tc>
        <w:tc>
          <w:tcPr>
            <w:tcW w:w="1479" w:type="dxa"/>
          </w:tcPr>
          <w:p w14:paraId="732F520D"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66.2%</w:t>
            </w:r>
          </w:p>
        </w:tc>
      </w:tr>
      <w:tr w:rsidR="00CF13A6" w:rsidRPr="00CF13A6" w14:paraId="41BD3C53" w14:textId="77777777" w:rsidTr="00516996">
        <w:tc>
          <w:tcPr>
            <w:tcW w:w="2921" w:type="dxa"/>
          </w:tcPr>
          <w:p w14:paraId="32DA3D43" w14:textId="77777777" w:rsidR="00CF13A6" w:rsidRPr="00CF13A6" w:rsidRDefault="00CF13A6" w:rsidP="00516996">
            <w:pPr>
              <w:spacing w:line="259" w:lineRule="auto"/>
              <w:rPr>
                <w:rFonts w:ascii="Calibri" w:hAnsi="Calibri" w:cs="Calibri"/>
                <w:sz w:val="20"/>
                <w:szCs w:val="20"/>
              </w:rPr>
            </w:pPr>
            <w:r w:rsidRPr="00CF13A6">
              <w:rPr>
                <w:rFonts w:ascii="Calibri" w:hAnsi="Calibri" w:cs="Calibri"/>
                <w:sz w:val="20"/>
                <w:szCs w:val="20"/>
              </w:rPr>
              <w:t>Age at study entry, mean (SD)</w:t>
            </w:r>
          </w:p>
        </w:tc>
        <w:tc>
          <w:tcPr>
            <w:tcW w:w="1388" w:type="dxa"/>
          </w:tcPr>
          <w:p w14:paraId="796D0B14"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22.7 (4.1)</w:t>
            </w:r>
          </w:p>
        </w:tc>
        <w:tc>
          <w:tcPr>
            <w:tcW w:w="1604" w:type="dxa"/>
          </w:tcPr>
          <w:p w14:paraId="674EF300"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27.6 (5.0)</w:t>
            </w:r>
          </w:p>
        </w:tc>
        <w:tc>
          <w:tcPr>
            <w:tcW w:w="1405" w:type="dxa"/>
          </w:tcPr>
          <w:p w14:paraId="5ACD4733"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28.8 (4.9)</w:t>
            </w:r>
          </w:p>
        </w:tc>
        <w:tc>
          <w:tcPr>
            <w:tcW w:w="1482" w:type="dxa"/>
          </w:tcPr>
          <w:p w14:paraId="10316791"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28.6 (5.3)</w:t>
            </w:r>
          </w:p>
        </w:tc>
        <w:tc>
          <w:tcPr>
            <w:tcW w:w="238" w:type="dxa"/>
          </w:tcPr>
          <w:p w14:paraId="525ED8B3" w14:textId="77777777" w:rsidR="00CF13A6" w:rsidRPr="00CF13A6" w:rsidRDefault="00CF13A6" w:rsidP="00516996">
            <w:pPr>
              <w:spacing w:line="259" w:lineRule="auto"/>
              <w:jc w:val="center"/>
              <w:rPr>
                <w:rFonts w:ascii="Calibri" w:hAnsi="Calibri" w:cs="Calibri"/>
                <w:sz w:val="20"/>
                <w:szCs w:val="20"/>
              </w:rPr>
            </w:pPr>
          </w:p>
        </w:tc>
        <w:tc>
          <w:tcPr>
            <w:tcW w:w="1286" w:type="dxa"/>
          </w:tcPr>
          <w:p w14:paraId="1BAC3F9E"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22.5 (4.0)</w:t>
            </w:r>
          </w:p>
        </w:tc>
        <w:tc>
          <w:tcPr>
            <w:tcW w:w="1337" w:type="dxa"/>
          </w:tcPr>
          <w:p w14:paraId="3A115C27"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28.0 (5.5)</w:t>
            </w:r>
          </w:p>
        </w:tc>
        <w:tc>
          <w:tcPr>
            <w:tcW w:w="1479" w:type="dxa"/>
          </w:tcPr>
          <w:p w14:paraId="47091025"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27.4 (5.4)</w:t>
            </w:r>
          </w:p>
        </w:tc>
      </w:tr>
      <w:tr w:rsidR="00CF13A6" w:rsidRPr="00CF13A6" w14:paraId="34D26EDA" w14:textId="77777777" w:rsidTr="00516996">
        <w:tc>
          <w:tcPr>
            <w:tcW w:w="2921" w:type="dxa"/>
          </w:tcPr>
          <w:p w14:paraId="13C010AD" w14:textId="77777777" w:rsidR="00CF13A6" w:rsidRPr="00CF13A6" w:rsidRDefault="00CF13A6" w:rsidP="00516996">
            <w:pPr>
              <w:spacing w:line="259" w:lineRule="auto"/>
              <w:rPr>
                <w:rFonts w:ascii="Calibri" w:hAnsi="Calibri" w:cs="Calibri"/>
                <w:sz w:val="20"/>
                <w:szCs w:val="20"/>
              </w:rPr>
            </w:pPr>
            <w:r w:rsidRPr="00CF13A6">
              <w:rPr>
                <w:rFonts w:ascii="Calibri" w:hAnsi="Calibri" w:cs="Calibri"/>
                <w:sz w:val="20"/>
                <w:szCs w:val="20"/>
              </w:rPr>
              <w:t>Calendar year of study entry, natural spline 1, mean (SD)</w:t>
            </w:r>
          </w:p>
        </w:tc>
        <w:tc>
          <w:tcPr>
            <w:tcW w:w="1388" w:type="dxa"/>
          </w:tcPr>
          <w:p w14:paraId="4A4C6C21"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0.25 (0.23)</w:t>
            </w:r>
          </w:p>
        </w:tc>
        <w:tc>
          <w:tcPr>
            <w:tcW w:w="1604" w:type="dxa"/>
          </w:tcPr>
          <w:p w14:paraId="70DCF910"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0.28 (0.24)</w:t>
            </w:r>
          </w:p>
        </w:tc>
        <w:tc>
          <w:tcPr>
            <w:tcW w:w="1405" w:type="dxa"/>
          </w:tcPr>
          <w:p w14:paraId="684BDB2A"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0.27 (0.25)</w:t>
            </w:r>
          </w:p>
        </w:tc>
        <w:tc>
          <w:tcPr>
            <w:tcW w:w="1482" w:type="dxa"/>
          </w:tcPr>
          <w:p w14:paraId="4123B9F1"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0.25 (0.24)</w:t>
            </w:r>
          </w:p>
        </w:tc>
        <w:tc>
          <w:tcPr>
            <w:tcW w:w="238" w:type="dxa"/>
          </w:tcPr>
          <w:p w14:paraId="12A12AAB" w14:textId="77777777" w:rsidR="00CF13A6" w:rsidRPr="00CF13A6" w:rsidRDefault="00CF13A6" w:rsidP="00516996">
            <w:pPr>
              <w:spacing w:line="259" w:lineRule="auto"/>
              <w:jc w:val="center"/>
              <w:rPr>
                <w:rFonts w:ascii="Calibri" w:hAnsi="Calibri" w:cs="Calibri"/>
                <w:sz w:val="20"/>
                <w:szCs w:val="20"/>
              </w:rPr>
            </w:pPr>
          </w:p>
        </w:tc>
        <w:tc>
          <w:tcPr>
            <w:tcW w:w="1286" w:type="dxa"/>
          </w:tcPr>
          <w:p w14:paraId="4BEEACF9"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0.30 (0.23)</w:t>
            </w:r>
          </w:p>
        </w:tc>
        <w:tc>
          <w:tcPr>
            <w:tcW w:w="1337" w:type="dxa"/>
          </w:tcPr>
          <w:p w14:paraId="1E6EB7E8"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0.18 (0.24)</w:t>
            </w:r>
          </w:p>
        </w:tc>
        <w:tc>
          <w:tcPr>
            <w:tcW w:w="1479" w:type="dxa"/>
          </w:tcPr>
          <w:p w14:paraId="189204E4"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0.22 (0.24)</w:t>
            </w:r>
          </w:p>
        </w:tc>
      </w:tr>
      <w:tr w:rsidR="00CF13A6" w:rsidRPr="00CF13A6" w14:paraId="29664569" w14:textId="77777777" w:rsidTr="00516996">
        <w:tc>
          <w:tcPr>
            <w:tcW w:w="2921" w:type="dxa"/>
          </w:tcPr>
          <w:p w14:paraId="07F37ABD" w14:textId="77777777" w:rsidR="00CF13A6" w:rsidRPr="00CF13A6" w:rsidRDefault="00CF13A6" w:rsidP="00516996">
            <w:pPr>
              <w:spacing w:line="259" w:lineRule="auto"/>
              <w:rPr>
                <w:rFonts w:ascii="Calibri" w:hAnsi="Calibri" w:cs="Calibri"/>
                <w:sz w:val="20"/>
                <w:szCs w:val="20"/>
              </w:rPr>
            </w:pPr>
            <w:r w:rsidRPr="00CF13A6">
              <w:rPr>
                <w:rFonts w:ascii="Calibri" w:hAnsi="Calibri" w:cs="Calibri"/>
                <w:sz w:val="20"/>
                <w:szCs w:val="20"/>
              </w:rPr>
              <w:t>Calendar year of study entry, natural spline 2, mean (SD)</w:t>
            </w:r>
          </w:p>
        </w:tc>
        <w:tc>
          <w:tcPr>
            <w:tcW w:w="1388" w:type="dxa"/>
          </w:tcPr>
          <w:p w14:paraId="22B85A76"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0.42 (0.10)</w:t>
            </w:r>
          </w:p>
        </w:tc>
        <w:tc>
          <w:tcPr>
            <w:tcW w:w="1604" w:type="dxa"/>
          </w:tcPr>
          <w:p w14:paraId="15732461"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0.42 (0.09)</w:t>
            </w:r>
          </w:p>
        </w:tc>
        <w:tc>
          <w:tcPr>
            <w:tcW w:w="1405" w:type="dxa"/>
          </w:tcPr>
          <w:p w14:paraId="7D4769F6"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0.41 (0.09)</w:t>
            </w:r>
          </w:p>
        </w:tc>
        <w:tc>
          <w:tcPr>
            <w:tcW w:w="1482" w:type="dxa"/>
          </w:tcPr>
          <w:p w14:paraId="37B90292"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0.42 (0.10)</w:t>
            </w:r>
          </w:p>
        </w:tc>
        <w:tc>
          <w:tcPr>
            <w:tcW w:w="238" w:type="dxa"/>
          </w:tcPr>
          <w:p w14:paraId="4FA46CC9" w14:textId="77777777" w:rsidR="00CF13A6" w:rsidRPr="00CF13A6" w:rsidRDefault="00CF13A6" w:rsidP="00516996">
            <w:pPr>
              <w:spacing w:line="259" w:lineRule="auto"/>
              <w:jc w:val="center"/>
              <w:rPr>
                <w:rFonts w:ascii="Calibri" w:hAnsi="Calibri" w:cs="Calibri"/>
                <w:sz w:val="20"/>
                <w:szCs w:val="20"/>
              </w:rPr>
            </w:pPr>
          </w:p>
        </w:tc>
        <w:tc>
          <w:tcPr>
            <w:tcW w:w="1286" w:type="dxa"/>
          </w:tcPr>
          <w:p w14:paraId="71EE3B60"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0.42 (0.09)</w:t>
            </w:r>
          </w:p>
        </w:tc>
        <w:tc>
          <w:tcPr>
            <w:tcW w:w="1337" w:type="dxa"/>
          </w:tcPr>
          <w:p w14:paraId="5B68C257"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0.41 (0.12)</w:t>
            </w:r>
          </w:p>
        </w:tc>
        <w:tc>
          <w:tcPr>
            <w:tcW w:w="1479" w:type="dxa"/>
          </w:tcPr>
          <w:p w14:paraId="5CF4762B"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0.42 (0.11)</w:t>
            </w:r>
          </w:p>
        </w:tc>
      </w:tr>
      <w:tr w:rsidR="00CF13A6" w:rsidRPr="00CF13A6" w14:paraId="66C5FD86" w14:textId="77777777" w:rsidTr="00516996">
        <w:tc>
          <w:tcPr>
            <w:tcW w:w="2921" w:type="dxa"/>
          </w:tcPr>
          <w:p w14:paraId="5381954D" w14:textId="77777777" w:rsidR="00CF13A6" w:rsidRPr="00CF13A6" w:rsidRDefault="00CF13A6" w:rsidP="00516996">
            <w:pPr>
              <w:spacing w:line="259" w:lineRule="auto"/>
              <w:rPr>
                <w:rFonts w:ascii="Calibri" w:hAnsi="Calibri" w:cs="Calibri"/>
                <w:sz w:val="20"/>
                <w:szCs w:val="20"/>
              </w:rPr>
            </w:pPr>
            <w:r w:rsidRPr="00CF13A6">
              <w:rPr>
                <w:rFonts w:ascii="Calibri" w:hAnsi="Calibri" w:cs="Calibri"/>
                <w:sz w:val="20"/>
                <w:szCs w:val="20"/>
              </w:rPr>
              <w:t>Calendar year of study entry, natural spline 3, mean (SD)</w:t>
            </w:r>
          </w:p>
        </w:tc>
        <w:tc>
          <w:tcPr>
            <w:tcW w:w="1388" w:type="dxa"/>
          </w:tcPr>
          <w:p w14:paraId="2D4981BE"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-0.11 (0.28)</w:t>
            </w:r>
          </w:p>
        </w:tc>
        <w:tc>
          <w:tcPr>
            <w:tcW w:w="1604" w:type="dxa"/>
          </w:tcPr>
          <w:p w14:paraId="78031689"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-0.11 (0.28)</w:t>
            </w:r>
          </w:p>
        </w:tc>
        <w:tc>
          <w:tcPr>
            <w:tcW w:w="1405" w:type="dxa"/>
          </w:tcPr>
          <w:p w14:paraId="29846EAC"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-0.10 (0.27)</w:t>
            </w:r>
          </w:p>
        </w:tc>
        <w:tc>
          <w:tcPr>
            <w:tcW w:w="1482" w:type="dxa"/>
          </w:tcPr>
          <w:p w14:paraId="58967B59"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-0.11 (0.29)</w:t>
            </w:r>
          </w:p>
        </w:tc>
        <w:tc>
          <w:tcPr>
            <w:tcW w:w="238" w:type="dxa"/>
          </w:tcPr>
          <w:p w14:paraId="2006EE62" w14:textId="77777777" w:rsidR="00CF13A6" w:rsidRPr="00CF13A6" w:rsidRDefault="00CF13A6" w:rsidP="00516996">
            <w:pPr>
              <w:spacing w:line="259" w:lineRule="auto"/>
              <w:jc w:val="center"/>
              <w:rPr>
                <w:rFonts w:ascii="Calibri" w:hAnsi="Calibri" w:cs="Calibri"/>
                <w:sz w:val="20"/>
                <w:szCs w:val="20"/>
              </w:rPr>
            </w:pPr>
          </w:p>
        </w:tc>
        <w:tc>
          <w:tcPr>
            <w:tcW w:w="1286" w:type="dxa"/>
          </w:tcPr>
          <w:p w14:paraId="44F3F267"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-0.09 (0.27)</w:t>
            </w:r>
          </w:p>
        </w:tc>
        <w:tc>
          <w:tcPr>
            <w:tcW w:w="1337" w:type="dxa"/>
          </w:tcPr>
          <w:p w14:paraId="5DA73A39"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-0.10 (0.28)</w:t>
            </w:r>
          </w:p>
        </w:tc>
        <w:tc>
          <w:tcPr>
            <w:tcW w:w="1479" w:type="dxa"/>
          </w:tcPr>
          <w:p w14:paraId="7371909E"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-0.11 (0.28)</w:t>
            </w:r>
          </w:p>
        </w:tc>
      </w:tr>
      <w:tr w:rsidR="00CF13A6" w:rsidRPr="00CF13A6" w14:paraId="389A7D1A" w14:textId="77777777" w:rsidTr="00516996">
        <w:tc>
          <w:tcPr>
            <w:tcW w:w="2921" w:type="dxa"/>
          </w:tcPr>
          <w:p w14:paraId="549BEEE5" w14:textId="77777777" w:rsidR="00CF13A6" w:rsidRPr="00CF13A6" w:rsidRDefault="00CF13A6" w:rsidP="00516996">
            <w:pPr>
              <w:spacing w:line="259" w:lineRule="auto"/>
              <w:rPr>
                <w:rFonts w:ascii="Calibri" w:hAnsi="Calibri" w:cs="Calibri"/>
                <w:sz w:val="20"/>
                <w:szCs w:val="20"/>
              </w:rPr>
            </w:pPr>
            <w:r w:rsidRPr="00CF13A6">
              <w:rPr>
                <w:rFonts w:ascii="Calibri" w:hAnsi="Calibri" w:cs="Calibri"/>
                <w:sz w:val="20"/>
                <w:szCs w:val="20"/>
              </w:rPr>
              <w:t>CD4 count, natural spline 1</w:t>
            </w:r>
          </w:p>
        </w:tc>
        <w:tc>
          <w:tcPr>
            <w:tcW w:w="1388" w:type="dxa"/>
          </w:tcPr>
          <w:p w14:paraId="7D28B2A3"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-0.31 (0.11)</w:t>
            </w:r>
          </w:p>
        </w:tc>
        <w:tc>
          <w:tcPr>
            <w:tcW w:w="1604" w:type="dxa"/>
          </w:tcPr>
          <w:p w14:paraId="1D5A0330"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-0.33 (0.09)</w:t>
            </w:r>
          </w:p>
        </w:tc>
        <w:tc>
          <w:tcPr>
            <w:tcW w:w="1405" w:type="dxa"/>
          </w:tcPr>
          <w:p w14:paraId="2139188A"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-0.33 (0.08)</w:t>
            </w:r>
          </w:p>
        </w:tc>
        <w:tc>
          <w:tcPr>
            <w:tcW w:w="1482" w:type="dxa"/>
          </w:tcPr>
          <w:p w14:paraId="266F2047"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-0.28 (0.12)</w:t>
            </w:r>
          </w:p>
        </w:tc>
        <w:tc>
          <w:tcPr>
            <w:tcW w:w="238" w:type="dxa"/>
          </w:tcPr>
          <w:p w14:paraId="10361BD6" w14:textId="77777777" w:rsidR="00CF13A6" w:rsidRPr="00CF13A6" w:rsidRDefault="00CF13A6" w:rsidP="00516996">
            <w:pPr>
              <w:spacing w:line="259" w:lineRule="auto"/>
              <w:jc w:val="center"/>
              <w:rPr>
                <w:rFonts w:ascii="Calibri" w:hAnsi="Calibri" w:cs="Calibri"/>
                <w:sz w:val="20"/>
                <w:szCs w:val="20"/>
              </w:rPr>
            </w:pPr>
          </w:p>
        </w:tc>
        <w:tc>
          <w:tcPr>
            <w:tcW w:w="1286" w:type="dxa"/>
          </w:tcPr>
          <w:p w14:paraId="06D6A4A2"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-0.10 (0.15)</w:t>
            </w:r>
          </w:p>
        </w:tc>
        <w:tc>
          <w:tcPr>
            <w:tcW w:w="1337" w:type="dxa"/>
          </w:tcPr>
          <w:p w14:paraId="73767DB1"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-0.12 (0.15)</w:t>
            </w:r>
          </w:p>
        </w:tc>
        <w:tc>
          <w:tcPr>
            <w:tcW w:w="1479" w:type="dxa"/>
          </w:tcPr>
          <w:p w14:paraId="23C0DAE6"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-0.11 (0.15)</w:t>
            </w:r>
          </w:p>
        </w:tc>
      </w:tr>
      <w:tr w:rsidR="00CF13A6" w:rsidRPr="00CF13A6" w14:paraId="296E986E" w14:textId="77777777" w:rsidTr="00516996">
        <w:tc>
          <w:tcPr>
            <w:tcW w:w="2921" w:type="dxa"/>
          </w:tcPr>
          <w:p w14:paraId="19BE163B" w14:textId="77777777" w:rsidR="00CF13A6" w:rsidRPr="00CF13A6" w:rsidRDefault="00CF13A6" w:rsidP="00516996">
            <w:pPr>
              <w:spacing w:line="259" w:lineRule="auto"/>
              <w:rPr>
                <w:rFonts w:ascii="Calibri" w:hAnsi="Calibri" w:cs="Calibri"/>
                <w:sz w:val="20"/>
                <w:szCs w:val="20"/>
              </w:rPr>
            </w:pPr>
            <w:r w:rsidRPr="00CF13A6">
              <w:rPr>
                <w:rFonts w:ascii="Calibri" w:hAnsi="Calibri" w:cs="Calibri"/>
                <w:sz w:val="20"/>
                <w:szCs w:val="20"/>
              </w:rPr>
              <w:t>CD4 count, natural spline 2</w:t>
            </w:r>
          </w:p>
        </w:tc>
        <w:tc>
          <w:tcPr>
            <w:tcW w:w="1388" w:type="dxa"/>
          </w:tcPr>
          <w:p w14:paraId="2C67895C"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0.63 (0.22)</w:t>
            </w:r>
          </w:p>
        </w:tc>
        <w:tc>
          <w:tcPr>
            <w:tcW w:w="1604" w:type="dxa"/>
          </w:tcPr>
          <w:p w14:paraId="1B0D638B"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0.66 (0.18)</w:t>
            </w:r>
          </w:p>
        </w:tc>
        <w:tc>
          <w:tcPr>
            <w:tcW w:w="1405" w:type="dxa"/>
          </w:tcPr>
          <w:p w14:paraId="6BB08C28"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0.67 (0.17)</w:t>
            </w:r>
          </w:p>
        </w:tc>
        <w:tc>
          <w:tcPr>
            <w:tcW w:w="1482" w:type="dxa"/>
          </w:tcPr>
          <w:p w14:paraId="6EFDD15D"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0.57 (0.24)</w:t>
            </w:r>
          </w:p>
        </w:tc>
        <w:tc>
          <w:tcPr>
            <w:tcW w:w="238" w:type="dxa"/>
          </w:tcPr>
          <w:p w14:paraId="1A55E049" w14:textId="77777777" w:rsidR="00CF13A6" w:rsidRPr="00CF13A6" w:rsidRDefault="00CF13A6" w:rsidP="00516996">
            <w:pPr>
              <w:spacing w:line="259" w:lineRule="auto"/>
              <w:jc w:val="center"/>
              <w:rPr>
                <w:rFonts w:ascii="Calibri" w:hAnsi="Calibri" w:cs="Calibri"/>
                <w:sz w:val="20"/>
                <w:szCs w:val="20"/>
              </w:rPr>
            </w:pPr>
          </w:p>
        </w:tc>
        <w:tc>
          <w:tcPr>
            <w:tcW w:w="1286" w:type="dxa"/>
          </w:tcPr>
          <w:p w14:paraId="6B8A21F7"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0.53 (0.21)</w:t>
            </w:r>
          </w:p>
        </w:tc>
        <w:tc>
          <w:tcPr>
            <w:tcW w:w="1337" w:type="dxa"/>
          </w:tcPr>
          <w:p w14:paraId="2D45EB94"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0.56 (0.18)</w:t>
            </w:r>
          </w:p>
        </w:tc>
        <w:tc>
          <w:tcPr>
            <w:tcW w:w="1479" w:type="dxa"/>
          </w:tcPr>
          <w:p w14:paraId="6E6B6780"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0.53 (0.20)</w:t>
            </w:r>
          </w:p>
        </w:tc>
      </w:tr>
      <w:tr w:rsidR="00CF13A6" w:rsidRPr="00CF13A6" w14:paraId="79B5B8E0" w14:textId="77777777" w:rsidTr="00516996">
        <w:tc>
          <w:tcPr>
            <w:tcW w:w="2921" w:type="dxa"/>
            <w:tcBorders>
              <w:bottom w:val="single" w:sz="4" w:space="0" w:color="auto"/>
            </w:tcBorders>
          </w:tcPr>
          <w:p w14:paraId="12DA826A" w14:textId="77777777" w:rsidR="00CF13A6" w:rsidRPr="00CF13A6" w:rsidRDefault="00CF13A6" w:rsidP="00516996">
            <w:pPr>
              <w:spacing w:line="259" w:lineRule="auto"/>
              <w:rPr>
                <w:rFonts w:ascii="Calibri" w:hAnsi="Calibri" w:cs="Calibri"/>
                <w:sz w:val="20"/>
                <w:szCs w:val="20"/>
              </w:rPr>
            </w:pPr>
            <w:r w:rsidRPr="00CF13A6">
              <w:rPr>
                <w:rFonts w:ascii="Calibri" w:hAnsi="Calibri" w:cs="Calibri"/>
                <w:sz w:val="20"/>
                <w:szCs w:val="20"/>
              </w:rPr>
              <w:t>CD4 count, natural spline 3</w:t>
            </w:r>
          </w:p>
        </w:tc>
        <w:tc>
          <w:tcPr>
            <w:tcW w:w="1388" w:type="dxa"/>
            <w:tcBorders>
              <w:bottom w:val="single" w:sz="4" w:space="0" w:color="auto"/>
            </w:tcBorders>
          </w:tcPr>
          <w:p w14:paraId="63C9D6CD"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-0.31 (0.11)</w:t>
            </w:r>
          </w:p>
        </w:tc>
        <w:tc>
          <w:tcPr>
            <w:tcW w:w="1604" w:type="dxa"/>
            <w:tcBorders>
              <w:bottom w:val="single" w:sz="4" w:space="0" w:color="auto"/>
            </w:tcBorders>
          </w:tcPr>
          <w:p w14:paraId="51425C73"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-0.33 (0.09)</w:t>
            </w:r>
          </w:p>
        </w:tc>
        <w:tc>
          <w:tcPr>
            <w:tcW w:w="1405" w:type="dxa"/>
            <w:tcBorders>
              <w:bottom w:val="single" w:sz="4" w:space="0" w:color="auto"/>
            </w:tcBorders>
          </w:tcPr>
          <w:p w14:paraId="79E189C8"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-0.34 (0.09)</w:t>
            </w:r>
          </w:p>
        </w:tc>
        <w:tc>
          <w:tcPr>
            <w:tcW w:w="1482" w:type="dxa"/>
            <w:tcBorders>
              <w:bottom w:val="single" w:sz="4" w:space="0" w:color="auto"/>
            </w:tcBorders>
          </w:tcPr>
          <w:p w14:paraId="5C6FADF9"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-0.28 (0.12)</w:t>
            </w:r>
          </w:p>
        </w:tc>
        <w:tc>
          <w:tcPr>
            <w:tcW w:w="238" w:type="dxa"/>
            <w:tcBorders>
              <w:bottom w:val="single" w:sz="4" w:space="0" w:color="auto"/>
            </w:tcBorders>
          </w:tcPr>
          <w:p w14:paraId="43720E16" w14:textId="77777777" w:rsidR="00CF13A6" w:rsidRPr="00CF13A6" w:rsidRDefault="00CF13A6" w:rsidP="00516996">
            <w:pPr>
              <w:spacing w:line="259" w:lineRule="auto"/>
              <w:jc w:val="center"/>
              <w:rPr>
                <w:rFonts w:ascii="Calibri" w:hAnsi="Calibri" w:cs="Calibri"/>
                <w:sz w:val="20"/>
                <w:szCs w:val="20"/>
              </w:rPr>
            </w:pPr>
          </w:p>
        </w:tc>
        <w:tc>
          <w:tcPr>
            <w:tcW w:w="1286" w:type="dxa"/>
            <w:tcBorders>
              <w:bottom w:val="single" w:sz="4" w:space="0" w:color="auto"/>
            </w:tcBorders>
          </w:tcPr>
          <w:p w14:paraId="099339A9"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-0.27 (0.11)</w:t>
            </w:r>
          </w:p>
        </w:tc>
        <w:tc>
          <w:tcPr>
            <w:tcW w:w="1337" w:type="dxa"/>
            <w:tcBorders>
              <w:bottom w:val="single" w:sz="4" w:space="0" w:color="auto"/>
            </w:tcBorders>
          </w:tcPr>
          <w:p w14:paraId="7017CFCC"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-0.27 (0.10)</w:t>
            </w:r>
          </w:p>
        </w:tc>
        <w:tc>
          <w:tcPr>
            <w:tcW w:w="1479" w:type="dxa"/>
            <w:tcBorders>
              <w:bottom w:val="single" w:sz="4" w:space="0" w:color="auto"/>
            </w:tcBorders>
          </w:tcPr>
          <w:p w14:paraId="5C8BC948"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-0.27 (0.10)</w:t>
            </w:r>
          </w:p>
        </w:tc>
      </w:tr>
      <w:tr w:rsidR="00CF13A6" w:rsidRPr="00CF13A6" w14:paraId="66CB310F" w14:textId="77777777" w:rsidTr="00516996">
        <w:tc>
          <w:tcPr>
            <w:tcW w:w="13140" w:type="dxa"/>
            <w:gridSpan w:val="9"/>
            <w:tcBorders>
              <w:top w:val="single" w:sz="4" w:space="0" w:color="auto"/>
            </w:tcBorders>
          </w:tcPr>
          <w:p w14:paraId="4B8274E4"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Weighted statistics</w:t>
            </w:r>
          </w:p>
        </w:tc>
      </w:tr>
      <w:tr w:rsidR="00CF13A6" w:rsidRPr="00CF13A6" w14:paraId="69DC8AF0" w14:textId="77777777" w:rsidTr="00516996">
        <w:tc>
          <w:tcPr>
            <w:tcW w:w="2921" w:type="dxa"/>
          </w:tcPr>
          <w:p w14:paraId="1C25EB50" w14:textId="77777777" w:rsidR="00CF13A6" w:rsidRPr="00CF13A6" w:rsidRDefault="00CF13A6" w:rsidP="00516996">
            <w:pPr>
              <w:spacing w:line="259" w:lineRule="auto"/>
              <w:rPr>
                <w:rFonts w:ascii="Calibri" w:hAnsi="Calibri" w:cs="Calibri"/>
                <w:sz w:val="20"/>
                <w:szCs w:val="20"/>
              </w:rPr>
            </w:pPr>
            <w:r w:rsidRPr="00CF13A6">
              <w:rPr>
                <w:rFonts w:ascii="Calibri" w:hAnsi="Calibri" w:cs="Calibri"/>
                <w:sz w:val="20"/>
                <w:szCs w:val="20"/>
              </w:rPr>
              <w:t>Proportion of Black race</w:t>
            </w:r>
          </w:p>
        </w:tc>
        <w:tc>
          <w:tcPr>
            <w:tcW w:w="1388" w:type="dxa"/>
          </w:tcPr>
          <w:p w14:paraId="75C10DE3"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54.6%</w:t>
            </w:r>
          </w:p>
        </w:tc>
        <w:tc>
          <w:tcPr>
            <w:tcW w:w="1604" w:type="dxa"/>
          </w:tcPr>
          <w:p w14:paraId="0A3EB5A7"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55.2%</w:t>
            </w:r>
          </w:p>
        </w:tc>
        <w:tc>
          <w:tcPr>
            <w:tcW w:w="1405" w:type="dxa"/>
          </w:tcPr>
          <w:p w14:paraId="22CB88A2"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32.7%</w:t>
            </w:r>
          </w:p>
        </w:tc>
        <w:tc>
          <w:tcPr>
            <w:tcW w:w="1482" w:type="dxa"/>
          </w:tcPr>
          <w:p w14:paraId="754574D5"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51.8%</w:t>
            </w:r>
          </w:p>
        </w:tc>
        <w:tc>
          <w:tcPr>
            <w:tcW w:w="238" w:type="dxa"/>
          </w:tcPr>
          <w:p w14:paraId="04A0023F" w14:textId="77777777" w:rsidR="00CF13A6" w:rsidRPr="00CF13A6" w:rsidRDefault="00CF13A6" w:rsidP="00516996">
            <w:pPr>
              <w:spacing w:line="259" w:lineRule="auto"/>
              <w:jc w:val="center"/>
              <w:rPr>
                <w:rFonts w:ascii="Calibri" w:hAnsi="Calibri" w:cs="Calibri"/>
                <w:sz w:val="20"/>
                <w:szCs w:val="20"/>
              </w:rPr>
            </w:pPr>
          </w:p>
        </w:tc>
        <w:tc>
          <w:tcPr>
            <w:tcW w:w="1286" w:type="dxa"/>
          </w:tcPr>
          <w:p w14:paraId="0982EFE6"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60.4%</w:t>
            </w:r>
          </w:p>
        </w:tc>
        <w:tc>
          <w:tcPr>
            <w:tcW w:w="1337" w:type="dxa"/>
          </w:tcPr>
          <w:p w14:paraId="7F3A0931"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35.0%</w:t>
            </w:r>
          </w:p>
        </w:tc>
        <w:tc>
          <w:tcPr>
            <w:tcW w:w="1479" w:type="dxa"/>
          </w:tcPr>
          <w:p w14:paraId="707F974E"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59.2%</w:t>
            </w:r>
          </w:p>
        </w:tc>
      </w:tr>
      <w:tr w:rsidR="00CF13A6" w:rsidRPr="00CF13A6" w14:paraId="00EC1F5A" w14:textId="77777777" w:rsidTr="00516996">
        <w:tc>
          <w:tcPr>
            <w:tcW w:w="2921" w:type="dxa"/>
          </w:tcPr>
          <w:p w14:paraId="4CCAFFEA" w14:textId="77777777" w:rsidR="00CF13A6" w:rsidRPr="00CF13A6" w:rsidRDefault="00CF13A6" w:rsidP="00516996">
            <w:pPr>
              <w:spacing w:line="259" w:lineRule="auto"/>
              <w:rPr>
                <w:rFonts w:ascii="Calibri" w:hAnsi="Calibri" w:cs="Calibri"/>
                <w:sz w:val="20"/>
                <w:szCs w:val="20"/>
              </w:rPr>
            </w:pPr>
            <w:r w:rsidRPr="00CF13A6">
              <w:rPr>
                <w:rFonts w:ascii="Calibri" w:hAnsi="Calibri" w:cs="Calibri"/>
                <w:sz w:val="20"/>
                <w:szCs w:val="20"/>
              </w:rPr>
              <w:t>Age at study entry, mean (SD)</w:t>
            </w:r>
          </w:p>
        </w:tc>
        <w:tc>
          <w:tcPr>
            <w:tcW w:w="1388" w:type="dxa"/>
          </w:tcPr>
          <w:p w14:paraId="22C88EF9"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22.7 (3.3)</w:t>
            </w:r>
          </w:p>
        </w:tc>
        <w:tc>
          <w:tcPr>
            <w:tcW w:w="1604" w:type="dxa"/>
          </w:tcPr>
          <w:p w14:paraId="0321AD91"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22.6 (3.3)</w:t>
            </w:r>
          </w:p>
        </w:tc>
        <w:tc>
          <w:tcPr>
            <w:tcW w:w="1405" w:type="dxa"/>
          </w:tcPr>
          <w:p w14:paraId="3E0C559D"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24.6 (3.5)</w:t>
            </w:r>
          </w:p>
        </w:tc>
        <w:tc>
          <w:tcPr>
            <w:tcW w:w="1482" w:type="dxa"/>
          </w:tcPr>
          <w:p w14:paraId="7A3D3BE1"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23.2 (3.3)</w:t>
            </w:r>
          </w:p>
        </w:tc>
        <w:tc>
          <w:tcPr>
            <w:tcW w:w="238" w:type="dxa"/>
          </w:tcPr>
          <w:p w14:paraId="1A2F2166" w14:textId="77777777" w:rsidR="00CF13A6" w:rsidRPr="00CF13A6" w:rsidRDefault="00CF13A6" w:rsidP="00516996">
            <w:pPr>
              <w:spacing w:line="259" w:lineRule="auto"/>
              <w:jc w:val="center"/>
              <w:rPr>
                <w:rFonts w:ascii="Calibri" w:hAnsi="Calibri" w:cs="Calibri"/>
                <w:sz w:val="20"/>
                <w:szCs w:val="20"/>
              </w:rPr>
            </w:pPr>
          </w:p>
        </w:tc>
        <w:tc>
          <w:tcPr>
            <w:tcW w:w="1286" w:type="dxa"/>
          </w:tcPr>
          <w:p w14:paraId="1D2106DF"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22.5 (4.0)</w:t>
            </w:r>
          </w:p>
        </w:tc>
        <w:tc>
          <w:tcPr>
            <w:tcW w:w="1337" w:type="dxa"/>
          </w:tcPr>
          <w:p w14:paraId="17115110"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25.2 (4.1)</w:t>
            </w:r>
          </w:p>
        </w:tc>
        <w:tc>
          <w:tcPr>
            <w:tcW w:w="1479" w:type="dxa"/>
          </w:tcPr>
          <w:p w14:paraId="0E5F8132"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22.6 (3.5)</w:t>
            </w:r>
          </w:p>
        </w:tc>
      </w:tr>
      <w:tr w:rsidR="00CF13A6" w:rsidRPr="00CF13A6" w14:paraId="09E386A2" w14:textId="77777777" w:rsidTr="00516996">
        <w:tc>
          <w:tcPr>
            <w:tcW w:w="2921" w:type="dxa"/>
          </w:tcPr>
          <w:p w14:paraId="7D7B7E68" w14:textId="77777777" w:rsidR="00CF13A6" w:rsidRPr="00CF13A6" w:rsidRDefault="00CF13A6" w:rsidP="00516996">
            <w:pPr>
              <w:spacing w:line="259" w:lineRule="auto"/>
              <w:rPr>
                <w:rFonts w:ascii="Calibri" w:hAnsi="Calibri" w:cs="Calibri"/>
                <w:sz w:val="20"/>
                <w:szCs w:val="20"/>
              </w:rPr>
            </w:pPr>
            <w:r w:rsidRPr="00CF13A6">
              <w:rPr>
                <w:rFonts w:ascii="Calibri" w:hAnsi="Calibri" w:cs="Calibri"/>
                <w:sz w:val="20"/>
                <w:szCs w:val="20"/>
              </w:rPr>
              <w:t>Calendar year of study entry, natural spline 1, mean (SD)</w:t>
            </w:r>
          </w:p>
        </w:tc>
        <w:tc>
          <w:tcPr>
            <w:tcW w:w="1388" w:type="dxa"/>
          </w:tcPr>
          <w:p w14:paraId="05AD5D43"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0.25 (0.23)</w:t>
            </w:r>
          </w:p>
        </w:tc>
        <w:tc>
          <w:tcPr>
            <w:tcW w:w="1604" w:type="dxa"/>
          </w:tcPr>
          <w:p w14:paraId="66DF8D8F"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0.24 (0.25)</w:t>
            </w:r>
          </w:p>
        </w:tc>
        <w:tc>
          <w:tcPr>
            <w:tcW w:w="1405" w:type="dxa"/>
          </w:tcPr>
          <w:p w14:paraId="294685F6"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0.26 (0.26)</w:t>
            </w:r>
          </w:p>
        </w:tc>
        <w:tc>
          <w:tcPr>
            <w:tcW w:w="1482" w:type="dxa"/>
          </w:tcPr>
          <w:p w14:paraId="118DEE22"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0.23 (0.25)</w:t>
            </w:r>
          </w:p>
        </w:tc>
        <w:tc>
          <w:tcPr>
            <w:tcW w:w="238" w:type="dxa"/>
          </w:tcPr>
          <w:p w14:paraId="0CF557EF" w14:textId="77777777" w:rsidR="00CF13A6" w:rsidRPr="00CF13A6" w:rsidRDefault="00CF13A6" w:rsidP="00516996">
            <w:pPr>
              <w:spacing w:line="259" w:lineRule="auto"/>
              <w:jc w:val="center"/>
              <w:rPr>
                <w:rFonts w:ascii="Calibri" w:hAnsi="Calibri" w:cs="Calibri"/>
                <w:sz w:val="20"/>
                <w:szCs w:val="20"/>
              </w:rPr>
            </w:pPr>
          </w:p>
        </w:tc>
        <w:tc>
          <w:tcPr>
            <w:tcW w:w="1286" w:type="dxa"/>
          </w:tcPr>
          <w:p w14:paraId="3B3B2D89"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0.30 (0.23)</w:t>
            </w:r>
          </w:p>
        </w:tc>
        <w:tc>
          <w:tcPr>
            <w:tcW w:w="1337" w:type="dxa"/>
          </w:tcPr>
          <w:p w14:paraId="684EC612"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0.20 (0.24)</w:t>
            </w:r>
          </w:p>
        </w:tc>
        <w:tc>
          <w:tcPr>
            <w:tcW w:w="1479" w:type="dxa"/>
          </w:tcPr>
          <w:p w14:paraId="3111908F"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0.30 (0.23)</w:t>
            </w:r>
          </w:p>
        </w:tc>
      </w:tr>
      <w:tr w:rsidR="00CF13A6" w:rsidRPr="00CF13A6" w14:paraId="79DF3217" w14:textId="77777777" w:rsidTr="00516996">
        <w:tc>
          <w:tcPr>
            <w:tcW w:w="2921" w:type="dxa"/>
          </w:tcPr>
          <w:p w14:paraId="78B0AFAB" w14:textId="77777777" w:rsidR="00CF13A6" w:rsidRPr="00CF13A6" w:rsidRDefault="00CF13A6" w:rsidP="00516996">
            <w:pPr>
              <w:spacing w:line="259" w:lineRule="auto"/>
              <w:rPr>
                <w:rFonts w:ascii="Calibri" w:hAnsi="Calibri" w:cs="Calibri"/>
                <w:sz w:val="20"/>
                <w:szCs w:val="20"/>
              </w:rPr>
            </w:pPr>
            <w:r w:rsidRPr="00CF13A6">
              <w:rPr>
                <w:rFonts w:ascii="Calibri" w:hAnsi="Calibri" w:cs="Calibri"/>
                <w:sz w:val="20"/>
                <w:szCs w:val="20"/>
              </w:rPr>
              <w:t>Calendar year of study entry, natural spline 2, mean (SD)</w:t>
            </w:r>
          </w:p>
        </w:tc>
        <w:tc>
          <w:tcPr>
            <w:tcW w:w="1388" w:type="dxa"/>
          </w:tcPr>
          <w:p w14:paraId="2D502384"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0.42 (0.10)</w:t>
            </w:r>
          </w:p>
        </w:tc>
        <w:tc>
          <w:tcPr>
            <w:tcW w:w="1604" w:type="dxa"/>
          </w:tcPr>
          <w:p w14:paraId="766F441C"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0.42 (0.10)</w:t>
            </w:r>
          </w:p>
        </w:tc>
        <w:tc>
          <w:tcPr>
            <w:tcW w:w="1405" w:type="dxa"/>
          </w:tcPr>
          <w:p w14:paraId="2594D91D"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0.41 (0.10)</w:t>
            </w:r>
          </w:p>
        </w:tc>
        <w:tc>
          <w:tcPr>
            <w:tcW w:w="1482" w:type="dxa"/>
          </w:tcPr>
          <w:p w14:paraId="5A59F996"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0.42 (0.10)</w:t>
            </w:r>
          </w:p>
        </w:tc>
        <w:tc>
          <w:tcPr>
            <w:tcW w:w="238" w:type="dxa"/>
          </w:tcPr>
          <w:p w14:paraId="48C8D758" w14:textId="77777777" w:rsidR="00CF13A6" w:rsidRPr="00CF13A6" w:rsidRDefault="00CF13A6" w:rsidP="00516996">
            <w:pPr>
              <w:spacing w:line="259" w:lineRule="auto"/>
              <w:jc w:val="center"/>
              <w:rPr>
                <w:rFonts w:ascii="Calibri" w:hAnsi="Calibri" w:cs="Calibri"/>
                <w:sz w:val="20"/>
                <w:szCs w:val="20"/>
              </w:rPr>
            </w:pPr>
          </w:p>
        </w:tc>
        <w:tc>
          <w:tcPr>
            <w:tcW w:w="1286" w:type="dxa"/>
          </w:tcPr>
          <w:p w14:paraId="5BFA1B5E"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0.42 (0.09)</w:t>
            </w:r>
          </w:p>
        </w:tc>
        <w:tc>
          <w:tcPr>
            <w:tcW w:w="1337" w:type="dxa"/>
          </w:tcPr>
          <w:p w14:paraId="24F8BB2B"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0.43 (0.10)</w:t>
            </w:r>
          </w:p>
        </w:tc>
        <w:tc>
          <w:tcPr>
            <w:tcW w:w="1479" w:type="dxa"/>
          </w:tcPr>
          <w:p w14:paraId="7531282D"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0.42 (0.09)</w:t>
            </w:r>
          </w:p>
        </w:tc>
      </w:tr>
      <w:tr w:rsidR="00CF13A6" w:rsidRPr="00CF13A6" w14:paraId="241C1529" w14:textId="77777777" w:rsidTr="00516996">
        <w:tc>
          <w:tcPr>
            <w:tcW w:w="2921" w:type="dxa"/>
          </w:tcPr>
          <w:p w14:paraId="0291A45B" w14:textId="77777777" w:rsidR="00CF13A6" w:rsidRPr="00CF13A6" w:rsidRDefault="00CF13A6" w:rsidP="00516996">
            <w:pPr>
              <w:spacing w:line="259" w:lineRule="auto"/>
              <w:rPr>
                <w:rFonts w:ascii="Calibri" w:hAnsi="Calibri" w:cs="Calibri"/>
                <w:sz w:val="20"/>
                <w:szCs w:val="20"/>
              </w:rPr>
            </w:pPr>
            <w:r w:rsidRPr="00CF13A6">
              <w:rPr>
                <w:rFonts w:ascii="Calibri" w:hAnsi="Calibri" w:cs="Calibri"/>
                <w:sz w:val="20"/>
                <w:szCs w:val="20"/>
              </w:rPr>
              <w:t>Calendar year of study entry, natural spline 3, mean (SD)</w:t>
            </w:r>
          </w:p>
        </w:tc>
        <w:tc>
          <w:tcPr>
            <w:tcW w:w="1388" w:type="dxa"/>
          </w:tcPr>
          <w:p w14:paraId="285ADE3F"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-0.11 (0.28)</w:t>
            </w:r>
          </w:p>
        </w:tc>
        <w:tc>
          <w:tcPr>
            <w:tcW w:w="1604" w:type="dxa"/>
          </w:tcPr>
          <w:p w14:paraId="410CF0A7"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-0.11 (0.28)</w:t>
            </w:r>
          </w:p>
        </w:tc>
        <w:tc>
          <w:tcPr>
            <w:tcW w:w="1405" w:type="dxa"/>
          </w:tcPr>
          <w:p w14:paraId="28791860"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-0.11 (0.25)</w:t>
            </w:r>
          </w:p>
        </w:tc>
        <w:tc>
          <w:tcPr>
            <w:tcW w:w="1482" w:type="dxa"/>
          </w:tcPr>
          <w:p w14:paraId="48A8EF52"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-0.14 (0.26)</w:t>
            </w:r>
          </w:p>
        </w:tc>
        <w:tc>
          <w:tcPr>
            <w:tcW w:w="238" w:type="dxa"/>
          </w:tcPr>
          <w:p w14:paraId="13F1EB77" w14:textId="77777777" w:rsidR="00CF13A6" w:rsidRPr="00CF13A6" w:rsidRDefault="00CF13A6" w:rsidP="00516996">
            <w:pPr>
              <w:spacing w:line="259" w:lineRule="auto"/>
              <w:jc w:val="center"/>
              <w:rPr>
                <w:rFonts w:ascii="Calibri" w:hAnsi="Calibri" w:cs="Calibri"/>
                <w:sz w:val="20"/>
                <w:szCs w:val="20"/>
              </w:rPr>
            </w:pPr>
          </w:p>
        </w:tc>
        <w:tc>
          <w:tcPr>
            <w:tcW w:w="1286" w:type="dxa"/>
          </w:tcPr>
          <w:p w14:paraId="42E3036E"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-0.09 (0.27)</w:t>
            </w:r>
          </w:p>
        </w:tc>
        <w:tc>
          <w:tcPr>
            <w:tcW w:w="1337" w:type="dxa"/>
          </w:tcPr>
          <w:p w14:paraId="1A076C94"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-0.13 (0.26)</w:t>
            </w:r>
          </w:p>
        </w:tc>
        <w:tc>
          <w:tcPr>
            <w:tcW w:w="1479" w:type="dxa"/>
          </w:tcPr>
          <w:p w14:paraId="29DD2689"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-0.09 (0.27)</w:t>
            </w:r>
          </w:p>
        </w:tc>
      </w:tr>
      <w:tr w:rsidR="00CF13A6" w:rsidRPr="00CF13A6" w14:paraId="36F3C793" w14:textId="77777777" w:rsidTr="00516996">
        <w:tc>
          <w:tcPr>
            <w:tcW w:w="2921" w:type="dxa"/>
          </w:tcPr>
          <w:p w14:paraId="646492FE" w14:textId="77777777" w:rsidR="00CF13A6" w:rsidRPr="00CF13A6" w:rsidRDefault="00CF13A6" w:rsidP="00516996">
            <w:pPr>
              <w:spacing w:line="259" w:lineRule="auto"/>
              <w:rPr>
                <w:rFonts w:ascii="Calibri" w:hAnsi="Calibri" w:cs="Calibri"/>
                <w:sz w:val="20"/>
                <w:szCs w:val="20"/>
              </w:rPr>
            </w:pPr>
            <w:r w:rsidRPr="00CF13A6">
              <w:rPr>
                <w:rFonts w:ascii="Calibri" w:hAnsi="Calibri" w:cs="Calibri"/>
                <w:sz w:val="20"/>
                <w:szCs w:val="20"/>
              </w:rPr>
              <w:t>CD4 count, natural spline 1</w:t>
            </w:r>
          </w:p>
        </w:tc>
        <w:tc>
          <w:tcPr>
            <w:tcW w:w="1388" w:type="dxa"/>
          </w:tcPr>
          <w:p w14:paraId="016816F5"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-0.31 (0.11)</w:t>
            </w:r>
          </w:p>
        </w:tc>
        <w:tc>
          <w:tcPr>
            <w:tcW w:w="1604" w:type="dxa"/>
          </w:tcPr>
          <w:p w14:paraId="11457213"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-0.23 (0.09)</w:t>
            </w:r>
          </w:p>
        </w:tc>
        <w:tc>
          <w:tcPr>
            <w:tcW w:w="1405" w:type="dxa"/>
          </w:tcPr>
          <w:p w14:paraId="3035F7CE"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-0.24 (0.09)</w:t>
            </w:r>
          </w:p>
        </w:tc>
        <w:tc>
          <w:tcPr>
            <w:tcW w:w="1482" w:type="dxa"/>
          </w:tcPr>
          <w:p w14:paraId="217061F5"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-0.24 (0.10)</w:t>
            </w:r>
          </w:p>
        </w:tc>
        <w:tc>
          <w:tcPr>
            <w:tcW w:w="238" w:type="dxa"/>
          </w:tcPr>
          <w:p w14:paraId="6F6AB41A" w14:textId="77777777" w:rsidR="00CF13A6" w:rsidRPr="00CF13A6" w:rsidRDefault="00CF13A6" w:rsidP="00516996">
            <w:pPr>
              <w:spacing w:line="259" w:lineRule="auto"/>
              <w:jc w:val="center"/>
              <w:rPr>
                <w:rFonts w:ascii="Calibri" w:hAnsi="Calibri" w:cs="Calibri"/>
                <w:sz w:val="20"/>
                <w:szCs w:val="20"/>
              </w:rPr>
            </w:pPr>
          </w:p>
        </w:tc>
        <w:tc>
          <w:tcPr>
            <w:tcW w:w="1286" w:type="dxa"/>
          </w:tcPr>
          <w:p w14:paraId="6B8C4590"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-0.10 (0.15)</w:t>
            </w:r>
          </w:p>
        </w:tc>
        <w:tc>
          <w:tcPr>
            <w:tcW w:w="1337" w:type="dxa"/>
          </w:tcPr>
          <w:p w14:paraId="7F558E22"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-0.29 (0.11)</w:t>
            </w:r>
          </w:p>
        </w:tc>
        <w:tc>
          <w:tcPr>
            <w:tcW w:w="1479" w:type="dxa"/>
          </w:tcPr>
          <w:p w14:paraId="103AB30E"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-0.28 (0.12)</w:t>
            </w:r>
          </w:p>
        </w:tc>
      </w:tr>
      <w:tr w:rsidR="00CF13A6" w:rsidRPr="00CF13A6" w14:paraId="2E4562E6" w14:textId="77777777" w:rsidTr="00516996">
        <w:tc>
          <w:tcPr>
            <w:tcW w:w="2921" w:type="dxa"/>
          </w:tcPr>
          <w:p w14:paraId="413C21AD" w14:textId="77777777" w:rsidR="00CF13A6" w:rsidRPr="00CF13A6" w:rsidRDefault="00CF13A6" w:rsidP="00516996">
            <w:pPr>
              <w:spacing w:line="259" w:lineRule="auto"/>
              <w:rPr>
                <w:rFonts w:ascii="Calibri" w:hAnsi="Calibri" w:cs="Calibri"/>
                <w:sz w:val="20"/>
                <w:szCs w:val="20"/>
              </w:rPr>
            </w:pPr>
            <w:r w:rsidRPr="00CF13A6">
              <w:rPr>
                <w:rFonts w:ascii="Calibri" w:hAnsi="Calibri" w:cs="Calibri"/>
                <w:sz w:val="20"/>
                <w:szCs w:val="20"/>
              </w:rPr>
              <w:t>CD4 count, natural spline 2</w:t>
            </w:r>
          </w:p>
        </w:tc>
        <w:tc>
          <w:tcPr>
            <w:tcW w:w="1388" w:type="dxa"/>
          </w:tcPr>
          <w:p w14:paraId="3AE4CA6E"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0.63 (0.22)</w:t>
            </w:r>
          </w:p>
        </w:tc>
        <w:tc>
          <w:tcPr>
            <w:tcW w:w="1604" w:type="dxa"/>
          </w:tcPr>
          <w:p w14:paraId="7636BCF8"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0.59 (0.20)</w:t>
            </w:r>
          </w:p>
        </w:tc>
        <w:tc>
          <w:tcPr>
            <w:tcW w:w="1405" w:type="dxa"/>
          </w:tcPr>
          <w:p w14:paraId="2CFC5C39"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0.62 (0.18)</w:t>
            </w:r>
          </w:p>
        </w:tc>
        <w:tc>
          <w:tcPr>
            <w:tcW w:w="1482" w:type="dxa"/>
          </w:tcPr>
          <w:p w14:paraId="686AC05C"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0.59 (0.21)</w:t>
            </w:r>
          </w:p>
        </w:tc>
        <w:tc>
          <w:tcPr>
            <w:tcW w:w="238" w:type="dxa"/>
          </w:tcPr>
          <w:p w14:paraId="62627877" w14:textId="77777777" w:rsidR="00CF13A6" w:rsidRPr="00CF13A6" w:rsidRDefault="00CF13A6" w:rsidP="00516996">
            <w:pPr>
              <w:spacing w:line="259" w:lineRule="auto"/>
              <w:jc w:val="center"/>
              <w:rPr>
                <w:rFonts w:ascii="Calibri" w:hAnsi="Calibri" w:cs="Calibri"/>
                <w:sz w:val="20"/>
                <w:szCs w:val="20"/>
              </w:rPr>
            </w:pPr>
          </w:p>
        </w:tc>
        <w:tc>
          <w:tcPr>
            <w:tcW w:w="1286" w:type="dxa"/>
          </w:tcPr>
          <w:p w14:paraId="76B44E69"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0.53 (0.21)</w:t>
            </w:r>
          </w:p>
        </w:tc>
        <w:tc>
          <w:tcPr>
            <w:tcW w:w="1337" w:type="dxa"/>
          </w:tcPr>
          <w:p w14:paraId="7E310289"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0.60 (0.24)</w:t>
            </w:r>
          </w:p>
        </w:tc>
        <w:tc>
          <w:tcPr>
            <w:tcW w:w="1479" w:type="dxa"/>
          </w:tcPr>
          <w:p w14:paraId="393B2D4B"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0.59 (0.25)</w:t>
            </w:r>
          </w:p>
        </w:tc>
      </w:tr>
      <w:tr w:rsidR="00CF13A6" w:rsidRPr="00CF13A6" w14:paraId="1445F4C9" w14:textId="77777777" w:rsidTr="00516996">
        <w:tc>
          <w:tcPr>
            <w:tcW w:w="2921" w:type="dxa"/>
          </w:tcPr>
          <w:p w14:paraId="36EFE46D" w14:textId="77777777" w:rsidR="00CF13A6" w:rsidRPr="00CF13A6" w:rsidRDefault="00CF13A6" w:rsidP="00516996">
            <w:pPr>
              <w:spacing w:line="259" w:lineRule="auto"/>
              <w:rPr>
                <w:rFonts w:ascii="Calibri" w:hAnsi="Calibri" w:cs="Calibri"/>
                <w:sz w:val="20"/>
                <w:szCs w:val="20"/>
              </w:rPr>
            </w:pPr>
            <w:r w:rsidRPr="00CF13A6">
              <w:rPr>
                <w:rFonts w:ascii="Calibri" w:hAnsi="Calibri" w:cs="Calibri"/>
                <w:sz w:val="20"/>
                <w:szCs w:val="20"/>
              </w:rPr>
              <w:t>CD4 count, natural spline 3</w:t>
            </w:r>
          </w:p>
        </w:tc>
        <w:tc>
          <w:tcPr>
            <w:tcW w:w="1388" w:type="dxa"/>
          </w:tcPr>
          <w:p w14:paraId="2C1AFF64"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-0.31 (0.11)</w:t>
            </w:r>
          </w:p>
        </w:tc>
        <w:tc>
          <w:tcPr>
            <w:tcW w:w="1604" w:type="dxa"/>
          </w:tcPr>
          <w:p w14:paraId="22C47858"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-0.30 (0.10)</w:t>
            </w:r>
          </w:p>
        </w:tc>
        <w:tc>
          <w:tcPr>
            <w:tcW w:w="1405" w:type="dxa"/>
          </w:tcPr>
          <w:p w14:paraId="664999B7"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-0.31 (0.09)</w:t>
            </w:r>
          </w:p>
        </w:tc>
        <w:tc>
          <w:tcPr>
            <w:tcW w:w="1482" w:type="dxa"/>
          </w:tcPr>
          <w:p w14:paraId="309AE1D7"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-0.30 (0.10)</w:t>
            </w:r>
          </w:p>
        </w:tc>
        <w:tc>
          <w:tcPr>
            <w:tcW w:w="238" w:type="dxa"/>
          </w:tcPr>
          <w:p w14:paraId="40D6BF36" w14:textId="77777777" w:rsidR="00CF13A6" w:rsidRPr="00CF13A6" w:rsidRDefault="00CF13A6" w:rsidP="00516996">
            <w:pPr>
              <w:spacing w:line="259" w:lineRule="auto"/>
              <w:jc w:val="center"/>
              <w:rPr>
                <w:rFonts w:ascii="Calibri" w:hAnsi="Calibri" w:cs="Calibri"/>
                <w:sz w:val="20"/>
                <w:szCs w:val="20"/>
              </w:rPr>
            </w:pPr>
          </w:p>
        </w:tc>
        <w:tc>
          <w:tcPr>
            <w:tcW w:w="1286" w:type="dxa"/>
          </w:tcPr>
          <w:p w14:paraId="097246BF"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-0.27 (0.11)</w:t>
            </w:r>
          </w:p>
        </w:tc>
        <w:tc>
          <w:tcPr>
            <w:tcW w:w="1337" w:type="dxa"/>
          </w:tcPr>
          <w:p w14:paraId="0010D5D9"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-0.30 (0.12)</w:t>
            </w:r>
          </w:p>
        </w:tc>
        <w:tc>
          <w:tcPr>
            <w:tcW w:w="1479" w:type="dxa"/>
          </w:tcPr>
          <w:p w14:paraId="20E88BBF"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-0.29 (0.12)</w:t>
            </w:r>
          </w:p>
        </w:tc>
      </w:tr>
      <w:tr w:rsidR="00CF13A6" w:rsidRPr="00CF13A6" w14:paraId="22858C42" w14:textId="77777777" w:rsidTr="00516996">
        <w:tc>
          <w:tcPr>
            <w:tcW w:w="2921" w:type="dxa"/>
            <w:tcBorders>
              <w:bottom w:val="single" w:sz="4" w:space="0" w:color="auto"/>
            </w:tcBorders>
          </w:tcPr>
          <w:p w14:paraId="5ACC6E54" w14:textId="77777777" w:rsidR="00CF13A6" w:rsidRPr="00CF13A6" w:rsidRDefault="00CF13A6" w:rsidP="00516996">
            <w:pPr>
              <w:spacing w:line="259" w:lineRule="auto"/>
              <w:rPr>
                <w:rFonts w:ascii="Calibri" w:hAnsi="Calibri" w:cs="Calibri"/>
                <w:sz w:val="20"/>
                <w:szCs w:val="20"/>
              </w:rPr>
            </w:pPr>
            <w:r w:rsidRPr="00CF13A6">
              <w:rPr>
                <w:rFonts w:ascii="Calibri" w:hAnsi="Calibri" w:cs="Calibri"/>
                <w:sz w:val="20"/>
                <w:szCs w:val="20"/>
              </w:rPr>
              <w:t>Inverse probability weights, median (IQR)</w:t>
            </w:r>
          </w:p>
        </w:tc>
        <w:tc>
          <w:tcPr>
            <w:tcW w:w="1388" w:type="dxa"/>
            <w:tcBorders>
              <w:bottom w:val="single" w:sz="4" w:space="0" w:color="auto"/>
            </w:tcBorders>
          </w:tcPr>
          <w:p w14:paraId="6FB165E7"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1</w:t>
            </w:r>
            <w:r w:rsidRPr="00CF13A6">
              <w:rPr>
                <w:rFonts w:ascii="Calibri" w:hAnsi="Calibri" w:cs="Calibri"/>
                <w:sz w:val="20"/>
                <w:szCs w:val="20"/>
                <w:vertAlign w:val="superscript"/>
              </w:rPr>
              <w:t>a</w:t>
            </w:r>
          </w:p>
        </w:tc>
        <w:tc>
          <w:tcPr>
            <w:tcW w:w="1604" w:type="dxa"/>
            <w:tcBorders>
              <w:bottom w:val="single" w:sz="4" w:space="0" w:color="auto"/>
            </w:tcBorders>
          </w:tcPr>
          <w:p w14:paraId="039F4383"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0.006</w:t>
            </w:r>
            <w:r w:rsidRPr="00CF13A6">
              <w:rPr>
                <w:rFonts w:ascii="Calibri" w:hAnsi="Calibri" w:cs="Calibri"/>
                <w:sz w:val="20"/>
                <w:szCs w:val="20"/>
              </w:rPr>
              <w:br/>
              <w:t>(0.002, 0.016)</w:t>
            </w:r>
          </w:p>
        </w:tc>
        <w:tc>
          <w:tcPr>
            <w:tcW w:w="1405" w:type="dxa"/>
            <w:tcBorders>
              <w:bottom w:val="single" w:sz="4" w:space="0" w:color="auto"/>
            </w:tcBorders>
          </w:tcPr>
          <w:p w14:paraId="0FED9DFB"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 xml:space="preserve">0.042 </w:t>
            </w:r>
            <w:r w:rsidRPr="00CF13A6">
              <w:rPr>
                <w:rFonts w:ascii="Calibri" w:hAnsi="Calibri" w:cs="Calibri"/>
                <w:sz w:val="20"/>
                <w:szCs w:val="20"/>
              </w:rPr>
              <w:br/>
              <w:t>(0.012, 0.13)</w:t>
            </w:r>
          </w:p>
        </w:tc>
        <w:tc>
          <w:tcPr>
            <w:tcW w:w="1482" w:type="dxa"/>
            <w:tcBorders>
              <w:bottom w:val="single" w:sz="4" w:space="0" w:color="auto"/>
            </w:tcBorders>
          </w:tcPr>
          <w:p w14:paraId="29D2722A"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0.032</w:t>
            </w:r>
          </w:p>
          <w:p w14:paraId="09726FC8"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(0.009, 0.11)</w:t>
            </w:r>
          </w:p>
        </w:tc>
        <w:tc>
          <w:tcPr>
            <w:tcW w:w="238" w:type="dxa"/>
            <w:tcBorders>
              <w:bottom w:val="single" w:sz="4" w:space="0" w:color="auto"/>
            </w:tcBorders>
          </w:tcPr>
          <w:p w14:paraId="0636F9D1" w14:textId="77777777" w:rsidR="00CF13A6" w:rsidRPr="00CF13A6" w:rsidRDefault="00CF13A6" w:rsidP="00516996">
            <w:pPr>
              <w:spacing w:line="259" w:lineRule="auto"/>
              <w:jc w:val="center"/>
              <w:rPr>
                <w:rFonts w:ascii="Calibri" w:hAnsi="Calibri" w:cs="Calibri"/>
                <w:sz w:val="20"/>
                <w:szCs w:val="20"/>
              </w:rPr>
            </w:pPr>
          </w:p>
        </w:tc>
        <w:tc>
          <w:tcPr>
            <w:tcW w:w="1286" w:type="dxa"/>
            <w:tcBorders>
              <w:bottom w:val="single" w:sz="4" w:space="0" w:color="auto"/>
            </w:tcBorders>
          </w:tcPr>
          <w:p w14:paraId="061A7636"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1</w:t>
            </w:r>
            <w:r w:rsidRPr="00CF13A6">
              <w:rPr>
                <w:rFonts w:ascii="Calibri" w:hAnsi="Calibri" w:cs="Calibri"/>
                <w:sz w:val="20"/>
                <w:szCs w:val="20"/>
                <w:vertAlign w:val="superscript"/>
              </w:rPr>
              <w:t>a</w:t>
            </w:r>
          </w:p>
        </w:tc>
        <w:tc>
          <w:tcPr>
            <w:tcW w:w="1337" w:type="dxa"/>
            <w:tcBorders>
              <w:bottom w:val="single" w:sz="4" w:space="0" w:color="auto"/>
            </w:tcBorders>
          </w:tcPr>
          <w:p w14:paraId="40359A55"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0.174</w:t>
            </w:r>
            <w:r w:rsidRPr="00CF13A6">
              <w:rPr>
                <w:rFonts w:ascii="Calibri" w:hAnsi="Calibri" w:cs="Calibri"/>
                <w:sz w:val="20"/>
                <w:szCs w:val="20"/>
              </w:rPr>
              <w:br/>
              <w:t>(0.059, 0.55)</w:t>
            </w:r>
          </w:p>
        </w:tc>
        <w:tc>
          <w:tcPr>
            <w:tcW w:w="1479" w:type="dxa"/>
            <w:tcBorders>
              <w:bottom w:val="single" w:sz="4" w:space="0" w:color="auto"/>
            </w:tcBorders>
          </w:tcPr>
          <w:p w14:paraId="636E88DE" w14:textId="77777777" w:rsidR="00CF13A6" w:rsidRPr="00CF13A6" w:rsidRDefault="00CF13A6" w:rsidP="00516996">
            <w:pPr>
              <w:spacing w:line="259" w:lineRule="auto"/>
              <w:jc w:val="center"/>
              <w:rPr>
                <w:rFonts w:ascii="Calibri" w:hAnsi="Calibri" w:cs="Calibri"/>
                <w:sz w:val="20"/>
                <w:szCs w:val="20"/>
              </w:rPr>
            </w:pPr>
            <w:r w:rsidRPr="00CF13A6">
              <w:rPr>
                <w:rFonts w:ascii="Calibri" w:hAnsi="Calibri" w:cs="Calibri"/>
                <w:sz w:val="20"/>
                <w:szCs w:val="20"/>
              </w:rPr>
              <w:t>0.0201</w:t>
            </w:r>
            <w:r w:rsidRPr="00CF13A6">
              <w:rPr>
                <w:rFonts w:ascii="Calibri" w:hAnsi="Calibri" w:cs="Calibri"/>
                <w:sz w:val="20"/>
                <w:szCs w:val="20"/>
              </w:rPr>
              <w:br/>
              <w:t>(0.008, 0.063)</w:t>
            </w:r>
          </w:p>
        </w:tc>
      </w:tr>
    </w:tbl>
    <w:p w14:paraId="7862911F" w14:textId="77777777" w:rsidR="00CF13A6" w:rsidRPr="00CF13A6" w:rsidRDefault="00CF13A6" w:rsidP="00CF13A6">
      <w:pPr>
        <w:spacing w:after="0" w:line="259" w:lineRule="auto"/>
        <w:rPr>
          <w:rFonts w:ascii="Calibri" w:eastAsia="Calibri" w:hAnsi="Calibri" w:cs="Calibri"/>
          <w:i/>
          <w:iCs/>
          <w:lang w:eastAsia="en-US"/>
        </w:rPr>
      </w:pPr>
      <w:r w:rsidRPr="00CF13A6">
        <w:rPr>
          <w:rFonts w:ascii="Calibri" w:eastAsia="Calibri" w:hAnsi="Calibri" w:cs="Calibri"/>
          <w:i/>
          <w:iCs/>
          <w:vertAlign w:val="superscript"/>
          <w:lang w:eastAsia="en-US"/>
        </w:rPr>
        <w:t>a</w:t>
      </w:r>
      <w:r w:rsidRPr="00CF13A6">
        <w:rPr>
          <w:rFonts w:ascii="Calibri" w:eastAsia="Calibri" w:hAnsi="Calibri" w:cs="Calibri"/>
          <w:i/>
          <w:iCs/>
          <w:lang w:eastAsia="en-US"/>
        </w:rPr>
        <w:t xml:space="preserve"> Weights for perinatal were fixed; the weights of the other HIV acquisition risk groups were created as odds relative to perinatal.</w:t>
      </w:r>
    </w:p>
    <w:p w14:paraId="0E0AFBB5" w14:textId="77777777" w:rsidR="008D7BDF" w:rsidRDefault="00CF13A6" w:rsidP="00CF13A6">
      <w:pPr>
        <w:spacing w:after="0" w:line="259" w:lineRule="auto"/>
        <w:rPr>
          <w:rFonts w:ascii="Calibri" w:eastAsia="Calibri" w:hAnsi="Calibri" w:cs="Calibri"/>
          <w:i/>
          <w:iCs/>
          <w:lang w:eastAsia="en-US"/>
        </w:rPr>
        <w:sectPr w:rsidR="008D7BDF" w:rsidSect="00CF13A6">
          <w:pgSz w:w="15840" w:h="12240" w:orient="landscape"/>
          <w:pgMar w:top="1440" w:right="1440" w:bottom="1440" w:left="1440" w:header="720" w:footer="720" w:gutter="0"/>
          <w:cols w:space="720"/>
          <w:docGrid w:linePitch="360"/>
        </w:sectPr>
      </w:pPr>
      <w:r w:rsidRPr="00CF13A6">
        <w:rPr>
          <w:rFonts w:ascii="Calibri" w:eastAsia="Calibri" w:hAnsi="Calibri" w:cs="Calibri"/>
          <w:i/>
          <w:iCs/>
          <w:lang w:eastAsia="en-US"/>
        </w:rPr>
        <w:t xml:space="preserve">Abbreviation: IQR, Interquartile range; SD, standard deviation. </w:t>
      </w:r>
    </w:p>
    <w:p w14:paraId="54AC9296" w14:textId="61D10895" w:rsidR="008D7BDF" w:rsidRPr="008D7BDF" w:rsidRDefault="008D7BDF" w:rsidP="008D7BDF">
      <w:pPr>
        <w:rPr>
          <w:rFonts w:ascii="Calibri" w:eastAsia="Calibri" w:hAnsi="Calibri" w:cs="Calibri"/>
          <w:b/>
          <w:bCs/>
          <w:sz w:val="28"/>
          <w:szCs w:val="28"/>
          <w:lang w:eastAsia="en-US"/>
        </w:rPr>
      </w:pPr>
      <w:r>
        <w:rPr>
          <w:rFonts w:ascii="Calibri" w:eastAsia="Calibri" w:hAnsi="Calibri" w:cs="Calibri"/>
          <w:b/>
          <w:bCs/>
          <w:sz w:val="28"/>
          <w:szCs w:val="28"/>
          <w:lang w:eastAsia="en-US"/>
        </w:rPr>
        <w:lastRenderedPageBreak/>
        <w:t>Censoring</w:t>
      </w:r>
      <w:r w:rsidRPr="008D7BDF">
        <w:rPr>
          <w:rFonts w:ascii="Calibri" w:eastAsia="Calibri" w:hAnsi="Calibri" w:cs="Calibri"/>
          <w:b/>
          <w:bCs/>
          <w:sz w:val="28"/>
          <w:szCs w:val="28"/>
          <w:lang w:eastAsia="en-US"/>
        </w:rPr>
        <w:t xml:space="preserve"> Weights</w:t>
      </w:r>
    </w:p>
    <w:p w14:paraId="479A8E86" w14:textId="5A094EE7" w:rsidR="00CF28F7" w:rsidRDefault="001B635F" w:rsidP="007B3B7F">
      <w:pPr>
        <w:spacing w:line="259" w:lineRule="auto"/>
        <w:rPr>
          <w:rFonts w:ascii="Calibri" w:eastAsia="Calibri" w:hAnsi="Calibri" w:cs="Calibri"/>
          <w:lang w:eastAsia="en-US"/>
        </w:rPr>
      </w:pPr>
      <w:r>
        <w:rPr>
          <w:rFonts w:ascii="Calibri" w:eastAsia="Calibri" w:hAnsi="Calibri" w:cs="Calibri"/>
          <w:noProof/>
          <w:lang w:eastAsia="en-US"/>
        </w:rPr>
        <w:drawing>
          <wp:inline distT="0" distB="0" distL="0" distR="0" wp14:anchorId="19C419B2" wp14:editId="20FC4530">
            <wp:extent cx="5943600" cy="3169920"/>
            <wp:effectExtent l="0" t="0" r="0" b="0"/>
            <wp:docPr id="1586741776" name="Picture 1" descr="A graph of a distribution of we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741776" name="Picture 1" descr="A graph of a distribution of weigh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169920"/>
                    </a:xfrm>
                    <a:prstGeom prst="rect">
                      <a:avLst/>
                    </a:prstGeom>
                  </pic:spPr>
                </pic:pic>
              </a:graphicData>
            </a:graphic>
          </wp:inline>
        </w:drawing>
      </w:r>
    </w:p>
    <w:p w14:paraId="3857132E" w14:textId="236728F2" w:rsidR="00EF34A0" w:rsidRPr="00CF13A6" w:rsidRDefault="007B3B7F" w:rsidP="007B3B7F">
      <w:pPr>
        <w:spacing w:line="259" w:lineRule="auto"/>
        <w:rPr>
          <w:rFonts w:ascii="Calibri" w:eastAsia="Calibri" w:hAnsi="Calibri" w:cs="Calibri"/>
          <w:i/>
          <w:iCs/>
          <w:lang w:eastAsia="en-US"/>
        </w:rPr>
      </w:pPr>
      <w:r w:rsidRPr="00CF13A6">
        <w:rPr>
          <w:rFonts w:ascii="Calibri" w:eastAsia="Calibri" w:hAnsi="Calibri" w:cs="Calibri"/>
          <w:lang w:eastAsia="en-US"/>
        </w:rPr>
        <w:t>Figure S3.</w:t>
      </w:r>
      <w:r>
        <w:rPr>
          <w:rFonts w:ascii="Calibri" w:eastAsia="Calibri" w:hAnsi="Calibri" w:cs="Calibri"/>
          <w:lang w:eastAsia="en-US"/>
        </w:rPr>
        <w:t>4</w:t>
      </w:r>
      <w:r w:rsidRPr="00CF13A6">
        <w:rPr>
          <w:rFonts w:ascii="Calibri" w:eastAsia="Calibri" w:hAnsi="Calibri" w:cs="Calibri"/>
          <w:lang w:eastAsia="en-US"/>
        </w:rPr>
        <w:t xml:space="preserve">. Distribution of </w:t>
      </w:r>
      <w:r>
        <w:rPr>
          <w:rFonts w:ascii="Calibri" w:eastAsia="Calibri" w:hAnsi="Calibri" w:cs="Calibri"/>
          <w:lang w:eastAsia="en-US"/>
        </w:rPr>
        <w:t>censoring weights across all time periods. The vertical dotted line is the mean.</w:t>
      </w:r>
    </w:p>
    <w:sectPr w:rsidR="00EF34A0" w:rsidRPr="00CF13A6" w:rsidSect="008D7B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42684"/>
    <w:multiLevelType w:val="hybridMultilevel"/>
    <w:tmpl w:val="C3425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D20DA3"/>
    <w:multiLevelType w:val="hybridMultilevel"/>
    <w:tmpl w:val="A93865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D3E17"/>
    <w:multiLevelType w:val="hybridMultilevel"/>
    <w:tmpl w:val="BEF8C402"/>
    <w:lvl w:ilvl="0" w:tplc="C17EB538">
      <w:start w:val="40"/>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895DC4"/>
    <w:multiLevelType w:val="hybridMultilevel"/>
    <w:tmpl w:val="946C7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2471108">
    <w:abstractNumId w:val="1"/>
  </w:num>
  <w:num w:numId="2" w16cid:durableId="524446836">
    <w:abstractNumId w:val="2"/>
  </w:num>
  <w:num w:numId="3" w16cid:durableId="1071655266">
    <w:abstractNumId w:val="0"/>
  </w:num>
  <w:num w:numId="4" w16cid:durableId="19603327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3A6"/>
    <w:rsid w:val="000273D0"/>
    <w:rsid w:val="000A34C3"/>
    <w:rsid w:val="000B183A"/>
    <w:rsid w:val="00134157"/>
    <w:rsid w:val="001B635F"/>
    <w:rsid w:val="001C7291"/>
    <w:rsid w:val="001F3494"/>
    <w:rsid w:val="001F6FB3"/>
    <w:rsid w:val="002046CF"/>
    <w:rsid w:val="00235C9D"/>
    <w:rsid w:val="002B5A27"/>
    <w:rsid w:val="002C254A"/>
    <w:rsid w:val="00412C6A"/>
    <w:rsid w:val="00435351"/>
    <w:rsid w:val="004A4CFC"/>
    <w:rsid w:val="004B36BA"/>
    <w:rsid w:val="004C56AB"/>
    <w:rsid w:val="00516996"/>
    <w:rsid w:val="00521749"/>
    <w:rsid w:val="00596D30"/>
    <w:rsid w:val="0061227A"/>
    <w:rsid w:val="00620090"/>
    <w:rsid w:val="006E44FA"/>
    <w:rsid w:val="0070735F"/>
    <w:rsid w:val="007506C9"/>
    <w:rsid w:val="007A6851"/>
    <w:rsid w:val="007B3B7F"/>
    <w:rsid w:val="007D05E4"/>
    <w:rsid w:val="00800A6D"/>
    <w:rsid w:val="008357E9"/>
    <w:rsid w:val="008C1FCC"/>
    <w:rsid w:val="008D7BDF"/>
    <w:rsid w:val="008E5572"/>
    <w:rsid w:val="00986E71"/>
    <w:rsid w:val="00A74B0E"/>
    <w:rsid w:val="00A804D0"/>
    <w:rsid w:val="00B43635"/>
    <w:rsid w:val="00B65AC3"/>
    <w:rsid w:val="00B66645"/>
    <w:rsid w:val="00C038D9"/>
    <w:rsid w:val="00C30431"/>
    <w:rsid w:val="00C97F4F"/>
    <w:rsid w:val="00CA71F5"/>
    <w:rsid w:val="00CB4574"/>
    <w:rsid w:val="00CF13A6"/>
    <w:rsid w:val="00CF28F7"/>
    <w:rsid w:val="00DD7DE1"/>
    <w:rsid w:val="00E13C0D"/>
    <w:rsid w:val="00E62718"/>
    <w:rsid w:val="00EC5F02"/>
    <w:rsid w:val="00EF34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F240C"/>
  <w15:chartTrackingRefBased/>
  <w15:docId w15:val="{32A81990-25F3-4A7E-97ED-9CC44AFF3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B7F"/>
    <w:pPr>
      <w:spacing w:line="480" w:lineRule="auto"/>
    </w:pPr>
    <w:rPr>
      <w:rFonts w:eastAsiaTheme="minorEastAsia"/>
      <w:sz w:val="22"/>
      <w:szCs w:val="22"/>
      <w:lang w:eastAsia="zh-TW"/>
    </w:rPr>
  </w:style>
  <w:style w:type="paragraph" w:styleId="Heading1">
    <w:name w:val="heading 1"/>
    <w:basedOn w:val="Normal"/>
    <w:next w:val="Normal"/>
    <w:link w:val="Heading1Char"/>
    <w:uiPriority w:val="9"/>
    <w:qFormat/>
    <w:rsid w:val="00CF13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13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13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13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13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13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13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13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13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13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13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13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13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13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13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13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13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13A6"/>
    <w:rPr>
      <w:rFonts w:eastAsiaTheme="majorEastAsia" w:cstheme="majorBidi"/>
      <w:color w:val="272727" w:themeColor="text1" w:themeTint="D8"/>
    </w:rPr>
  </w:style>
  <w:style w:type="paragraph" w:styleId="Title">
    <w:name w:val="Title"/>
    <w:basedOn w:val="Normal"/>
    <w:next w:val="Normal"/>
    <w:link w:val="TitleChar"/>
    <w:uiPriority w:val="10"/>
    <w:qFormat/>
    <w:rsid w:val="00CF13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13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13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13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13A6"/>
    <w:pPr>
      <w:spacing w:before="160"/>
      <w:jc w:val="center"/>
    </w:pPr>
    <w:rPr>
      <w:i/>
      <w:iCs/>
      <w:color w:val="404040" w:themeColor="text1" w:themeTint="BF"/>
    </w:rPr>
  </w:style>
  <w:style w:type="character" w:customStyle="1" w:styleId="QuoteChar">
    <w:name w:val="Quote Char"/>
    <w:basedOn w:val="DefaultParagraphFont"/>
    <w:link w:val="Quote"/>
    <w:uiPriority w:val="29"/>
    <w:rsid w:val="00CF13A6"/>
    <w:rPr>
      <w:i/>
      <w:iCs/>
      <w:color w:val="404040" w:themeColor="text1" w:themeTint="BF"/>
    </w:rPr>
  </w:style>
  <w:style w:type="paragraph" w:styleId="ListParagraph">
    <w:name w:val="List Paragraph"/>
    <w:basedOn w:val="Normal"/>
    <w:uiPriority w:val="34"/>
    <w:qFormat/>
    <w:rsid w:val="00CF13A6"/>
    <w:pPr>
      <w:ind w:left="720"/>
      <w:contextualSpacing/>
    </w:pPr>
  </w:style>
  <w:style w:type="character" w:styleId="IntenseEmphasis">
    <w:name w:val="Intense Emphasis"/>
    <w:basedOn w:val="DefaultParagraphFont"/>
    <w:uiPriority w:val="21"/>
    <w:qFormat/>
    <w:rsid w:val="00CF13A6"/>
    <w:rPr>
      <w:i/>
      <w:iCs/>
      <w:color w:val="0F4761" w:themeColor="accent1" w:themeShade="BF"/>
    </w:rPr>
  </w:style>
  <w:style w:type="paragraph" w:styleId="IntenseQuote">
    <w:name w:val="Intense Quote"/>
    <w:basedOn w:val="Normal"/>
    <w:next w:val="Normal"/>
    <w:link w:val="IntenseQuoteChar"/>
    <w:uiPriority w:val="30"/>
    <w:qFormat/>
    <w:rsid w:val="00CF13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13A6"/>
    <w:rPr>
      <w:i/>
      <w:iCs/>
      <w:color w:val="0F4761" w:themeColor="accent1" w:themeShade="BF"/>
    </w:rPr>
  </w:style>
  <w:style w:type="character" w:styleId="IntenseReference">
    <w:name w:val="Intense Reference"/>
    <w:basedOn w:val="DefaultParagraphFont"/>
    <w:uiPriority w:val="32"/>
    <w:qFormat/>
    <w:rsid w:val="00CF13A6"/>
    <w:rPr>
      <w:b/>
      <w:bCs/>
      <w:smallCaps/>
      <w:color w:val="0F4761" w:themeColor="accent1" w:themeShade="BF"/>
      <w:spacing w:val="5"/>
    </w:rPr>
  </w:style>
  <w:style w:type="table" w:customStyle="1" w:styleId="TableGrid2">
    <w:name w:val="Table Grid2"/>
    <w:basedOn w:val="TableNormal"/>
    <w:next w:val="TableGrid"/>
    <w:uiPriority w:val="39"/>
    <w:rsid w:val="00CF13A6"/>
    <w:pPr>
      <w:spacing w:after="0" w:line="240" w:lineRule="auto"/>
    </w:pPr>
    <w:rPr>
      <w:rFonts w:eastAsiaTheme="minorEastAsia"/>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F13A6"/>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F13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A4CFC"/>
    <w:rPr>
      <w:color w:val="467886" w:themeColor="hyperlink"/>
      <w:u w:val="single"/>
    </w:rPr>
  </w:style>
  <w:style w:type="character" w:styleId="UnresolvedMention">
    <w:name w:val="Unresolved Mention"/>
    <w:basedOn w:val="DefaultParagraphFont"/>
    <w:uiPriority w:val="99"/>
    <w:semiHidden/>
    <w:unhideWhenUsed/>
    <w:rsid w:val="004A4C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12</Pages>
  <Words>2214</Words>
  <Characters>12621</Characters>
  <Application>Microsoft Office Word</Application>
  <DocSecurity>0</DocSecurity>
  <Lines>105</Lines>
  <Paragraphs>29</Paragraphs>
  <ScaleCrop>false</ScaleCrop>
  <Company/>
  <LinksUpToDate>false</LinksUpToDate>
  <CharactersWithSpaces>14806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Haw</dc:creator>
  <cp:keywords/>
  <dc:description/>
  <cp:lastModifiedBy>Jason Haw</cp:lastModifiedBy>
  <cp:revision>36</cp:revision>
  <dcterms:created xsi:type="dcterms:W3CDTF">2025-03-18T18:38:00Z</dcterms:created>
  <dcterms:modified xsi:type="dcterms:W3CDTF">2025-05-19T00:35:00Z</dcterms:modified>
</cp:coreProperties>
</file>