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96AD6" w14:textId="78CA615D" w:rsidR="005C207E" w:rsidRDefault="00DD7AE8" w:rsidP="008768F2">
      <w:pPr>
        <w:pStyle w:val="Title"/>
      </w:pPr>
      <w:r w:rsidRPr="007C613E">
        <w:t>Appendix</w:t>
      </w:r>
    </w:p>
    <w:sdt>
      <w:sdtPr>
        <w:rPr>
          <w:rFonts w:asciiTheme="minorHAnsi" w:eastAsiaTheme="minorHAnsi" w:hAnsiTheme="minorHAnsi" w:cstheme="minorBidi"/>
          <w:color w:val="auto"/>
          <w:kern w:val="2"/>
          <w:sz w:val="24"/>
          <w:szCs w:val="24"/>
          <w14:ligatures w14:val="standardContextual"/>
        </w:rPr>
        <w:id w:val="-1026323899"/>
        <w:docPartObj>
          <w:docPartGallery w:val="Table of Contents"/>
          <w:docPartUnique/>
        </w:docPartObj>
      </w:sdtPr>
      <w:sdtEndPr>
        <w:rPr>
          <w:b/>
          <w:bCs/>
          <w:noProof/>
        </w:rPr>
      </w:sdtEndPr>
      <w:sdtContent>
        <w:p w14:paraId="367501D8" w14:textId="5FC69C62" w:rsidR="00C60263" w:rsidRDefault="00C60263">
          <w:pPr>
            <w:pStyle w:val="TOCHeading"/>
          </w:pPr>
          <w:r>
            <w:t>Contents</w:t>
          </w:r>
        </w:p>
        <w:p w14:paraId="68FEE409" w14:textId="230EFD98" w:rsidR="00A50CB2" w:rsidRPr="00A50CB2" w:rsidRDefault="00C60263">
          <w:pPr>
            <w:pStyle w:val="TOC1"/>
            <w:tabs>
              <w:tab w:val="right" w:leader="dot" w:pos="9350"/>
            </w:tabs>
            <w:rPr>
              <w:rFonts w:eastAsiaTheme="minorEastAsia"/>
              <w:noProof/>
              <w:sz w:val="22"/>
              <w:szCs w:val="22"/>
            </w:rPr>
          </w:pPr>
          <w:r>
            <w:fldChar w:fldCharType="begin"/>
          </w:r>
          <w:r>
            <w:instrText xml:space="preserve"> TOC \o "1-3" \h \z \u </w:instrText>
          </w:r>
          <w:r>
            <w:fldChar w:fldCharType="separate"/>
          </w:r>
          <w:hyperlink w:anchor="_Toc196469574" w:history="1">
            <w:r w:rsidR="00A50CB2" w:rsidRPr="00A50CB2">
              <w:rPr>
                <w:rStyle w:val="Hyperlink"/>
                <w:noProof/>
                <w:sz w:val="22"/>
                <w:szCs w:val="22"/>
              </w:rPr>
              <w:t>Supplementary methods</w:t>
            </w:r>
            <w:r w:rsidR="00A50CB2" w:rsidRPr="00A50CB2">
              <w:rPr>
                <w:noProof/>
                <w:webHidden/>
                <w:sz w:val="22"/>
                <w:szCs w:val="22"/>
              </w:rPr>
              <w:tab/>
            </w:r>
            <w:r w:rsidR="00A50CB2" w:rsidRPr="00A50CB2">
              <w:rPr>
                <w:noProof/>
                <w:webHidden/>
                <w:sz w:val="22"/>
                <w:szCs w:val="22"/>
              </w:rPr>
              <w:fldChar w:fldCharType="begin"/>
            </w:r>
            <w:r w:rsidR="00A50CB2" w:rsidRPr="00A50CB2">
              <w:rPr>
                <w:noProof/>
                <w:webHidden/>
                <w:sz w:val="22"/>
                <w:szCs w:val="22"/>
              </w:rPr>
              <w:instrText xml:space="preserve"> PAGEREF _Toc196469574 \h </w:instrText>
            </w:r>
            <w:r w:rsidR="00A50CB2" w:rsidRPr="00A50CB2">
              <w:rPr>
                <w:noProof/>
                <w:webHidden/>
                <w:sz w:val="22"/>
                <w:szCs w:val="22"/>
              </w:rPr>
            </w:r>
            <w:r w:rsidR="00A50CB2" w:rsidRPr="00A50CB2">
              <w:rPr>
                <w:noProof/>
                <w:webHidden/>
                <w:sz w:val="22"/>
                <w:szCs w:val="22"/>
              </w:rPr>
              <w:fldChar w:fldCharType="separate"/>
            </w:r>
            <w:r w:rsidR="00A50CB2" w:rsidRPr="00A50CB2">
              <w:rPr>
                <w:noProof/>
                <w:webHidden/>
                <w:sz w:val="22"/>
                <w:szCs w:val="22"/>
              </w:rPr>
              <w:t>1</w:t>
            </w:r>
            <w:r w:rsidR="00A50CB2" w:rsidRPr="00A50CB2">
              <w:rPr>
                <w:noProof/>
                <w:webHidden/>
                <w:sz w:val="22"/>
                <w:szCs w:val="22"/>
              </w:rPr>
              <w:fldChar w:fldCharType="end"/>
            </w:r>
          </w:hyperlink>
        </w:p>
        <w:p w14:paraId="157F1D84" w14:textId="09FFB0D7" w:rsidR="00A50CB2" w:rsidRPr="00A50CB2" w:rsidRDefault="00A50CB2">
          <w:pPr>
            <w:pStyle w:val="TOC2"/>
            <w:tabs>
              <w:tab w:val="right" w:leader="dot" w:pos="9350"/>
            </w:tabs>
            <w:rPr>
              <w:rFonts w:eastAsiaTheme="minorEastAsia"/>
              <w:noProof/>
              <w:sz w:val="22"/>
              <w:szCs w:val="22"/>
            </w:rPr>
          </w:pPr>
          <w:hyperlink w:anchor="_Toc196469575" w:history="1">
            <w:r w:rsidRPr="00A50CB2">
              <w:rPr>
                <w:rStyle w:val="Hyperlink"/>
                <w:noProof/>
                <w:sz w:val="22"/>
                <w:szCs w:val="22"/>
              </w:rPr>
              <w:t>Description of map</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_Toc196469575 \h </w:instrText>
            </w:r>
            <w:r w:rsidRPr="00A50CB2">
              <w:rPr>
                <w:noProof/>
                <w:webHidden/>
                <w:sz w:val="22"/>
                <w:szCs w:val="22"/>
              </w:rPr>
            </w:r>
            <w:r w:rsidRPr="00A50CB2">
              <w:rPr>
                <w:noProof/>
                <w:webHidden/>
                <w:sz w:val="22"/>
                <w:szCs w:val="22"/>
              </w:rPr>
              <w:fldChar w:fldCharType="separate"/>
            </w:r>
            <w:r w:rsidRPr="00A50CB2">
              <w:rPr>
                <w:noProof/>
                <w:webHidden/>
                <w:sz w:val="22"/>
                <w:szCs w:val="22"/>
              </w:rPr>
              <w:t>1</w:t>
            </w:r>
            <w:r w:rsidRPr="00A50CB2">
              <w:rPr>
                <w:noProof/>
                <w:webHidden/>
                <w:sz w:val="22"/>
                <w:szCs w:val="22"/>
              </w:rPr>
              <w:fldChar w:fldCharType="end"/>
            </w:r>
          </w:hyperlink>
        </w:p>
        <w:p w14:paraId="489C082D" w14:textId="10ED18D3" w:rsidR="00A50CB2" w:rsidRPr="00A50CB2" w:rsidRDefault="00A50CB2">
          <w:pPr>
            <w:pStyle w:val="TOC2"/>
            <w:tabs>
              <w:tab w:val="right" w:leader="dot" w:pos="9350"/>
            </w:tabs>
            <w:rPr>
              <w:rFonts w:eastAsiaTheme="minorEastAsia"/>
              <w:noProof/>
              <w:sz w:val="22"/>
              <w:szCs w:val="22"/>
            </w:rPr>
          </w:pPr>
          <w:hyperlink w:anchor="_Toc196469576" w:history="1">
            <w:r w:rsidRPr="00A50CB2">
              <w:rPr>
                <w:rStyle w:val="Hyperlink"/>
                <w:noProof/>
                <w:sz w:val="22"/>
                <w:szCs w:val="22"/>
              </w:rPr>
              <w:t>Estimation for multiple matches</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_Toc196469576 \h </w:instrText>
            </w:r>
            <w:r w:rsidRPr="00A50CB2">
              <w:rPr>
                <w:noProof/>
                <w:webHidden/>
                <w:sz w:val="22"/>
                <w:szCs w:val="22"/>
              </w:rPr>
            </w:r>
            <w:r w:rsidRPr="00A50CB2">
              <w:rPr>
                <w:noProof/>
                <w:webHidden/>
                <w:sz w:val="22"/>
                <w:szCs w:val="22"/>
              </w:rPr>
              <w:fldChar w:fldCharType="separate"/>
            </w:r>
            <w:r w:rsidRPr="00A50CB2">
              <w:rPr>
                <w:noProof/>
                <w:webHidden/>
                <w:sz w:val="22"/>
                <w:szCs w:val="22"/>
              </w:rPr>
              <w:t>2</w:t>
            </w:r>
            <w:r w:rsidRPr="00A50CB2">
              <w:rPr>
                <w:noProof/>
                <w:webHidden/>
                <w:sz w:val="22"/>
                <w:szCs w:val="22"/>
              </w:rPr>
              <w:fldChar w:fldCharType="end"/>
            </w:r>
          </w:hyperlink>
        </w:p>
        <w:p w14:paraId="24F27B2B" w14:textId="3C4EC7AB" w:rsidR="00A50CB2" w:rsidRPr="00A50CB2" w:rsidRDefault="00A50CB2">
          <w:pPr>
            <w:pStyle w:val="TOC3"/>
            <w:tabs>
              <w:tab w:val="right" w:leader="dot" w:pos="9350"/>
            </w:tabs>
            <w:rPr>
              <w:rFonts w:eastAsiaTheme="minorEastAsia"/>
              <w:noProof/>
              <w:sz w:val="22"/>
              <w:szCs w:val="22"/>
            </w:rPr>
          </w:pPr>
          <w:hyperlink w:anchor="_Toc196469577" w:history="1">
            <w:r w:rsidRPr="00A50CB2">
              <w:rPr>
                <w:rStyle w:val="Hyperlink"/>
                <w:noProof/>
                <w:sz w:val="22"/>
                <w:szCs w:val="22"/>
              </w:rPr>
              <w:t>Sample calculation for multiple matches</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_Toc196469577 \h </w:instrText>
            </w:r>
            <w:r w:rsidRPr="00A50CB2">
              <w:rPr>
                <w:noProof/>
                <w:webHidden/>
                <w:sz w:val="22"/>
                <w:szCs w:val="22"/>
              </w:rPr>
            </w:r>
            <w:r w:rsidRPr="00A50CB2">
              <w:rPr>
                <w:noProof/>
                <w:webHidden/>
                <w:sz w:val="22"/>
                <w:szCs w:val="22"/>
              </w:rPr>
              <w:fldChar w:fldCharType="separate"/>
            </w:r>
            <w:r w:rsidRPr="00A50CB2">
              <w:rPr>
                <w:noProof/>
                <w:webHidden/>
                <w:sz w:val="22"/>
                <w:szCs w:val="22"/>
              </w:rPr>
              <w:t>2</w:t>
            </w:r>
            <w:r w:rsidRPr="00A50CB2">
              <w:rPr>
                <w:noProof/>
                <w:webHidden/>
                <w:sz w:val="22"/>
                <w:szCs w:val="22"/>
              </w:rPr>
              <w:fldChar w:fldCharType="end"/>
            </w:r>
          </w:hyperlink>
        </w:p>
        <w:p w14:paraId="056BEBC7" w14:textId="274E63CB" w:rsidR="00A50CB2" w:rsidRPr="00A50CB2" w:rsidRDefault="00A50CB2">
          <w:pPr>
            <w:pStyle w:val="TOC3"/>
            <w:tabs>
              <w:tab w:val="right" w:leader="dot" w:pos="9350"/>
            </w:tabs>
            <w:rPr>
              <w:rFonts w:eastAsiaTheme="minorEastAsia"/>
              <w:noProof/>
              <w:sz w:val="22"/>
              <w:szCs w:val="22"/>
            </w:rPr>
          </w:pPr>
          <w:hyperlink w:anchor="_Toc196469578" w:history="1">
            <w:r w:rsidRPr="00A50CB2">
              <w:rPr>
                <w:rStyle w:val="Hyperlink"/>
                <w:noProof/>
                <w:sz w:val="22"/>
                <w:szCs w:val="22"/>
              </w:rPr>
              <w:t>Justification</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_Toc196469578 \h </w:instrText>
            </w:r>
            <w:r w:rsidRPr="00A50CB2">
              <w:rPr>
                <w:noProof/>
                <w:webHidden/>
                <w:sz w:val="22"/>
                <w:szCs w:val="22"/>
              </w:rPr>
            </w:r>
            <w:r w:rsidRPr="00A50CB2">
              <w:rPr>
                <w:noProof/>
                <w:webHidden/>
                <w:sz w:val="22"/>
                <w:szCs w:val="22"/>
              </w:rPr>
              <w:fldChar w:fldCharType="separate"/>
            </w:r>
            <w:r w:rsidRPr="00A50CB2">
              <w:rPr>
                <w:noProof/>
                <w:webHidden/>
                <w:sz w:val="22"/>
                <w:szCs w:val="22"/>
              </w:rPr>
              <w:t>2</w:t>
            </w:r>
            <w:r w:rsidRPr="00A50CB2">
              <w:rPr>
                <w:noProof/>
                <w:webHidden/>
                <w:sz w:val="22"/>
                <w:szCs w:val="22"/>
              </w:rPr>
              <w:fldChar w:fldCharType="end"/>
            </w:r>
          </w:hyperlink>
        </w:p>
        <w:p w14:paraId="1840EBE4" w14:textId="03E5DA6B" w:rsidR="00A50CB2" w:rsidRPr="00A50CB2" w:rsidRDefault="00A50CB2">
          <w:pPr>
            <w:pStyle w:val="TOC2"/>
            <w:tabs>
              <w:tab w:val="right" w:leader="dot" w:pos="9350"/>
            </w:tabs>
            <w:rPr>
              <w:rFonts w:eastAsiaTheme="minorEastAsia"/>
              <w:noProof/>
              <w:sz w:val="22"/>
              <w:szCs w:val="22"/>
            </w:rPr>
          </w:pPr>
          <w:hyperlink w:anchor="_Toc196469579" w:history="1">
            <w:r w:rsidRPr="00A50CB2">
              <w:rPr>
                <w:rStyle w:val="Hyperlink"/>
                <w:noProof/>
                <w:sz w:val="22"/>
                <w:szCs w:val="22"/>
              </w:rPr>
              <w:t>Duration of injury in GBD</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_Toc196469579 \h </w:instrText>
            </w:r>
            <w:r w:rsidRPr="00A50CB2">
              <w:rPr>
                <w:noProof/>
                <w:webHidden/>
                <w:sz w:val="22"/>
                <w:szCs w:val="22"/>
              </w:rPr>
            </w:r>
            <w:r w:rsidRPr="00A50CB2">
              <w:rPr>
                <w:noProof/>
                <w:webHidden/>
                <w:sz w:val="22"/>
                <w:szCs w:val="22"/>
              </w:rPr>
              <w:fldChar w:fldCharType="separate"/>
            </w:r>
            <w:r w:rsidRPr="00A50CB2">
              <w:rPr>
                <w:noProof/>
                <w:webHidden/>
                <w:sz w:val="22"/>
                <w:szCs w:val="22"/>
              </w:rPr>
              <w:t>3</w:t>
            </w:r>
            <w:r w:rsidRPr="00A50CB2">
              <w:rPr>
                <w:noProof/>
                <w:webHidden/>
                <w:sz w:val="22"/>
                <w:szCs w:val="22"/>
              </w:rPr>
              <w:fldChar w:fldCharType="end"/>
            </w:r>
          </w:hyperlink>
        </w:p>
        <w:p w14:paraId="0DA63EF5" w14:textId="093FC781" w:rsidR="00A50CB2" w:rsidRPr="00A50CB2" w:rsidRDefault="00A50CB2">
          <w:pPr>
            <w:pStyle w:val="TOC1"/>
            <w:tabs>
              <w:tab w:val="right" w:leader="dot" w:pos="9350"/>
            </w:tabs>
            <w:rPr>
              <w:rFonts w:eastAsiaTheme="minorEastAsia"/>
              <w:noProof/>
              <w:sz w:val="22"/>
              <w:szCs w:val="22"/>
            </w:rPr>
          </w:pPr>
          <w:hyperlink w:anchor="_Toc196469580" w:history="1">
            <w:r w:rsidRPr="00A50CB2">
              <w:rPr>
                <w:rStyle w:val="Hyperlink"/>
                <w:noProof/>
                <w:sz w:val="22"/>
                <w:szCs w:val="22"/>
              </w:rPr>
              <w:t>Supplementary tables</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_Toc196469580 \h </w:instrText>
            </w:r>
            <w:r w:rsidRPr="00A50CB2">
              <w:rPr>
                <w:noProof/>
                <w:webHidden/>
                <w:sz w:val="22"/>
                <w:szCs w:val="22"/>
              </w:rPr>
            </w:r>
            <w:r w:rsidRPr="00A50CB2">
              <w:rPr>
                <w:noProof/>
                <w:webHidden/>
                <w:sz w:val="22"/>
                <w:szCs w:val="22"/>
              </w:rPr>
              <w:fldChar w:fldCharType="separate"/>
            </w:r>
            <w:r w:rsidRPr="00A50CB2">
              <w:rPr>
                <w:noProof/>
                <w:webHidden/>
                <w:sz w:val="22"/>
                <w:szCs w:val="22"/>
              </w:rPr>
              <w:t>4</w:t>
            </w:r>
            <w:r w:rsidRPr="00A50CB2">
              <w:rPr>
                <w:noProof/>
                <w:webHidden/>
                <w:sz w:val="22"/>
                <w:szCs w:val="22"/>
              </w:rPr>
              <w:fldChar w:fldCharType="end"/>
            </w:r>
          </w:hyperlink>
        </w:p>
        <w:p w14:paraId="3DC9E82A" w14:textId="0CF3CAF9" w:rsidR="00A50CB2" w:rsidRPr="00A50CB2" w:rsidRDefault="00A50CB2">
          <w:pPr>
            <w:pStyle w:val="TOC2"/>
            <w:tabs>
              <w:tab w:val="right" w:leader="dot" w:pos="9350"/>
            </w:tabs>
            <w:rPr>
              <w:rFonts w:eastAsiaTheme="minorEastAsia"/>
              <w:noProof/>
              <w:sz w:val="22"/>
              <w:szCs w:val="22"/>
            </w:rPr>
          </w:pPr>
          <w:hyperlink w:anchor="_Toc196469581" w:history="1">
            <w:r w:rsidRPr="00A50CB2">
              <w:rPr>
                <w:rStyle w:val="Hyperlink"/>
                <w:noProof/>
                <w:sz w:val="22"/>
                <w:szCs w:val="22"/>
              </w:rPr>
              <w:t>Table S1. Map of NEISS-AIP injury types to GBD natures of injury and corresponding estimated disability weights</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_Toc196469581 \h </w:instrText>
            </w:r>
            <w:r w:rsidRPr="00A50CB2">
              <w:rPr>
                <w:noProof/>
                <w:webHidden/>
                <w:sz w:val="22"/>
                <w:szCs w:val="22"/>
              </w:rPr>
            </w:r>
            <w:r w:rsidRPr="00A50CB2">
              <w:rPr>
                <w:noProof/>
                <w:webHidden/>
                <w:sz w:val="22"/>
                <w:szCs w:val="22"/>
              </w:rPr>
              <w:fldChar w:fldCharType="separate"/>
            </w:r>
            <w:r w:rsidRPr="00A50CB2">
              <w:rPr>
                <w:noProof/>
                <w:webHidden/>
                <w:sz w:val="22"/>
                <w:szCs w:val="22"/>
              </w:rPr>
              <w:t>4</w:t>
            </w:r>
            <w:r w:rsidRPr="00A50CB2">
              <w:rPr>
                <w:noProof/>
                <w:webHidden/>
                <w:sz w:val="22"/>
                <w:szCs w:val="22"/>
              </w:rPr>
              <w:fldChar w:fldCharType="end"/>
            </w:r>
          </w:hyperlink>
        </w:p>
        <w:p w14:paraId="05DC5EB7" w14:textId="3822B5E9" w:rsidR="00A50CB2" w:rsidRPr="00A50CB2" w:rsidRDefault="00A50CB2">
          <w:pPr>
            <w:pStyle w:val="TOC2"/>
            <w:tabs>
              <w:tab w:val="right" w:leader="dot" w:pos="9350"/>
            </w:tabs>
            <w:rPr>
              <w:rFonts w:eastAsiaTheme="minorEastAsia"/>
              <w:noProof/>
              <w:sz w:val="22"/>
              <w:szCs w:val="22"/>
            </w:rPr>
          </w:pPr>
          <w:hyperlink w:anchor="_Toc196469582" w:history="1">
            <w:r w:rsidRPr="00A50CB2">
              <w:rPr>
                <w:rStyle w:val="Hyperlink"/>
                <w:noProof/>
                <w:sz w:val="22"/>
                <w:szCs w:val="22"/>
              </w:rPr>
              <w:t>Table S2. GBD nature of injury incidence estimates, United States 2015-2020</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_Toc196469582 \h </w:instrText>
            </w:r>
            <w:r w:rsidRPr="00A50CB2">
              <w:rPr>
                <w:noProof/>
                <w:webHidden/>
                <w:sz w:val="22"/>
                <w:szCs w:val="22"/>
              </w:rPr>
            </w:r>
            <w:r w:rsidRPr="00A50CB2">
              <w:rPr>
                <w:noProof/>
                <w:webHidden/>
                <w:sz w:val="22"/>
                <w:szCs w:val="22"/>
              </w:rPr>
              <w:fldChar w:fldCharType="separate"/>
            </w:r>
            <w:r w:rsidRPr="00A50CB2">
              <w:rPr>
                <w:noProof/>
                <w:webHidden/>
                <w:sz w:val="22"/>
                <w:szCs w:val="22"/>
              </w:rPr>
              <w:t>4</w:t>
            </w:r>
            <w:r w:rsidRPr="00A50CB2">
              <w:rPr>
                <w:noProof/>
                <w:webHidden/>
                <w:sz w:val="22"/>
                <w:szCs w:val="22"/>
              </w:rPr>
              <w:fldChar w:fldCharType="end"/>
            </w:r>
          </w:hyperlink>
        </w:p>
        <w:p w14:paraId="722A4295" w14:textId="7DAA4C7E" w:rsidR="00A50CB2" w:rsidRPr="00A50CB2" w:rsidRDefault="00A50CB2">
          <w:pPr>
            <w:pStyle w:val="TOC1"/>
            <w:tabs>
              <w:tab w:val="right" w:leader="dot" w:pos="9350"/>
            </w:tabs>
            <w:rPr>
              <w:rFonts w:eastAsiaTheme="minorEastAsia"/>
              <w:noProof/>
              <w:sz w:val="22"/>
              <w:szCs w:val="22"/>
            </w:rPr>
          </w:pPr>
          <w:hyperlink w:anchor="_Toc196469583" w:history="1">
            <w:r w:rsidRPr="00A50CB2">
              <w:rPr>
                <w:rStyle w:val="Hyperlink"/>
                <w:noProof/>
                <w:sz w:val="22"/>
                <w:szCs w:val="22"/>
              </w:rPr>
              <w:t>References</w:t>
            </w:r>
            <w:r w:rsidRPr="00A50CB2">
              <w:rPr>
                <w:noProof/>
                <w:webHidden/>
                <w:sz w:val="22"/>
                <w:szCs w:val="22"/>
              </w:rPr>
              <w:tab/>
            </w:r>
            <w:r w:rsidRPr="00A50CB2">
              <w:rPr>
                <w:noProof/>
                <w:webHidden/>
                <w:sz w:val="22"/>
                <w:szCs w:val="22"/>
              </w:rPr>
              <w:fldChar w:fldCharType="begin"/>
            </w:r>
            <w:r w:rsidRPr="00A50CB2">
              <w:rPr>
                <w:noProof/>
                <w:webHidden/>
                <w:sz w:val="22"/>
                <w:szCs w:val="22"/>
              </w:rPr>
              <w:instrText xml:space="preserve"> PAGEREF _Toc196469583 \h </w:instrText>
            </w:r>
            <w:r w:rsidRPr="00A50CB2">
              <w:rPr>
                <w:noProof/>
                <w:webHidden/>
                <w:sz w:val="22"/>
                <w:szCs w:val="22"/>
              </w:rPr>
            </w:r>
            <w:r w:rsidRPr="00A50CB2">
              <w:rPr>
                <w:noProof/>
                <w:webHidden/>
                <w:sz w:val="22"/>
                <w:szCs w:val="22"/>
              </w:rPr>
              <w:fldChar w:fldCharType="separate"/>
            </w:r>
            <w:r w:rsidRPr="00A50CB2">
              <w:rPr>
                <w:noProof/>
                <w:webHidden/>
                <w:sz w:val="22"/>
                <w:szCs w:val="22"/>
              </w:rPr>
              <w:t>4</w:t>
            </w:r>
            <w:r w:rsidRPr="00A50CB2">
              <w:rPr>
                <w:noProof/>
                <w:webHidden/>
                <w:sz w:val="22"/>
                <w:szCs w:val="22"/>
              </w:rPr>
              <w:fldChar w:fldCharType="end"/>
            </w:r>
          </w:hyperlink>
        </w:p>
        <w:p w14:paraId="41D47BC2" w14:textId="5A493F7E" w:rsidR="00C60263" w:rsidRDefault="00C60263">
          <w:r>
            <w:rPr>
              <w:b/>
              <w:bCs/>
              <w:noProof/>
            </w:rPr>
            <w:fldChar w:fldCharType="end"/>
          </w:r>
        </w:p>
      </w:sdtContent>
    </w:sdt>
    <w:p w14:paraId="76637553" w14:textId="77777777" w:rsidR="00DD7AE8" w:rsidRDefault="00DD7AE8" w:rsidP="00451737">
      <w:pPr>
        <w:pStyle w:val="Heading1"/>
      </w:pPr>
      <w:bookmarkStart w:id="0" w:name="_Toc196469574"/>
      <w:r w:rsidRPr="007C613E">
        <w:t>Supplementary methods</w:t>
      </w:r>
      <w:bookmarkEnd w:id="0"/>
    </w:p>
    <w:p w14:paraId="0E37284D" w14:textId="532B8A30" w:rsidR="007C613E" w:rsidRPr="007C613E" w:rsidRDefault="007C613E" w:rsidP="00451737">
      <w:pPr>
        <w:pStyle w:val="Heading2"/>
      </w:pPr>
      <w:bookmarkStart w:id="1" w:name="_Toc196469575"/>
      <w:r>
        <w:t>Description of map</w:t>
      </w:r>
      <w:bookmarkEnd w:id="1"/>
    </w:p>
    <w:p w14:paraId="14400A2D" w14:textId="3B6B5216" w:rsidR="00DD7AE8" w:rsidRPr="007C613E" w:rsidRDefault="007C613E">
      <w:pPr>
        <w:rPr>
          <w:sz w:val="22"/>
          <w:szCs w:val="22"/>
        </w:rPr>
      </w:pPr>
      <w:r w:rsidRPr="00470677">
        <w:rPr>
          <w:sz w:val="22"/>
          <w:szCs w:val="22"/>
        </w:rPr>
        <w:t xml:space="preserve">The </w:t>
      </w:r>
      <w:r w:rsidR="00DD7AE8" w:rsidRPr="00470677">
        <w:rPr>
          <w:sz w:val="22"/>
          <w:szCs w:val="22"/>
        </w:rPr>
        <w:t>492 NEISS-AIP injury types (unique combinations of body part and diagnosis)</w:t>
      </w:r>
      <w:r w:rsidRPr="00470677">
        <w:rPr>
          <w:sz w:val="22"/>
          <w:szCs w:val="22"/>
        </w:rPr>
        <w:t xml:space="preserve"> are provided in Table S1, in addition to a row corresponding to the weighted average across all</w:t>
      </w:r>
      <w:r w:rsidR="00451737" w:rsidRPr="00470677">
        <w:rPr>
          <w:sz w:val="22"/>
          <w:szCs w:val="22"/>
        </w:rPr>
        <w:t xml:space="preserve"> disability weights (DWs)</w:t>
      </w:r>
      <w:r w:rsidRPr="00470677">
        <w:rPr>
          <w:sz w:val="22"/>
          <w:szCs w:val="22"/>
        </w:rPr>
        <w:t xml:space="preserve"> for reference. The columns </w:t>
      </w:r>
      <w:r w:rsidRPr="00470677">
        <w:rPr>
          <w:i/>
          <w:iCs/>
          <w:sz w:val="22"/>
          <w:szCs w:val="22"/>
        </w:rPr>
        <w:t xml:space="preserve">GBD </w:t>
      </w:r>
      <w:proofErr w:type="spellStart"/>
      <w:r w:rsidRPr="00470677">
        <w:rPr>
          <w:i/>
          <w:iCs/>
          <w:sz w:val="22"/>
          <w:szCs w:val="22"/>
        </w:rPr>
        <w:t>ncode-</w:t>
      </w:r>
      <w:r w:rsidR="00FB4D80" w:rsidRPr="00470677">
        <w:rPr>
          <w:i/>
          <w:iCs/>
          <w:sz w:val="22"/>
          <w:szCs w:val="22"/>
        </w:rPr>
        <w:t>i</w:t>
      </w:r>
      <w:proofErr w:type="spellEnd"/>
      <w:r w:rsidRPr="00470677">
        <w:rPr>
          <w:sz w:val="22"/>
          <w:szCs w:val="22"/>
        </w:rPr>
        <w:t xml:space="preserve"> and </w:t>
      </w:r>
      <w:proofErr w:type="spellStart"/>
      <w:r w:rsidRPr="00470677">
        <w:rPr>
          <w:i/>
          <w:iCs/>
          <w:sz w:val="22"/>
          <w:szCs w:val="22"/>
        </w:rPr>
        <w:t>ncode-</w:t>
      </w:r>
      <w:r w:rsidR="00FB4D80" w:rsidRPr="00470677">
        <w:rPr>
          <w:i/>
          <w:iCs/>
          <w:sz w:val="22"/>
          <w:szCs w:val="22"/>
        </w:rPr>
        <w:t>i</w:t>
      </w:r>
      <w:proofErr w:type="spellEnd"/>
      <w:r w:rsidRPr="00470677">
        <w:rPr>
          <w:i/>
          <w:iCs/>
          <w:sz w:val="22"/>
          <w:szCs w:val="22"/>
        </w:rPr>
        <w:t xml:space="preserve"> name</w:t>
      </w:r>
      <w:r w:rsidRPr="00470677">
        <w:rPr>
          <w:sz w:val="22"/>
          <w:szCs w:val="22"/>
        </w:rPr>
        <w:t xml:space="preserve"> indicate the corresponding GBD nature(s) of injury for each NEISS-AIP injury type.</w:t>
      </w:r>
      <w:r>
        <w:rPr>
          <w:sz w:val="22"/>
          <w:szCs w:val="22"/>
        </w:rPr>
        <w:t xml:space="preserve"> </w:t>
      </w:r>
    </w:p>
    <w:p w14:paraId="62794F88" w14:textId="6FA13E08" w:rsidR="00DD7AE8" w:rsidRPr="007C613E" w:rsidRDefault="00DD7AE8" w:rsidP="00DD7AE8">
      <w:pPr>
        <w:pStyle w:val="ListParagraph"/>
        <w:numPr>
          <w:ilvl w:val="0"/>
          <w:numId w:val="1"/>
        </w:numPr>
        <w:rPr>
          <w:sz w:val="22"/>
          <w:szCs w:val="22"/>
        </w:rPr>
      </w:pPr>
      <w:r w:rsidRPr="007C613E">
        <w:rPr>
          <w:b/>
          <w:bCs/>
          <w:sz w:val="22"/>
          <w:szCs w:val="22"/>
        </w:rPr>
        <w:t>Direct</w:t>
      </w:r>
      <w:r w:rsidRPr="007C613E">
        <w:rPr>
          <w:sz w:val="22"/>
          <w:szCs w:val="22"/>
        </w:rPr>
        <w:t xml:space="preserve"> match (only one GBD n-code was applicable based on the underlying ICD codes): 309 instances</w:t>
      </w:r>
    </w:p>
    <w:p w14:paraId="1E9973E9" w14:textId="7CB1EFFA" w:rsidR="00DD7AE8" w:rsidRPr="007C613E" w:rsidRDefault="00DD7AE8" w:rsidP="00DD7AE8">
      <w:pPr>
        <w:pStyle w:val="ListParagraph"/>
        <w:numPr>
          <w:ilvl w:val="0"/>
          <w:numId w:val="1"/>
        </w:numPr>
        <w:rPr>
          <w:sz w:val="22"/>
          <w:szCs w:val="22"/>
        </w:rPr>
      </w:pPr>
      <w:r w:rsidRPr="007C613E">
        <w:rPr>
          <w:b/>
          <w:bCs/>
          <w:sz w:val="22"/>
          <w:szCs w:val="22"/>
        </w:rPr>
        <w:t>Multiple</w:t>
      </w:r>
      <w:r w:rsidRPr="007C613E">
        <w:rPr>
          <w:sz w:val="22"/>
          <w:szCs w:val="22"/>
        </w:rPr>
        <w:t xml:space="preserve"> match</w:t>
      </w:r>
      <w:r w:rsidR="007C613E">
        <w:rPr>
          <w:sz w:val="22"/>
          <w:szCs w:val="22"/>
        </w:rPr>
        <w:t>es</w:t>
      </w:r>
      <w:r w:rsidRPr="007C613E">
        <w:rPr>
          <w:sz w:val="22"/>
          <w:szCs w:val="22"/>
        </w:rPr>
        <w:t xml:space="preserve"> (two or more GBD n-codes were applicable based on the underl</w:t>
      </w:r>
      <w:r w:rsidR="007C613E">
        <w:rPr>
          <w:sz w:val="22"/>
          <w:szCs w:val="22"/>
        </w:rPr>
        <w:t>y</w:t>
      </w:r>
      <w:r w:rsidRPr="007C613E">
        <w:rPr>
          <w:sz w:val="22"/>
          <w:szCs w:val="22"/>
        </w:rPr>
        <w:t>ing ICD codes): 183 instances</w:t>
      </w:r>
    </w:p>
    <w:p w14:paraId="4BF1A98C" w14:textId="327CF3D9" w:rsidR="00DD7AE8" w:rsidRPr="007C613E" w:rsidRDefault="00DD7AE8" w:rsidP="00DD7AE8">
      <w:pPr>
        <w:pStyle w:val="ListParagraph"/>
        <w:numPr>
          <w:ilvl w:val="1"/>
          <w:numId w:val="1"/>
        </w:numPr>
        <w:rPr>
          <w:sz w:val="22"/>
          <w:szCs w:val="22"/>
        </w:rPr>
      </w:pPr>
      <w:r w:rsidRPr="007C613E">
        <w:rPr>
          <w:sz w:val="22"/>
          <w:szCs w:val="22"/>
        </w:rPr>
        <w:t xml:space="preserve">Of these, </w:t>
      </w:r>
      <w:r w:rsidR="007C613E" w:rsidRPr="007C613E">
        <w:rPr>
          <w:sz w:val="22"/>
          <w:szCs w:val="22"/>
        </w:rPr>
        <w:t xml:space="preserve">23 had a diagnosis of “Other” in conjunction with a specified body part, and received a weighted average of </w:t>
      </w:r>
      <w:r w:rsidR="007C613E" w:rsidRPr="007C613E">
        <w:rPr>
          <w:i/>
          <w:iCs/>
          <w:sz w:val="22"/>
          <w:szCs w:val="22"/>
        </w:rPr>
        <w:t>all</w:t>
      </w:r>
      <w:r w:rsidR="007C613E" w:rsidRPr="007C613E">
        <w:rPr>
          <w:sz w:val="22"/>
          <w:szCs w:val="22"/>
        </w:rPr>
        <w:t xml:space="preserve"> GBD n-codes</w:t>
      </w:r>
    </w:p>
    <w:p w14:paraId="41FC76DD" w14:textId="4993DAEF" w:rsidR="007C613E" w:rsidRDefault="007C613E" w:rsidP="00DD7AE8">
      <w:pPr>
        <w:pStyle w:val="ListParagraph"/>
        <w:numPr>
          <w:ilvl w:val="1"/>
          <w:numId w:val="1"/>
        </w:numPr>
        <w:rPr>
          <w:sz w:val="22"/>
          <w:szCs w:val="22"/>
        </w:rPr>
      </w:pPr>
      <w:r w:rsidRPr="007C613E">
        <w:rPr>
          <w:sz w:val="22"/>
          <w:szCs w:val="22"/>
        </w:rPr>
        <w:t xml:space="preserve">Of these, 20 had an “Unknown/Not stated” body part, and received a weighted average of all relevant n-codes for the specified diagnosis, based on ICD codes. </w:t>
      </w:r>
    </w:p>
    <w:p w14:paraId="0A198048" w14:textId="7B6F3EE9" w:rsidR="007C613E" w:rsidRDefault="00563C5D" w:rsidP="00451737">
      <w:pPr>
        <w:pStyle w:val="Heading2"/>
      </w:pPr>
      <w:bookmarkStart w:id="2" w:name="_Toc196469576"/>
      <w:r>
        <w:t>Estimation for</w:t>
      </w:r>
      <w:r w:rsidR="00C17494">
        <w:t xml:space="preserve"> multiple matches</w:t>
      </w:r>
      <w:bookmarkEnd w:id="2"/>
    </w:p>
    <w:p w14:paraId="10BF5934" w14:textId="017AB52E" w:rsidR="0043580A" w:rsidRPr="001E4741" w:rsidRDefault="00793177" w:rsidP="0043580A">
      <w:pPr>
        <w:rPr>
          <w:sz w:val="22"/>
          <w:szCs w:val="22"/>
        </w:rPr>
      </w:pPr>
      <w:r w:rsidRPr="001E4741">
        <w:rPr>
          <w:sz w:val="22"/>
          <w:szCs w:val="22"/>
        </w:rPr>
        <w:t xml:space="preserve">To </w:t>
      </w:r>
      <w:r w:rsidR="00563C5D">
        <w:rPr>
          <w:sz w:val="22"/>
          <w:szCs w:val="22"/>
        </w:rPr>
        <w:t>resolve</w:t>
      </w:r>
      <w:r w:rsidR="00CC0D76" w:rsidRPr="001E4741">
        <w:rPr>
          <w:sz w:val="22"/>
          <w:szCs w:val="22"/>
        </w:rPr>
        <w:t xml:space="preserve"> multiple matches, as described above, a weighted DW was estimated based on the frequency of the injury. A general formula is shown below.</w:t>
      </w:r>
      <w:r w:rsidR="004B2014" w:rsidRPr="001E4741">
        <w:rPr>
          <w:sz w:val="22"/>
          <w:szCs w:val="22"/>
        </w:rPr>
        <w:t xml:space="preserve"> </w:t>
      </w:r>
    </w:p>
    <w:p w14:paraId="780C212A" w14:textId="4B9E4EC7" w:rsidR="002D54D3" w:rsidRPr="00A43C72" w:rsidRDefault="00E36719" w:rsidP="0043580A">
      <w:pPr>
        <w:rPr>
          <w:rFonts w:eastAsiaTheme="minorEastAsia"/>
        </w:rPr>
      </w:pPr>
      <m:oMathPara>
        <m:oMath>
          <m:r>
            <w:rPr>
              <w:rFonts w:ascii="Cambria Math" w:hAnsi="Cambria Math"/>
            </w:rPr>
            <w:lastRenderedPageBreak/>
            <m:t>Weighted DW=</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num>
            <m:den>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den>
          </m:f>
        </m:oMath>
      </m:oMathPara>
    </w:p>
    <w:p w14:paraId="6BC9236B" w14:textId="01452430" w:rsidR="00070C53" w:rsidRPr="00473A45" w:rsidRDefault="00A43C72" w:rsidP="0043580A">
      <w:pPr>
        <w:rPr>
          <w:rFonts w:eastAsiaTheme="minorEastAsia"/>
          <w:sz w:val="22"/>
          <w:szCs w:val="22"/>
        </w:rPr>
      </w:pPr>
      <w:r w:rsidRPr="00473A45">
        <w:rPr>
          <w:rFonts w:eastAsiaTheme="minorEastAsia"/>
          <w:sz w:val="22"/>
          <w:szCs w:val="22"/>
        </w:rPr>
        <w:t>Where</w:t>
      </w:r>
      <w:r w:rsidR="00070C53" w:rsidRPr="00473A45">
        <w:rPr>
          <w:rFonts w:eastAsiaTheme="minorEastAsia"/>
          <w:sz w:val="22"/>
          <w:szCs w:val="22"/>
        </w:rPr>
        <w:t>:</w:t>
      </w:r>
    </w:p>
    <w:p w14:paraId="42D5CEA4" w14:textId="7DFFC710" w:rsidR="00A43C72" w:rsidRPr="00070C53" w:rsidRDefault="00A50CB2" w:rsidP="0043580A">
      <w:pPr>
        <w:rPr>
          <w:rFonts w:eastAsiaTheme="minorEastAsia"/>
        </w:rPr>
      </w:pPr>
      <m:oMathPara>
        <m:oMath>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=incident cases for GBD ncode i</m:t>
          </m:r>
        </m:oMath>
      </m:oMathPara>
    </w:p>
    <w:p w14:paraId="5995249C" w14:textId="576B88B5" w:rsidR="00070C53" w:rsidRPr="004B2014" w:rsidRDefault="00A50CB2" w:rsidP="0043580A">
      <w:pPr>
        <w:rPr>
          <w:rFonts w:eastAsiaTheme="minorEastAsia"/>
        </w:rPr>
      </w:pPr>
      <m:oMathPara>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=DW for GBD ncode i</m:t>
          </m:r>
        </m:oMath>
      </m:oMathPara>
    </w:p>
    <w:p w14:paraId="136AF8A3" w14:textId="641B6C9E" w:rsidR="000B2A93" w:rsidRPr="00470677" w:rsidRDefault="00CC74C6" w:rsidP="000B2A93">
      <w:pPr>
        <w:rPr>
          <w:rFonts w:eastAsiaTheme="minorEastAsia"/>
          <w:sz w:val="22"/>
          <w:szCs w:val="22"/>
        </w:rPr>
      </w:pPr>
      <w:r>
        <w:rPr>
          <w:rFonts w:eastAsiaTheme="minorEastAsia"/>
          <w:sz w:val="22"/>
          <w:szCs w:val="22"/>
        </w:rPr>
        <w:t>An</w:t>
      </w:r>
      <w:r w:rsidR="000B2A93">
        <w:rPr>
          <w:rFonts w:eastAsiaTheme="minorEastAsia"/>
          <w:sz w:val="22"/>
          <w:szCs w:val="22"/>
        </w:rPr>
        <w:t xml:space="preserve"> example calculation </w:t>
      </w:r>
      <w:r>
        <w:rPr>
          <w:rFonts w:eastAsiaTheme="minorEastAsia"/>
          <w:sz w:val="22"/>
          <w:szCs w:val="22"/>
        </w:rPr>
        <w:t>is</w:t>
      </w:r>
      <w:r w:rsidR="000B2A93">
        <w:rPr>
          <w:rFonts w:eastAsiaTheme="minorEastAsia"/>
          <w:sz w:val="22"/>
          <w:szCs w:val="22"/>
        </w:rPr>
        <w:t xml:space="preserve"> provided </w:t>
      </w:r>
      <w:r w:rsidR="00CC0D76">
        <w:rPr>
          <w:rFonts w:eastAsiaTheme="minorEastAsia"/>
          <w:sz w:val="22"/>
          <w:szCs w:val="22"/>
        </w:rPr>
        <w:t>in the next section</w:t>
      </w:r>
      <w:r w:rsidR="000B2A93">
        <w:rPr>
          <w:rFonts w:eastAsiaTheme="minorEastAsia"/>
          <w:sz w:val="22"/>
          <w:szCs w:val="22"/>
        </w:rPr>
        <w:t xml:space="preserve"> </w:t>
      </w:r>
      <w:r>
        <w:rPr>
          <w:rFonts w:eastAsiaTheme="minorEastAsia"/>
          <w:sz w:val="22"/>
          <w:szCs w:val="22"/>
        </w:rPr>
        <w:t xml:space="preserve">to demonstrate the weighting approach </w:t>
      </w:r>
      <w:r w:rsidR="000B2A93">
        <w:rPr>
          <w:rFonts w:eastAsiaTheme="minorEastAsia"/>
          <w:sz w:val="22"/>
          <w:szCs w:val="22"/>
        </w:rPr>
        <w:t xml:space="preserve">for </w:t>
      </w:r>
      <w:r>
        <w:rPr>
          <w:rFonts w:eastAsiaTheme="minorEastAsia"/>
          <w:sz w:val="22"/>
          <w:szCs w:val="22"/>
        </w:rPr>
        <w:t xml:space="preserve">cases of </w:t>
      </w:r>
      <w:r w:rsidR="000B2A93">
        <w:rPr>
          <w:rFonts w:eastAsiaTheme="minorEastAsia"/>
          <w:sz w:val="22"/>
          <w:szCs w:val="22"/>
        </w:rPr>
        <w:t xml:space="preserve">multiple </w:t>
      </w:r>
      <w:r>
        <w:rPr>
          <w:rFonts w:eastAsiaTheme="minorEastAsia"/>
          <w:sz w:val="22"/>
          <w:szCs w:val="22"/>
        </w:rPr>
        <w:t>matches</w:t>
      </w:r>
      <w:r w:rsidR="000B2A93">
        <w:rPr>
          <w:rFonts w:eastAsiaTheme="minorEastAsia"/>
          <w:sz w:val="22"/>
          <w:szCs w:val="22"/>
        </w:rPr>
        <w:t xml:space="preserve">. In the analysis, this calculation is repeated across all “draws”, as </w:t>
      </w:r>
      <w:r w:rsidR="000B2A93" w:rsidRPr="00470677">
        <w:rPr>
          <w:rFonts w:eastAsiaTheme="minorEastAsia"/>
          <w:sz w:val="22"/>
          <w:szCs w:val="22"/>
        </w:rPr>
        <w:t>described in the main text, such that a 95% UI can be generated to accompany the mean estimate. Only the mean values are provided here for purposes of illustration.</w:t>
      </w:r>
      <w:r w:rsidR="00B62EAC" w:rsidRPr="00470677">
        <w:rPr>
          <w:rFonts w:eastAsiaTheme="minorEastAsia"/>
          <w:sz w:val="22"/>
          <w:szCs w:val="22"/>
        </w:rPr>
        <w:t xml:space="preserve"> </w:t>
      </w:r>
    </w:p>
    <w:p w14:paraId="29BEB18D" w14:textId="6CEBD418" w:rsidR="004B2014" w:rsidRPr="00470677" w:rsidRDefault="004B2014" w:rsidP="000B2A93">
      <w:pPr>
        <w:rPr>
          <w:rFonts w:eastAsiaTheme="minorEastAsia"/>
          <w:sz w:val="22"/>
          <w:szCs w:val="22"/>
        </w:rPr>
      </w:pPr>
      <w:r w:rsidRPr="00470677">
        <w:rPr>
          <w:rFonts w:eastAsiaTheme="minorEastAsia"/>
          <w:sz w:val="22"/>
          <w:szCs w:val="22"/>
        </w:rPr>
        <w:t xml:space="preserve">The values of </w:t>
      </w:r>
      <m:oMath>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i</m:t>
            </m:r>
          </m:sub>
        </m:sSub>
      </m:oMath>
      <w:r w:rsidRPr="00470677">
        <w:rPr>
          <w:rFonts w:eastAsiaTheme="minorEastAsia"/>
          <w:sz w:val="22"/>
          <w:szCs w:val="22"/>
        </w:rPr>
        <w:t xml:space="preserve"> are provided in Table 1 in the main text, and the values of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oMath>
      <w:r w:rsidRPr="00470677">
        <w:rPr>
          <w:rFonts w:eastAsiaTheme="minorEastAsia"/>
          <w:sz w:val="22"/>
          <w:szCs w:val="22"/>
        </w:rPr>
        <w:t xml:space="preserve"> are provided in Table S</w:t>
      </w:r>
      <w:r w:rsidR="00EF08BC" w:rsidRPr="00470677">
        <w:rPr>
          <w:rFonts w:eastAsiaTheme="minorEastAsia"/>
          <w:sz w:val="22"/>
          <w:szCs w:val="22"/>
        </w:rPr>
        <w:t>2</w:t>
      </w:r>
      <w:r w:rsidRPr="00470677">
        <w:rPr>
          <w:rFonts w:eastAsiaTheme="minorEastAsia"/>
          <w:sz w:val="22"/>
          <w:szCs w:val="22"/>
        </w:rPr>
        <w:t>.</w:t>
      </w:r>
    </w:p>
    <w:p w14:paraId="25E06B75" w14:textId="7BA6D2BF" w:rsidR="007C613E" w:rsidRPr="00470677" w:rsidRDefault="00C17494" w:rsidP="00451737">
      <w:pPr>
        <w:pStyle w:val="Heading3"/>
      </w:pPr>
      <w:bookmarkStart w:id="3" w:name="_Toc196469577"/>
      <w:r w:rsidRPr="00470677">
        <w:t>Sample calculation for multiple matches</w:t>
      </w:r>
      <w:bookmarkEnd w:id="3"/>
    </w:p>
    <w:p w14:paraId="1B0EF18A" w14:textId="063422EC" w:rsidR="007C613E" w:rsidRPr="00470677" w:rsidRDefault="00451737" w:rsidP="007C613E">
      <w:pPr>
        <w:rPr>
          <w:sz w:val="22"/>
          <w:szCs w:val="22"/>
        </w:rPr>
      </w:pPr>
      <w:r w:rsidRPr="00470677">
        <w:rPr>
          <w:sz w:val="22"/>
          <w:szCs w:val="22"/>
        </w:rPr>
        <w:t xml:space="preserve">Injury type in NEISS-AIP: </w:t>
      </w:r>
      <w:r w:rsidR="004B646D" w:rsidRPr="00470677">
        <w:rPr>
          <w:b/>
          <w:bCs/>
          <w:sz w:val="22"/>
          <w:szCs w:val="22"/>
        </w:rPr>
        <w:t xml:space="preserve">Lower </w:t>
      </w:r>
      <w:proofErr w:type="gramStart"/>
      <w:r w:rsidR="004B646D" w:rsidRPr="00470677">
        <w:rPr>
          <w:b/>
          <w:bCs/>
          <w:sz w:val="22"/>
          <w:szCs w:val="22"/>
        </w:rPr>
        <w:t>trunk</w:t>
      </w:r>
      <w:proofErr w:type="gramEnd"/>
      <w:r w:rsidR="004B646D" w:rsidRPr="00470677">
        <w:rPr>
          <w:b/>
          <w:bCs/>
          <w:sz w:val="22"/>
          <w:szCs w:val="22"/>
        </w:rPr>
        <w:t>-Nerve damage</w:t>
      </w:r>
    </w:p>
    <w:p w14:paraId="30F5027C" w14:textId="6C77F112" w:rsidR="00451737" w:rsidRPr="00470677" w:rsidRDefault="00451737" w:rsidP="007C613E">
      <w:pPr>
        <w:rPr>
          <w:sz w:val="22"/>
          <w:szCs w:val="22"/>
        </w:rPr>
      </w:pPr>
      <w:r w:rsidRPr="00470677">
        <w:rPr>
          <w:sz w:val="22"/>
          <w:szCs w:val="22"/>
        </w:rPr>
        <w:t>Matching GBD natures of injury:</w:t>
      </w:r>
      <w:r w:rsidR="004B646D" w:rsidRPr="00470677">
        <w:rPr>
          <w:sz w:val="22"/>
          <w:szCs w:val="22"/>
        </w:rPr>
        <w:t xml:space="preserve"> </w:t>
      </w:r>
      <w:r w:rsidR="004B646D" w:rsidRPr="00470677">
        <w:rPr>
          <w:b/>
          <w:bCs/>
          <w:sz w:val="22"/>
          <w:szCs w:val="22"/>
        </w:rPr>
        <w:t>Spinal cord lesion below neck level</w:t>
      </w:r>
      <w:r w:rsidRPr="00470677">
        <w:rPr>
          <w:sz w:val="22"/>
          <w:szCs w:val="22"/>
        </w:rPr>
        <w:t xml:space="preserve"> </w:t>
      </w:r>
      <w:r w:rsidRPr="00470677">
        <w:rPr>
          <w:i/>
          <w:iCs/>
          <w:sz w:val="22"/>
          <w:szCs w:val="22"/>
        </w:rPr>
        <w:t>and</w:t>
      </w:r>
      <w:r w:rsidRPr="00470677">
        <w:rPr>
          <w:sz w:val="22"/>
          <w:szCs w:val="22"/>
        </w:rPr>
        <w:t xml:space="preserve"> </w:t>
      </w:r>
      <w:r w:rsidR="004B646D" w:rsidRPr="00470677">
        <w:rPr>
          <w:b/>
          <w:bCs/>
          <w:sz w:val="22"/>
          <w:szCs w:val="22"/>
        </w:rPr>
        <w:t>Nerve injury</w:t>
      </w:r>
    </w:p>
    <w:tbl>
      <w:tblPr>
        <w:tblStyle w:val="TableGrid"/>
        <w:tblW w:w="0" w:type="auto"/>
        <w:tblLook w:val="04A0" w:firstRow="1" w:lastRow="0" w:firstColumn="1" w:lastColumn="0" w:noHBand="0" w:noVBand="1"/>
      </w:tblPr>
      <w:tblGrid>
        <w:gridCol w:w="3116"/>
        <w:gridCol w:w="3117"/>
        <w:gridCol w:w="3117"/>
      </w:tblGrid>
      <w:tr w:rsidR="00451737" w:rsidRPr="00470677" w14:paraId="54F237BA" w14:textId="77777777" w:rsidTr="00451737">
        <w:tc>
          <w:tcPr>
            <w:tcW w:w="3116" w:type="dxa"/>
          </w:tcPr>
          <w:p w14:paraId="6892EB25" w14:textId="77777777" w:rsidR="00451737" w:rsidRPr="00470677" w:rsidRDefault="00451737">
            <w:pPr>
              <w:rPr>
                <w:sz w:val="22"/>
                <w:szCs w:val="22"/>
              </w:rPr>
            </w:pPr>
          </w:p>
        </w:tc>
        <w:tc>
          <w:tcPr>
            <w:tcW w:w="3117" w:type="dxa"/>
          </w:tcPr>
          <w:p w14:paraId="6753DB5B" w14:textId="307BC20D" w:rsidR="00451737" w:rsidRPr="00470677" w:rsidRDefault="00451737">
            <w:pPr>
              <w:rPr>
                <w:sz w:val="22"/>
                <w:szCs w:val="22"/>
              </w:rPr>
            </w:pPr>
            <w:r w:rsidRPr="00470677">
              <w:rPr>
                <w:sz w:val="22"/>
                <w:szCs w:val="22"/>
              </w:rPr>
              <w:t>Disability weight (DW)*</w:t>
            </w:r>
          </w:p>
        </w:tc>
        <w:tc>
          <w:tcPr>
            <w:tcW w:w="3117" w:type="dxa"/>
          </w:tcPr>
          <w:p w14:paraId="17132800" w14:textId="16D03661" w:rsidR="00451737" w:rsidRPr="00470677" w:rsidRDefault="00451737">
            <w:pPr>
              <w:rPr>
                <w:sz w:val="22"/>
                <w:szCs w:val="22"/>
              </w:rPr>
            </w:pPr>
            <w:r w:rsidRPr="00470677">
              <w:rPr>
                <w:sz w:val="22"/>
                <w:szCs w:val="22"/>
              </w:rPr>
              <w:t>Number of cases 2015-2020^</w:t>
            </w:r>
          </w:p>
        </w:tc>
      </w:tr>
      <w:tr w:rsidR="00451737" w:rsidRPr="00470677" w14:paraId="40DDC2B8" w14:textId="77777777" w:rsidTr="00451737">
        <w:tc>
          <w:tcPr>
            <w:tcW w:w="3116" w:type="dxa"/>
          </w:tcPr>
          <w:p w14:paraId="6B50CF75" w14:textId="7983F149" w:rsidR="00451737" w:rsidRPr="00470677" w:rsidRDefault="004B646D">
            <w:pPr>
              <w:rPr>
                <w:sz w:val="22"/>
                <w:szCs w:val="22"/>
              </w:rPr>
            </w:pPr>
            <w:r w:rsidRPr="00470677">
              <w:rPr>
                <w:sz w:val="22"/>
                <w:szCs w:val="22"/>
              </w:rPr>
              <w:t>Spinal cord lesion below neck level</w:t>
            </w:r>
          </w:p>
        </w:tc>
        <w:tc>
          <w:tcPr>
            <w:tcW w:w="3117" w:type="dxa"/>
          </w:tcPr>
          <w:p w14:paraId="1633A322" w14:textId="6ADF5C56" w:rsidR="00451737" w:rsidRPr="00470677" w:rsidRDefault="00981BE7">
            <w:pPr>
              <w:rPr>
                <w:sz w:val="22"/>
                <w:szCs w:val="22"/>
              </w:rPr>
            </w:pPr>
            <w:r w:rsidRPr="00470677">
              <w:rPr>
                <w:sz w:val="22"/>
                <w:szCs w:val="22"/>
              </w:rPr>
              <w:t>0.296</w:t>
            </w:r>
          </w:p>
        </w:tc>
        <w:tc>
          <w:tcPr>
            <w:tcW w:w="3117" w:type="dxa"/>
          </w:tcPr>
          <w:p w14:paraId="5BE5EEDA" w14:textId="3FDCC3DC" w:rsidR="0087790B" w:rsidRPr="00470677" w:rsidRDefault="0087790B" w:rsidP="0087790B">
            <w:pPr>
              <w:rPr>
                <w:rFonts w:ascii="Aptos Narrow" w:hAnsi="Aptos Narrow"/>
                <w:color w:val="000000"/>
                <w:sz w:val="22"/>
                <w:szCs w:val="22"/>
              </w:rPr>
            </w:pPr>
            <w:r w:rsidRPr="00470677">
              <w:rPr>
                <w:rFonts w:ascii="Aptos Narrow" w:hAnsi="Aptos Narrow"/>
                <w:color w:val="000000"/>
                <w:sz w:val="22"/>
                <w:szCs w:val="22"/>
              </w:rPr>
              <w:t>108569</w:t>
            </w:r>
          </w:p>
          <w:p w14:paraId="56060AEB" w14:textId="22170ED2" w:rsidR="00451737" w:rsidRPr="00470677" w:rsidRDefault="00451737">
            <w:pPr>
              <w:rPr>
                <w:sz w:val="22"/>
                <w:szCs w:val="22"/>
              </w:rPr>
            </w:pPr>
          </w:p>
        </w:tc>
      </w:tr>
      <w:tr w:rsidR="00451737" w:rsidRPr="00470677" w14:paraId="363C7D2B" w14:textId="77777777" w:rsidTr="00451737">
        <w:tc>
          <w:tcPr>
            <w:tcW w:w="3116" w:type="dxa"/>
          </w:tcPr>
          <w:p w14:paraId="1683F585" w14:textId="2BF71701" w:rsidR="00451737" w:rsidRPr="00470677" w:rsidRDefault="004B646D">
            <w:pPr>
              <w:rPr>
                <w:sz w:val="22"/>
                <w:szCs w:val="22"/>
              </w:rPr>
            </w:pPr>
            <w:r w:rsidRPr="00470677">
              <w:rPr>
                <w:sz w:val="22"/>
                <w:szCs w:val="22"/>
              </w:rPr>
              <w:t>Nerve injury</w:t>
            </w:r>
          </w:p>
        </w:tc>
        <w:tc>
          <w:tcPr>
            <w:tcW w:w="3117" w:type="dxa"/>
          </w:tcPr>
          <w:p w14:paraId="5F6EBFA3" w14:textId="4F147069" w:rsidR="00451737" w:rsidRPr="00470677" w:rsidRDefault="00981BE7">
            <w:pPr>
              <w:rPr>
                <w:sz w:val="22"/>
                <w:szCs w:val="22"/>
              </w:rPr>
            </w:pPr>
            <w:r w:rsidRPr="00470677">
              <w:rPr>
                <w:sz w:val="22"/>
                <w:szCs w:val="22"/>
              </w:rPr>
              <w:t>0.100</w:t>
            </w:r>
          </w:p>
        </w:tc>
        <w:tc>
          <w:tcPr>
            <w:tcW w:w="3117" w:type="dxa"/>
          </w:tcPr>
          <w:p w14:paraId="54C4462D" w14:textId="754DAF15" w:rsidR="0087790B" w:rsidRPr="00470677" w:rsidRDefault="0087790B" w:rsidP="0087790B">
            <w:pPr>
              <w:rPr>
                <w:rFonts w:ascii="Aptos Narrow" w:hAnsi="Aptos Narrow"/>
                <w:color w:val="000000"/>
                <w:sz w:val="22"/>
                <w:szCs w:val="22"/>
              </w:rPr>
            </w:pPr>
            <w:r w:rsidRPr="00470677">
              <w:rPr>
                <w:rFonts w:ascii="Aptos Narrow" w:hAnsi="Aptos Narrow"/>
                <w:color w:val="000000"/>
                <w:sz w:val="22"/>
                <w:szCs w:val="22"/>
              </w:rPr>
              <w:t>112809</w:t>
            </w:r>
            <w:r w:rsidR="00554BD4" w:rsidRPr="00470677">
              <w:rPr>
                <w:rFonts w:ascii="Aptos Narrow" w:hAnsi="Aptos Narrow"/>
                <w:color w:val="000000"/>
                <w:sz w:val="22"/>
                <w:szCs w:val="22"/>
              </w:rPr>
              <w:t>8</w:t>
            </w:r>
          </w:p>
          <w:p w14:paraId="36BAC5A1" w14:textId="757EF0DD" w:rsidR="00451737" w:rsidRPr="00470677" w:rsidRDefault="00451737">
            <w:pPr>
              <w:rPr>
                <w:sz w:val="22"/>
                <w:szCs w:val="22"/>
              </w:rPr>
            </w:pPr>
          </w:p>
        </w:tc>
      </w:tr>
    </w:tbl>
    <w:p w14:paraId="3795E93C" w14:textId="2B2DB2AC" w:rsidR="00DD7AE8" w:rsidRPr="00470677" w:rsidRDefault="00451737" w:rsidP="00451737">
      <w:pPr>
        <w:spacing w:after="0" w:line="240" w:lineRule="auto"/>
        <w:rPr>
          <w:i/>
          <w:iCs/>
          <w:sz w:val="18"/>
          <w:szCs w:val="18"/>
        </w:rPr>
      </w:pPr>
      <w:r w:rsidRPr="00470677">
        <w:rPr>
          <w:i/>
          <w:iCs/>
          <w:sz w:val="18"/>
          <w:szCs w:val="18"/>
        </w:rPr>
        <w:t>*Mean value, from Table 1</w:t>
      </w:r>
    </w:p>
    <w:p w14:paraId="20D0D601" w14:textId="7D4EE3FB" w:rsidR="00451737" w:rsidRPr="00470677" w:rsidRDefault="00451737" w:rsidP="00451737">
      <w:pPr>
        <w:spacing w:line="240" w:lineRule="auto"/>
        <w:rPr>
          <w:i/>
          <w:iCs/>
          <w:sz w:val="18"/>
          <w:szCs w:val="18"/>
        </w:rPr>
      </w:pPr>
      <w:r w:rsidRPr="00470677">
        <w:rPr>
          <w:i/>
          <w:iCs/>
          <w:sz w:val="18"/>
          <w:szCs w:val="18"/>
        </w:rPr>
        <w:t>^Mean value, from Table S</w:t>
      </w:r>
      <w:r w:rsidR="00EF08BC" w:rsidRPr="00470677">
        <w:rPr>
          <w:i/>
          <w:iCs/>
          <w:sz w:val="18"/>
          <w:szCs w:val="18"/>
        </w:rPr>
        <w:t>2</w:t>
      </w:r>
    </w:p>
    <w:p w14:paraId="554149F6" w14:textId="51A4CBC8" w:rsidR="000B2A93" w:rsidRPr="00470677" w:rsidRDefault="008421C8" w:rsidP="00451737">
      <w:pPr>
        <w:spacing w:line="240" w:lineRule="auto"/>
        <w:rPr>
          <w:sz w:val="22"/>
          <w:szCs w:val="22"/>
        </w:rPr>
      </w:pPr>
      <w:r w:rsidRPr="00470677">
        <w:rPr>
          <w:sz w:val="22"/>
          <w:szCs w:val="22"/>
        </w:rPr>
        <w:t>Hence, the e</w:t>
      </w:r>
      <w:r w:rsidR="000B2A93" w:rsidRPr="00470677">
        <w:rPr>
          <w:sz w:val="22"/>
          <w:szCs w:val="22"/>
        </w:rPr>
        <w:t xml:space="preserve">stimated mean DW for </w:t>
      </w:r>
      <w:r w:rsidR="004B646D" w:rsidRPr="00470677">
        <w:rPr>
          <w:sz w:val="22"/>
          <w:szCs w:val="22"/>
        </w:rPr>
        <w:t xml:space="preserve">Lower </w:t>
      </w:r>
      <w:proofErr w:type="gramStart"/>
      <w:r w:rsidR="004B646D" w:rsidRPr="00470677">
        <w:rPr>
          <w:sz w:val="22"/>
          <w:szCs w:val="22"/>
        </w:rPr>
        <w:t>trunk</w:t>
      </w:r>
      <w:proofErr w:type="gramEnd"/>
      <w:r w:rsidR="004B646D" w:rsidRPr="00470677">
        <w:rPr>
          <w:sz w:val="22"/>
          <w:szCs w:val="22"/>
        </w:rPr>
        <w:t>-Nerve damage</w:t>
      </w:r>
      <w:r w:rsidRPr="00470677">
        <w:rPr>
          <w:sz w:val="22"/>
          <w:szCs w:val="22"/>
        </w:rPr>
        <w:t xml:space="preserve"> is calculated as</w:t>
      </w:r>
      <w:r w:rsidR="000B2A93" w:rsidRPr="00470677">
        <w:rPr>
          <w:sz w:val="22"/>
          <w:szCs w:val="22"/>
        </w:rPr>
        <w:t>:</w:t>
      </w:r>
    </w:p>
    <w:p w14:paraId="1C7D4BDD" w14:textId="75767B5B" w:rsidR="00451737" w:rsidRPr="00470677" w:rsidRDefault="00A50CB2" w:rsidP="00451737">
      <w:pPr>
        <w:spacing w:line="240" w:lineRule="auto"/>
        <w:rPr>
          <w:rFonts w:eastAsiaTheme="minorEastAsia"/>
          <w:sz w:val="22"/>
          <w:szCs w:val="22"/>
        </w:rPr>
      </w:pPr>
      <m:oMathPara>
        <m:oMath>
          <m:f>
            <m:fPr>
              <m:ctrlPr>
                <w:rPr>
                  <w:rFonts w:ascii="Cambria Math" w:hAnsi="Cambria Math"/>
                  <w:i/>
                  <w:sz w:val="22"/>
                  <w:szCs w:val="22"/>
                </w:rPr>
              </m:ctrlPr>
            </m:fPr>
            <m:num>
              <m:r>
                <w:rPr>
                  <w:rFonts w:ascii="Cambria Math" w:hAnsi="Cambria Math"/>
                  <w:sz w:val="22"/>
                  <w:szCs w:val="22"/>
                </w:rPr>
                <m:t>0.296*</m:t>
              </m:r>
              <m:r>
                <m:rPr>
                  <m:sty m:val="p"/>
                </m:rPr>
                <w:rPr>
                  <w:rFonts w:ascii="Cambria Math" w:hAnsi="Cambria Math"/>
                  <w:sz w:val="22"/>
                  <w:szCs w:val="22"/>
                </w:rPr>
                <m:t>108569+0.100*1128098</m:t>
              </m:r>
            </m:num>
            <m:den>
              <m:r>
                <m:rPr>
                  <m:sty m:val="p"/>
                </m:rPr>
                <w:rPr>
                  <w:rFonts w:ascii="Cambria Math" w:hAnsi="Cambria Math"/>
                  <w:sz w:val="22"/>
                  <w:szCs w:val="22"/>
                </w:rPr>
                <m:t>108569+1128098</m:t>
              </m:r>
            </m:den>
          </m:f>
          <m:r>
            <w:rPr>
              <w:rFonts w:ascii="Cambria Math" w:hAnsi="Cambria Math"/>
              <w:sz w:val="22"/>
              <w:szCs w:val="22"/>
            </w:rPr>
            <m:t>=0.117</m:t>
          </m:r>
        </m:oMath>
      </m:oMathPara>
    </w:p>
    <w:p w14:paraId="69FBCCC4" w14:textId="10CDB090" w:rsidR="00A2041F" w:rsidRPr="00470677" w:rsidRDefault="000B2A93" w:rsidP="00451737">
      <w:pPr>
        <w:spacing w:line="240" w:lineRule="auto"/>
        <w:rPr>
          <w:rFonts w:eastAsiaTheme="minorEastAsia"/>
          <w:sz w:val="22"/>
          <w:szCs w:val="22"/>
        </w:rPr>
      </w:pPr>
      <w:r w:rsidRPr="00470677">
        <w:rPr>
          <w:rFonts w:eastAsiaTheme="minorEastAsia"/>
          <w:sz w:val="22"/>
          <w:szCs w:val="22"/>
        </w:rPr>
        <w:t xml:space="preserve">This matches the mean estimate reported in Table S1 for </w:t>
      </w:r>
      <w:r w:rsidR="00B62EAC" w:rsidRPr="00470677">
        <w:rPr>
          <w:rFonts w:eastAsiaTheme="minorEastAsia"/>
          <w:sz w:val="22"/>
          <w:szCs w:val="22"/>
        </w:rPr>
        <w:t xml:space="preserve">Lower </w:t>
      </w:r>
      <w:proofErr w:type="gramStart"/>
      <w:r w:rsidR="00B62EAC" w:rsidRPr="00470677">
        <w:rPr>
          <w:rFonts w:eastAsiaTheme="minorEastAsia"/>
          <w:sz w:val="22"/>
          <w:szCs w:val="22"/>
        </w:rPr>
        <w:t>trunk</w:t>
      </w:r>
      <w:proofErr w:type="gramEnd"/>
      <w:r w:rsidR="00B62EAC" w:rsidRPr="00470677">
        <w:rPr>
          <w:rFonts w:eastAsiaTheme="minorEastAsia"/>
          <w:sz w:val="22"/>
          <w:szCs w:val="22"/>
        </w:rPr>
        <w:t>-Nerve damage</w:t>
      </w:r>
      <w:r w:rsidRPr="00470677">
        <w:rPr>
          <w:rFonts w:eastAsiaTheme="minorEastAsia"/>
          <w:sz w:val="22"/>
          <w:szCs w:val="22"/>
        </w:rPr>
        <w:t xml:space="preserve">. </w:t>
      </w:r>
    </w:p>
    <w:p w14:paraId="26D40DBC" w14:textId="7C446D78" w:rsidR="005164CA" w:rsidRPr="00470677" w:rsidRDefault="005164CA" w:rsidP="00563C5D">
      <w:pPr>
        <w:pStyle w:val="Heading3"/>
        <w:rPr>
          <w:rFonts w:eastAsiaTheme="minorEastAsia"/>
        </w:rPr>
      </w:pPr>
      <w:bookmarkStart w:id="4" w:name="_Toc196469578"/>
      <w:r w:rsidRPr="00470677">
        <w:rPr>
          <w:rFonts w:eastAsiaTheme="minorEastAsia"/>
        </w:rPr>
        <w:t>Justification</w:t>
      </w:r>
      <w:bookmarkEnd w:id="4"/>
      <w:r w:rsidRPr="00470677">
        <w:rPr>
          <w:rFonts w:eastAsiaTheme="minorEastAsia"/>
        </w:rPr>
        <w:t xml:space="preserve"> </w:t>
      </w:r>
    </w:p>
    <w:p w14:paraId="7BF8AA9F" w14:textId="77777777" w:rsidR="00027613" w:rsidRPr="00027613" w:rsidRDefault="00027613" w:rsidP="00027613">
      <w:pPr>
        <w:rPr>
          <w:sz w:val="22"/>
          <w:szCs w:val="22"/>
        </w:rPr>
      </w:pPr>
      <w:r w:rsidRPr="00470677">
        <w:rPr>
          <w:sz w:val="22"/>
          <w:szCs w:val="22"/>
        </w:rPr>
        <w:t>The only instance where subjectivity was present throughout the mapping process was in the</w:t>
      </w:r>
      <w:r w:rsidRPr="00027613">
        <w:rPr>
          <w:sz w:val="22"/>
          <w:szCs w:val="22"/>
        </w:rPr>
        <w:t xml:space="preserve"> decision for how to approach the NEISS-AIP injury types with a body part of “Unknown/Not stated” or diagnosis of “Other”. Where body part was “Unknown/Not stated” but a diagnosis was present, we chose to apply the weighted averaging approach for all GBD natures of injury that had already been mapped that diagnosis through ICD codes for known body parts. For instance, where the body part was “Unknown/Not stated” but the diagnosis was “Fracture”, we generated a weighted average across all fractures. This choice assumes that the injured body parts marked as “Unknown/Not stated” paired with a diagnosis of “Fracture” follow the same distribution as the known body parts corresponding to fractures. However, we believe that this is the best choice given the information available. Where the diagnosis was “Other”, we chose to take a slightly different approach, </w:t>
      </w:r>
      <w:r w:rsidRPr="00027613">
        <w:rPr>
          <w:sz w:val="22"/>
          <w:szCs w:val="22"/>
        </w:rPr>
        <w:lastRenderedPageBreak/>
        <w:t xml:space="preserve">computing a weighted average across all GBD natures of injury to use for any instance where the NEISS-AIP diagnosis was “Other”. Since GBD natures of injury are largely based on diagnosis rather than body part, we believe this approach accounts for the frequency and severity of injuries in the </w:t>
      </w:r>
      <w:proofErr w:type="gramStart"/>
      <w:r w:rsidRPr="00027613">
        <w:rPr>
          <w:sz w:val="22"/>
          <w:szCs w:val="22"/>
        </w:rPr>
        <w:t>population, and</w:t>
      </w:r>
      <w:proofErr w:type="gramEnd"/>
      <w:r w:rsidRPr="00027613">
        <w:rPr>
          <w:sz w:val="22"/>
          <w:szCs w:val="22"/>
        </w:rPr>
        <w:t xml:space="preserve"> is the best approach for capturing the resulting average disability with little information.</w:t>
      </w:r>
    </w:p>
    <w:p w14:paraId="4C9ACC51" w14:textId="23A6E93E" w:rsidR="00563C5D" w:rsidRDefault="00027613" w:rsidP="00027613">
      <w:pPr>
        <w:rPr>
          <w:sz w:val="22"/>
          <w:szCs w:val="22"/>
        </w:rPr>
      </w:pPr>
      <w:r w:rsidRPr="00027613">
        <w:rPr>
          <w:sz w:val="22"/>
          <w:szCs w:val="22"/>
        </w:rPr>
        <w:t>In the NEISS-AIP data from 2015-2020, only 0.5% of documented injuries had a body part “Unknown/Not stated” and 8% of injuries had a diagnosis of “Other” – amounting to &lt;10% in total. Hence, given that the occurrence of ill- and un-defined injury types was uncommon, we do not believe this would alter the interpretation of our results overall in terms of the computation of weighted DWs or the implications of the most common and most disabling injuries.</w:t>
      </w:r>
    </w:p>
    <w:p w14:paraId="48623FBC" w14:textId="77777777" w:rsidR="00B85324" w:rsidRDefault="00B85324" w:rsidP="00B85324">
      <w:pPr>
        <w:pStyle w:val="Heading2"/>
      </w:pPr>
      <w:bookmarkStart w:id="5" w:name="_Toc196469579"/>
      <w:r>
        <w:t>Duration of injury in GBD</w:t>
      </w:r>
      <w:bookmarkEnd w:id="5"/>
    </w:p>
    <w:p w14:paraId="0F80D1B9" w14:textId="3AF70045" w:rsidR="006B37FF" w:rsidRPr="00212527" w:rsidRDefault="006B37FF" w:rsidP="00B85324">
      <w:pPr>
        <w:rPr>
          <w:sz w:val="22"/>
          <w:szCs w:val="22"/>
        </w:rPr>
      </w:pPr>
      <w:r w:rsidRPr="006B37FF">
        <w:rPr>
          <w:sz w:val="22"/>
          <w:szCs w:val="22"/>
        </w:rPr>
        <w:t>In some instances, GBD estimate</w:t>
      </w:r>
      <w:r w:rsidR="00E514D6">
        <w:rPr>
          <w:sz w:val="22"/>
          <w:szCs w:val="22"/>
        </w:rPr>
        <w:t>s</w:t>
      </w:r>
      <w:r w:rsidRPr="006B37FF">
        <w:rPr>
          <w:sz w:val="22"/>
          <w:szCs w:val="22"/>
        </w:rPr>
        <w:t xml:space="preserve"> separate health states and disability weights for specific injuries with a “short-term” versus “long-term” duration to account for potentially crucial differences between the injury’s severity and duration. Where these exist, </w:t>
      </w:r>
      <w:r w:rsidR="00444056">
        <w:rPr>
          <w:sz w:val="22"/>
          <w:szCs w:val="22"/>
        </w:rPr>
        <w:t>this analysis</w:t>
      </w:r>
      <w:r w:rsidR="00444056" w:rsidRPr="006B37FF">
        <w:rPr>
          <w:sz w:val="22"/>
          <w:szCs w:val="22"/>
        </w:rPr>
        <w:t xml:space="preserve"> </w:t>
      </w:r>
      <w:r w:rsidRPr="006B37FF">
        <w:rPr>
          <w:sz w:val="22"/>
          <w:szCs w:val="22"/>
        </w:rPr>
        <w:t xml:space="preserve">used the “short-term” value only (as noted in Table 1) to align with types of injuries identified through NEISS-AIP. </w:t>
      </w:r>
      <w:r w:rsidR="00444056">
        <w:rPr>
          <w:sz w:val="22"/>
          <w:szCs w:val="22"/>
        </w:rPr>
        <w:t xml:space="preserve">Of </w:t>
      </w:r>
      <w:r w:rsidRPr="006B37FF">
        <w:rPr>
          <w:sz w:val="22"/>
          <w:szCs w:val="22"/>
        </w:rPr>
        <w:t xml:space="preserve">the 47 GBD disability weights for the list of natures of injury (presented in Table 1), 19 correspond to a duration explicitly less than one year. Only 7 correspond to a duration explicitly greater than one year (considered to be a long-term injury only), all under the umbrella of amputations, assumed to be permanently disabling. The remaining 21 natures of injury do not have any specified duration, and of these, many are minor injuries such as dislocations that may often have shorter durations and may be treated primarily in an ED setting (though an example of a notable exception is spinal cord injury). As noted and referenced in </w:t>
      </w:r>
      <w:r w:rsidR="00CD249F">
        <w:rPr>
          <w:sz w:val="22"/>
          <w:szCs w:val="22"/>
        </w:rPr>
        <w:t>the main text</w:t>
      </w:r>
      <w:r w:rsidRPr="006B37FF">
        <w:rPr>
          <w:sz w:val="22"/>
          <w:szCs w:val="22"/>
        </w:rPr>
        <w:t>, the GBD 2013 disability weight study intentionally assessed the framing of health states as temporary versus chronic and found that there was incredibly strong correlation between the two, meaning that respondents preferences and valuations for health states was largely independent from duration.</w:t>
      </w:r>
      <w:r w:rsidR="00CD249F" w:rsidRPr="00CD249F">
        <w:rPr>
          <w:rFonts w:ascii="Aptos" w:hAnsi="Aptos" w:cs="Times New Roman"/>
          <w:kern w:val="0"/>
          <w:sz w:val="22"/>
          <w:vertAlign w:val="superscript"/>
        </w:rPr>
        <w:t>1</w:t>
      </w:r>
      <w:r w:rsidRPr="006B37FF">
        <w:rPr>
          <w:sz w:val="22"/>
          <w:szCs w:val="22"/>
        </w:rPr>
        <w:t xml:space="preserve"> </w:t>
      </w:r>
      <w:r w:rsidR="00D91128">
        <w:rPr>
          <w:sz w:val="22"/>
          <w:szCs w:val="22"/>
        </w:rPr>
        <w:t>T</w:t>
      </w:r>
      <w:r w:rsidRPr="006B37FF">
        <w:rPr>
          <w:sz w:val="22"/>
          <w:szCs w:val="22"/>
        </w:rPr>
        <w:t xml:space="preserve">his finding underscores the robustness of these health states and their disability weights regardless of duration in many cases. </w:t>
      </w:r>
    </w:p>
    <w:p w14:paraId="6C6A2D91" w14:textId="30D22990" w:rsidR="00B85324" w:rsidRPr="00212527" w:rsidRDefault="00B85324" w:rsidP="00B85324">
      <w:pPr>
        <w:rPr>
          <w:sz w:val="22"/>
          <w:szCs w:val="22"/>
        </w:rPr>
      </w:pPr>
      <w:r w:rsidRPr="00212527">
        <w:rPr>
          <w:sz w:val="22"/>
          <w:szCs w:val="22"/>
        </w:rPr>
        <w:t>GBD does not currently make estimates for varying severities of injury beyond what is presented in Table 1 (</w:t>
      </w:r>
      <w:proofErr w:type="spellStart"/>
      <w:r w:rsidRPr="00212527">
        <w:rPr>
          <w:sz w:val="22"/>
          <w:szCs w:val="22"/>
        </w:rPr>
        <w:t>eg</w:t>
      </w:r>
      <w:proofErr w:type="spellEnd"/>
      <w:r w:rsidRPr="00212527">
        <w:rPr>
          <w:sz w:val="22"/>
          <w:szCs w:val="22"/>
        </w:rPr>
        <w:t xml:space="preserve">, mild versus severe fractures, where mild may be more likely to be treated in an ED setting and severe may require hospitalization and surgery). In a handful of cases, there are separate disability weights depending on whether an injury received any treatment versus </w:t>
      </w:r>
      <w:proofErr w:type="gramStart"/>
      <w:r w:rsidRPr="00212527">
        <w:rPr>
          <w:sz w:val="22"/>
          <w:szCs w:val="22"/>
        </w:rPr>
        <w:t>none at all</w:t>
      </w:r>
      <w:proofErr w:type="gramEnd"/>
      <w:r w:rsidRPr="00212527">
        <w:rPr>
          <w:sz w:val="22"/>
          <w:szCs w:val="22"/>
        </w:rPr>
        <w:t xml:space="preserve">, to ensure that we are accounting for increased burden for the population unable to access quality medical care. These were not applicable to this analysis, given that </w:t>
      </w:r>
      <w:proofErr w:type="gramStart"/>
      <w:r w:rsidRPr="00212527">
        <w:rPr>
          <w:sz w:val="22"/>
          <w:szCs w:val="22"/>
        </w:rPr>
        <w:t>the NEISS</w:t>
      </w:r>
      <w:proofErr w:type="gramEnd"/>
      <w:r w:rsidRPr="00212527">
        <w:rPr>
          <w:sz w:val="22"/>
          <w:szCs w:val="22"/>
        </w:rPr>
        <w:t xml:space="preserve">-AIP inherently reports on treated injuries. In future iterations of the GBD disability weight analysis it would be worthwhile </w:t>
      </w:r>
      <w:proofErr w:type="gramStart"/>
      <w:r w:rsidRPr="00212527">
        <w:rPr>
          <w:sz w:val="22"/>
          <w:szCs w:val="22"/>
        </w:rPr>
        <w:t>to consider</w:t>
      </w:r>
      <w:proofErr w:type="gramEnd"/>
      <w:r w:rsidRPr="00212527">
        <w:rPr>
          <w:sz w:val="22"/>
          <w:szCs w:val="22"/>
        </w:rPr>
        <w:t xml:space="preserve"> developing health</w:t>
      </w:r>
      <w:r>
        <w:rPr>
          <w:sz w:val="22"/>
          <w:szCs w:val="22"/>
        </w:rPr>
        <w:t xml:space="preserve"> </w:t>
      </w:r>
      <w:r w:rsidRPr="00212527">
        <w:rPr>
          <w:sz w:val="22"/>
          <w:szCs w:val="22"/>
        </w:rPr>
        <w:t xml:space="preserve">states with increased granularity (such as injury severity) that could better fit circumstances such as ED visits only. If only examining those injuries that were treated in an ED setting the disability weights should be interpreted with caution as there are cases where </w:t>
      </w:r>
      <w:proofErr w:type="gramStart"/>
      <w:r w:rsidRPr="00212527">
        <w:rPr>
          <w:sz w:val="22"/>
          <w:szCs w:val="22"/>
        </w:rPr>
        <w:t>the severity</w:t>
      </w:r>
      <w:proofErr w:type="gramEnd"/>
      <w:r w:rsidRPr="00212527">
        <w:rPr>
          <w:sz w:val="22"/>
          <w:szCs w:val="22"/>
        </w:rPr>
        <w:t xml:space="preserve"> may not align. </w:t>
      </w:r>
    </w:p>
    <w:p w14:paraId="36935EAA" w14:textId="1453B303" w:rsidR="00FF23B2" w:rsidRDefault="00FF23B2" w:rsidP="00FF23B2">
      <w:pPr>
        <w:pStyle w:val="Heading1"/>
        <w:rPr>
          <w:rFonts w:eastAsiaTheme="minorEastAsia"/>
        </w:rPr>
      </w:pPr>
      <w:bookmarkStart w:id="6" w:name="_Toc196469580"/>
      <w:r>
        <w:rPr>
          <w:rFonts w:eastAsiaTheme="minorEastAsia"/>
        </w:rPr>
        <w:lastRenderedPageBreak/>
        <w:t>Supplementary tables</w:t>
      </w:r>
      <w:bookmarkEnd w:id="6"/>
    </w:p>
    <w:p w14:paraId="7CDD0825" w14:textId="1D7844EA" w:rsidR="00FF23B2" w:rsidRDefault="00FF23B2" w:rsidP="00FF23B2">
      <w:pPr>
        <w:pStyle w:val="Heading2"/>
      </w:pPr>
      <w:bookmarkStart w:id="7" w:name="_Toc196469581"/>
      <w:r>
        <w:t>Table S1.</w:t>
      </w:r>
      <w:r w:rsidR="00975CB8">
        <w:t xml:space="preserve"> </w:t>
      </w:r>
      <w:r w:rsidR="00682261">
        <w:t>Map of NEISS-AIP injury types to GBD natures of injury and corresponding estimated disability weights</w:t>
      </w:r>
      <w:bookmarkEnd w:id="7"/>
      <w:r w:rsidR="008E2C2F">
        <w:t xml:space="preserve"> </w:t>
      </w:r>
    </w:p>
    <w:p w14:paraId="1C57BF7E" w14:textId="352FF493" w:rsidR="00682261" w:rsidRDefault="008E2C2F" w:rsidP="00682261">
      <w:pPr>
        <w:rPr>
          <w:b/>
          <w:bCs/>
          <w:i/>
          <w:iCs/>
          <w:sz w:val="22"/>
          <w:szCs w:val="22"/>
        </w:rPr>
      </w:pPr>
      <w:r w:rsidRPr="0085604F">
        <w:rPr>
          <w:b/>
          <w:bCs/>
          <w:i/>
          <w:iCs/>
          <w:sz w:val="22"/>
          <w:szCs w:val="22"/>
        </w:rPr>
        <w:t>See accompanying file (S1.xlsx)</w:t>
      </w:r>
    </w:p>
    <w:p w14:paraId="586B51E1" w14:textId="4AE6BA9A" w:rsidR="00276C80" w:rsidRPr="00276C80" w:rsidRDefault="00276C80" w:rsidP="00682261">
      <w:pPr>
        <w:rPr>
          <w:sz w:val="22"/>
          <w:szCs w:val="22"/>
        </w:rPr>
      </w:pPr>
      <w:r>
        <w:rPr>
          <w:sz w:val="22"/>
          <w:szCs w:val="22"/>
        </w:rPr>
        <w:t xml:space="preserve">All 492 injury types from NEISS-AIP are provided (unique combinations of body part and diagnosis) </w:t>
      </w:r>
      <w:r w:rsidR="003D41DC">
        <w:rPr>
          <w:sz w:val="22"/>
          <w:szCs w:val="22"/>
        </w:rPr>
        <w:t xml:space="preserve">mapped to GBD natures of injury with estimated disability weights (DWs), </w:t>
      </w:r>
      <w:r w:rsidR="00405F2B">
        <w:rPr>
          <w:sz w:val="22"/>
          <w:szCs w:val="22"/>
        </w:rPr>
        <w:t>in addition to</w:t>
      </w:r>
      <w:r>
        <w:rPr>
          <w:sz w:val="22"/>
          <w:szCs w:val="22"/>
        </w:rPr>
        <w:t xml:space="preserve"> </w:t>
      </w:r>
      <w:r w:rsidR="003D41DC">
        <w:rPr>
          <w:sz w:val="22"/>
          <w:szCs w:val="22"/>
        </w:rPr>
        <w:t>an</w:t>
      </w:r>
      <w:r w:rsidR="00405F2B">
        <w:rPr>
          <w:sz w:val="22"/>
          <w:szCs w:val="22"/>
        </w:rPr>
        <w:t xml:space="preserve"> overall average </w:t>
      </w:r>
      <w:r w:rsidR="00F35B56">
        <w:rPr>
          <w:sz w:val="22"/>
          <w:szCs w:val="22"/>
        </w:rPr>
        <w:t>DW</w:t>
      </w:r>
      <w:r w:rsidR="003D41DC">
        <w:rPr>
          <w:sz w:val="22"/>
          <w:szCs w:val="22"/>
        </w:rPr>
        <w:t>. All GBD nature of injury (n-code) matches are provided for each NEISS-AIP injury type, along with the corresponding DW and its 95% uncertainty interval (UI).</w:t>
      </w:r>
    </w:p>
    <w:p w14:paraId="54945F8B" w14:textId="38834BBB" w:rsidR="00B84FDE" w:rsidRPr="00B84FDE" w:rsidRDefault="00EF08BC" w:rsidP="00B84FDE">
      <w:pPr>
        <w:pStyle w:val="Heading2"/>
      </w:pPr>
      <w:bookmarkStart w:id="8" w:name="_Toc196469582"/>
      <w:r>
        <w:t>Table S2.</w:t>
      </w:r>
      <w:r w:rsidR="00975CB8">
        <w:t xml:space="preserve"> </w:t>
      </w:r>
      <w:r w:rsidR="00B84FDE">
        <w:t>GBD nature of injury i</w:t>
      </w:r>
      <w:r w:rsidR="00B65DCA">
        <w:t>ncidence estimates</w:t>
      </w:r>
      <w:r w:rsidR="00B84FDE">
        <w:t>,</w:t>
      </w:r>
      <w:r w:rsidR="00B65DCA">
        <w:t xml:space="preserve"> United </w:t>
      </w:r>
      <w:r w:rsidR="00B84FDE">
        <w:t xml:space="preserve">States </w:t>
      </w:r>
      <w:r w:rsidR="00B65DCA">
        <w:t>2015-2020</w:t>
      </w:r>
      <w:bookmarkEnd w:id="8"/>
    </w:p>
    <w:p w14:paraId="2196FBA4" w14:textId="66EAD0A1" w:rsidR="0092674B" w:rsidRDefault="00B65DCA" w:rsidP="00B65DCA">
      <w:pPr>
        <w:rPr>
          <w:i/>
          <w:iCs/>
          <w:sz w:val="22"/>
          <w:szCs w:val="22"/>
        </w:rPr>
      </w:pPr>
      <w:r w:rsidRPr="0085604F">
        <w:rPr>
          <w:b/>
          <w:bCs/>
          <w:i/>
          <w:iCs/>
          <w:sz w:val="22"/>
          <w:szCs w:val="22"/>
        </w:rPr>
        <w:t>See accompanying file (S2.xlsx)</w:t>
      </w:r>
      <w:r w:rsidR="009441A1" w:rsidRPr="0085604F">
        <w:rPr>
          <w:b/>
          <w:bCs/>
          <w:i/>
          <w:iCs/>
          <w:sz w:val="22"/>
          <w:szCs w:val="22"/>
        </w:rPr>
        <w:t>.</w:t>
      </w:r>
      <w:r w:rsidR="009441A1" w:rsidRPr="00CD249F">
        <w:rPr>
          <w:i/>
          <w:iCs/>
          <w:sz w:val="22"/>
          <w:szCs w:val="22"/>
        </w:rPr>
        <w:t xml:space="preserve"> From </w:t>
      </w:r>
      <w:r w:rsidR="0092674B" w:rsidRPr="0085604F">
        <w:rPr>
          <w:i/>
          <w:iCs/>
          <w:sz w:val="22"/>
          <w:szCs w:val="22"/>
        </w:rPr>
        <w:t>GBD 2021</w:t>
      </w:r>
      <w:r w:rsidR="009441A1" w:rsidRPr="00CD249F">
        <w:rPr>
          <w:i/>
          <w:iCs/>
          <w:sz w:val="22"/>
          <w:szCs w:val="22"/>
        </w:rPr>
        <w:t>.</w:t>
      </w:r>
      <w:r w:rsidR="00CD249F" w:rsidRPr="00CD249F">
        <w:rPr>
          <w:rFonts w:ascii="Aptos" w:hAnsi="Aptos" w:cs="Times New Roman"/>
          <w:kern w:val="0"/>
          <w:sz w:val="22"/>
          <w:vertAlign w:val="superscript"/>
        </w:rPr>
        <w:t>2,3</w:t>
      </w:r>
    </w:p>
    <w:p w14:paraId="6873FC23" w14:textId="7CDB6095" w:rsidR="00B84FDE" w:rsidRPr="00B84FDE" w:rsidRDefault="00B84FDE" w:rsidP="00B65DCA">
      <w:pPr>
        <w:rPr>
          <w:sz w:val="22"/>
          <w:szCs w:val="22"/>
        </w:rPr>
      </w:pPr>
      <w:r>
        <w:rPr>
          <w:sz w:val="22"/>
          <w:szCs w:val="22"/>
        </w:rPr>
        <w:t xml:space="preserve">Estimates represent </w:t>
      </w:r>
      <w:r w:rsidR="00AB0915">
        <w:rPr>
          <w:sz w:val="22"/>
          <w:szCs w:val="22"/>
        </w:rPr>
        <w:t>total injuries</w:t>
      </w:r>
      <w:r w:rsidR="00890970">
        <w:rPr>
          <w:sz w:val="22"/>
          <w:szCs w:val="22"/>
        </w:rPr>
        <w:t xml:space="preserve"> </w:t>
      </w:r>
      <w:r w:rsidR="00F35B56">
        <w:rPr>
          <w:sz w:val="22"/>
          <w:szCs w:val="22"/>
        </w:rPr>
        <w:t xml:space="preserve">from 2015-2020 </w:t>
      </w:r>
      <w:r w:rsidR="00890970">
        <w:rPr>
          <w:sz w:val="22"/>
          <w:szCs w:val="22"/>
        </w:rPr>
        <w:t>in the United States</w:t>
      </w:r>
      <w:r w:rsidR="00F35B56">
        <w:rPr>
          <w:sz w:val="22"/>
          <w:szCs w:val="22"/>
        </w:rPr>
        <w:t>, with corresponding 95% uncertainty interval (UI).</w:t>
      </w:r>
    </w:p>
    <w:p w14:paraId="162BA18A" w14:textId="5BA2CFFD" w:rsidR="00666100" w:rsidRPr="00FF23B2" w:rsidRDefault="00666100" w:rsidP="0085604F">
      <w:pPr>
        <w:pStyle w:val="Heading1"/>
      </w:pPr>
      <w:bookmarkStart w:id="9" w:name="_Toc196469583"/>
      <w:r>
        <w:t>References</w:t>
      </w:r>
      <w:bookmarkEnd w:id="9"/>
    </w:p>
    <w:p w14:paraId="4C1FA031" w14:textId="490673E6" w:rsidR="00CD249F" w:rsidRPr="0085604F" w:rsidRDefault="00CC74C6" w:rsidP="00CD249F">
      <w:pPr>
        <w:pStyle w:val="Bibliography"/>
        <w:rPr>
          <w:rFonts w:ascii="Aptos" w:hAnsi="Aptos"/>
          <w:sz w:val="22"/>
          <w:szCs w:val="22"/>
        </w:rPr>
      </w:pPr>
      <w:r>
        <w:t xml:space="preserve"> </w:t>
      </w:r>
      <w:r w:rsidR="00CD249F" w:rsidRPr="00CD249F">
        <w:rPr>
          <w:rFonts w:ascii="Aptos" w:hAnsi="Aptos"/>
        </w:rPr>
        <w:t>1</w:t>
      </w:r>
      <w:r w:rsidR="00CD249F" w:rsidRPr="0085604F">
        <w:rPr>
          <w:rFonts w:ascii="Aptos" w:hAnsi="Aptos"/>
          <w:sz w:val="22"/>
          <w:szCs w:val="22"/>
        </w:rPr>
        <w:tab/>
        <w:t xml:space="preserve">Salomon JA, Haagsma JA, Davis A, </w:t>
      </w:r>
      <w:r w:rsidR="00CD249F" w:rsidRPr="0085604F">
        <w:rPr>
          <w:rFonts w:ascii="Aptos" w:hAnsi="Aptos"/>
          <w:i/>
          <w:iCs/>
          <w:sz w:val="22"/>
          <w:szCs w:val="22"/>
        </w:rPr>
        <w:t>et al.</w:t>
      </w:r>
      <w:r w:rsidR="00CD249F" w:rsidRPr="0085604F">
        <w:rPr>
          <w:rFonts w:ascii="Aptos" w:hAnsi="Aptos"/>
          <w:sz w:val="22"/>
          <w:szCs w:val="22"/>
        </w:rPr>
        <w:t xml:space="preserve"> Disability weights for the Global Burden of Disease 2013 study. </w:t>
      </w:r>
      <w:r w:rsidR="00CD249F" w:rsidRPr="0085604F">
        <w:rPr>
          <w:rFonts w:ascii="Aptos" w:hAnsi="Aptos"/>
          <w:i/>
          <w:iCs/>
          <w:sz w:val="22"/>
          <w:szCs w:val="22"/>
        </w:rPr>
        <w:t>The Lancet Global Health</w:t>
      </w:r>
      <w:r w:rsidR="00CD249F" w:rsidRPr="0085604F">
        <w:rPr>
          <w:rFonts w:ascii="Aptos" w:hAnsi="Aptos"/>
          <w:sz w:val="22"/>
          <w:szCs w:val="22"/>
        </w:rPr>
        <w:t xml:space="preserve"> 2015; </w:t>
      </w:r>
      <w:r w:rsidR="00CD249F" w:rsidRPr="0085604F">
        <w:rPr>
          <w:rFonts w:ascii="Aptos" w:hAnsi="Aptos"/>
          <w:b/>
          <w:bCs/>
          <w:sz w:val="22"/>
          <w:szCs w:val="22"/>
        </w:rPr>
        <w:t>3</w:t>
      </w:r>
      <w:r w:rsidR="00CD249F" w:rsidRPr="0085604F">
        <w:rPr>
          <w:rFonts w:ascii="Aptos" w:hAnsi="Aptos"/>
          <w:sz w:val="22"/>
          <w:szCs w:val="22"/>
        </w:rPr>
        <w:t>: e712–23.</w:t>
      </w:r>
    </w:p>
    <w:p w14:paraId="745155B8" w14:textId="37258F4A" w:rsidR="00CD249F" w:rsidRPr="0085604F" w:rsidRDefault="00CD249F" w:rsidP="00CD249F">
      <w:pPr>
        <w:pStyle w:val="Bibliography"/>
        <w:rPr>
          <w:rFonts w:ascii="Aptos" w:hAnsi="Aptos"/>
          <w:sz w:val="22"/>
          <w:szCs w:val="22"/>
        </w:rPr>
      </w:pPr>
      <w:r w:rsidRPr="0085604F">
        <w:rPr>
          <w:rFonts w:ascii="Aptos" w:hAnsi="Aptos"/>
          <w:sz w:val="22"/>
          <w:szCs w:val="22"/>
        </w:rPr>
        <w:t>2</w:t>
      </w:r>
      <w:r w:rsidRPr="0085604F">
        <w:rPr>
          <w:rFonts w:ascii="Aptos" w:hAnsi="Aptos"/>
          <w:sz w:val="22"/>
          <w:szCs w:val="22"/>
        </w:rPr>
        <w:tab/>
      </w:r>
      <w:r w:rsidR="0053708D">
        <w:rPr>
          <w:rFonts w:ascii="Aptos" w:hAnsi="Aptos"/>
          <w:sz w:val="22"/>
          <w:szCs w:val="22"/>
        </w:rPr>
        <w:tab/>
      </w:r>
      <w:r w:rsidRPr="0085604F">
        <w:rPr>
          <w:rFonts w:ascii="Aptos" w:hAnsi="Aptos"/>
          <w:sz w:val="22"/>
          <w:szCs w:val="22"/>
        </w:rPr>
        <w:t>GBD 2021 Diseases and Injuries Collaborators</w:t>
      </w:r>
      <w:r w:rsidRPr="0085604F">
        <w:rPr>
          <w:rFonts w:ascii="Aptos" w:hAnsi="Aptos"/>
          <w:i/>
          <w:iCs/>
          <w:sz w:val="22"/>
          <w:szCs w:val="22"/>
        </w:rPr>
        <w:t>.</w:t>
      </w:r>
      <w:r w:rsidRPr="0085604F">
        <w:rPr>
          <w:rFonts w:ascii="Aptos" w:hAnsi="Aptos"/>
          <w:sz w:val="22"/>
          <w:szCs w:val="22"/>
        </w:rPr>
        <w:t xml:space="preserve"> Global incidence, prevalence, years lived with disability (YLDs), disability-adjusted life-years (DALYs), and healthy life expectancy (HALE) for 371 diseases and injuries in 204 countries and territories and 811 subnational locations, 1990–2021: a systematic analysis for the Global Burden of Disease Study 2021. </w:t>
      </w:r>
      <w:r w:rsidRPr="0085604F">
        <w:rPr>
          <w:rFonts w:ascii="Aptos" w:hAnsi="Aptos"/>
          <w:i/>
          <w:iCs/>
          <w:sz w:val="22"/>
          <w:szCs w:val="22"/>
        </w:rPr>
        <w:t>The Lancet</w:t>
      </w:r>
      <w:r w:rsidRPr="0085604F">
        <w:rPr>
          <w:rFonts w:ascii="Aptos" w:hAnsi="Aptos"/>
          <w:sz w:val="22"/>
          <w:szCs w:val="22"/>
        </w:rPr>
        <w:t xml:space="preserve"> 2024; </w:t>
      </w:r>
      <w:r w:rsidRPr="0085604F">
        <w:rPr>
          <w:rFonts w:ascii="Aptos" w:hAnsi="Aptos"/>
          <w:b/>
          <w:bCs/>
          <w:sz w:val="22"/>
          <w:szCs w:val="22"/>
        </w:rPr>
        <w:t>0</w:t>
      </w:r>
      <w:r w:rsidRPr="0085604F">
        <w:rPr>
          <w:rFonts w:ascii="Aptos" w:hAnsi="Aptos"/>
          <w:sz w:val="22"/>
          <w:szCs w:val="22"/>
        </w:rPr>
        <w:t>. DOI:10.1016/S0140-6736(24)00757-8.</w:t>
      </w:r>
    </w:p>
    <w:p w14:paraId="6F527B29" w14:textId="7E6B270F" w:rsidR="00CD249F" w:rsidRPr="0085604F" w:rsidRDefault="00CD249F" w:rsidP="00CD249F">
      <w:pPr>
        <w:pStyle w:val="Bibliography"/>
        <w:rPr>
          <w:rFonts w:ascii="Aptos" w:hAnsi="Aptos"/>
          <w:sz w:val="22"/>
          <w:szCs w:val="22"/>
        </w:rPr>
      </w:pPr>
      <w:r w:rsidRPr="0085604F">
        <w:rPr>
          <w:rFonts w:ascii="Aptos" w:hAnsi="Aptos"/>
          <w:sz w:val="22"/>
          <w:szCs w:val="22"/>
        </w:rPr>
        <w:t>3</w:t>
      </w:r>
      <w:r w:rsidRPr="0085604F">
        <w:rPr>
          <w:rFonts w:ascii="Aptos" w:hAnsi="Aptos"/>
          <w:sz w:val="22"/>
          <w:szCs w:val="22"/>
        </w:rPr>
        <w:tab/>
      </w:r>
      <w:r w:rsidR="0053708D">
        <w:rPr>
          <w:rFonts w:ascii="Aptos" w:hAnsi="Aptos"/>
          <w:sz w:val="22"/>
          <w:szCs w:val="22"/>
        </w:rPr>
        <w:tab/>
      </w:r>
      <w:r w:rsidRPr="0085604F">
        <w:rPr>
          <w:rFonts w:ascii="Aptos" w:hAnsi="Aptos"/>
          <w:sz w:val="22"/>
          <w:szCs w:val="22"/>
        </w:rPr>
        <w:t>GBD Results. Institute for Health Metrics and Evaluation. https://vizhub.healthdata.org/gbd-results</w:t>
      </w:r>
      <w:r w:rsidR="00F3608D">
        <w:rPr>
          <w:rFonts w:ascii="Aptos" w:hAnsi="Aptos"/>
          <w:sz w:val="22"/>
          <w:szCs w:val="22"/>
        </w:rPr>
        <w:t>.</w:t>
      </w:r>
    </w:p>
    <w:p w14:paraId="566C465A" w14:textId="2E81EA4E" w:rsidR="00CC74C6" w:rsidRPr="00CC74C6" w:rsidRDefault="00CC74C6" w:rsidP="00CC74C6"/>
    <w:sectPr w:rsidR="00CC74C6" w:rsidRPr="00CC74C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F081B" w14:textId="77777777" w:rsidR="00B14E34" w:rsidRDefault="00B14E34" w:rsidP="005F5977">
      <w:pPr>
        <w:spacing w:after="0" w:line="240" w:lineRule="auto"/>
      </w:pPr>
      <w:r>
        <w:separator/>
      </w:r>
    </w:p>
  </w:endnote>
  <w:endnote w:type="continuationSeparator" w:id="0">
    <w:p w14:paraId="56FE1C91" w14:textId="77777777" w:rsidR="00B14E34" w:rsidRDefault="00B14E34" w:rsidP="005F5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683798"/>
      <w:docPartObj>
        <w:docPartGallery w:val="Page Numbers (Bottom of Page)"/>
        <w:docPartUnique/>
      </w:docPartObj>
    </w:sdtPr>
    <w:sdtEndPr>
      <w:rPr>
        <w:noProof/>
      </w:rPr>
    </w:sdtEndPr>
    <w:sdtContent>
      <w:p w14:paraId="0EC72299" w14:textId="69902088" w:rsidR="005F5977" w:rsidRDefault="005F59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2F76CD" w14:textId="77777777" w:rsidR="005F5977" w:rsidRDefault="005F5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4CE2F" w14:textId="77777777" w:rsidR="00B14E34" w:rsidRDefault="00B14E34" w:rsidP="005F5977">
      <w:pPr>
        <w:spacing w:after="0" w:line="240" w:lineRule="auto"/>
      </w:pPr>
      <w:r>
        <w:separator/>
      </w:r>
    </w:p>
  </w:footnote>
  <w:footnote w:type="continuationSeparator" w:id="0">
    <w:p w14:paraId="4A0A1247" w14:textId="77777777" w:rsidR="00B14E34" w:rsidRDefault="00B14E34" w:rsidP="005F5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32045"/>
    <w:multiLevelType w:val="hybridMultilevel"/>
    <w:tmpl w:val="79123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9861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E8"/>
    <w:rsid w:val="000130EC"/>
    <w:rsid w:val="00027613"/>
    <w:rsid w:val="00070C53"/>
    <w:rsid w:val="000B2A93"/>
    <w:rsid w:val="0010465B"/>
    <w:rsid w:val="001177E6"/>
    <w:rsid w:val="00176356"/>
    <w:rsid w:val="001A1702"/>
    <w:rsid w:val="001B0C0E"/>
    <w:rsid w:val="001C0A87"/>
    <w:rsid w:val="001D26E1"/>
    <w:rsid w:val="001E4741"/>
    <w:rsid w:val="00211EC3"/>
    <w:rsid w:val="00212527"/>
    <w:rsid w:val="0023147E"/>
    <w:rsid w:val="00251D15"/>
    <w:rsid w:val="00261111"/>
    <w:rsid w:val="00272F79"/>
    <w:rsid w:val="00276C80"/>
    <w:rsid w:val="002D36AB"/>
    <w:rsid w:val="002D54D3"/>
    <w:rsid w:val="00355474"/>
    <w:rsid w:val="003D41DC"/>
    <w:rsid w:val="0040206C"/>
    <w:rsid w:val="00405F2B"/>
    <w:rsid w:val="0043580A"/>
    <w:rsid w:val="00444056"/>
    <w:rsid w:val="00451737"/>
    <w:rsid w:val="00457812"/>
    <w:rsid w:val="00470677"/>
    <w:rsid w:val="00473A45"/>
    <w:rsid w:val="004B2014"/>
    <w:rsid w:val="004B646D"/>
    <w:rsid w:val="004C7369"/>
    <w:rsid w:val="004D0CDD"/>
    <w:rsid w:val="004E0A09"/>
    <w:rsid w:val="005164CA"/>
    <w:rsid w:val="00517230"/>
    <w:rsid w:val="0053708D"/>
    <w:rsid w:val="00537B1F"/>
    <w:rsid w:val="005409B6"/>
    <w:rsid w:val="00554BD4"/>
    <w:rsid w:val="00563C5D"/>
    <w:rsid w:val="00581211"/>
    <w:rsid w:val="00593568"/>
    <w:rsid w:val="005959A3"/>
    <w:rsid w:val="005C207E"/>
    <w:rsid w:val="005E19D0"/>
    <w:rsid w:val="005F5977"/>
    <w:rsid w:val="00666100"/>
    <w:rsid w:val="00682261"/>
    <w:rsid w:val="006B37FF"/>
    <w:rsid w:val="006D1D9E"/>
    <w:rsid w:val="007164BF"/>
    <w:rsid w:val="00772B38"/>
    <w:rsid w:val="00793177"/>
    <w:rsid w:val="007C613E"/>
    <w:rsid w:val="007D5508"/>
    <w:rsid w:val="00801C65"/>
    <w:rsid w:val="008421C8"/>
    <w:rsid w:val="0085339C"/>
    <w:rsid w:val="0085604F"/>
    <w:rsid w:val="008768F2"/>
    <w:rsid w:val="0087790B"/>
    <w:rsid w:val="00890970"/>
    <w:rsid w:val="008B734E"/>
    <w:rsid w:val="008E2C2F"/>
    <w:rsid w:val="008F154C"/>
    <w:rsid w:val="00913A32"/>
    <w:rsid w:val="0092674B"/>
    <w:rsid w:val="009441A1"/>
    <w:rsid w:val="00944A40"/>
    <w:rsid w:val="00975CB8"/>
    <w:rsid w:val="00981BE7"/>
    <w:rsid w:val="009D09EE"/>
    <w:rsid w:val="009D60E9"/>
    <w:rsid w:val="00A2041F"/>
    <w:rsid w:val="00A34B51"/>
    <w:rsid w:val="00A43C72"/>
    <w:rsid w:val="00A50CB2"/>
    <w:rsid w:val="00A65CEA"/>
    <w:rsid w:val="00A77A7D"/>
    <w:rsid w:val="00AB0915"/>
    <w:rsid w:val="00B14E34"/>
    <w:rsid w:val="00B62EAC"/>
    <w:rsid w:val="00B65DCA"/>
    <w:rsid w:val="00B84FDE"/>
    <w:rsid w:val="00B85324"/>
    <w:rsid w:val="00BE1FDE"/>
    <w:rsid w:val="00BE722F"/>
    <w:rsid w:val="00C17494"/>
    <w:rsid w:val="00C56289"/>
    <w:rsid w:val="00C60263"/>
    <w:rsid w:val="00CC0D76"/>
    <w:rsid w:val="00CC74C6"/>
    <w:rsid w:val="00CD249F"/>
    <w:rsid w:val="00CE70FA"/>
    <w:rsid w:val="00CF7741"/>
    <w:rsid w:val="00D91128"/>
    <w:rsid w:val="00DC5A59"/>
    <w:rsid w:val="00DC6BE5"/>
    <w:rsid w:val="00DD7AE8"/>
    <w:rsid w:val="00DE65C7"/>
    <w:rsid w:val="00E36719"/>
    <w:rsid w:val="00E514D6"/>
    <w:rsid w:val="00E54D29"/>
    <w:rsid w:val="00EA2414"/>
    <w:rsid w:val="00EA2A5E"/>
    <w:rsid w:val="00EA2DCC"/>
    <w:rsid w:val="00EB5F24"/>
    <w:rsid w:val="00EB7E11"/>
    <w:rsid w:val="00EF08BC"/>
    <w:rsid w:val="00F055AE"/>
    <w:rsid w:val="00F1416A"/>
    <w:rsid w:val="00F35B56"/>
    <w:rsid w:val="00F3608D"/>
    <w:rsid w:val="00FB4D80"/>
    <w:rsid w:val="00FD3DF7"/>
    <w:rsid w:val="00FF23B2"/>
    <w:rsid w:val="00FF5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DE85"/>
  <w15:chartTrackingRefBased/>
  <w15:docId w15:val="{A88324B0-5308-4192-87A3-7CA386BA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7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D7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7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D7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AE8"/>
    <w:rPr>
      <w:rFonts w:eastAsiaTheme="majorEastAsia" w:cstheme="majorBidi"/>
      <w:color w:val="272727" w:themeColor="text1" w:themeTint="D8"/>
    </w:rPr>
  </w:style>
  <w:style w:type="paragraph" w:styleId="Title">
    <w:name w:val="Title"/>
    <w:basedOn w:val="Normal"/>
    <w:next w:val="Normal"/>
    <w:link w:val="TitleChar"/>
    <w:uiPriority w:val="10"/>
    <w:qFormat/>
    <w:rsid w:val="00DD7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AE8"/>
    <w:pPr>
      <w:spacing w:before="160"/>
      <w:jc w:val="center"/>
    </w:pPr>
    <w:rPr>
      <w:i/>
      <w:iCs/>
      <w:color w:val="404040" w:themeColor="text1" w:themeTint="BF"/>
    </w:rPr>
  </w:style>
  <w:style w:type="character" w:customStyle="1" w:styleId="QuoteChar">
    <w:name w:val="Quote Char"/>
    <w:basedOn w:val="DefaultParagraphFont"/>
    <w:link w:val="Quote"/>
    <w:uiPriority w:val="29"/>
    <w:rsid w:val="00DD7AE8"/>
    <w:rPr>
      <w:i/>
      <w:iCs/>
      <w:color w:val="404040" w:themeColor="text1" w:themeTint="BF"/>
    </w:rPr>
  </w:style>
  <w:style w:type="paragraph" w:styleId="ListParagraph">
    <w:name w:val="List Paragraph"/>
    <w:basedOn w:val="Normal"/>
    <w:uiPriority w:val="34"/>
    <w:qFormat/>
    <w:rsid w:val="00DD7AE8"/>
    <w:pPr>
      <w:ind w:left="720"/>
      <w:contextualSpacing/>
    </w:pPr>
  </w:style>
  <w:style w:type="character" w:styleId="IntenseEmphasis">
    <w:name w:val="Intense Emphasis"/>
    <w:basedOn w:val="DefaultParagraphFont"/>
    <w:uiPriority w:val="21"/>
    <w:qFormat/>
    <w:rsid w:val="00DD7AE8"/>
    <w:rPr>
      <w:i/>
      <w:iCs/>
      <w:color w:val="0F4761" w:themeColor="accent1" w:themeShade="BF"/>
    </w:rPr>
  </w:style>
  <w:style w:type="paragraph" w:styleId="IntenseQuote">
    <w:name w:val="Intense Quote"/>
    <w:basedOn w:val="Normal"/>
    <w:next w:val="Normal"/>
    <w:link w:val="IntenseQuoteChar"/>
    <w:uiPriority w:val="30"/>
    <w:qFormat/>
    <w:rsid w:val="00DD7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AE8"/>
    <w:rPr>
      <w:i/>
      <w:iCs/>
      <w:color w:val="0F4761" w:themeColor="accent1" w:themeShade="BF"/>
    </w:rPr>
  </w:style>
  <w:style w:type="character" w:styleId="IntenseReference">
    <w:name w:val="Intense Reference"/>
    <w:basedOn w:val="DefaultParagraphFont"/>
    <w:uiPriority w:val="32"/>
    <w:qFormat/>
    <w:rsid w:val="00DD7AE8"/>
    <w:rPr>
      <w:b/>
      <w:bCs/>
      <w:smallCaps/>
      <w:color w:val="0F4761" w:themeColor="accent1" w:themeShade="BF"/>
      <w:spacing w:val="5"/>
    </w:rPr>
  </w:style>
  <w:style w:type="table" w:styleId="TableGrid">
    <w:name w:val="Table Grid"/>
    <w:basedOn w:val="TableNormal"/>
    <w:uiPriority w:val="39"/>
    <w:rsid w:val="00451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1737"/>
    <w:rPr>
      <w:color w:val="666666"/>
    </w:rPr>
  </w:style>
  <w:style w:type="paragraph" w:customStyle="1" w:styleId="Default">
    <w:name w:val="Default"/>
    <w:basedOn w:val="Normal"/>
    <w:uiPriority w:val="1"/>
    <w:rsid w:val="00FF23B2"/>
    <w:pPr>
      <w:widowControl w:val="0"/>
      <w:spacing w:line="259" w:lineRule="auto"/>
    </w:pPr>
    <w:rPr>
      <w:rFonts w:ascii="Calibri" w:eastAsia="Times New Roman" w:hAnsi="Calibri" w:cs="Calibri"/>
      <w:color w:val="000000" w:themeColor="text1"/>
      <w:kern w:val="0"/>
      <w:lang w:val="en-CA" w:eastAsia="en-CA"/>
      <w14:ligatures w14:val="none"/>
    </w:rPr>
  </w:style>
  <w:style w:type="paragraph" w:styleId="TOCHeading">
    <w:name w:val="TOC Heading"/>
    <w:basedOn w:val="Heading1"/>
    <w:next w:val="Normal"/>
    <w:uiPriority w:val="39"/>
    <w:unhideWhenUsed/>
    <w:qFormat/>
    <w:rsid w:val="00C60263"/>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60263"/>
    <w:pPr>
      <w:spacing w:after="100"/>
    </w:pPr>
  </w:style>
  <w:style w:type="paragraph" w:styleId="TOC2">
    <w:name w:val="toc 2"/>
    <w:basedOn w:val="Normal"/>
    <w:next w:val="Normal"/>
    <w:autoRedefine/>
    <w:uiPriority w:val="39"/>
    <w:unhideWhenUsed/>
    <w:rsid w:val="00C60263"/>
    <w:pPr>
      <w:spacing w:after="100"/>
      <w:ind w:left="240"/>
    </w:pPr>
  </w:style>
  <w:style w:type="paragraph" w:styleId="TOC3">
    <w:name w:val="toc 3"/>
    <w:basedOn w:val="Normal"/>
    <w:next w:val="Normal"/>
    <w:autoRedefine/>
    <w:uiPriority w:val="39"/>
    <w:unhideWhenUsed/>
    <w:rsid w:val="00C60263"/>
    <w:pPr>
      <w:spacing w:after="100"/>
      <w:ind w:left="480"/>
    </w:pPr>
  </w:style>
  <w:style w:type="character" w:styleId="Hyperlink">
    <w:name w:val="Hyperlink"/>
    <w:basedOn w:val="DefaultParagraphFont"/>
    <w:uiPriority w:val="99"/>
    <w:unhideWhenUsed/>
    <w:rsid w:val="00C60263"/>
    <w:rPr>
      <w:color w:val="467886" w:themeColor="hyperlink"/>
      <w:u w:val="single"/>
    </w:rPr>
  </w:style>
  <w:style w:type="paragraph" w:styleId="Header">
    <w:name w:val="header"/>
    <w:basedOn w:val="Normal"/>
    <w:link w:val="HeaderChar"/>
    <w:uiPriority w:val="99"/>
    <w:unhideWhenUsed/>
    <w:rsid w:val="005F5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977"/>
  </w:style>
  <w:style w:type="paragraph" w:styleId="Footer">
    <w:name w:val="footer"/>
    <w:basedOn w:val="Normal"/>
    <w:link w:val="FooterChar"/>
    <w:uiPriority w:val="99"/>
    <w:unhideWhenUsed/>
    <w:rsid w:val="005F5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977"/>
  </w:style>
  <w:style w:type="paragraph" w:styleId="Revision">
    <w:name w:val="Revision"/>
    <w:hidden/>
    <w:uiPriority w:val="99"/>
    <w:semiHidden/>
    <w:rsid w:val="00470677"/>
    <w:pPr>
      <w:spacing w:after="0" w:line="240" w:lineRule="auto"/>
    </w:pPr>
  </w:style>
  <w:style w:type="paragraph" w:styleId="Bibliography">
    <w:name w:val="Bibliography"/>
    <w:basedOn w:val="Normal"/>
    <w:next w:val="Normal"/>
    <w:uiPriority w:val="37"/>
    <w:unhideWhenUsed/>
    <w:rsid w:val="00666100"/>
    <w:pPr>
      <w:tabs>
        <w:tab w:val="left" w:pos="144"/>
      </w:tabs>
      <w:spacing w:after="240" w:line="240" w:lineRule="auto"/>
      <w:ind w:left="144" w:hanging="14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190038">
      <w:bodyDiv w:val="1"/>
      <w:marLeft w:val="0"/>
      <w:marRight w:val="0"/>
      <w:marTop w:val="0"/>
      <w:marBottom w:val="0"/>
      <w:divBdr>
        <w:top w:val="none" w:sz="0" w:space="0" w:color="auto"/>
        <w:left w:val="none" w:sz="0" w:space="0" w:color="auto"/>
        <w:bottom w:val="none" w:sz="0" w:space="0" w:color="auto"/>
        <w:right w:val="none" w:sz="0" w:space="0" w:color="auto"/>
      </w:divBdr>
    </w:div>
    <w:div w:id="719522153">
      <w:bodyDiv w:val="1"/>
      <w:marLeft w:val="0"/>
      <w:marRight w:val="0"/>
      <w:marTop w:val="0"/>
      <w:marBottom w:val="0"/>
      <w:divBdr>
        <w:top w:val="none" w:sz="0" w:space="0" w:color="auto"/>
        <w:left w:val="none" w:sz="0" w:space="0" w:color="auto"/>
        <w:bottom w:val="none" w:sz="0" w:space="0" w:color="auto"/>
        <w:right w:val="none" w:sz="0" w:space="0" w:color="auto"/>
      </w:divBdr>
    </w:div>
    <w:div w:id="1968506474">
      <w:bodyDiv w:val="1"/>
      <w:marLeft w:val="0"/>
      <w:marRight w:val="0"/>
      <w:marTop w:val="0"/>
      <w:marBottom w:val="0"/>
      <w:divBdr>
        <w:top w:val="none" w:sz="0" w:space="0" w:color="auto"/>
        <w:left w:val="none" w:sz="0" w:space="0" w:color="auto"/>
        <w:bottom w:val="none" w:sz="0" w:space="0" w:color="auto"/>
        <w:right w:val="none" w:sz="0" w:space="0" w:color="auto"/>
      </w:divBdr>
    </w:div>
    <w:div w:id="209493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3224F-397E-4BB4-9D98-F1742BA68F62}">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132</TotalTime>
  <Pages>4</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Moberg</dc:creator>
  <cp:keywords/>
  <dc:description/>
  <cp:lastModifiedBy>Madeline Moberg</cp:lastModifiedBy>
  <cp:revision>100</cp:revision>
  <dcterms:created xsi:type="dcterms:W3CDTF">2025-04-17T21:01:00Z</dcterms:created>
  <dcterms:modified xsi:type="dcterms:W3CDTF">2025-04-25T15:32:00Z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id="1vdgpMOF"/&gt;&lt;style id="http://www.zotero.org/styles/the-lancet" hasBibliography="1" bibliographyStyleHasBeenSet="1"/&gt;&lt;prefs&gt;&lt;pref name="fieldType" value="Field"/&gt;&lt;/prefs&gt;&lt;/data&gt;</vt:lpwstr>
  </property>
</Properties>
</file>