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8F2A3" w14:textId="77777777" w:rsidR="00026B72" w:rsidRPr="00E22B11" w:rsidRDefault="00026B72" w:rsidP="00026B72">
      <w:pPr>
        <w:jc w:val="center"/>
        <w:rPr>
          <w:rFonts w:ascii="Arial" w:hAnsi="Arial" w:cs="Arial"/>
          <w:b/>
        </w:rPr>
      </w:pPr>
      <w:r>
        <w:rPr>
          <w:rFonts w:ascii="Arial" w:hAnsi="Arial" w:cs="Arial"/>
          <w:b/>
        </w:rPr>
        <w:t xml:space="preserve">Supplementary </w:t>
      </w:r>
      <w:r w:rsidRPr="00E22B11">
        <w:rPr>
          <w:rFonts w:ascii="Arial" w:hAnsi="Arial" w:cs="Arial"/>
          <w:b/>
        </w:rPr>
        <w:t>Methods</w:t>
      </w:r>
    </w:p>
    <w:p w14:paraId="68713326" w14:textId="77777777" w:rsidR="00026B72" w:rsidRPr="00E22B11" w:rsidRDefault="00026B72" w:rsidP="00026B72">
      <w:pPr>
        <w:rPr>
          <w:rFonts w:ascii="Arial" w:hAnsi="Arial" w:cs="Arial"/>
        </w:rPr>
      </w:pPr>
    </w:p>
    <w:p w14:paraId="23EC33B9" w14:textId="77777777" w:rsidR="008361B8" w:rsidRDefault="008361B8" w:rsidP="008361B8">
      <w:pPr>
        <w:rPr>
          <w:rFonts w:ascii="Arial" w:hAnsi="Arial" w:cs="Arial"/>
          <w:u w:val="single"/>
        </w:rPr>
      </w:pPr>
      <w:r>
        <w:rPr>
          <w:rFonts w:ascii="Arial" w:hAnsi="Arial" w:cs="Arial"/>
          <w:u w:val="single"/>
        </w:rPr>
        <w:t>Genetic Association Analyses</w:t>
      </w:r>
    </w:p>
    <w:p w14:paraId="5710FBCE" w14:textId="77777777" w:rsidR="00026B72" w:rsidRPr="00E22B11" w:rsidRDefault="00026B72" w:rsidP="00026B72">
      <w:pPr>
        <w:rPr>
          <w:rFonts w:ascii="Arial" w:hAnsi="Arial" w:cs="Arial"/>
        </w:rPr>
      </w:pPr>
    </w:p>
    <w:p w14:paraId="4198E68D" w14:textId="07466D78" w:rsidR="00026B72" w:rsidRPr="00E22B11" w:rsidRDefault="00026B72" w:rsidP="00026B72">
      <w:pPr>
        <w:rPr>
          <w:rFonts w:ascii="Arial" w:hAnsi="Arial" w:cs="Arial"/>
        </w:rPr>
      </w:pPr>
      <w:r w:rsidRPr="00E22B11">
        <w:rPr>
          <w:rFonts w:ascii="Arial" w:hAnsi="Arial" w:cs="Arial"/>
        </w:rPr>
        <w:t xml:space="preserve">We enrolled and genotyped </w:t>
      </w:r>
      <w:r>
        <w:rPr>
          <w:rFonts w:ascii="Arial" w:hAnsi="Arial" w:cs="Arial"/>
        </w:rPr>
        <w:t xml:space="preserve">266 </w:t>
      </w:r>
      <w:r w:rsidRPr="00E22B11">
        <w:rPr>
          <w:rFonts w:ascii="Arial" w:hAnsi="Arial" w:cs="Arial"/>
        </w:rPr>
        <w:t xml:space="preserve">additional HS patients </w:t>
      </w:r>
      <w:r>
        <w:rPr>
          <w:rFonts w:ascii="Arial" w:hAnsi="Arial" w:cs="Arial"/>
        </w:rPr>
        <w:t xml:space="preserve">(total 986) </w:t>
      </w:r>
      <w:r w:rsidRPr="00E22B11">
        <w:rPr>
          <w:rFonts w:ascii="Arial" w:hAnsi="Arial" w:cs="Arial"/>
        </w:rPr>
        <w:t>into the HS Program for Research and Care Excellence (</w:t>
      </w:r>
      <w:proofErr w:type="spellStart"/>
      <w:r w:rsidRPr="00E22B11">
        <w:rPr>
          <w:rFonts w:ascii="Arial" w:hAnsi="Arial" w:cs="Arial"/>
        </w:rPr>
        <w:t>ProCARE</w:t>
      </w:r>
      <w:proofErr w:type="spellEnd"/>
      <w:r w:rsidRPr="00E22B11">
        <w:rPr>
          <w:rFonts w:ascii="Arial" w:hAnsi="Arial" w:cs="Arial"/>
        </w:rPr>
        <w:t xml:space="preserve">) study at the University of North Carolina (UNC) Department of Dermatology. </w:t>
      </w:r>
      <w:r w:rsidR="00880E5E">
        <w:rPr>
          <w:rFonts w:ascii="Arial" w:hAnsi="Arial" w:cs="Arial"/>
        </w:rPr>
        <w:t xml:space="preserve">HS </w:t>
      </w:r>
      <w:proofErr w:type="spellStart"/>
      <w:r w:rsidR="00880E5E">
        <w:rPr>
          <w:rFonts w:ascii="Arial" w:hAnsi="Arial" w:cs="Arial"/>
        </w:rPr>
        <w:t>ProCARE</w:t>
      </w:r>
      <w:proofErr w:type="spellEnd"/>
      <w:r w:rsidR="00880E5E">
        <w:rPr>
          <w:rFonts w:ascii="Arial" w:hAnsi="Arial" w:cs="Arial"/>
        </w:rPr>
        <w:t xml:space="preserve"> patients were evaluated and diagnosed at outpatient dermatology clinics. </w:t>
      </w:r>
      <w:r w:rsidRPr="00E22B11">
        <w:rPr>
          <w:rFonts w:ascii="Arial" w:hAnsi="Arial" w:cs="Arial"/>
        </w:rPr>
        <w:t>Method</w:t>
      </w:r>
      <w:r>
        <w:rPr>
          <w:rFonts w:ascii="Arial" w:hAnsi="Arial" w:cs="Arial"/>
        </w:rPr>
        <w:t>s</w:t>
      </w:r>
      <w:r w:rsidRPr="00E22B11">
        <w:rPr>
          <w:rFonts w:ascii="Arial" w:hAnsi="Arial" w:cs="Arial"/>
        </w:rPr>
        <w:t xml:space="preserve"> </w:t>
      </w:r>
      <w:r>
        <w:rPr>
          <w:rFonts w:ascii="Arial" w:hAnsi="Arial" w:cs="Arial"/>
        </w:rPr>
        <w:t>for</w:t>
      </w:r>
      <w:r w:rsidRPr="00E22B11">
        <w:rPr>
          <w:rFonts w:ascii="Arial" w:hAnsi="Arial" w:cs="Arial"/>
        </w:rPr>
        <w:t xml:space="preserve"> genotyping, imputation, and selection of controls </w:t>
      </w:r>
      <w:r w:rsidR="009828C9">
        <w:rPr>
          <w:rFonts w:ascii="Arial" w:hAnsi="Arial" w:cs="Arial"/>
        </w:rPr>
        <w:t>(</w:t>
      </w:r>
      <w:r w:rsidR="009828C9" w:rsidRPr="00627AEF">
        <w:rPr>
          <w:rFonts w:ascii="Arial" w:hAnsi="Arial" w:cs="Arial"/>
          <w:b/>
          <w:bCs/>
        </w:rPr>
        <w:t>Table S1</w:t>
      </w:r>
      <w:r w:rsidR="009828C9">
        <w:rPr>
          <w:rFonts w:ascii="Arial" w:hAnsi="Arial" w:cs="Arial"/>
        </w:rPr>
        <w:t xml:space="preserve">) </w:t>
      </w:r>
      <w:r>
        <w:rPr>
          <w:rFonts w:ascii="Arial" w:hAnsi="Arial" w:cs="Arial"/>
        </w:rPr>
        <w:t>are</w:t>
      </w:r>
      <w:r w:rsidRPr="00E22B11">
        <w:rPr>
          <w:rFonts w:ascii="Arial" w:hAnsi="Arial" w:cs="Arial"/>
        </w:rPr>
        <w:t xml:space="preserve"> described in detail elsewhere</w:t>
      </w:r>
      <w:r>
        <w:rPr>
          <w:rFonts w:ascii="Arial" w:hAnsi="Arial" w:cs="Arial"/>
        </w:rPr>
        <w:fldChar w:fldCharType="begin"/>
      </w:r>
      <w:r w:rsidR="001C677F">
        <w:rPr>
          <w:rFonts w:ascii="Arial" w:hAnsi="Arial" w:cs="Arial"/>
        </w:rPr>
        <w:instrText xml:space="preserve"> ADDIN ZOTERO_ITEM CSL_CITATION {"citationID":"Id6Gzc7h","properties":{"formattedCitation":"\\super 1\\nosupersub{}","plainCitation":"1","noteIndex":0},"citationItems":[{"id":18,"uris":["http://zotero.org/users/local/HUSG1dD8/items/4P39HBWE"],"itemData":{"id":18,"type":"article-journal","abstract":"IMPORTANCE: Hidradenitis suppurativa (HS) is a common and severely morbid chronic inflammatory skin disease that is reported to be highly heritable. However, the genetic understanding of HS is insufficient, and limited genome-wide association studies (GWASs) have been performed for HS, which have not identified significant risk loci.\nOBJECTIVE: To identify genetic variants associated with HS and to shed light on the underlying genes and genetic mechanisms.\nDESIGN, SETTING, AND PARTICIPANTS: This genetic association study recruited 753 patients with HS in the HS Program for Research and Care Excellence (HS ProCARE) at the University of North Carolina Department of Dermatology from August 2018 to July 2021. A GWAS was performed for 720 patients (after quality control) with controls from the Add Health study and then meta-analyzed with 2 large biobanks, UK Biobank (247 cases) and FinnGen (673 cases). Variants at 3 loci were tested for replication in the BioVU biobank (290 cases). Data analysis was performed from September 2021 to December 2022.\nMAIN OUTCOMES AND MEASURES: Main outcome measures are loci identified, with association of P &lt; 1 × 10-8 considered significant.\nRESULTS: A total of 753 patients were recruited, with 720 included in the analysis. Mean (SD) age at symptom onset was 20.3 (10.57) years and at enrollment was 35.3 (13.52) years; 360 (50.0%) patients were Black, and 575 (79.7%) were female. In a meta-analysis of the 4 studies, 2 HS-associated loci were identified and replicated, with lead variants rs10512572 (P = 2.3 × 10-11) and rs17090189 (P = 2.1 × 10-8) near the SOX9 and KLF5 genes, respectively. Variants at these loci are located in enhancer regulatory elements detected in skin tissue.\nCONCLUSIONS AND RELEVANCE: In this genetic association study, common variants associated with HS located near the SOX9 and KLF5 genes were associated with risk of HS. These or other nearby genes may be associated with genetic risk of disease and the development of clinical features, such as cysts, comedones, and inflammatory tunnels, that are unique to HS. New insights into disease pathogenesis related to these genes may help predict disease progression and novel treatment approaches in the future.","container-title":"JAMA dermatology","DOI":"10.1001/jamadermatol.2023.2217","ISSN":"2168-6084","issue":"9","journalAbbreviation":"JAMA Dermatol","language":"eng","note":"PMID: 37494057\nPMCID: PMC10372759","page":"930-938","source":"PubMed","title":"Genetic Variants Associated With Hidradenitis Suppurativa","volume":"159","author":[{"family":"Sun","given":"Quan"},{"family":"Broadaway","given":"K. Alaine"},{"family":"Edmiston","given":"Sharon N."},{"family":"Fajgenbaum","given":"Kristen"},{"family":"Miller-Fleming","given":"Tyne"},{"family":"Westerkam","given":"Linnea Lackstrom"},{"family":"Melendez-Gonzalez","given":"Maria"},{"family":"Bui","given":"Helen"},{"family":"Blum","given":"Franklin R."},{"family":"Levitt","given":"Brandt"},{"family":"Lin","given":"Lan"},{"family":"Hao","given":"Honglin"},{"family":"Harris","given":"Kathleen Mullan"},{"family":"Liu","given":"Zhi"},{"family":"Thomas","given":"Nancy E."},{"family":"Cox","given":"Nancy J."},{"family":"Li","given":"Yun"},{"family":"Mohlke","given":"Karen L."},{"family":"Sayed","given":"Christopher J."}],"issued":{"date-parts":[["2023",9,1]]}}}],"schema":"https://github.com/citation-style-language/schema/raw/master/csl-citation.json"} </w:instrText>
      </w:r>
      <w:r>
        <w:rPr>
          <w:rFonts w:ascii="Arial" w:hAnsi="Arial" w:cs="Arial"/>
        </w:rPr>
        <w:fldChar w:fldCharType="separate"/>
      </w:r>
      <w:r w:rsidR="001C677F" w:rsidRPr="001C677F">
        <w:rPr>
          <w:rFonts w:ascii="Arial" w:eastAsiaTheme="minorHAnsi" w:hAnsi="Arial" w:cs="Arial"/>
          <w:vertAlign w:val="superscript"/>
          <w14:ligatures w14:val="standardContextual"/>
        </w:rPr>
        <w:t>1</w:t>
      </w:r>
      <w:r>
        <w:rPr>
          <w:rFonts w:ascii="Arial" w:hAnsi="Arial" w:cs="Arial"/>
        </w:rPr>
        <w:fldChar w:fldCharType="end"/>
      </w:r>
      <w:r w:rsidRPr="00E22B11">
        <w:rPr>
          <w:rFonts w:ascii="Arial" w:hAnsi="Arial" w:cs="Arial"/>
        </w:rPr>
        <w:t xml:space="preserve">; briefly, we combined new and original HS patients participating in </w:t>
      </w:r>
      <w:proofErr w:type="spellStart"/>
      <w:r w:rsidRPr="00E22B11">
        <w:rPr>
          <w:rFonts w:ascii="Arial" w:hAnsi="Arial" w:cs="Arial"/>
        </w:rPr>
        <w:t>ProCARE</w:t>
      </w:r>
      <w:proofErr w:type="spellEnd"/>
      <w:r w:rsidRPr="00E22B11">
        <w:rPr>
          <w:rFonts w:ascii="Arial" w:hAnsi="Arial" w:cs="Arial"/>
        </w:rPr>
        <w:t xml:space="preserve"> with controls from the National Longitudinal Study of Adolescent to Adult Health (Add Health)</w:t>
      </w:r>
      <w:r>
        <w:rPr>
          <w:rFonts w:ascii="Arial" w:hAnsi="Arial" w:cs="Arial"/>
        </w:rPr>
        <w:fldChar w:fldCharType="begin"/>
      </w:r>
      <w:r w:rsidR="001C677F">
        <w:rPr>
          <w:rFonts w:ascii="Arial" w:hAnsi="Arial" w:cs="Arial"/>
        </w:rPr>
        <w:instrText xml:space="preserve"> ADDIN ZOTERO_ITEM CSL_CITATION {"citationID":"hhLdzYgU","properties":{"formattedCitation":"\\super 2,3\\nosupersub{}","plainCitation":"2,3","noteIndex":0},"citationItems":[{"id":143,"uris":["http://zotero.org/users/local/HUSG1dD8/items/YU9R7DKX"],"itemData":{"id":143,"type":"article-journal","abstract":"This article describes the design and data availability for samples of genetic pairs in the National Longitudinal Study of Adolescent Health (Add Health). Add Health provides unique samples of genetic pairs that are nationally representative and followed longitudinally from early adolescence into young adulthood with 3 in-home interviews and a 4th interview planned for 2007 to 2008. The design of Add Health included an embedded genetic sample of more than 3000 pairs of individuals with varying genetic resemblance, including monozygotic twins, dizygotic twins, full siblings, half siblings, and unrelated siblings who were raised in the same household. Add Health has collected rich longitudinal social, behavioral, and environmental survey data, as well as buccal cell DNA from a subsample of the genetic sample (N = 2612). Add Health has an enlightened dissemination policy and to date has released phenotype and genotype data to more than 3000 researchers in the scientific community.","container-title":"Twin Research and Human Genetics","DOI":"10.1375/twin.9.6.988","ISSN":"1839-2628, 1832-4274","issue":"6","language":"en","page":"988-997","source":"Cambridge University Press","title":"The National Longitudinal Study of Adolescent Health (Add Health) Twin Data","volume":"9","author":[{"family":"Harris","given":"Kathleen Mullan"},{"family":"Halpern","given":"Carolyn Tucker"},{"family":"Smolen","given":"Andrew"},{"family":"Haberstick","given":"Brett C."}],"issued":{"date-parts":[["2006",12]]}}},{"id":141,"uris":["http://zotero.org/users/local/HUSG1dD8/items/A8JNVYT9"],"itemData":{"id":141,"type":"article-journal","container-title":"International Journal of Epidemiology","DOI":"10.1093/ije/dyz115","ISSN":"0300-5771","issue":"5","journalAbbreviation":"International Journal of Epidemiology","page":"1415-1415k","source":"Silverchair","title":"Cohort Profile: The National Longitudinal Study of Adolescent to Adult Health (Add Health)","title-short":"Cohort Profile","volume":"48","author":[{"family":"Harris","given":"Kathleen Mullan"},{"family":"Halpern","given":"Carolyn Tucker"},{"family":"Whitsel","given":"Eric A"},{"family":"Hussey","given":"Jon M"},{"family":"Killeya-Jones","given":"Ley A"},{"family":"Tabor","given":"Joyce"},{"family":"Dean","given":"Sarah C"}],"issued":{"date-parts":[["2019",10,1]]}}}],"schema":"https://github.com/citation-style-language/schema/raw/master/csl-citation.json"} </w:instrText>
      </w:r>
      <w:r>
        <w:rPr>
          <w:rFonts w:ascii="Arial" w:hAnsi="Arial" w:cs="Arial"/>
        </w:rPr>
        <w:fldChar w:fldCharType="separate"/>
      </w:r>
      <w:r w:rsidR="001C677F" w:rsidRPr="001C677F">
        <w:rPr>
          <w:rFonts w:ascii="Arial" w:eastAsiaTheme="minorHAnsi" w:hAnsi="Arial" w:cs="Arial"/>
          <w:vertAlign w:val="superscript"/>
          <w14:ligatures w14:val="standardContextual"/>
        </w:rPr>
        <w:t>2,3</w:t>
      </w:r>
      <w:r>
        <w:rPr>
          <w:rFonts w:ascii="Arial" w:hAnsi="Arial" w:cs="Arial"/>
        </w:rPr>
        <w:fldChar w:fldCharType="end"/>
      </w:r>
      <w:r w:rsidRPr="00E22B11">
        <w:rPr>
          <w:rFonts w:ascii="Arial" w:hAnsi="Arial" w:cs="Arial"/>
        </w:rPr>
        <w:t xml:space="preserve">. We performed genotype imputation on variants </w:t>
      </w:r>
      <w:r>
        <w:rPr>
          <w:rFonts w:ascii="Arial" w:hAnsi="Arial" w:cs="Arial"/>
        </w:rPr>
        <w:t>observed in both</w:t>
      </w:r>
      <w:r w:rsidRPr="00E22B11">
        <w:rPr>
          <w:rFonts w:ascii="Arial" w:hAnsi="Arial" w:cs="Arial"/>
        </w:rPr>
        <w:t xml:space="preserve"> cases and controls with </w:t>
      </w:r>
      <w:proofErr w:type="spellStart"/>
      <w:r w:rsidRPr="00E22B11">
        <w:rPr>
          <w:rFonts w:ascii="Arial" w:hAnsi="Arial" w:cs="Arial"/>
        </w:rPr>
        <w:t>TOPMed</w:t>
      </w:r>
      <w:proofErr w:type="spellEnd"/>
      <w:r w:rsidRPr="00E22B11">
        <w:rPr>
          <w:rFonts w:ascii="Arial" w:hAnsi="Arial" w:cs="Arial"/>
        </w:rPr>
        <w:t xml:space="preserve"> freeze 8</w:t>
      </w:r>
      <w:r>
        <w:rPr>
          <w:rFonts w:ascii="Arial" w:hAnsi="Arial" w:cs="Arial"/>
        </w:rPr>
        <w:t xml:space="preserve"> as a reference</w:t>
      </w:r>
      <w:r>
        <w:rPr>
          <w:rFonts w:ascii="Arial" w:hAnsi="Arial" w:cs="Arial"/>
        </w:rPr>
        <w:fldChar w:fldCharType="begin"/>
      </w:r>
      <w:r w:rsidR="001C677F">
        <w:rPr>
          <w:rFonts w:ascii="Arial" w:hAnsi="Arial" w:cs="Arial"/>
        </w:rPr>
        <w:instrText xml:space="preserve"> ADDIN ZOTERO_ITEM CSL_CITATION {"citationID":"2xEVgBq2","properties":{"formattedCitation":"\\super 4\\uc0\\u8211{}6\\nosupersub{}","plainCitation":"4–6","noteIndex":0},"citationItems":[{"id":22,"uris":["http://zotero.org/users/local/HUSG1dD8/items/Z5TQ7UCF"],"itemData":{"id":22,"type":"article-journal","abstract":"The Trans-Omics for Precision Medicine (TOPMed) programme seeks to elucidate the genetic architecture and biology of heart, lung, blood and sleep disorders, with the ultimate goal of improving diagnosis, treatment and prevention of these diseases. The initial phases of the programme focused on whole-genome sequencing of individuals with rich phenotypic data and diverse backgrounds. Here we describe the TOPMed goals and design as well as the available resources and early insights obtained from the sequence data. The resources include a variant browser, a genotype imputation server, and genomic and phenotypic data that are available through dbGaP (Database of Genotypes and Phenotypes)1. In the first 53,831 TOPMed samples, we detected more than 400 million single-nucleotide and insertion or deletion variants after alignment with the reference genome. Additional previously undescribed variants were detected through assembly of unmapped reads and customized analysis in highly variable loci. Among the more than 400 million detected variants, 97% have frequencies of less than 1% and 46% are singletons that are present in only one individual (53% among unrelated individuals). These rare variants provide insights into mutational processes and recent human evolutionary history. The extensive catalogue of genetic variation in TOPMed studies provides unique opportunities for exploring the contributions of rare and noncoding sequence variants to phenotypic variation. Furthermore, combining TOPMed haplotypes with modern imputation methods improves the power and reach of genome-wide association studies to include variants down to a frequency of approximately 0.01%.","container-title":"Nature","DOI":"10.1038/s41586-021-03205-y","ISSN":"1476-4687","issue":"7845","journalAbbreviation":"Nature","language":"eng","note":"PMID: 33568819\nPMCID: PMC7875770","page":"290-299","source":"PubMed","title":"Sequencing of 53,831 diverse genomes from the NHLBI TOPMed Program","volume":"590","author":[{"family":"Taliun","given":"Daniel"},{"family":"Harris","given":"Daniel N."},{"family":"Kessler","given":"Michael D."},{"family":"Carlson","given":"Jedidiah"},{"family":"Szpiech","given":"Zachary A."},{"family":"Torres","given":"Raul"},{"family":"Taliun","given":"Sarah A. Gagliano"},{"family":"Corvelo","given":"André"},{"family":"Gogarten","given":"Stephanie M."},{"family":"Kang","given":"Hyun Min"},{"family":"Pitsillides","given":"Achilleas N."},{"family":"LeFaive","given":"Jonathon"},{"family":"Lee","given":"Seung-Been"},{"family":"Tian","given":"Xiaowen"},{"family":"Browning","given":"Brian L."},{"family":"Das","given":"Sayantan"},{"family":"Emde","given":"Anne-Katrin"},{"family":"Clarke","given":"Wayne E."},{"family":"Loesch","given":"Douglas P."},{"family":"Shetty","given":"Amol C."},{"family":"Blackwell","given":"Thomas W."},{"family":"Smith","given":"Albert V."},{"family":"Wong","given":"Quenna"},{"family":"Liu","given":"Xiaoming"},{"family":"Conomos","given":"Matthew P."},{"family":"Bobo","given":"Dean M."},{"family":"Aguet","given":"François"},{"family":"Albert","given":"Christine"},{"family":"Alonso","given":"Alvaro"},{"family":"Ardlie","given":"Kristin G."},{"family":"Arking","given":"Dan E."},{"family":"Aslibekyan","given":"Stella"},{"family":"Auer","given":"Paul L."},{"family":"Barnard","given":"John"},{"family":"Barr","given":"R. Graham"},{"family":"Barwick","given":"Lucas"},{"family":"Becker","given":"Lewis C."},{"family":"Beer","given":"Rebecca L."},{"family":"Benjamin","given":"Emelia J."},{"family":"Bielak","given":"Lawrence F."},{"family":"Blangero","given":"John"},{"family":"Boehnke","given":"Michael"},{"family":"Bowden","given":"Donald W."},{"family":"Brody","given":"Jennifer A."},{"family":"Burchard","given":"Esteban G."},{"family":"Cade","given":"Brian E."},{"family":"Casella","given":"James F."},{"family":"Chalazan","given":"Brandon"},{"family":"Chasman","given":"Daniel I."},{"family":"Chen","given":"Yii-Der Ida"},{"family":"Cho","given":"Michael H."},{"family":"Choi","given":"Seung Hoan"},{"family":"Chung","given":"Mina K."},{"family":"Clish","given":"Clary B."},{"family":"Correa","given":"Adolfo"},{"family":"Curran","given":"Joanne E."},{"family":"Custer","given":"Brian"},{"family":"Darbar","given":"Dawood"},{"family":"Daya","given":"Michelle"},{"family":"Andrade","given":"Mariza","non-dropping-particle":"de"},{"family":"DeMeo","given":"Dawn L."},{"family":"Dutcher","given":"Susan K."},{"family":"Ellinor","given":"Patrick T."},{"family":"Emery","given":"Leslie S."},{"family":"Eng","given":"Celeste"},{"family":"Fatkin","given":"Diane"},{"family":"Fingerlin","given":"Tasha"},{"family":"Forer","given":"Lukas"},{"family":"Fornage","given":"Myriam"},{"family":"Franceschini","given":"Nora"},{"family":"Fuchsberger","given":"Christian"},{"family":"Fullerton","given":"Stephanie M."},{"family":"Germer","given":"Soren"},{"family":"Gladwin","given":"Mark T."},{"family":"Gottlieb","given":"Daniel J."},{"family":"Guo","given":"Xiuqing"},{"family":"Hall","given":"Michael E."},{"family":"He","given":"Jiang"},{"family":"Heard-Costa","given":"Nancy L."},{"family":"Heckbert","given":"Susan R."},{"family":"Irvin","given":"Marguerite R."},{"family":"Johnsen","given":"Jill M."},{"family":"Johnson","given":"Andrew D."},{"family":"Kaplan","given":"Robert"},{"family":"Kardia","given":"Sharon L. R."},{"family":"Kelly","given":"Tanika"},{"family":"Kelly","given":"Shannon"},{"family":"Kenny","given":"Eimear E."},{"family":"Kiel","given":"Douglas P."},{"family":"Klemmer","given":"Robert"},{"family":"Konkle","given":"Barbara A."},{"family":"Kooperberg","given":"Charles"},{"family":"Köttgen","given":"Anna"},{"family":"Lange","given":"Leslie A."},{"family":"Lasky-Su","given":"Jessica"},{"family":"Levy","given":"Daniel"},{"family":"Lin","given":"Xihong"},{"family":"Lin","given":"Keng-Han"},{"family":"Liu","given":"Chunyu"},{"family":"Loos","given":"Ruth J. F."},{"family":"Garman","given":"Lori"},{"family":"Gerszten","given":"Robert"},{"family":"Lubitz","given":"Steven A."},{"family":"Lunetta","given":"Kathryn L."},{"family":"Mak","given":"Angel C. Y."},{"family":"Manichaikul","given":"Ani"},{"family":"Manning","given":"Alisa K."},{"family":"Mathias","given":"Rasika A."},{"family":"McManus","given":"David D."},{"family":"McGarvey","given":"Stephen T."},{"family":"Meigs","given":"James B."},{"family":"Meyers","given":"Deborah A."},{"family":"Mikulla","given":"Julie L."},{"family":"Minear","given":"Mollie A."},{"family":"Mitchell","given":"Braxton D."},{"family":"Mohanty","given":"Sanghamitra"},{"family":"Montasser","given":"May E."},{"family":"Montgomery","given":"Courtney"},{"family":"Morrison","given":"Alanna C."},{"family":"Murabito","given":"Joanne M."},{"family":"Natale","given":"Andrea"},{"family":"Natarajan","given":"Pradeep"},{"family":"Nelson","given":"Sarah C."},{"family":"North","given":"Kari E."},{"family":"O'Connell","given":"Jeffrey R."},{"family":"Palmer","given":"Nicholette D."},{"family":"Pankratz","given":"Nathan"},{"family":"Peloso","given":"Gina M."},{"family":"Peyser","given":"Patricia A."},{"family":"Pleiness","given":"Jacob"},{"family":"Post","given":"Wendy S."},{"family":"Psaty","given":"Bruce M."},{"family":"Rao","given":"D. C."},{"family":"Redline","given":"Susan"},{"family":"Reiner","given":"Alexander P."},{"family":"Roden","given":"Dan"},{"family":"Rotter","given":"Jerome I."},{"family":"Ruczinski","given":"Ingo"},{"family":"Sarnowski","given":"Chloé"},{"family":"Schoenherr","given":"Sebastian"},{"family":"Schwartz","given":"David A."},{"family":"Seo","given":"Jeong-Sun"},{"family":"Seshadri","given":"Sudha"},{"family":"Sheehan","given":"Vivien A."},{"family":"Sheu","given":"Wayne H."},{"family":"Shoemaker","given":"M. Benjamin"},{"family":"Smith","given":"Nicholas L."},{"family":"Smith","given":"Jennifer A."},{"family":"Sotoodehnia","given":"Nona"},{"family":"Stilp","given":"Adrienne M."},{"family":"Tang","given":"Weihong"},{"family":"Taylor","given":"Kent D."},{"family":"Telen","given":"Marilyn"},{"family":"Thornton","given":"Timothy A."},{"family":"Tracy","given":"Russell P."},{"family":"Van Den Berg","given":"David J."},{"family":"Vasan","given":"Ramachandran S."},{"family":"Viaud-Martinez","given":"Karine A."},{"family":"Vrieze","given":"Scott"},{"family":"Weeks","given":"Daniel E."},{"family":"Weir","given":"Bruce S."},{"family":"Weiss","given":"Scott T."},{"family":"Weng","given":"Lu-Chen"},{"family":"Willer","given":"Cristen J."},{"family":"Zhang","given":"Yingze"},{"family":"Zhao","given":"Xutong"},{"family":"Arnett","given":"Donna K."},{"family":"Ashley-Koch","given":"Allison E."},{"family":"Barnes","given":"Kathleen C."},{"family":"Boerwinkle","given":"Eric"},{"family":"Gabriel","given":"Stacey"},{"family":"Gibbs","given":"Richard"},{"family":"Rice","given":"Kenneth M."},{"family":"Rich","given":"Stephen S."},{"family":"Silverman","given":"Edwin K."},{"family":"Qasba","given":"Pankaj"},{"family":"Gan","given":"Weiniu"},{"literal":"NHLBI Trans-Omics for Precision Medicine (TOPMed) Consortium"},{"family":"Papanicolaou","given":"George J."},{"family":"Nickerson","given":"Deborah A."},{"family":"Browning","given":"Sharon R."},{"family":"Zody","given":"Michael C."},{"family":"Zöllner","given":"Sebastian"},{"family":"Wilson","given":"James G."},{"family":"Cupples","given":"L. Adrienne"},{"family":"Laurie","given":"Cathy C."},{"family":"Jaquish","given":"Cashell E."},{"family":"Hernandez","given":"Ryan D."},{"family":"O'Connor","given":"Timothy D."},{"family":"Abecasis","given":"Gonçalo R."}],"issued":{"date-parts":[["2021",2]]}}},{"id":25,"uris":["http://zotero.org/users/local/HUSG1dD8/items/HTZQWMRJ"],"itemData":{"id":25,"type":"article-journal","abstract":"Genotype imputation is a key step in the analysis of genome-wide association studies. Upcoming very large reference panels, such as those from The 1000 Genomes Project and the Haplotype Consortium, will improve imputation quality of rare and less common variants, but will also increase the computational burden. Here, we demonstrate how the application of software engineering techniques can help to keep imputation broadly accessible. Overall, these improvements speed up imputation by an order of magnitude compared with our previous implementation.\nAVAILABILITY AND IMPLEMENTATION: minimac2, including source code, documentation, and examples is available at http://genome.sph.umich.edu/wiki/Minimac2","container-title":"Bioinformatics (Oxford, England)","DOI":"10.1093/bioinformatics/btu704","ISSN":"1367-4811","issue":"5","journalAbbreviation":"Bioinformatics","language":"eng","note":"PMID: 25338720\nPMCID: PMC4341061","page":"782-784","source":"PubMed","title":"minimac2: faster genotype imputation","title-short":"minimac2","volume":"31","author":[{"family":"Fuchsberger","given":"Christian"},{"family":"Abecasis","given":"Gonçalo R."},{"family":"Hinds","given":"David A."}],"issued":{"date-parts":[["2015",3,1]]}}},{"id":28,"uris":["http://zotero.org/users/local/HUSG1dD8/items/8NYL8YPS"],"itemData":{"id":28,"type":"article-journal","abstract":"Genotype imputation is a key component of genetic association studies, where it increases power, facilitates meta-analysis, and aids interpretation of signals. Genotype imputation is computationally demanding and, with current tools, typically requires access to a high-performance computing cluster and to a reference panel of sequenced genomes. Here we describe improvements to imputation machinery that reduce computational requirements by more than an order of magnitude with no loss of accuracy in comparison to standard imputation tools. We also describe a new web-based service for imputation that facilitates access to new reference panels and greatly improves user experience and productivity.","container-title":"Nature Genetics","DOI":"10.1038/ng.3656","ISSN":"1546-1718","issue":"10","journalAbbreviation":"Nat Genet","language":"eng","note":"PMID: 27571263\nPMCID: PMC5157836","page":"1284-1287","source":"PubMed","title":"Next-generation genotype imputation service and methods","volume":"48","author":[{"family":"Das","given":"Sayantan"},{"family":"Forer","given":"Lukas"},{"family":"Schönherr","given":"Sebastian"},{"family":"Sidore","given":"Carlo"},{"family":"Locke","given":"Adam E."},{"family":"Kwong","given":"Alan"},{"family":"Vrieze","given":"Scott I."},{"family":"Chew","given":"Emily Y."},{"family":"Levy","given":"Shawn"},{"family":"McGue","given":"Matt"},{"family":"Schlessinger","given":"David"},{"family":"Stambolian","given":"Dwight"},{"family":"Loh","given":"Po-Ru"},{"family":"Iacono","given":"William G."},{"family":"Swaroop","given":"Anand"},{"family":"Scott","given":"Laura J."},{"family":"Cucca","given":"Francesco"},{"family":"Kronenberg","given":"Florian"},{"family":"Boehnke","given":"Michael"},{"family":"Abecasis","given":"Gonçalo R."},{"family":"Fuchsberger","given":"Christian"}],"issued":{"date-parts":[["2016",10]]}}}],"schema":"https://github.com/citation-style-language/schema/raw/master/csl-citation.json"} </w:instrText>
      </w:r>
      <w:r>
        <w:rPr>
          <w:rFonts w:ascii="Arial" w:hAnsi="Arial" w:cs="Arial"/>
        </w:rPr>
        <w:fldChar w:fldCharType="separate"/>
      </w:r>
      <w:r w:rsidR="001C677F" w:rsidRPr="001C677F">
        <w:rPr>
          <w:rFonts w:ascii="Arial" w:eastAsiaTheme="minorHAnsi" w:hAnsi="Arial" w:cs="Arial"/>
          <w:vertAlign w:val="superscript"/>
          <w14:ligatures w14:val="standardContextual"/>
        </w:rPr>
        <w:t>4–6</w:t>
      </w:r>
      <w:r>
        <w:rPr>
          <w:rFonts w:ascii="Arial" w:hAnsi="Arial" w:cs="Arial"/>
        </w:rPr>
        <w:fldChar w:fldCharType="end"/>
      </w:r>
      <w:r>
        <w:rPr>
          <w:rFonts w:ascii="Arial" w:hAnsi="Arial" w:cs="Arial"/>
        </w:rPr>
        <w:t>.</w:t>
      </w:r>
    </w:p>
    <w:p w14:paraId="21D18B76" w14:textId="77777777" w:rsidR="00026B72" w:rsidRPr="00E22B11" w:rsidRDefault="00026B72" w:rsidP="00026B72">
      <w:pPr>
        <w:rPr>
          <w:rFonts w:ascii="Arial" w:hAnsi="Arial" w:cs="Arial"/>
        </w:rPr>
      </w:pPr>
    </w:p>
    <w:p w14:paraId="7EDFF858" w14:textId="59B9FBFA" w:rsidR="00026B72" w:rsidRPr="00E22B11" w:rsidRDefault="00026B72" w:rsidP="00026B72">
      <w:pPr>
        <w:rPr>
          <w:rFonts w:ascii="Arial" w:hAnsi="Arial" w:cs="Arial"/>
        </w:rPr>
      </w:pPr>
      <w:r>
        <w:rPr>
          <w:rFonts w:ascii="Arial" w:hAnsi="Arial" w:cs="Arial"/>
        </w:rPr>
        <w:t>Five</w:t>
      </w:r>
      <w:r w:rsidRPr="00E22B11">
        <w:rPr>
          <w:rFonts w:ascii="Arial" w:hAnsi="Arial" w:cs="Arial"/>
        </w:rPr>
        <w:t xml:space="preserve"> addition</w:t>
      </w:r>
      <w:r>
        <w:rPr>
          <w:rFonts w:ascii="Arial" w:hAnsi="Arial" w:cs="Arial"/>
        </w:rPr>
        <w:t>al</w:t>
      </w:r>
      <w:r w:rsidRPr="00E22B11">
        <w:rPr>
          <w:rFonts w:ascii="Arial" w:hAnsi="Arial" w:cs="Arial"/>
        </w:rPr>
        <w:t xml:space="preserve"> studies contributed to th</w:t>
      </w:r>
      <w:r>
        <w:rPr>
          <w:rFonts w:ascii="Arial" w:hAnsi="Arial" w:cs="Arial"/>
        </w:rPr>
        <w:t>e</w:t>
      </w:r>
      <w:r w:rsidRPr="00E22B11">
        <w:rPr>
          <w:rFonts w:ascii="Arial" w:hAnsi="Arial" w:cs="Arial"/>
        </w:rPr>
        <w:t xml:space="preserve"> </w:t>
      </w:r>
      <w:r>
        <w:rPr>
          <w:rFonts w:ascii="Arial" w:hAnsi="Arial" w:cs="Arial"/>
        </w:rPr>
        <w:t xml:space="preserve">GWAS </w:t>
      </w:r>
      <w:r w:rsidRPr="00E22B11">
        <w:rPr>
          <w:rFonts w:ascii="Arial" w:hAnsi="Arial" w:cs="Arial"/>
        </w:rPr>
        <w:t>meta-analysis</w:t>
      </w:r>
      <w:r w:rsidR="004004B5">
        <w:rPr>
          <w:rFonts w:ascii="Arial" w:hAnsi="Arial" w:cs="Arial"/>
        </w:rPr>
        <w:t>; details</w:t>
      </w:r>
      <w:r w:rsidR="009B37DD">
        <w:rPr>
          <w:rFonts w:ascii="Arial" w:hAnsi="Arial" w:cs="Arial"/>
        </w:rPr>
        <w:t xml:space="preserve"> </w:t>
      </w:r>
      <w:r w:rsidR="007C5FAF">
        <w:rPr>
          <w:rFonts w:ascii="Arial" w:hAnsi="Arial" w:cs="Arial"/>
        </w:rPr>
        <w:t>on</w:t>
      </w:r>
      <w:r w:rsidR="00BC1B61">
        <w:rPr>
          <w:rFonts w:ascii="Arial" w:hAnsi="Arial" w:cs="Arial"/>
        </w:rPr>
        <w:t xml:space="preserve"> each study, </w:t>
      </w:r>
      <w:r w:rsidR="006E2B66">
        <w:rPr>
          <w:rFonts w:ascii="Arial" w:hAnsi="Arial" w:cs="Arial"/>
        </w:rPr>
        <w:t xml:space="preserve">including </w:t>
      </w:r>
      <w:r w:rsidR="002A6C48">
        <w:rPr>
          <w:rFonts w:ascii="Arial" w:hAnsi="Arial" w:cs="Arial"/>
        </w:rPr>
        <w:t xml:space="preserve">genotyping array, </w:t>
      </w:r>
      <w:r w:rsidR="00E7065D">
        <w:rPr>
          <w:rFonts w:ascii="Arial" w:hAnsi="Arial" w:cs="Arial"/>
        </w:rPr>
        <w:t xml:space="preserve">imputation, </w:t>
      </w:r>
      <w:r w:rsidR="00873B7B">
        <w:rPr>
          <w:rFonts w:ascii="Arial" w:hAnsi="Arial" w:cs="Arial"/>
        </w:rPr>
        <w:t xml:space="preserve">and </w:t>
      </w:r>
      <w:r w:rsidR="00023D77">
        <w:rPr>
          <w:rFonts w:ascii="Arial" w:hAnsi="Arial" w:cs="Arial"/>
        </w:rPr>
        <w:t>case definition</w:t>
      </w:r>
      <w:r w:rsidR="00ED22F6">
        <w:rPr>
          <w:rFonts w:ascii="Arial" w:hAnsi="Arial" w:cs="Arial"/>
        </w:rPr>
        <w:t xml:space="preserve"> are </w:t>
      </w:r>
      <w:r w:rsidR="00024C6B">
        <w:rPr>
          <w:rFonts w:ascii="Arial" w:hAnsi="Arial" w:cs="Arial"/>
        </w:rPr>
        <w:t>in</w:t>
      </w:r>
      <w:r w:rsidR="000E3B42">
        <w:rPr>
          <w:rFonts w:ascii="Arial" w:hAnsi="Arial" w:cs="Arial"/>
        </w:rPr>
        <w:t xml:space="preserve"> </w:t>
      </w:r>
      <w:r w:rsidRPr="002A52DB">
        <w:rPr>
          <w:rFonts w:ascii="Arial" w:hAnsi="Arial" w:cs="Arial"/>
          <w:b/>
          <w:bCs/>
        </w:rPr>
        <w:t>Table S1</w:t>
      </w:r>
      <w:r w:rsidRPr="00E22B11">
        <w:rPr>
          <w:rFonts w:ascii="Arial" w:hAnsi="Arial" w:cs="Arial"/>
        </w:rPr>
        <w:t xml:space="preserve">. </w:t>
      </w:r>
      <w:r w:rsidR="008D036E">
        <w:rPr>
          <w:rFonts w:ascii="Arial" w:hAnsi="Arial" w:cs="Arial"/>
        </w:rPr>
        <w:t xml:space="preserve">For </w:t>
      </w:r>
      <w:r w:rsidR="002E4F8B">
        <w:rPr>
          <w:rFonts w:ascii="Arial" w:hAnsi="Arial" w:cs="Arial"/>
        </w:rPr>
        <w:t>the five contributing studies</w:t>
      </w:r>
      <w:r w:rsidR="008D036E">
        <w:rPr>
          <w:rFonts w:ascii="Arial" w:hAnsi="Arial" w:cs="Arial"/>
        </w:rPr>
        <w:t xml:space="preserve">, </w:t>
      </w:r>
      <w:r w:rsidRPr="00E22B11">
        <w:rPr>
          <w:rFonts w:ascii="Arial" w:hAnsi="Arial" w:cs="Arial"/>
        </w:rPr>
        <w:t xml:space="preserve">HS diagnosis was defined by International Classification of Diseases, Ninth Revision (ICD-9) (705.83, Hidradenitis) or International Statistical Classification of Diseases and Related Health Problems, Tenth Revision (ICD-10) (L73.2, Hidradenitis suppurativa).  Cohorts either reported variants </w:t>
      </w:r>
      <w:r>
        <w:rPr>
          <w:rFonts w:ascii="Arial" w:hAnsi="Arial" w:cs="Arial"/>
        </w:rPr>
        <w:t>in</w:t>
      </w:r>
      <w:r w:rsidRPr="00E22B11">
        <w:rPr>
          <w:rFonts w:ascii="Arial" w:hAnsi="Arial" w:cs="Arial"/>
        </w:rPr>
        <w:t xml:space="preserve"> Genome Reference Consortium </w:t>
      </w:r>
      <w:r>
        <w:rPr>
          <w:rFonts w:ascii="Arial" w:hAnsi="Arial" w:cs="Arial"/>
        </w:rPr>
        <w:t>h</w:t>
      </w:r>
      <w:r w:rsidRPr="00E22B11">
        <w:rPr>
          <w:rFonts w:ascii="Arial" w:hAnsi="Arial" w:cs="Arial"/>
        </w:rPr>
        <w:t xml:space="preserve">uman </w:t>
      </w:r>
      <w:r>
        <w:rPr>
          <w:rFonts w:ascii="Arial" w:hAnsi="Arial" w:cs="Arial"/>
          <w:iCs/>
        </w:rPr>
        <w:t>b</w:t>
      </w:r>
      <w:r w:rsidRPr="00E22B11">
        <w:rPr>
          <w:rFonts w:ascii="Arial" w:hAnsi="Arial" w:cs="Arial"/>
          <w:iCs/>
        </w:rPr>
        <w:t>uild</w:t>
      </w:r>
      <w:r w:rsidRPr="00E22B11">
        <w:rPr>
          <w:rFonts w:ascii="Arial" w:hAnsi="Arial" w:cs="Arial"/>
        </w:rPr>
        <w:t xml:space="preserve"> 38/hg38, or results were lifted from hg19 to hg38 using the UCSC </w:t>
      </w:r>
      <w:proofErr w:type="spellStart"/>
      <w:r w:rsidRPr="00E22B11">
        <w:rPr>
          <w:rFonts w:ascii="Arial" w:hAnsi="Arial" w:cs="Arial"/>
        </w:rPr>
        <w:t>LiftOver</w:t>
      </w:r>
      <w:proofErr w:type="spellEnd"/>
      <w:r w:rsidRPr="00E22B11">
        <w:rPr>
          <w:rFonts w:ascii="Arial" w:hAnsi="Arial" w:cs="Arial"/>
        </w:rPr>
        <w:t xml:space="preserve"> tool</w:t>
      </w:r>
      <w:r>
        <w:rPr>
          <w:rFonts w:ascii="Arial" w:hAnsi="Arial" w:cs="Arial"/>
        </w:rPr>
        <w:fldChar w:fldCharType="begin"/>
      </w:r>
      <w:r w:rsidR="001C677F">
        <w:rPr>
          <w:rFonts w:ascii="Arial" w:hAnsi="Arial" w:cs="Arial"/>
        </w:rPr>
        <w:instrText xml:space="preserve"> ADDIN ZOTERO_ITEM CSL_CITATION {"citationID":"Lo4tFLma","properties":{"formattedCitation":"\\super 7\\nosupersub{}","plainCitation":"7","noteIndex":0},"citationItems":[{"id":31,"uris":["http://zotero.org/users/local/HUSG1dD8/items/DRI5ZRBH"],"itemData":{"id":31,"type":"article-journal","abstract":"The University of California Santa Cruz Genome Browser Database (GBD) contains sequence and annotation data for the genomes of about a dozen vertebrate species and several major model organisms. Genome annotations typically include assembly data, sequence composition, genes and gene predictions, mRNA and expressed sequence tag evidence, comparative genomics, regulation, expression and variation data. The database is optimized to support fast interactive performance with web tools that provide powerful visualization and querying capabilities for mining the data. The Genome Browser displays a wide variety of annotations at all scales from single nucleotide level up to a full chromosome. The Table Browser provides direct access to the database tables and sequence data, enabling complex queries on genome-wide datasets. The Proteome Browser graphically displays protein properties. The Gene Sorter allows filtering and comparison of genes by several metrics including expression data and several gene properties. BLAT and In Silico PCR search for sequences in entire genomes in seconds. These tools are highly integrated and provide many hyperlinks to other databases and websites. The GBD, browsing tools, downloadable data files and links to documentation and other information can be found at http://genome.ucsc.edu/.","container-title":"Nucleic Acids Research","DOI":"10.1093/nar/gkj144","ISSN":"1362-4962","issue":"Database issue","journalAbbreviation":"Nucleic Acids Res","language":"eng","note":"PMID: 16381938\nPMCID: PMC1347506","page":"D590-598","source":"PubMed","title":"The UCSC Genome Browser Database: update 2006","title-short":"The UCSC Genome Browser Database","volume":"34","author":[{"family":"Hinrichs","given":"A. S."},{"family":"Karolchik","given":"D."},{"family":"Baertsch","given":"R."},{"family":"Barber","given":"G. P."},{"family":"Bejerano","given":"G."},{"family":"Clawson","given":"H."},{"family":"Diekhans","given":"M."},{"family":"Furey","given":"T. S."},{"family":"Harte","given":"R. A."},{"family":"Hsu","given":"F."},{"family":"Hillman-Jackson","given":"J."},{"family":"Kuhn","given":"R. M."},{"family":"Pedersen","given":"J. S."},{"family":"Pohl","given":"A."},{"family":"Raney","given":"B. J."},{"family":"Rosenbloom","given":"K. R."},{"family":"Siepel","given":"A."},{"family":"Smith","given":"K. E."},{"family":"Sugnet","given":"C. W."},{"family":"Sultan-Qurraie","given":"A."},{"family":"Thomas","given":"D. J."},{"family":"Trumbower","given":"H."},{"family":"Weber","given":"R. J."},{"family":"Weirauch","given":"M."},{"family":"Zweig","given":"A. S."},{"family":"Haussler","given":"D."},{"family":"Kent","given":"W. J."}],"issued":{"date-parts":[["2006",1,1]]}}}],"schema":"https://github.com/citation-style-language/schema/raw/master/csl-citation.json"} </w:instrText>
      </w:r>
      <w:r>
        <w:rPr>
          <w:rFonts w:ascii="Arial" w:hAnsi="Arial" w:cs="Arial"/>
        </w:rPr>
        <w:fldChar w:fldCharType="separate"/>
      </w:r>
      <w:r w:rsidR="001C677F" w:rsidRPr="001C677F">
        <w:rPr>
          <w:rFonts w:ascii="Arial" w:eastAsiaTheme="minorHAnsi" w:hAnsi="Arial" w:cs="Arial"/>
          <w:vertAlign w:val="superscript"/>
          <w14:ligatures w14:val="standardContextual"/>
        </w:rPr>
        <w:t>7</w:t>
      </w:r>
      <w:r>
        <w:rPr>
          <w:rFonts w:ascii="Arial" w:hAnsi="Arial" w:cs="Arial"/>
        </w:rPr>
        <w:fldChar w:fldCharType="end"/>
      </w:r>
      <w:r>
        <w:rPr>
          <w:rFonts w:ascii="Arial" w:hAnsi="Arial" w:cs="Arial"/>
        </w:rPr>
        <w:t>.</w:t>
      </w:r>
      <w:r w:rsidRPr="00E22B11">
        <w:rPr>
          <w:rFonts w:ascii="Arial" w:hAnsi="Arial" w:cs="Arial"/>
        </w:rPr>
        <w:t xml:space="preserve"> </w:t>
      </w:r>
    </w:p>
    <w:p w14:paraId="08A87084" w14:textId="77777777" w:rsidR="00026B72" w:rsidRDefault="00026B72" w:rsidP="00026B72">
      <w:pPr>
        <w:rPr>
          <w:rFonts w:ascii="Arial" w:hAnsi="Arial" w:cs="Arial"/>
        </w:rPr>
      </w:pPr>
    </w:p>
    <w:p w14:paraId="40F13F96" w14:textId="4F04802F" w:rsidR="00026B72" w:rsidRPr="00E22B11" w:rsidRDefault="00026B72" w:rsidP="00026B72">
      <w:pPr>
        <w:rPr>
          <w:rFonts w:ascii="Arial" w:hAnsi="Arial" w:cs="Arial"/>
        </w:rPr>
      </w:pPr>
      <w:r w:rsidRPr="00E22B11">
        <w:rPr>
          <w:rFonts w:ascii="Arial" w:hAnsi="Arial" w:cs="Arial"/>
        </w:rPr>
        <w:t xml:space="preserve">Each cohort </w:t>
      </w:r>
      <w:r>
        <w:rPr>
          <w:rFonts w:ascii="Arial" w:hAnsi="Arial" w:cs="Arial"/>
        </w:rPr>
        <w:t>used</w:t>
      </w:r>
      <w:r w:rsidRPr="00E22B11">
        <w:rPr>
          <w:rFonts w:ascii="Arial" w:hAnsi="Arial" w:cs="Arial"/>
        </w:rPr>
        <w:t xml:space="preserve"> imputed genotype data</w:t>
      </w:r>
      <w:r>
        <w:rPr>
          <w:rFonts w:ascii="Arial" w:hAnsi="Arial" w:cs="Arial"/>
        </w:rPr>
        <w:t xml:space="preserve"> and </w:t>
      </w:r>
      <w:r w:rsidRPr="00E22B11">
        <w:rPr>
          <w:rFonts w:ascii="Arial" w:hAnsi="Arial" w:cs="Arial"/>
        </w:rPr>
        <w:t>covariate</w:t>
      </w:r>
      <w:r>
        <w:rPr>
          <w:rFonts w:ascii="Arial" w:hAnsi="Arial" w:cs="Arial"/>
        </w:rPr>
        <w:t>s</w:t>
      </w:r>
      <w:r w:rsidRPr="00E22B11">
        <w:rPr>
          <w:rFonts w:ascii="Arial" w:hAnsi="Arial" w:cs="Arial"/>
        </w:rPr>
        <w:t xml:space="preserve"> </w:t>
      </w:r>
      <w:r>
        <w:rPr>
          <w:rFonts w:ascii="Arial" w:hAnsi="Arial" w:cs="Arial"/>
        </w:rPr>
        <w:t xml:space="preserve">to </w:t>
      </w:r>
      <w:r w:rsidRPr="00E22B11">
        <w:rPr>
          <w:rFonts w:ascii="Arial" w:hAnsi="Arial" w:cs="Arial"/>
        </w:rPr>
        <w:t>perform association analyses</w:t>
      </w:r>
      <w:r>
        <w:rPr>
          <w:rFonts w:ascii="Arial" w:hAnsi="Arial" w:cs="Arial"/>
        </w:rPr>
        <w:t xml:space="preserve"> with </w:t>
      </w:r>
      <w:r w:rsidRPr="00E22B11">
        <w:rPr>
          <w:rFonts w:ascii="Arial" w:hAnsi="Arial" w:cs="Arial"/>
        </w:rPr>
        <w:t>HS</w:t>
      </w:r>
      <w:r>
        <w:rPr>
          <w:rFonts w:ascii="Arial" w:hAnsi="Arial" w:cs="Arial"/>
        </w:rPr>
        <w:t xml:space="preserve"> status</w:t>
      </w:r>
      <w:r w:rsidRPr="00E22B11">
        <w:rPr>
          <w:rFonts w:ascii="Arial" w:hAnsi="Arial" w:cs="Arial"/>
        </w:rPr>
        <w:t xml:space="preserve"> (</w:t>
      </w:r>
      <w:r w:rsidRPr="00A43D8C">
        <w:rPr>
          <w:rFonts w:ascii="Arial" w:hAnsi="Arial" w:cs="Arial"/>
          <w:b/>
          <w:bCs/>
        </w:rPr>
        <w:t>Table S1</w:t>
      </w:r>
      <w:r w:rsidRPr="00E22B11">
        <w:rPr>
          <w:rFonts w:ascii="Arial" w:hAnsi="Arial" w:cs="Arial"/>
        </w:rPr>
        <w:t xml:space="preserve">). To control for population structure that persisted after </w:t>
      </w:r>
      <w:r>
        <w:rPr>
          <w:rFonts w:ascii="Arial" w:hAnsi="Arial" w:cs="Arial"/>
        </w:rPr>
        <w:t xml:space="preserve">adjusting for </w:t>
      </w:r>
      <w:r w:rsidRPr="00E22B11">
        <w:rPr>
          <w:rFonts w:ascii="Arial" w:hAnsi="Arial" w:cs="Arial"/>
        </w:rPr>
        <w:t xml:space="preserve">principal components, study analysts assigned cases and controls to two </w:t>
      </w:r>
      <w:r>
        <w:rPr>
          <w:rFonts w:ascii="Arial" w:hAnsi="Arial" w:cs="Arial"/>
        </w:rPr>
        <w:t>population</w:t>
      </w:r>
      <w:r w:rsidRPr="00E22B11">
        <w:rPr>
          <w:rFonts w:ascii="Arial" w:hAnsi="Arial" w:cs="Arial"/>
        </w:rPr>
        <w:t xml:space="preserve"> groups</w:t>
      </w:r>
      <w:r>
        <w:rPr>
          <w:rFonts w:ascii="Arial" w:hAnsi="Arial" w:cs="Arial"/>
        </w:rPr>
        <w:t xml:space="preserve">: </w:t>
      </w:r>
      <w:r w:rsidRPr="00E22B11">
        <w:rPr>
          <w:rFonts w:ascii="Arial" w:hAnsi="Arial" w:cs="Arial"/>
        </w:rPr>
        <w:t>black/African/African American participants (AFR) and all other participants (</w:t>
      </w:r>
      <w:r w:rsidRPr="004316CE">
        <w:rPr>
          <w:rFonts w:ascii="Arial" w:hAnsi="Arial" w:cs="Arial"/>
          <w:b/>
          <w:bCs/>
        </w:rPr>
        <w:t>Table S1</w:t>
      </w:r>
      <w:r w:rsidRPr="00E22B11">
        <w:rPr>
          <w:rFonts w:ascii="Arial" w:hAnsi="Arial" w:cs="Arial"/>
        </w:rPr>
        <w:t xml:space="preserve">). </w:t>
      </w:r>
      <w:r>
        <w:rPr>
          <w:rFonts w:ascii="Arial" w:hAnsi="Arial" w:cs="Arial"/>
        </w:rPr>
        <w:t>In the second population, over 95.5% of participants were from European populations (EUR)</w:t>
      </w:r>
      <w:r w:rsidR="00451B91">
        <w:rPr>
          <w:rFonts w:ascii="Arial" w:hAnsi="Arial" w:cs="Arial"/>
        </w:rPr>
        <w:t>,</w:t>
      </w:r>
      <w:r>
        <w:rPr>
          <w:rFonts w:ascii="Arial" w:hAnsi="Arial" w:cs="Arial"/>
        </w:rPr>
        <w:t xml:space="preserve"> while 3.6% were </w:t>
      </w:r>
      <w:r w:rsidR="00451B91">
        <w:rPr>
          <w:rFonts w:ascii="Arial" w:hAnsi="Arial" w:cs="Arial"/>
        </w:rPr>
        <w:t xml:space="preserve">from </w:t>
      </w:r>
      <w:r>
        <w:rPr>
          <w:rFonts w:ascii="Arial" w:hAnsi="Arial" w:cs="Arial"/>
        </w:rPr>
        <w:t>Admixed American (AMR)</w:t>
      </w:r>
      <w:r w:rsidR="00451B91">
        <w:rPr>
          <w:rFonts w:ascii="Arial" w:hAnsi="Arial" w:cs="Arial"/>
        </w:rPr>
        <w:t xml:space="preserve"> populations</w:t>
      </w:r>
      <w:r>
        <w:rPr>
          <w:rFonts w:ascii="Arial" w:hAnsi="Arial" w:cs="Arial"/>
        </w:rPr>
        <w:t xml:space="preserve">. While &lt;1% represent other populations or more than one population background, for brevity we refer to the second group as EUR+AMR. </w:t>
      </w:r>
      <w:r w:rsidRPr="00E22B11">
        <w:rPr>
          <w:rFonts w:ascii="Arial" w:hAnsi="Arial" w:cs="Arial"/>
        </w:rPr>
        <w:t>GWAS were performed</w:t>
      </w:r>
      <w:r>
        <w:rPr>
          <w:rFonts w:ascii="Arial" w:hAnsi="Arial" w:cs="Arial"/>
        </w:rPr>
        <w:t xml:space="preserve"> in each cohort</w:t>
      </w:r>
      <w:r w:rsidRPr="00E22B11">
        <w:rPr>
          <w:rFonts w:ascii="Arial" w:hAnsi="Arial" w:cs="Arial"/>
        </w:rPr>
        <w:t xml:space="preserve"> separately </w:t>
      </w:r>
      <w:r>
        <w:rPr>
          <w:rFonts w:ascii="Arial" w:hAnsi="Arial" w:cs="Arial"/>
        </w:rPr>
        <w:t>by</w:t>
      </w:r>
      <w:r w:rsidRPr="00E22B11">
        <w:rPr>
          <w:rFonts w:ascii="Arial" w:hAnsi="Arial" w:cs="Arial"/>
        </w:rPr>
        <w:t xml:space="preserve"> </w:t>
      </w:r>
      <w:r>
        <w:rPr>
          <w:rFonts w:ascii="Arial" w:hAnsi="Arial" w:cs="Arial"/>
        </w:rPr>
        <w:t>population</w:t>
      </w:r>
      <w:r w:rsidRPr="00E22B11">
        <w:rPr>
          <w:rFonts w:ascii="Arial" w:hAnsi="Arial" w:cs="Arial"/>
        </w:rPr>
        <w:t xml:space="preserve"> group.</w:t>
      </w:r>
      <w:r w:rsidR="00820B9C">
        <w:rPr>
          <w:rFonts w:ascii="Arial" w:hAnsi="Arial" w:cs="Arial"/>
        </w:rPr>
        <w:t xml:space="preserve"> </w:t>
      </w:r>
      <w:r w:rsidR="004B2F96">
        <w:rPr>
          <w:rFonts w:ascii="Arial" w:hAnsi="Arial" w:cs="Arial"/>
        </w:rPr>
        <w:t xml:space="preserve">When available, each </w:t>
      </w:r>
      <w:r w:rsidR="0031491A">
        <w:rPr>
          <w:rFonts w:ascii="Arial" w:hAnsi="Arial" w:cs="Arial"/>
        </w:rPr>
        <w:t>cohort adjusted for</w:t>
      </w:r>
      <w:r w:rsidR="00A70D52">
        <w:rPr>
          <w:rFonts w:ascii="Arial" w:hAnsi="Arial" w:cs="Arial"/>
        </w:rPr>
        <w:t xml:space="preserve"> </w:t>
      </w:r>
      <w:r w:rsidR="003F2060">
        <w:rPr>
          <w:rFonts w:ascii="Arial" w:hAnsi="Arial" w:cs="Arial"/>
        </w:rPr>
        <w:t>age, sex, body mass index (BMI, calculated as weight in kilograms divided by height in meters squared)</w:t>
      </w:r>
      <w:r w:rsidR="00E31FEB">
        <w:rPr>
          <w:rFonts w:ascii="Arial" w:hAnsi="Arial" w:cs="Arial"/>
        </w:rPr>
        <w:t>, smoking status</w:t>
      </w:r>
      <w:r w:rsidR="00BA374F">
        <w:rPr>
          <w:rFonts w:ascii="Arial" w:hAnsi="Arial" w:cs="Arial"/>
        </w:rPr>
        <w:t xml:space="preserve">, and </w:t>
      </w:r>
      <w:r w:rsidR="009A3214">
        <w:rPr>
          <w:rFonts w:ascii="Arial" w:hAnsi="Arial" w:cs="Arial"/>
        </w:rPr>
        <w:t xml:space="preserve">relatedness </w:t>
      </w:r>
      <w:r w:rsidR="00FC5372">
        <w:rPr>
          <w:rFonts w:ascii="Arial" w:hAnsi="Arial" w:cs="Arial"/>
        </w:rPr>
        <w:t xml:space="preserve">and population structure </w:t>
      </w:r>
      <w:r w:rsidR="009A3214">
        <w:rPr>
          <w:rFonts w:ascii="Arial" w:hAnsi="Arial" w:cs="Arial"/>
        </w:rPr>
        <w:t xml:space="preserve">as </w:t>
      </w:r>
      <w:r w:rsidR="00C31490">
        <w:rPr>
          <w:rFonts w:ascii="Arial" w:hAnsi="Arial" w:cs="Arial"/>
        </w:rPr>
        <w:t>appropriate for their study</w:t>
      </w:r>
      <w:r w:rsidR="006E32D8">
        <w:rPr>
          <w:rFonts w:ascii="Arial" w:hAnsi="Arial" w:cs="Arial"/>
        </w:rPr>
        <w:t xml:space="preserve"> (</w:t>
      </w:r>
      <w:r w:rsidR="006E32D8" w:rsidRPr="00627AEF">
        <w:rPr>
          <w:rFonts w:ascii="Arial" w:hAnsi="Arial" w:cs="Arial"/>
          <w:b/>
          <w:bCs/>
        </w:rPr>
        <w:t>Table S1</w:t>
      </w:r>
      <w:r w:rsidR="006E32D8">
        <w:rPr>
          <w:rFonts w:ascii="Arial" w:hAnsi="Arial" w:cs="Arial"/>
        </w:rPr>
        <w:t>)</w:t>
      </w:r>
      <w:r w:rsidR="00E31FEB">
        <w:rPr>
          <w:rFonts w:ascii="Arial" w:hAnsi="Arial" w:cs="Arial"/>
        </w:rPr>
        <w:t xml:space="preserve">. </w:t>
      </w:r>
      <w:r>
        <w:rPr>
          <w:rFonts w:ascii="Arial" w:hAnsi="Arial" w:cs="Arial"/>
        </w:rPr>
        <w:t xml:space="preserve">Each population group for each cohort </w:t>
      </w:r>
      <w:r w:rsidRPr="00E22B11">
        <w:rPr>
          <w:rFonts w:ascii="Arial" w:hAnsi="Arial" w:cs="Arial"/>
        </w:rPr>
        <w:t>excluded variants with low minor allele frequency (MAF &lt; 0.01), low imputation quality (</w:t>
      </w:r>
      <w:r w:rsidRPr="00E22B11">
        <w:rPr>
          <w:rFonts w:ascii="Arial" w:hAnsi="Arial" w:cs="Arial"/>
          <w:color w:val="000000"/>
        </w:rPr>
        <w:t>r</w:t>
      </w:r>
      <w:r w:rsidRPr="00E22B11">
        <w:rPr>
          <w:rFonts w:ascii="Arial" w:hAnsi="Arial" w:cs="Arial"/>
          <w:color w:val="000000"/>
          <w:vertAlign w:val="superscript"/>
        </w:rPr>
        <w:t>2</w:t>
      </w:r>
      <w:r w:rsidRPr="00E22B11">
        <w:rPr>
          <w:rFonts w:ascii="Arial" w:hAnsi="Arial" w:cs="Arial"/>
          <w:color w:val="000000"/>
        </w:rPr>
        <w:t xml:space="preserve"> </w:t>
      </w:r>
      <w:r w:rsidRPr="00E22B11">
        <w:rPr>
          <w:rFonts w:ascii="Arial" w:hAnsi="Arial" w:cs="Arial"/>
        </w:rPr>
        <w:t>&lt;0.3), or exceptionally large effect standard errors (standard error &gt;10).</w:t>
      </w:r>
    </w:p>
    <w:p w14:paraId="022129D9" w14:textId="77777777" w:rsidR="00026B72" w:rsidRDefault="00026B72" w:rsidP="00026B72">
      <w:pPr>
        <w:rPr>
          <w:rFonts w:ascii="Arial" w:hAnsi="Arial" w:cs="Arial"/>
          <w:u w:val="single"/>
        </w:rPr>
      </w:pPr>
    </w:p>
    <w:p w14:paraId="4D4F20D4" w14:textId="77777777" w:rsidR="00026B72" w:rsidRDefault="00026B72" w:rsidP="00026B72">
      <w:pPr>
        <w:rPr>
          <w:rFonts w:ascii="Arial" w:hAnsi="Arial" w:cs="Arial"/>
          <w:u w:val="single"/>
        </w:rPr>
      </w:pPr>
      <w:r>
        <w:rPr>
          <w:rFonts w:ascii="Arial" w:hAnsi="Arial" w:cs="Arial"/>
          <w:u w:val="single"/>
        </w:rPr>
        <w:t>GWAS M</w:t>
      </w:r>
      <w:r w:rsidRPr="00E22B11">
        <w:rPr>
          <w:rFonts w:ascii="Arial" w:hAnsi="Arial" w:cs="Arial"/>
          <w:u w:val="single"/>
        </w:rPr>
        <w:t>eta-analyses</w:t>
      </w:r>
    </w:p>
    <w:p w14:paraId="6FAB4B4B" w14:textId="77777777" w:rsidR="00026B72" w:rsidRPr="00E22B11" w:rsidRDefault="00026B72" w:rsidP="00026B72">
      <w:pPr>
        <w:rPr>
          <w:rFonts w:ascii="Arial" w:hAnsi="Arial" w:cs="Arial"/>
          <w:u w:val="single"/>
        </w:rPr>
      </w:pPr>
    </w:p>
    <w:p w14:paraId="19746AC5" w14:textId="2060F353" w:rsidR="00026B72" w:rsidRPr="00E22B11" w:rsidRDefault="00026B72" w:rsidP="00026B72">
      <w:pPr>
        <w:rPr>
          <w:rFonts w:ascii="Arial" w:hAnsi="Arial" w:cs="Arial"/>
        </w:rPr>
      </w:pPr>
      <w:r w:rsidRPr="00E22B11">
        <w:rPr>
          <w:rFonts w:ascii="Arial" w:hAnsi="Arial" w:cs="Arial"/>
        </w:rPr>
        <w:t>We conducted meta-analys</w:t>
      </w:r>
      <w:r>
        <w:rPr>
          <w:rFonts w:ascii="Arial" w:hAnsi="Arial" w:cs="Arial"/>
        </w:rPr>
        <w:t>e</w:t>
      </w:r>
      <w:r w:rsidRPr="00E22B11">
        <w:rPr>
          <w:rFonts w:ascii="Arial" w:hAnsi="Arial" w:cs="Arial"/>
        </w:rPr>
        <w:t xml:space="preserve">s of GWAS results for HS from </w:t>
      </w:r>
      <w:r>
        <w:rPr>
          <w:rFonts w:ascii="Arial" w:hAnsi="Arial" w:cs="Arial"/>
        </w:rPr>
        <w:t xml:space="preserve">the </w:t>
      </w:r>
      <w:r w:rsidRPr="00E22B11">
        <w:rPr>
          <w:rFonts w:ascii="Arial" w:hAnsi="Arial" w:cs="Arial"/>
        </w:rPr>
        <w:t xml:space="preserve">six contributing cohorts (Table S1). We applied genomic control on summary statistics for each study prior to meta-analysis </w:t>
      </w:r>
      <w:r>
        <w:rPr>
          <w:rFonts w:ascii="Arial" w:hAnsi="Arial" w:cs="Arial"/>
        </w:rPr>
        <w:t xml:space="preserve">of </w:t>
      </w:r>
      <w:r w:rsidRPr="00E22B11">
        <w:rPr>
          <w:rFonts w:ascii="Arial" w:hAnsi="Arial" w:cs="Arial"/>
        </w:rPr>
        <w:t xml:space="preserve">effect size estimates </w:t>
      </w:r>
      <w:r>
        <w:rPr>
          <w:rFonts w:ascii="Arial" w:hAnsi="Arial" w:cs="Arial"/>
        </w:rPr>
        <w:t xml:space="preserve">and standard errors </w:t>
      </w:r>
      <w:r w:rsidRPr="00E22B11">
        <w:rPr>
          <w:rFonts w:ascii="Arial" w:hAnsi="Arial" w:cs="Arial"/>
        </w:rPr>
        <w:t>using METAL</w:t>
      </w:r>
      <w:r>
        <w:rPr>
          <w:rFonts w:ascii="Arial" w:hAnsi="Arial" w:cs="Arial"/>
        </w:rPr>
        <w:fldChar w:fldCharType="begin"/>
      </w:r>
      <w:r w:rsidR="001C677F">
        <w:rPr>
          <w:rFonts w:ascii="Arial" w:hAnsi="Arial" w:cs="Arial"/>
        </w:rPr>
        <w:instrText xml:space="preserve"> ADDIN ZOTERO_ITEM CSL_CITATION {"citationID":"HU7q1lfw","properties":{"formattedCitation":"\\super 8\\nosupersub{}","plainCitation":"8","noteIndex":0},"citationItems":[{"id":34,"uris":["http://zotero.org/users/local/HUSG1dD8/items/6PEJEA4M"],"itemData":{"id":34,"type":"webpage","title":"METAL: fast and efficient meta-analysis of genomewide association scans | Bioinformatics | Oxford Academic","URL":"https://academic.oup.com/bioinformatics/article/26/17/2190/198154","accessed":{"date-parts":[["2025",1,28]]}}}],"schema":"https://github.com/citation-style-language/schema/raw/master/csl-citation.json"} </w:instrText>
      </w:r>
      <w:r>
        <w:rPr>
          <w:rFonts w:ascii="Arial" w:hAnsi="Arial" w:cs="Arial"/>
        </w:rPr>
        <w:fldChar w:fldCharType="separate"/>
      </w:r>
      <w:r w:rsidR="001C677F" w:rsidRPr="001C677F">
        <w:rPr>
          <w:rFonts w:ascii="Arial" w:eastAsiaTheme="minorHAnsi" w:hAnsi="Arial" w:cs="Arial"/>
          <w:vertAlign w:val="superscript"/>
          <w14:ligatures w14:val="standardContextual"/>
        </w:rPr>
        <w:t>8</w:t>
      </w:r>
      <w:r>
        <w:rPr>
          <w:rFonts w:ascii="Arial" w:hAnsi="Arial" w:cs="Arial"/>
        </w:rPr>
        <w:fldChar w:fldCharType="end"/>
      </w:r>
      <w:r>
        <w:rPr>
          <w:rFonts w:ascii="Arial" w:hAnsi="Arial" w:cs="Arial"/>
        </w:rPr>
        <w:t xml:space="preserve">. </w:t>
      </w:r>
      <w:r w:rsidRPr="00E22B11">
        <w:rPr>
          <w:rFonts w:ascii="Arial" w:hAnsi="Arial" w:cs="Arial"/>
        </w:rPr>
        <w:t>Only variants represented by two or more studies were included in the meta-analysis. We defined a locus as a lead variant with P-value &lt; 5x10</w:t>
      </w:r>
      <w:r w:rsidRPr="00E22B11">
        <w:rPr>
          <w:rFonts w:ascii="Arial" w:hAnsi="Arial" w:cs="Arial"/>
          <w:vertAlign w:val="superscript"/>
        </w:rPr>
        <w:t xml:space="preserve">-8 </w:t>
      </w:r>
      <w:r w:rsidRPr="00E22B11">
        <w:rPr>
          <w:rFonts w:ascii="Arial" w:hAnsi="Arial" w:cs="Arial"/>
        </w:rPr>
        <w:t xml:space="preserve">and all variants within 1 Mb of the lead </w:t>
      </w:r>
      <w:r w:rsidRPr="00E22B11">
        <w:rPr>
          <w:rFonts w:ascii="Arial" w:hAnsi="Arial" w:cs="Arial"/>
        </w:rPr>
        <w:lastRenderedPageBreak/>
        <w:t xml:space="preserve">variant. We extended the definition of </w:t>
      </w:r>
      <w:r>
        <w:rPr>
          <w:rFonts w:ascii="Arial" w:hAnsi="Arial" w:cs="Arial"/>
        </w:rPr>
        <w:t xml:space="preserve">a </w:t>
      </w:r>
      <w:r w:rsidRPr="00E22B11">
        <w:rPr>
          <w:rFonts w:ascii="Arial" w:hAnsi="Arial" w:cs="Arial"/>
        </w:rPr>
        <w:t xml:space="preserve">locus in the HLA region to </w:t>
      </w:r>
      <w:r>
        <w:rPr>
          <w:rFonts w:ascii="Arial" w:hAnsi="Arial" w:cs="Arial"/>
        </w:rPr>
        <w:t xml:space="preserve">variants within </w:t>
      </w:r>
      <w:r w:rsidRPr="00E22B11">
        <w:rPr>
          <w:rFonts w:ascii="Arial" w:hAnsi="Arial" w:cs="Arial"/>
        </w:rPr>
        <w:t>2 Mb to account for extensive</w:t>
      </w:r>
      <w:r>
        <w:rPr>
          <w:rFonts w:ascii="Arial" w:hAnsi="Arial" w:cs="Arial"/>
        </w:rPr>
        <w:t xml:space="preserve"> linkage disequilibrium (</w:t>
      </w:r>
      <w:r w:rsidRPr="00E22B11">
        <w:rPr>
          <w:rFonts w:ascii="Arial" w:hAnsi="Arial" w:cs="Arial"/>
        </w:rPr>
        <w:t>LD</w:t>
      </w:r>
      <w:r>
        <w:rPr>
          <w:rFonts w:ascii="Arial" w:hAnsi="Arial" w:cs="Arial"/>
        </w:rPr>
        <w:t>)</w:t>
      </w:r>
      <w:r w:rsidRPr="00E22B11">
        <w:rPr>
          <w:rFonts w:ascii="Arial" w:hAnsi="Arial" w:cs="Arial"/>
        </w:rPr>
        <w:t xml:space="preserve"> in the region. </w:t>
      </w:r>
    </w:p>
    <w:p w14:paraId="2230B80C" w14:textId="77777777" w:rsidR="00026B72" w:rsidRPr="00E22B11" w:rsidRDefault="00026B72" w:rsidP="00026B72">
      <w:pPr>
        <w:rPr>
          <w:rFonts w:ascii="Arial" w:hAnsi="Arial" w:cs="Arial"/>
        </w:rPr>
      </w:pPr>
    </w:p>
    <w:p w14:paraId="42116BD7" w14:textId="6834AC1D" w:rsidR="00026B72" w:rsidRPr="00E22B11" w:rsidRDefault="00026B72" w:rsidP="00026B72">
      <w:pPr>
        <w:rPr>
          <w:rFonts w:ascii="Arial" w:hAnsi="Arial" w:cs="Arial"/>
        </w:rPr>
      </w:pPr>
      <w:r w:rsidRPr="00E22B11">
        <w:rPr>
          <w:rFonts w:ascii="Arial" w:hAnsi="Arial" w:cs="Arial"/>
        </w:rPr>
        <w:t xml:space="preserve">We performed </w:t>
      </w:r>
      <w:r>
        <w:rPr>
          <w:rFonts w:ascii="Arial" w:hAnsi="Arial" w:cs="Arial"/>
        </w:rPr>
        <w:t xml:space="preserve">a first </w:t>
      </w:r>
      <w:r w:rsidRPr="00E22B11">
        <w:rPr>
          <w:rFonts w:ascii="Arial" w:hAnsi="Arial" w:cs="Arial"/>
        </w:rPr>
        <w:t xml:space="preserve">GWAS meta-analysis by combining all </w:t>
      </w:r>
      <w:r>
        <w:rPr>
          <w:rFonts w:ascii="Arial" w:hAnsi="Arial" w:cs="Arial"/>
        </w:rPr>
        <w:t>population groups</w:t>
      </w:r>
      <w:r w:rsidRPr="00E22B11">
        <w:rPr>
          <w:rFonts w:ascii="Arial" w:hAnsi="Arial" w:cs="Arial"/>
        </w:rPr>
        <w:t xml:space="preserve"> </w:t>
      </w:r>
      <w:r>
        <w:rPr>
          <w:rFonts w:ascii="Arial" w:hAnsi="Arial" w:cs="Arial"/>
        </w:rPr>
        <w:t>from</w:t>
      </w:r>
      <w:r w:rsidRPr="00E22B11">
        <w:rPr>
          <w:rFonts w:ascii="Arial" w:hAnsi="Arial" w:cs="Arial"/>
        </w:rPr>
        <w:t xml:space="preserve"> all cohorts. Next, we </w:t>
      </w:r>
      <w:r>
        <w:rPr>
          <w:rFonts w:ascii="Arial" w:hAnsi="Arial" w:cs="Arial"/>
        </w:rPr>
        <w:t xml:space="preserve">performed analyses stratified by population </w:t>
      </w:r>
      <w:r w:rsidRPr="00E22B11">
        <w:rPr>
          <w:rFonts w:ascii="Arial" w:hAnsi="Arial" w:cs="Arial"/>
        </w:rPr>
        <w:t xml:space="preserve">group, separating </w:t>
      </w:r>
      <w:r>
        <w:rPr>
          <w:rFonts w:ascii="Arial" w:hAnsi="Arial" w:cs="Arial"/>
        </w:rPr>
        <w:t>AFR</w:t>
      </w:r>
      <w:r w:rsidRPr="00E22B11">
        <w:rPr>
          <w:rFonts w:ascii="Arial" w:hAnsi="Arial" w:cs="Arial"/>
        </w:rPr>
        <w:t xml:space="preserve"> participants from all other participants. Lastly, we </w:t>
      </w:r>
      <w:r>
        <w:rPr>
          <w:rFonts w:ascii="Arial" w:hAnsi="Arial" w:cs="Arial"/>
        </w:rPr>
        <w:t xml:space="preserve">performed analyses </w:t>
      </w:r>
      <w:r w:rsidRPr="00E22B11">
        <w:rPr>
          <w:rFonts w:ascii="Arial" w:hAnsi="Arial" w:cs="Arial"/>
        </w:rPr>
        <w:t xml:space="preserve">stratified by sex. </w:t>
      </w:r>
      <w:r w:rsidR="00E704E3">
        <w:rPr>
          <w:rFonts w:ascii="Arial" w:hAnsi="Arial" w:cs="Arial"/>
        </w:rPr>
        <w:t>For the five cohorts for which individual level data was available</w:t>
      </w:r>
      <w:r w:rsidR="00EB68E4">
        <w:rPr>
          <w:rFonts w:ascii="Arial" w:hAnsi="Arial" w:cs="Arial"/>
        </w:rPr>
        <w:t xml:space="preserve"> (</w:t>
      </w:r>
      <w:r w:rsidR="00EB68E4" w:rsidRPr="00627AEF">
        <w:rPr>
          <w:rFonts w:ascii="Arial" w:hAnsi="Arial" w:cs="Arial"/>
          <w:b/>
          <w:bCs/>
        </w:rPr>
        <w:t>Table</w:t>
      </w:r>
      <w:r w:rsidR="008F230F">
        <w:rPr>
          <w:rFonts w:ascii="Arial" w:hAnsi="Arial" w:cs="Arial"/>
          <w:b/>
          <w:bCs/>
        </w:rPr>
        <w:t>s</w:t>
      </w:r>
      <w:r w:rsidR="00EB68E4" w:rsidRPr="00627AEF">
        <w:rPr>
          <w:rFonts w:ascii="Arial" w:hAnsi="Arial" w:cs="Arial"/>
          <w:b/>
          <w:bCs/>
        </w:rPr>
        <w:t xml:space="preserve"> </w:t>
      </w:r>
      <w:r w:rsidR="008F230F">
        <w:rPr>
          <w:rFonts w:ascii="Arial" w:hAnsi="Arial" w:cs="Arial"/>
          <w:b/>
          <w:bCs/>
        </w:rPr>
        <w:t>S1-</w:t>
      </w:r>
      <w:r w:rsidR="00EB68E4" w:rsidRPr="00627AEF">
        <w:rPr>
          <w:rFonts w:ascii="Arial" w:hAnsi="Arial" w:cs="Arial"/>
          <w:b/>
          <w:bCs/>
        </w:rPr>
        <w:t>S2</w:t>
      </w:r>
      <w:r w:rsidR="00EB68E4">
        <w:rPr>
          <w:rFonts w:ascii="Arial" w:hAnsi="Arial" w:cs="Arial"/>
        </w:rPr>
        <w:t>)</w:t>
      </w:r>
      <w:r w:rsidR="00E704E3">
        <w:rPr>
          <w:rFonts w:ascii="Arial" w:hAnsi="Arial" w:cs="Arial"/>
        </w:rPr>
        <w:t xml:space="preserve">, we </w:t>
      </w:r>
      <w:r w:rsidR="009521EA">
        <w:rPr>
          <w:rFonts w:ascii="Arial" w:hAnsi="Arial" w:cs="Arial"/>
        </w:rPr>
        <w:t>performed stratified GWAS analyses for each combination of population (AFR and all others) and sex (male and female).</w:t>
      </w:r>
      <w:r w:rsidR="004E3A73">
        <w:rPr>
          <w:rFonts w:ascii="Arial" w:hAnsi="Arial" w:cs="Arial"/>
        </w:rPr>
        <w:t xml:space="preserve"> </w:t>
      </w:r>
      <w:r w:rsidR="00A81E34">
        <w:rPr>
          <w:rFonts w:ascii="Arial" w:hAnsi="Arial" w:cs="Arial"/>
        </w:rPr>
        <w:t xml:space="preserve">All </w:t>
      </w:r>
      <w:r w:rsidR="009D1EF4">
        <w:rPr>
          <w:rFonts w:ascii="Arial" w:hAnsi="Arial" w:cs="Arial"/>
        </w:rPr>
        <w:t xml:space="preserve">listed </w:t>
      </w:r>
      <w:r w:rsidR="00A81E34">
        <w:rPr>
          <w:rFonts w:ascii="Arial" w:hAnsi="Arial" w:cs="Arial"/>
        </w:rPr>
        <w:t>covariates</w:t>
      </w:r>
      <w:r w:rsidR="009D1EF4">
        <w:rPr>
          <w:rFonts w:ascii="Arial" w:hAnsi="Arial" w:cs="Arial"/>
        </w:rPr>
        <w:t xml:space="preserve"> (</w:t>
      </w:r>
      <w:r w:rsidR="009D1EF4" w:rsidRPr="00627AEF">
        <w:rPr>
          <w:rFonts w:ascii="Arial" w:hAnsi="Arial" w:cs="Arial"/>
          <w:b/>
          <w:bCs/>
        </w:rPr>
        <w:t>Table S1</w:t>
      </w:r>
      <w:r w:rsidR="009D1EF4">
        <w:rPr>
          <w:rFonts w:ascii="Arial" w:hAnsi="Arial" w:cs="Arial"/>
        </w:rPr>
        <w:t>)</w:t>
      </w:r>
      <w:r w:rsidR="00A81E34">
        <w:rPr>
          <w:rFonts w:ascii="Arial" w:hAnsi="Arial" w:cs="Arial"/>
        </w:rPr>
        <w:t xml:space="preserve"> except sex were included in the sex-specific models. </w:t>
      </w:r>
      <w:r>
        <w:rPr>
          <w:rFonts w:ascii="Arial" w:hAnsi="Arial" w:cs="Arial"/>
        </w:rPr>
        <w:t xml:space="preserve">We excluded results from stratified analyses if the effective sample size of the stratified group was less than 300. </w:t>
      </w:r>
      <w:r w:rsidRPr="00E22B11">
        <w:rPr>
          <w:rFonts w:ascii="Arial" w:hAnsi="Arial" w:cs="Arial"/>
        </w:rPr>
        <w:t xml:space="preserve">Due to small </w:t>
      </w:r>
      <w:r>
        <w:rPr>
          <w:rFonts w:ascii="Arial" w:hAnsi="Arial" w:cs="Arial"/>
        </w:rPr>
        <w:t xml:space="preserve">numbers of </w:t>
      </w:r>
      <w:r w:rsidRPr="00E22B11">
        <w:rPr>
          <w:rFonts w:ascii="Arial" w:hAnsi="Arial" w:cs="Arial"/>
        </w:rPr>
        <w:t>case</w:t>
      </w:r>
      <w:r>
        <w:rPr>
          <w:rFonts w:ascii="Arial" w:hAnsi="Arial" w:cs="Arial"/>
        </w:rPr>
        <w:t>s</w:t>
      </w:r>
      <w:r w:rsidRPr="00E22B11">
        <w:rPr>
          <w:rFonts w:ascii="Arial" w:hAnsi="Arial" w:cs="Arial"/>
        </w:rPr>
        <w:t xml:space="preserve"> </w:t>
      </w:r>
      <w:r>
        <w:rPr>
          <w:rFonts w:ascii="Arial" w:hAnsi="Arial" w:cs="Arial"/>
        </w:rPr>
        <w:t>in some cohorts</w:t>
      </w:r>
      <w:r w:rsidRPr="00E22B11">
        <w:rPr>
          <w:rFonts w:ascii="Arial" w:hAnsi="Arial" w:cs="Arial"/>
        </w:rPr>
        <w:t>, particularly in the male-only analysis (</w:t>
      </w:r>
      <w:r w:rsidRPr="00D34D29">
        <w:rPr>
          <w:rFonts w:ascii="Arial" w:hAnsi="Arial" w:cs="Arial"/>
          <w:b/>
          <w:bCs/>
        </w:rPr>
        <w:t>Table S2</w:t>
      </w:r>
      <w:r w:rsidRPr="00E22B11">
        <w:rPr>
          <w:rFonts w:ascii="Arial" w:hAnsi="Arial" w:cs="Arial"/>
        </w:rPr>
        <w:t xml:space="preserve">), we restricted sex-specific </w:t>
      </w:r>
      <w:r>
        <w:rPr>
          <w:rFonts w:ascii="Arial" w:hAnsi="Arial" w:cs="Arial"/>
        </w:rPr>
        <w:t>analyses</w:t>
      </w:r>
      <w:r w:rsidRPr="00E22B11">
        <w:rPr>
          <w:rFonts w:ascii="Arial" w:hAnsi="Arial" w:cs="Arial"/>
        </w:rPr>
        <w:t xml:space="preserve"> to variants with MAF ≥ </w:t>
      </w:r>
      <w:r>
        <w:rPr>
          <w:rFonts w:ascii="Arial" w:hAnsi="Arial" w:cs="Arial"/>
        </w:rPr>
        <w:t>.05</w:t>
      </w:r>
      <w:r w:rsidRPr="00E22B11">
        <w:rPr>
          <w:rFonts w:ascii="Arial" w:hAnsi="Arial" w:cs="Arial"/>
        </w:rPr>
        <w:t xml:space="preserve">. </w:t>
      </w:r>
    </w:p>
    <w:p w14:paraId="3162FBE3" w14:textId="77777777" w:rsidR="00026B72" w:rsidRPr="00E22B11" w:rsidRDefault="00026B72" w:rsidP="00026B72">
      <w:pPr>
        <w:rPr>
          <w:rFonts w:ascii="Arial" w:hAnsi="Arial" w:cs="Arial"/>
          <w:color w:val="000000"/>
        </w:rPr>
      </w:pPr>
    </w:p>
    <w:p w14:paraId="3D65F2B4" w14:textId="77777777" w:rsidR="00026B72" w:rsidRPr="00611805" w:rsidRDefault="00026B72" w:rsidP="00026B72">
      <w:pPr>
        <w:rPr>
          <w:rFonts w:ascii="Arial" w:hAnsi="Arial" w:cs="Arial"/>
          <w:u w:val="single"/>
        </w:rPr>
      </w:pPr>
      <w:r>
        <w:rPr>
          <w:rFonts w:ascii="Arial" w:hAnsi="Arial" w:cs="Arial"/>
          <w:u w:val="single"/>
        </w:rPr>
        <w:t>C</w:t>
      </w:r>
      <w:r w:rsidRPr="00611805">
        <w:rPr>
          <w:rFonts w:ascii="Arial" w:hAnsi="Arial" w:cs="Arial"/>
          <w:u w:val="single"/>
        </w:rPr>
        <w:t>onditional</w:t>
      </w:r>
      <w:r>
        <w:rPr>
          <w:rFonts w:ascii="Arial" w:hAnsi="Arial" w:cs="Arial"/>
          <w:u w:val="single"/>
        </w:rPr>
        <w:t>ly Distinct Signals</w:t>
      </w:r>
      <w:r w:rsidRPr="00611805">
        <w:rPr>
          <w:rFonts w:ascii="Arial" w:hAnsi="Arial" w:cs="Arial"/>
          <w:u w:val="single"/>
        </w:rPr>
        <w:t xml:space="preserve"> </w:t>
      </w:r>
    </w:p>
    <w:p w14:paraId="0B1CC8EC" w14:textId="77777777" w:rsidR="00026B72" w:rsidRPr="00E22B11" w:rsidRDefault="00026B72" w:rsidP="00026B72">
      <w:pPr>
        <w:rPr>
          <w:rFonts w:ascii="Arial" w:hAnsi="Arial" w:cs="Arial"/>
        </w:rPr>
      </w:pPr>
    </w:p>
    <w:p w14:paraId="6A54BDEE" w14:textId="44E3DD0F" w:rsidR="00026B72" w:rsidRPr="00E22B11" w:rsidRDefault="00026B72" w:rsidP="00026B72">
      <w:pPr>
        <w:rPr>
          <w:rFonts w:ascii="Arial" w:hAnsi="Arial" w:cs="Arial"/>
        </w:rPr>
      </w:pPr>
      <w:r>
        <w:rPr>
          <w:rFonts w:ascii="Arial" w:hAnsi="Arial" w:cs="Arial"/>
        </w:rPr>
        <w:t xml:space="preserve">A locus refers to a lead variant and all variants within 1 Mb; however, this region can harbor several genetic signals distinctly associated with HS. </w:t>
      </w:r>
      <w:r w:rsidRPr="00E22B11">
        <w:rPr>
          <w:rFonts w:ascii="Arial" w:hAnsi="Arial" w:cs="Arial"/>
        </w:rPr>
        <w:t>To identify conditionally distinct signals within a locus, we performed approximate conditional analysis using GCTA</w:t>
      </w:r>
      <w:r>
        <w:rPr>
          <w:rFonts w:ascii="Arial" w:hAnsi="Arial" w:cs="Arial"/>
        </w:rPr>
        <w:fldChar w:fldCharType="begin"/>
      </w:r>
      <w:r w:rsidR="001C677F">
        <w:rPr>
          <w:rFonts w:ascii="Arial" w:hAnsi="Arial" w:cs="Arial"/>
        </w:rPr>
        <w:instrText xml:space="preserve"> ADDIN ZOTERO_ITEM CSL_CITATION {"citationID":"HrFUkisl","properties":{"formattedCitation":"\\super 9,10\\nosupersub{}","plainCitation":"9,10","noteIndex":0},"citationItems":[{"id":39,"uris":["http://zotero.org/users/local/HUSG1dD8/items/9MPH4VPU"],"itemData":{"id":39,"type":"article-journal","abstract":"For most human complex diseases and traits, SNPs identified by genome-wide association studies (GWAS) explain only a small fraction of the heritability. Here we report a user-friendly software tool called genome-wide complex trait analysis (GCTA), which was developed based on a method we recently developed to address the \"missing heritability\" problem. GCTA estimates the variance explained by all the SNPs on a chromosome or on the whole genome for a complex trait rather than testing the association of any particular SNP to the trait. We introduce GCTA's five main functions: data management, estimation of the genetic relationships from SNPs, mixed linear model analysis of variance explained by the SNPs, estimation of the linkage disequilibrium structure, and GWAS simulation. We focus on the function of estimating the variance explained by all the SNPs on the X chromosome and testing the hypotheses of dosage compensation. The GCTA software is a versatile tool to estimate and partition complex trait variation with large GWAS data sets.","container-title":"American Journal of Human Genetics","DOI":"10.1016/j.ajhg.2010.11.011","ISSN":"1537-6605","issue":"1","journalAbbreviation":"Am J Hum Genet","language":"eng","note":"PMID: 21167468\nPMCID: PMC3014363","page":"76-82","source":"PubMed","title":"GCTA: a tool for genome-wide complex trait analysis","title-short":"GCTA","volume":"88","author":[{"family":"Yang","given":"Jian"},{"family":"Lee","given":"S. Hong"},{"family":"Goddard","given":"Michael E."},{"family":"Visscher","given":"Peter M."}],"issued":{"date-parts":[["2011",1,7]]}}},{"id":36,"uris":["http://zotero.org/users/local/HUSG1dD8/items/F3YH82VG"],"itemData":{"id":36,"type":"article-journal","abstract":"We present an approximate conditional and joint association analysis that can use summary-level statistics from a meta-analysis of genome-wide association studies (GWAS) and estimated linkage disequilibrium (LD) from a reference sample with individual-level genotype data. Using this method, we analyzed meta-analysis summary data from the GIANT Consortium for height and body mass index (BMI), with the LD structure estimated from genotype data in two independent cohorts. We identified 36 loci with multiple associated variants for height (38 leading and 49 additional SNPs, 87 in total) via a genome-wide SNP selection procedure. The 49 new SNPs explain approximately 1.3% of variance, nearly doubling the heritability explained at the 36 loci. We did not find any locus showing multiple associated SNPs for BMI. The method we present is computationally fast and is also applicable to case-control data, which we demonstrate in an example from meta-analysis of type 2 diabetes by the DIAGRAM Consortium.","container-title":"Nature Genetics","DOI":"10.1038/ng.2213","ISSN":"1546-1718","issue":"4","journalAbbreviation":"Nat Genet","language":"eng","note":"PMID: 22426310\nPMCID: PMC3593158","page":"369-375, S1-3","source":"PubMed","title":"Conditional and joint multiple-SNP analysis of GWAS summary statistics identifies additional variants influencing complex traits","volume":"44","author":[{"family":"Yang","given":"Jian"},{"family":"Ferreira","given":"Teresa"},{"family":"Morris","given":"Andrew P."},{"family":"Medland","given":"Sarah E."},{"literal":"Genetic Investigation of ANthropometric Traits (GIANT) Consortium"},{"literal":"DIAbetes Genetics Replication And Meta-analysis (DIAGRAM) Consortium"},{"family":"Madden","given":"Pamela A. F."},{"family":"Heath","given":"Andrew C."},{"family":"Martin","given":"Nicholas G."},{"family":"Montgomery","given":"Grant W."},{"family":"Weedon","given":"Michael N."},{"family":"Loos","given":"Ruth J."},{"family":"Frayling","given":"Timothy M."},{"family":"McCarthy","given":"Mark I."},{"family":"Hirschhorn","given":"Joel N."},{"family":"Goddard","given":"Michael E."},{"family":"Visscher","given":"Peter M."}],"issued":{"date-parts":[["2012",3,18]]}}}],"schema":"https://github.com/citation-style-language/schema/raw/master/csl-citation.json"} </w:instrText>
      </w:r>
      <w:r>
        <w:rPr>
          <w:rFonts w:ascii="Arial" w:hAnsi="Arial" w:cs="Arial"/>
        </w:rPr>
        <w:fldChar w:fldCharType="separate"/>
      </w:r>
      <w:r w:rsidR="001C677F" w:rsidRPr="001C677F">
        <w:rPr>
          <w:rFonts w:ascii="Arial" w:eastAsiaTheme="minorHAnsi" w:hAnsi="Arial" w:cs="Arial"/>
          <w:vertAlign w:val="superscript"/>
          <w14:ligatures w14:val="standardContextual"/>
        </w:rPr>
        <w:t>9,10</w:t>
      </w:r>
      <w:r>
        <w:rPr>
          <w:rFonts w:ascii="Arial" w:hAnsi="Arial" w:cs="Arial"/>
        </w:rPr>
        <w:fldChar w:fldCharType="end"/>
      </w:r>
      <w:r w:rsidRPr="00E22B11">
        <w:rPr>
          <w:rFonts w:ascii="Arial" w:hAnsi="Arial" w:cs="Arial"/>
        </w:rPr>
        <w:t xml:space="preserve"> </w:t>
      </w:r>
      <w:r>
        <w:rPr>
          <w:rFonts w:ascii="Arial" w:hAnsi="Arial" w:cs="Arial"/>
        </w:rPr>
        <w:t>with</w:t>
      </w:r>
      <w:r w:rsidRPr="00E22B11">
        <w:rPr>
          <w:rFonts w:ascii="Arial" w:hAnsi="Arial" w:cs="Arial"/>
        </w:rPr>
        <w:t xml:space="preserve"> a collinearity threshold of 0.5</w:t>
      </w:r>
      <w:r>
        <w:rPr>
          <w:rFonts w:ascii="Arial" w:hAnsi="Arial" w:cs="Arial"/>
        </w:rPr>
        <w:t xml:space="preserve"> and</w:t>
      </w:r>
      <w:r w:rsidRPr="00E22B11">
        <w:rPr>
          <w:rFonts w:ascii="Arial" w:hAnsi="Arial" w:cs="Arial"/>
        </w:rPr>
        <w:t xml:space="preserve"> a subset of 40,000 unrelated European-ancestry individuals from the United Kingdom Biobank (40K EUR UKB) as the LD reference. Since UKB data are mapped to hg19, we lifted our HS summary statistics back to hg19 using the UCSC </w:t>
      </w:r>
      <w:proofErr w:type="spellStart"/>
      <w:r w:rsidRPr="00E22B11">
        <w:rPr>
          <w:rFonts w:ascii="Arial" w:hAnsi="Arial" w:cs="Arial"/>
        </w:rPr>
        <w:t>LiftOver</w:t>
      </w:r>
      <w:proofErr w:type="spellEnd"/>
      <w:r w:rsidRPr="00E22B11">
        <w:rPr>
          <w:rFonts w:ascii="Arial" w:hAnsi="Arial" w:cs="Arial"/>
        </w:rPr>
        <w:t xml:space="preserve"> </w:t>
      </w:r>
      <w:r>
        <w:rPr>
          <w:rFonts w:ascii="Arial" w:hAnsi="Arial" w:cs="Arial"/>
        </w:rPr>
        <w:t>tool</w:t>
      </w:r>
      <w:r w:rsidR="001C677F">
        <w:rPr>
          <w:rFonts w:eastAsiaTheme="minorHAnsi"/>
          <w:vertAlign w:val="superscript"/>
          <w14:ligatures w14:val="standardContextual"/>
        </w:rPr>
        <w:t>7,11</w:t>
      </w:r>
      <w:r>
        <w:rPr>
          <w:rFonts w:ascii="Arial" w:hAnsi="Arial" w:cs="Arial"/>
        </w:rPr>
        <w:fldChar w:fldCharType="begin"/>
      </w:r>
      <w:r w:rsidR="001C677F">
        <w:rPr>
          <w:rFonts w:ascii="Arial" w:hAnsi="Arial" w:cs="Arial"/>
        </w:rPr>
        <w:instrText xml:space="preserve"> ADDIN ZOTERO_ITEM CSL_CITATION {"citationID":"9WLI9yEO","properties":{"formattedCitation":"\\super 7,11\\nosupersub{}","plainCitation":"","noteIndex":0},"citationItems":[{"id":31,"uris":["http://zotero.org/users/local/HUSG1dD8/items/DRI5ZRBH"],"itemData":{"id":31,"type":"article-journal","abstract":"The University of California Santa Cruz Genome Browser Database (GBD) contains sequence and annotation data for the genomes of about a dozen vertebrate species and several major model organisms. Genome annotations typically include assembly data, sequence composition, genes and gene predictions, mRNA and expressed sequence tag evidence, comparative genomics, regulation, expression and variation data. The database is optimized to support fast interactive performance with web tools that provide powerful visualization and querying capabilities for mining the data. The Genome Browser displays a wide variety of annotations at all scales from single nucleotide level up to a full chromosome. The Table Browser provides direct access to the database tables and sequence data, enabling complex queries on genome-wide datasets. The Proteome Browser graphically displays protein properties. The Gene Sorter allows filtering and comparison of genes by several metrics including expression data and several gene properties. BLAT and In Silico PCR search for sequences in entire genomes in seconds. These tools are highly integrated and provide many hyperlinks to other databases and websites. The GBD, browsing tools, downloadable data files and links to documentation and other information can be found at http://genome.ucsc.edu/.","container-title":"Nucleic Acids Research","DOI":"10.1093/nar/gkj144","ISSN":"1362-4962","issue":"Database issue","journalAbbreviation":"Nucleic Acids Res","language":"eng","note":"PMID: 16381938\nPMCID: PMC1347506","page":"D590-598","source":"PubMed","title":"The UCSC Genome Browser Database: update 2006","title-short":"The UCSC Genome Browser Database","volume":"34","author":[{"family":"Hinrichs","given":"A. S."},{"family":"Karolchik","given":"D."},{"family":"Baertsch","given":"R."},{"family":"Barber","given":"G. P."},{"family":"Bejerano","given":"G."},{"family":"Clawson","given":"H."},{"family":"Diekhans","given":"M."},{"family":"Furey","given":"T. S."},{"family":"Harte","given":"R. A."},{"family":"Hsu","given":"F."},{"family":"Hillman-Jackson","given":"J."},{"family":"Kuhn","given":"R. M."},{"family":"Pedersen","given":"J. S."},{"family":"Pohl","given":"A."},{"family":"Raney","given":"B. J."},{"family":"Rosenbloom","given":"K. R."},{"family":"Siepel","given":"A."},{"family":"Smith","given":"K. E."},{"family":"Sugnet","given":"C. W."},{"family":"Sultan-Qurraie","given":"A."},{"family":"Thomas","given":"D. J."},{"family":"Trumbower","given":"H."},{"family":"Weber","given":"R. J."},{"family":"Weirauch","given":"M."},{"family":"Zweig","given":"A. S."},{"family":"Haussler","given":"D."},{"family":"Kent","given":"W. J."}],"issued":{"date-parts":[["2006",1,1]]}}},{"id":163,"uris":["http://zotero.org/users/local/HUSG1dD8/items/AIYCVY38"],"itemData":{"id":163,"type":"article-journal","abstract":"The UCSC Genome Browser (https://genome.ucsc.edu) is a widely utilized web-based tool for visualization and analysis of genomic data, encompassing over 4000 assemblies from diverse organisms. Since its release in 2001, it has become an essential resource for genomics and bioinformatics research. Annotation data available on Genome Browser includes both internally created and maintained tracks as well as custom tracks and track hubs provided by the research community. This last year's updates include over 25 new annotation tracks such as the gnomAD 4.1 track on the human GRCh38/hg38 assembly, the addition of three new public hubs, and significant expansions to the Genome Archive[GenArk) system for interacting with the enormous variety of assemblies. We have also made improvements to our interface, including updates to the browser graphic page, such as a new popup dialog feature that now displays item details without requiring navigation away from the main Genome Browser page. GenePred tracks have been upgraded with right-click options for zooming and precise navigation, along with enhanced mouseOver functions. Additional improvements include a new grouping feature for track hubs and hub description info links. A new tutorial focusing on Clinical Genetics has also been added to the UCSC Genome Browser.","container-title":"Nucleic Acids Research","DOI":"10.1093/nar/gkae974","ISSN":"1362-4962","issue":"D1","journalAbbreviation":"Nucleic Acids Res","language":"eng","note":"PMID: 39460617\nPMCID: PMC11701590","page":"D1243-D1249","source":"PubMed","title":"The UCSC Genome Browser database: 2025 update","title-short":"The UCSC Genome Browser database","volume":"53","author":[{"family":"Perez","given":"Gerardo"},{"family":"Barber","given":"Galt P."},{"family":"Benet-Pages","given":"Anna"},{"family":"Casper","given":"Jonathan"},{"family":"Clawson","given":"Hiram"},{"family":"Diekhans","given":"Mark"},{"family":"Fischer","given":"Clay"},{"family":"Gonzalez","given":"Jairo Navarro"},{"family":"Hinrichs","given":"Angie S."},{"family":"Lee","given":"Christopher M."},{"family":"Nassar","given":"Luis R."},{"family":"Raney","given":"Brian J."},{"family":"Speir","given":"Matthew L."},{"family":"Baren","given":"Marijke J.","non-dropping-particle":"van"},{"family":"Vaske","given":"Charles J."},{"family":"Haussler","given":"David"},{"family":"Kent","given":"W. James"},{"family":"Haeussler","given":"Maximilian"}],"issued":{"date-parts":[["2025",1,6]]}}}],"schema":"https://github.com/citation-style-language/schema/raw/master/csl-citation.json"} </w:instrText>
      </w:r>
      <w:r>
        <w:rPr>
          <w:rFonts w:ascii="Arial" w:hAnsi="Arial" w:cs="Arial"/>
        </w:rPr>
        <w:fldChar w:fldCharType="separate"/>
      </w:r>
      <w:r>
        <w:rPr>
          <w:rFonts w:ascii="Arial" w:hAnsi="Arial" w:cs="Arial"/>
        </w:rPr>
        <w:fldChar w:fldCharType="end"/>
      </w:r>
      <w:r w:rsidRPr="00E22B11">
        <w:rPr>
          <w:rFonts w:ascii="Arial" w:hAnsi="Arial" w:cs="Arial"/>
        </w:rPr>
        <w:t xml:space="preserve"> prior to performing conditional analysis. For loci </w:t>
      </w:r>
      <w:r>
        <w:rPr>
          <w:rFonts w:ascii="Arial" w:hAnsi="Arial" w:cs="Arial"/>
        </w:rPr>
        <w:t>in</w:t>
      </w:r>
      <w:r w:rsidRPr="00E22B11">
        <w:rPr>
          <w:rFonts w:ascii="Arial" w:hAnsi="Arial" w:cs="Arial"/>
        </w:rPr>
        <w:t xml:space="preserve"> which </w:t>
      </w:r>
      <w:r>
        <w:rPr>
          <w:rFonts w:ascii="Arial" w:hAnsi="Arial" w:cs="Arial"/>
        </w:rPr>
        <w:t>more than one</w:t>
      </w:r>
      <w:r w:rsidRPr="00E22B11">
        <w:rPr>
          <w:rFonts w:ascii="Arial" w:hAnsi="Arial" w:cs="Arial"/>
        </w:rPr>
        <w:t xml:space="preserve"> signal w</w:t>
      </w:r>
      <w:r>
        <w:rPr>
          <w:rFonts w:ascii="Arial" w:hAnsi="Arial" w:cs="Arial"/>
        </w:rPr>
        <w:t>as</w:t>
      </w:r>
      <w:r w:rsidRPr="00E22B11">
        <w:rPr>
          <w:rFonts w:ascii="Arial" w:hAnsi="Arial" w:cs="Arial"/>
        </w:rPr>
        <w:t xml:space="preserve"> identified, we also used GCTA to obtain isolated summary </w:t>
      </w:r>
      <w:r>
        <w:rPr>
          <w:rFonts w:ascii="Arial" w:hAnsi="Arial" w:cs="Arial"/>
        </w:rPr>
        <w:t xml:space="preserve">association </w:t>
      </w:r>
      <w:r w:rsidRPr="00E22B11">
        <w:rPr>
          <w:rFonts w:ascii="Arial" w:hAnsi="Arial" w:cs="Arial"/>
        </w:rPr>
        <w:t>results, conditioning on all other lead variants in the locus. Lastly, we lifted the isolated GCTA summary results back to hg38. For all downstream analyses, unless stated otherwise, we use marginal summary statistics for single-signal loci and GCTA</w:t>
      </w:r>
      <w:r>
        <w:rPr>
          <w:rFonts w:ascii="Arial" w:hAnsi="Arial" w:cs="Arial"/>
        </w:rPr>
        <w:t>-</w:t>
      </w:r>
      <w:r w:rsidRPr="00E22B11">
        <w:rPr>
          <w:rFonts w:ascii="Arial" w:hAnsi="Arial" w:cs="Arial"/>
        </w:rPr>
        <w:t xml:space="preserve">isolated summary </w:t>
      </w:r>
      <w:r>
        <w:rPr>
          <w:rFonts w:ascii="Arial" w:hAnsi="Arial" w:cs="Arial"/>
        </w:rPr>
        <w:t>statistics</w:t>
      </w:r>
      <w:r w:rsidRPr="00E22B11">
        <w:rPr>
          <w:rFonts w:ascii="Arial" w:hAnsi="Arial" w:cs="Arial"/>
        </w:rPr>
        <w:t xml:space="preserve"> for multi-signal loci. </w:t>
      </w:r>
    </w:p>
    <w:p w14:paraId="50073624" w14:textId="77777777" w:rsidR="00026B72" w:rsidRPr="00E22B11" w:rsidRDefault="00026B72" w:rsidP="00026B72">
      <w:pPr>
        <w:rPr>
          <w:rFonts w:ascii="Arial" w:hAnsi="Arial" w:cs="Arial"/>
        </w:rPr>
      </w:pPr>
    </w:p>
    <w:p w14:paraId="3FB4E562" w14:textId="77777777" w:rsidR="00026B72" w:rsidRDefault="00026B72" w:rsidP="00026B72">
      <w:pPr>
        <w:rPr>
          <w:rFonts w:ascii="Arial" w:hAnsi="Arial" w:cs="Arial"/>
          <w:u w:val="single"/>
        </w:rPr>
      </w:pPr>
      <w:r w:rsidRPr="00E22B11">
        <w:rPr>
          <w:rFonts w:ascii="Arial" w:hAnsi="Arial" w:cs="Arial"/>
          <w:u w:val="single"/>
        </w:rPr>
        <w:t>Fine-</w:t>
      </w:r>
      <w:r>
        <w:rPr>
          <w:rFonts w:ascii="Arial" w:hAnsi="Arial" w:cs="Arial"/>
          <w:u w:val="single"/>
        </w:rPr>
        <w:t>M</w:t>
      </w:r>
      <w:r w:rsidRPr="00E22B11">
        <w:rPr>
          <w:rFonts w:ascii="Arial" w:hAnsi="Arial" w:cs="Arial"/>
          <w:u w:val="single"/>
        </w:rPr>
        <w:t>apping</w:t>
      </w:r>
    </w:p>
    <w:p w14:paraId="19D0C66F" w14:textId="77777777" w:rsidR="00026B72" w:rsidRPr="00E22B11" w:rsidRDefault="00026B72" w:rsidP="00026B72">
      <w:pPr>
        <w:rPr>
          <w:rFonts w:ascii="Arial" w:hAnsi="Arial" w:cs="Arial"/>
          <w:u w:val="single"/>
        </w:rPr>
      </w:pPr>
    </w:p>
    <w:p w14:paraId="79593E07" w14:textId="25B408CF" w:rsidR="00026B72" w:rsidRPr="00E22B11" w:rsidRDefault="00026B72" w:rsidP="00026B72">
      <w:pPr>
        <w:rPr>
          <w:rFonts w:ascii="Arial" w:hAnsi="Arial" w:cs="Arial"/>
        </w:rPr>
      </w:pPr>
      <w:r>
        <w:rPr>
          <w:rFonts w:ascii="Arial" w:hAnsi="Arial" w:cs="Arial"/>
        </w:rPr>
        <w:t>T</w:t>
      </w:r>
      <w:r w:rsidRPr="00E22B11">
        <w:rPr>
          <w:rFonts w:ascii="Arial" w:hAnsi="Arial" w:cs="Arial"/>
        </w:rPr>
        <w:t xml:space="preserve">o </w:t>
      </w:r>
      <w:r>
        <w:rPr>
          <w:rFonts w:ascii="Arial" w:hAnsi="Arial" w:cs="Arial"/>
        </w:rPr>
        <w:t>identify</w:t>
      </w:r>
      <w:r w:rsidRPr="00E22B11">
        <w:rPr>
          <w:rFonts w:ascii="Arial" w:hAnsi="Arial" w:cs="Arial"/>
        </w:rPr>
        <w:t xml:space="preserve"> likely causal variants at each locus</w:t>
      </w:r>
      <w:r>
        <w:rPr>
          <w:rFonts w:ascii="Arial" w:hAnsi="Arial" w:cs="Arial"/>
        </w:rPr>
        <w:t>, we</w:t>
      </w:r>
      <w:r w:rsidRPr="00E22B11" w:rsidDel="00011A00">
        <w:rPr>
          <w:rFonts w:ascii="Arial" w:hAnsi="Arial" w:cs="Arial"/>
        </w:rPr>
        <w:t xml:space="preserve"> </w:t>
      </w:r>
      <w:r w:rsidRPr="00E22B11">
        <w:rPr>
          <w:rFonts w:ascii="Arial" w:hAnsi="Arial" w:cs="Arial"/>
        </w:rPr>
        <w:t>used the Bayesian fine-mapping method SuSiE</w:t>
      </w:r>
      <w:r>
        <w:rPr>
          <w:rFonts w:ascii="Arial" w:hAnsi="Arial" w:cs="Arial"/>
        </w:rPr>
        <w:fldChar w:fldCharType="begin"/>
      </w:r>
      <w:r w:rsidR="001C677F">
        <w:rPr>
          <w:rFonts w:ascii="Arial" w:hAnsi="Arial" w:cs="Arial"/>
        </w:rPr>
        <w:instrText xml:space="preserve"> ADDIN ZOTERO_ITEM CSL_CITATION {"citationID":"rWXgdpKl","properties":{"formattedCitation":"\\super 12\\nosupersub{}","plainCitation":"12","noteIndex":0},"citationItems":[{"id":42,"uris":["http://zotero.org/users/local/HUSG1dD8/items/HHYFYLPJ"],"itemData":{"id":42,"type":"article-journal","abstract":"In recent work, Wang et al introduced the “Sum of Single Effects” (SuSiE) model, and showed that it provides a simple and efficient approach to fine-mapping genetic variants from individual-level data. Here we present new methods for fitting the SuSiE model to summary data, for example to single-SNP z-scores from an association study and linkage disequilibrium (LD) values estimated from a suitable reference panel. To develop these new methods, we first describe a simple, generic strategy for extending any individual-level data method to deal with summary data. The key idea is to replace the usual regression likelihood with an analogous likelihood based on summary data. We show that existing fine-mapping methods such as FINEMAP and CAVIAR also (implicitly) use this strategy, but in different ways, and so this provides a common framework for understanding different methods for fine-mapping. We investigate other common practical issues in fine-mapping with summary data, including problems caused by inconsistencies between the z-scores and LD estimates, and we develop diagnostics to identify these inconsistencies. We also present a new refinement procedure that improves model fits in some data sets, and hence improves overall reliability of the SuSiE fine-mapping results. Detailed evaluations of fine-mapping methods in a range of simulated data sets show that SuSiE applied to summary data is competitive, in both speed and accuracy, with the best available fine-mapping methods for summary data.","container-title":"PLOS Genetics","DOI":"10.1371/journal.pgen.1010299","ISSN":"1553-7404","issue":"7","journalAbbreviation":"PLOS Genetics","language":"en","note":"publisher: Public Library of Science","page":"e1010299","source":"PLoS Journals","title":"Fine-mapping from summary data with the “Sum of Single Effects” model","volume":"18","author":[{"family":"Zou","given":"Yuxin"},{"family":"Carbonetto","given":"Peter"},{"family":"Wang","given":"Gao"},{"family":"Stephens","given":"Matthew"}],"issued":{"date-parts":[["2022",7,19]]}}}],"schema":"https://github.com/citation-style-language/schema/raw/master/csl-citation.json"} </w:instrText>
      </w:r>
      <w:r>
        <w:rPr>
          <w:rFonts w:ascii="Arial" w:hAnsi="Arial" w:cs="Arial"/>
        </w:rPr>
        <w:fldChar w:fldCharType="separate"/>
      </w:r>
      <w:r w:rsidR="001C677F" w:rsidRPr="001C677F">
        <w:rPr>
          <w:rFonts w:ascii="Arial" w:eastAsiaTheme="minorHAnsi" w:hAnsi="Arial" w:cs="Arial"/>
          <w:vertAlign w:val="superscript"/>
          <w14:ligatures w14:val="standardContextual"/>
        </w:rPr>
        <w:t>12</w:t>
      </w:r>
      <w:r>
        <w:rPr>
          <w:rFonts w:ascii="Arial" w:hAnsi="Arial" w:cs="Arial"/>
        </w:rPr>
        <w:fldChar w:fldCharType="end"/>
      </w:r>
      <w:r w:rsidRPr="00E22B11">
        <w:rPr>
          <w:rFonts w:ascii="Arial" w:hAnsi="Arial" w:cs="Arial"/>
        </w:rPr>
        <w:t xml:space="preserve"> (</w:t>
      </w:r>
      <w:proofErr w:type="spellStart"/>
      <w:r w:rsidRPr="00E22B11">
        <w:rPr>
          <w:rFonts w:ascii="Arial" w:hAnsi="Arial" w:cs="Arial"/>
        </w:rPr>
        <w:t>susieR</w:t>
      </w:r>
      <w:proofErr w:type="spellEnd"/>
      <w:r w:rsidRPr="00E22B11">
        <w:rPr>
          <w:rFonts w:ascii="Arial" w:hAnsi="Arial" w:cs="Arial"/>
        </w:rPr>
        <w:t xml:space="preserve"> package 0.12.35)</w:t>
      </w:r>
      <w:r>
        <w:rPr>
          <w:rFonts w:ascii="Arial" w:hAnsi="Arial" w:cs="Arial"/>
        </w:rPr>
        <w:t xml:space="preserve"> to identify 95% credible sets</w:t>
      </w:r>
      <w:r w:rsidRPr="00E22B11">
        <w:rPr>
          <w:rFonts w:ascii="Arial" w:hAnsi="Arial" w:cs="Arial"/>
        </w:rPr>
        <w:t>. We calculated LD reference matrices of variants</w:t>
      </w:r>
      <w:r>
        <w:rPr>
          <w:rFonts w:ascii="Arial" w:hAnsi="Arial" w:cs="Arial"/>
        </w:rPr>
        <w:t xml:space="preserve"> spanning 500 kb before the first lead variant to 500 kb after the last lead variant</w:t>
      </w:r>
      <w:r w:rsidRPr="00E22B11">
        <w:rPr>
          <w:rFonts w:ascii="Arial" w:hAnsi="Arial" w:cs="Arial"/>
        </w:rPr>
        <w:t xml:space="preserve"> using </w:t>
      </w:r>
      <w:r>
        <w:rPr>
          <w:rFonts w:ascii="Arial" w:hAnsi="Arial" w:cs="Arial"/>
        </w:rPr>
        <w:t>PLINK</w:t>
      </w:r>
      <w:r>
        <w:rPr>
          <w:rFonts w:ascii="Arial" w:hAnsi="Arial" w:cs="Arial"/>
        </w:rPr>
        <w:fldChar w:fldCharType="begin"/>
      </w:r>
      <w:r w:rsidR="001C677F">
        <w:rPr>
          <w:rFonts w:ascii="Arial" w:hAnsi="Arial" w:cs="Arial"/>
        </w:rPr>
        <w:instrText xml:space="preserve"> ADDIN ZOTERO_ITEM CSL_CITATION {"citationID":"pzDvkiJ7","properties":{"formattedCitation":"\\super 13\\nosupersub{}","plainCitation":"13","noteIndex":0},"citationItems":[{"id":44,"uris":["http://zotero.org/users/local/HUSG1dD8/items/E6FHJW2T"],"itemData":{"id":44,"type":"article-journal","abstract":"Whole-genome association studies (WGAS) bring new computational, as well as analytic, challenges to researchers. Many existing genetic-analysis tools are not designed to handle such large data sets in a convenient manner and do not necessarily exploit the new opportunities that whole-genome data bring. To address these issues, we developed PLINK, an open-source C/C++ WGAS tool set. With PLINK, large data sets comprising hundreds of thousands of markers genotyped for thousands of individuals can be rapidly manipulated and analyzed in their entirety. As well as providing tools to make the basic analytic steps computationally efficient, PLINK also supports some novel approaches to whole-genome data that take advantage of whole-genome coverage. We introduce PLINK and describe the five main domains of function: data management, summary statistics, population stratification, association analysis, and identity-by-descent estimation. In particular, we focus on the estimation and use of identity-by-state and identity-by-descent information in the context of population-based whole-genome studies. This information can be used to detect and correct for population stratification and to identify extended chromosomal segments that are shared identical by descent between very distantly related individuals. Analysis of the patterns of segmental sharing has the potential to map disease loci that contain multiple rare variants in a population-based linkage analysis.","container-title":"American Journal of Human Genetics","DOI":"10.1086/519795","ISSN":"0002-9297","issue":"3","journalAbbreviation":"Am J Hum Genet","language":"eng","note":"PMID: 17701901\nPMCID: PMC1950838","page":"559-575","source":"PubMed","title":"PLINK: a tool set for whole-genome association and population-based linkage analyses","title-short":"PLINK","volume":"81","author":[{"family":"Purcell","given":"Shaun"},{"family":"Neale","given":"Benjamin"},{"family":"Todd-Brown","given":"Kathe"},{"family":"Thomas","given":"Lori"},{"family":"Ferreira","given":"Manuel A. R."},{"family":"Bender","given":"David"},{"family":"Maller","given":"Julian"},{"family":"Sklar","given":"Pamela"},{"family":"Bakker","given":"Paul I. W.","non-dropping-particle":"de"},{"family":"Daly","given":"Mark J."},{"family":"Sham","given":"Pak C."}],"issued":{"date-parts":[["2007",9]]}}}],"schema":"https://github.com/citation-style-language/schema/raw/master/csl-citation.json"} </w:instrText>
      </w:r>
      <w:r>
        <w:rPr>
          <w:rFonts w:ascii="Arial" w:hAnsi="Arial" w:cs="Arial"/>
        </w:rPr>
        <w:fldChar w:fldCharType="separate"/>
      </w:r>
      <w:r w:rsidR="001C677F" w:rsidRPr="001C677F">
        <w:rPr>
          <w:rFonts w:ascii="Arial" w:eastAsiaTheme="minorHAnsi" w:hAnsi="Arial" w:cs="Arial"/>
          <w:vertAlign w:val="superscript"/>
          <w14:ligatures w14:val="standardContextual"/>
        </w:rPr>
        <w:t>13</w:t>
      </w:r>
      <w:r>
        <w:rPr>
          <w:rFonts w:ascii="Arial" w:hAnsi="Arial" w:cs="Arial"/>
        </w:rPr>
        <w:fldChar w:fldCharType="end"/>
      </w:r>
      <w:r>
        <w:rPr>
          <w:rFonts w:ascii="Arial" w:hAnsi="Arial" w:cs="Arial"/>
        </w:rPr>
        <w:t>. For summary statistics, w</w:t>
      </w:r>
      <w:r w:rsidRPr="00E22B11">
        <w:rPr>
          <w:rFonts w:ascii="Arial" w:hAnsi="Arial" w:cs="Arial"/>
        </w:rPr>
        <w:t>e input marginal all-</w:t>
      </w:r>
      <w:r>
        <w:rPr>
          <w:rFonts w:ascii="Arial" w:hAnsi="Arial" w:cs="Arial"/>
        </w:rPr>
        <w:t>population</w:t>
      </w:r>
      <w:r w:rsidRPr="00E22B11">
        <w:rPr>
          <w:rFonts w:ascii="Arial" w:hAnsi="Arial" w:cs="Arial"/>
        </w:rPr>
        <w:t xml:space="preserve"> and </w:t>
      </w:r>
      <w:r>
        <w:rPr>
          <w:rFonts w:ascii="Arial" w:hAnsi="Arial" w:cs="Arial"/>
        </w:rPr>
        <w:t>marginal EUR+AMR</w:t>
      </w:r>
      <w:r w:rsidRPr="00E22B11">
        <w:rPr>
          <w:rFonts w:ascii="Arial" w:hAnsi="Arial" w:cs="Arial"/>
        </w:rPr>
        <w:t xml:space="preserve"> </w:t>
      </w:r>
      <w:r>
        <w:rPr>
          <w:rFonts w:ascii="Arial" w:hAnsi="Arial" w:cs="Arial"/>
        </w:rPr>
        <w:t xml:space="preserve">GWAS </w:t>
      </w:r>
      <w:r w:rsidRPr="00E22B11">
        <w:rPr>
          <w:rFonts w:ascii="Arial" w:hAnsi="Arial" w:cs="Arial"/>
        </w:rPr>
        <w:t xml:space="preserve">meta-analysis data lifted back to hg19. </w:t>
      </w:r>
      <w:r>
        <w:rPr>
          <w:rFonts w:ascii="Arial" w:hAnsi="Arial" w:cs="Arial"/>
        </w:rPr>
        <w:t xml:space="preserve">We </w:t>
      </w:r>
      <w:r w:rsidRPr="00E22B11">
        <w:rPr>
          <w:rFonts w:ascii="Arial" w:hAnsi="Arial" w:cs="Arial"/>
        </w:rPr>
        <w:t>set the minimum absolute correlation between variants in a credible set to 0.1</w:t>
      </w:r>
      <w:r>
        <w:rPr>
          <w:rFonts w:ascii="Arial" w:hAnsi="Arial" w:cs="Arial"/>
        </w:rPr>
        <w:t xml:space="preserve"> and </w:t>
      </w:r>
      <w:r w:rsidRPr="00E22B11">
        <w:rPr>
          <w:rFonts w:ascii="Arial" w:hAnsi="Arial" w:cs="Arial"/>
        </w:rPr>
        <w:t xml:space="preserve">set the maximum number of credible sets in </w:t>
      </w:r>
      <w:r>
        <w:rPr>
          <w:rFonts w:ascii="Arial" w:hAnsi="Arial" w:cs="Arial"/>
        </w:rPr>
        <w:t>a</w:t>
      </w:r>
      <w:r w:rsidRPr="00E22B11">
        <w:rPr>
          <w:rFonts w:ascii="Arial" w:hAnsi="Arial" w:cs="Arial"/>
        </w:rPr>
        <w:t xml:space="preserve"> region to three</w:t>
      </w:r>
      <w:r>
        <w:rPr>
          <w:rFonts w:ascii="Arial" w:hAnsi="Arial" w:cs="Arial"/>
        </w:rPr>
        <w:t>. We defined the lead variant of the credible set as the variant</w:t>
      </w:r>
      <w:r w:rsidRPr="00D00D0A">
        <w:rPr>
          <w:rFonts w:ascii="Arial" w:hAnsi="Arial" w:cs="Arial"/>
        </w:rPr>
        <w:t xml:space="preserve"> </w:t>
      </w:r>
      <w:r>
        <w:rPr>
          <w:rFonts w:ascii="Arial" w:hAnsi="Arial" w:cs="Arial"/>
        </w:rPr>
        <w:t xml:space="preserve">with the maximum posterior inclusion probability. To match a signal to credible set, we required that the lead variant be in the credible set. </w:t>
      </w:r>
    </w:p>
    <w:p w14:paraId="6FAD8B1A" w14:textId="77777777" w:rsidR="00026B72" w:rsidRPr="00E22B11" w:rsidRDefault="00026B72" w:rsidP="00026B72">
      <w:pPr>
        <w:rPr>
          <w:rFonts w:ascii="Arial" w:hAnsi="Arial" w:cs="Arial"/>
        </w:rPr>
      </w:pPr>
    </w:p>
    <w:p w14:paraId="6FBE4852" w14:textId="77777777" w:rsidR="00026B72" w:rsidRPr="00E22B11" w:rsidRDefault="00026B72" w:rsidP="00026B72">
      <w:pPr>
        <w:rPr>
          <w:rFonts w:ascii="Arial" w:hAnsi="Arial" w:cs="Arial"/>
          <w:u w:val="single"/>
        </w:rPr>
      </w:pPr>
      <w:r w:rsidRPr="00E22B11">
        <w:rPr>
          <w:rFonts w:ascii="Arial" w:hAnsi="Arial" w:cs="Arial"/>
          <w:u w:val="single"/>
        </w:rPr>
        <w:t xml:space="preserve">Genetic </w:t>
      </w:r>
      <w:r>
        <w:rPr>
          <w:rFonts w:ascii="Arial" w:hAnsi="Arial" w:cs="Arial"/>
          <w:u w:val="single"/>
        </w:rPr>
        <w:t>C</w:t>
      </w:r>
      <w:r w:rsidRPr="00E22B11">
        <w:rPr>
          <w:rFonts w:ascii="Arial" w:hAnsi="Arial" w:cs="Arial"/>
          <w:u w:val="single"/>
        </w:rPr>
        <w:t xml:space="preserve">orrelation with </w:t>
      </w:r>
      <w:r>
        <w:rPr>
          <w:rFonts w:ascii="Arial" w:hAnsi="Arial" w:cs="Arial"/>
          <w:u w:val="single"/>
        </w:rPr>
        <w:t>C</w:t>
      </w:r>
      <w:r w:rsidRPr="00E22B11">
        <w:rPr>
          <w:rFonts w:ascii="Arial" w:hAnsi="Arial" w:cs="Arial"/>
          <w:u w:val="single"/>
        </w:rPr>
        <w:t xml:space="preserve">omorbid </w:t>
      </w:r>
      <w:r>
        <w:rPr>
          <w:rFonts w:ascii="Arial" w:hAnsi="Arial" w:cs="Arial"/>
          <w:u w:val="single"/>
        </w:rPr>
        <w:t>T</w:t>
      </w:r>
      <w:r w:rsidRPr="00E22B11">
        <w:rPr>
          <w:rFonts w:ascii="Arial" w:hAnsi="Arial" w:cs="Arial"/>
          <w:u w:val="single"/>
        </w:rPr>
        <w:t>raits</w:t>
      </w:r>
    </w:p>
    <w:p w14:paraId="71E976EF" w14:textId="77777777" w:rsidR="00026B72" w:rsidRPr="00E22B11" w:rsidRDefault="00026B72" w:rsidP="00026B72">
      <w:pPr>
        <w:rPr>
          <w:rFonts w:ascii="Arial" w:hAnsi="Arial" w:cs="Arial"/>
        </w:rPr>
      </w:pPr>
    </w:p>
    <w:p w14:paraId="2484A67D" w14:textId="67AC3277" w:rsidR="00026B72" w:rsidRPr="00103AAA" w:rsidRDefault="00026B72" w:rsidP="00026B72">
      <w:pPr>
        <w:rPr>
          <w:rFonts w:ascii="Arial" w:hAnsi="Arial" w:cs="Arial"/>
        </w:rPr>
      </w:pPr>
      <w:r w:rsidRPr="00E22B11">
        <w:rPr>
          <w:rFonts w:ascii="Arial" w:hAnsi="Arial" w:cs="Arial"/>
        </w:rPr>
        <w:t>We applied LD score regression (LDSC)</w:t>
      </w:r>
      <w:r>
        <w:rPr>
          <w:rFonts w:ascii="Arial" w:hAnsi="Arial" w:cs="Arial"/>
        </w:rPr>
        <w:fldChar w:fldCharType="begin"/>
      </w:r>
      <w:r w:rsidR="001C677F">
        <w:rPr>
          <w:rFonts w:ascii="Arial" w:hAnsi="Arial" w:cs="Arial"/>
        </w:rPr>
        <w:instrText xml:space="preserve"> ADDIN ZOTERO_ITEM CSL_CITATION {"citationID":"g6hPzWaQ","properties":{"formattedCitation":"\\super 14,15\\nosupersub{}","plainCitation":"14,15","noteIndex":0},"citationItems":[{"id":49,"uris":["http://zotero.org/users/local/HUSG1dD8/items/I328PSBG"],"itemData":{"id":49,"type":"article-journal","abstract":"Brendan Bulik-Sullivan, Benjamin Neale, Hilary Finucane, Alkes Price and colleagues introduce a new technique for estimating genetic correlation that requires only genome-wide association summary statistics and that is not biased by sample overlap. Using this method, they find genetic correlations between anorexia nervosa and schizophrenia, and between educational attainment and autism spectrum disorder.","container-title":"Nature Genetics","DOI":"10.1038/ng.3406","ISSN":"1546-1718","issue":"11","journalAbbreviation":"Nat Genet","language":"en","license":"2015 Springer Nature America, Inc.","note":"publisher: Nature Publishing Group","page":"1236-1241","source":"www.nature.com","title":"An atlas of genetic correlations across human diseases and traits","volume":"47","author":[{"family":"Bulik-Sullivan","given":"Brendan"},{"family":"Finucane","given":"Hilary K."},{"family":"Anttila","given":"Verneri"},{"family":"Gusev","given":"Alexander"},{"family":"Day","given":"Felix R."},{"family":"Loh","given":"Po-Ru"},{"family":"Duncan","given":"Laramie"},{"family":"Perry","given":"John R. B."},{"family":"Patterson","given":"Nick"},{"family":"Robinson","given":"Elise B."},{"family":"Daly","given":"Mark J."},{"family":"Price","given":"Alkes L."},{"family":"Neale","given":"Benjamin M."}],"issued":{"date-parts":[["2015",11]]}}},{"id":47,"uris":["http://zotero.org/users/local/HUSG1dD8/items/RKZMZJJL"],"itemData":{"id":47,"type":"article-journal","abstract":"Benjamin Neale and colleagues report the LD Score regression method, used to distinguish the relative contributions of confounding bias and polygenicity to inflated test statistics in GWAS. They apply their method to summary statistics from GWAS for over 30 phenotypes, confirm that polygenicity accounts for the majority of inflation in test statistics and demonstrate use of this method as a correction factor.","container-title":"Nature Genetics","DOI":"10.1038/ng.3211","ISSN":"1546-1718","issue":"3","journalAbbreviation":"Nat Genet","language":"en","license":"2015 Springer Nature America, Inc.","note":"publisher: Nature Publishing Group","page":"291-295","source":"www.nature.com","title":"LD Score regression distinguishes confounding from polygenicity in genome-wide association studies","volume":"47","author":[{"family":"Bulik-Sullivan","given":"Brendan K."},{"family":"Loh","given":"Po-Ru"},{"family":"Finucane","given":"Hilary K."},{"family":"Ripke","given":"Stephan"},{"family":"Yang","given":"Jian"},{"family":"Patterson","given":"Nick"},{"family":"Daly","given":"Mark J."},{"family":"Price","given":"Alkes L."},{"family":"Neale","given":"Benjamin M."}],"issued":{"date-parts":[["2015",3]]}}}],"schema":"https://github.com/citation-style-language/schema/raw/master/csl-citation.json"} </w:instrText>
      </w:r>
      <w:r>
        <w:rPr>
          <w:rFonts w:ascii="Arial" w:hAnsi="Arial" w:cs="Arial"/>
        </w:rPr>
        <w:fldChar w:fldCharType="separate"/>
      </w:r>
      <w:r w:rsidR="001C677F" w:rsidRPr="001C677F">
        <w:rPr>
          <w:rFonts w:ascii="Arial" w:eastAsiaTheme="minorHAnsi" w:hAnsi="Arial" w:cs="Arial"/>
          <w:vertAlign w:val="superscript"/>
          <w14:ligatures w14:val="standardContextual"/>
        </w:rPr>
        <w:t>14,15</w:t>
      </w:r>
      <w:r>
        <w:rPr>
          <w:rFonts w:ascii="Arial" w:hAnsi="Arial" w:cs="Arial"/>
        </w:rPr>
        <w:fldChar w:fldCharType="end"/>
      </w:r>
      <w:r w:rsidRPr="00E22B11">
        <w:rPr>
          <w:rFonts w:ascii="Arial" w:hAnsi="Arial" w:cs="Arial"/>
        </w:rPr>
        <w:t xml:space="preserve"> to estimate the genetic correlation between HS and celiac disease</w:t>
      </w:r>
      <w:r>
        <w:rPr>
          <w:rFonts w:ascii="Arial" w:hAnsi="Arial" w:cs="Arial"/>
        </w:rPr>
        <w:fldChar w:fldCharType="begin"/>
      </w:r>
      <w:r w:rsidR="001C677F">
        <w:rPr>
          <w:rFonts w:ascii="Arial" w:hAnsi="Arial" w:cs="Arial"/>
        </w:rPr>
        <w:instrText xml:space="preserve"> ADDIN ZOTERO_ITEM CSL_CITATION {"citationID":"ETYRx5Na","properties":{"formattedCitation":"\\super 16\\nosupersub{}","plainCitation":"16","noteIndex":0},"citationItems":[{"id":51,"uris":["http://zotero.org/users/local/HUSG1dD8/items/GF3IHEJG"],"itemData":{"id":51,"type":"article-journal","abstract":"Compared with linear mixed model-based genome-wide association (GWA) methods, generalized linear mixed model (GLMM)-based methods have better statistical properties when applied to binary traits but are computationally much slower. In the present study, leveraging efficient sparse matrix-based algorithms, we developed a GLMM-based GWA tool, fastGWA-GLMM, that is severalfold to orders of magnitude faster than the state-of-the-art tools when applied to the UK Biobank (UKB) data and scalable to cohorts with millions of individuals. We show by simulation that the fastGWA-GLMM test statistics of both common and rare variants are well calibrated under the null, even for traits with extreme case-control ratios. We applied fastGWA-GLMM to the UKB data of 456,348 individuals, 11,842,647 variants and 2,989 binary traits (full summary statistics available at http://fastgwa.info/ukbimpbin ), and identified 259 rare variants associated with 75 traits, demonstrating the use of imputed genotype data in a large cohort to discover rare variants for binary complex traits.","container-title":"Nature Genetics","DOI":"10.1038/s41588-021-00954-4","ISSN":"1546-1718","issue":"11","journalAbbreviation":"Nat Genet","language":"eng","note":"PMID: 34737426","page":"1616-1621","source":"PubMed","title":"A generalized linear mixed model association tool for biobank-scale data","volume":"53","author":[{"family":"Jiang","given":"Longda"},{"family":"Zheng","given":"Zhili"},{"family":"Fang","given":"Hailing"},{"family":"Yang","given":"Jian"}],"issued":{"date-parts":[["2021",11]]}}}],"schema":"https://github.com/citation-style-language/schema/raw/master/csl-citation.json"} </w:instrText>
      </w:r>
      <w:r>
        <w:rPr>
          <w:rFonts w:ascii="Arial" w:hAnsi="Arial" w:cs="Arial"/>
        </w:rPr>
        <w:fldChar w:fldCharType="separate"/>
      </w:r>
      <w:r w:rsidR="001C677F" w:rsidRPr="001C677F">
        <w:rPr>
          <w:rFonts w:ascii="Arial" w:eastAsiaTheme="minorHAnsi" w:hAnsi="Arial" w:cs="Arial"/>
          <w:vertAlign w:val="superscript"/>
          <w14:ligatures w14:val="standardContextual"/>
        </w:rPr>
        <w:t>16</w:t>
      </w:r>
      <w:r>
        <w:rPr>
          <w:rFonts w:ascii="Arial" w:hAnsi="Arial" w:cs="Arial"/>
        </w:rPr>
        <w:fldChar w:fldCharType="end"/>
      </w:r>
      <w:r>
        <w:rPr>
          <w:rFonts w:ascii="Arial" w:hAnsi="Arial" w:cs="Arial"/>
        </w:rPr>
        <w:t>, IBD</w:t>
      </w:r>
      <w:r>
        <w:rPr>
          <w:rFonts w:ascii="Arial" w:hAnsi="Arial" w:cs="Arial"/>
        </w:rPr>
        <w:fldChar w:fldCharType="begin"/>
      </w:r>
      <w:r w:rsidR="001C677F">
        <w:rPr>
          <w:rFonts w:ascii="Arial" w:hAnsi="Arial" w:cs="Arial"/>
        </w:rPr>
        <w:instrText xml:space="preserve"> ADDIN ZOTERO_ITEM CSL_CITATION {"citationID":"q4OEJfkH","properties":{"formattedCitation":"\\super 17\\nosupersub{}","plainCitation":"17","noteIndex":0},"citationItems":[{"id":54,"uris":["http://zotero.org/users/local/HUSG1dD8/items/2ITYYS53"],"itemData":{"id":54,"type":"article-journal","abstract":"Ulcerative colitis and Crohn's disease are the two main forms of inflammatory bowel disease (IBD). Here we report the first trans-ancestry association study of IBD, with genome-wide or Immunochip genotype data from an extended cohort of 86,640 European individuals and Immunochip data from 9,846 individuals of East Asian, Indian or Iranian descent. We implicate 38 loci in IBD risk for the first time. For the majority of the IBD risk loci, the direction and magnitude of effect are consistent in European and non-European cohorts. Nevertheless, we observe genetic heterogeneity between divergent populations at several established risk loci driven by differences in allele frequency (NOD2) or effect size (TNFSF15 and ATG16L1) or a combination of these factors (IL23R and IRGM). Our results provide biological insights into the pathogenesis of IBD and demonstrate the usefulness of trans-ancestry association studies for mapping loci associated with complex diseases and understanding genetic architecture across diverse populations.","container-title":"Nature Genetics","DOI":"10.1038/ng.3359","ISSN":"1546-1718","issue":"9","journalAbbreviation":"Nat Genet","language":"eng","note":"PMID: 26192919\nPMCID: PMC4881818","page":"979-986","source":"PubMed","title":"Association analyses identify 38 susceptibility loci for inflammatory bowel disease and highlight shared genetic risk across populations","volume":"47","author":[{"family":"Liu","given":"Jimmy Z."},{"family":"Sommeren","given":"Suzanne","non-dropping-particle":"van"},{"family":"Huang","given":"Hailiang"},{"family":"Ng","given":"Siew C."},{"family":"Alberts","given":"Rudi"},{"family":"Takahashi","given":"Atsushi"},{"family":"Ripke","given":"Stephan"},{"family":"Lee","given":"James C."},{"family":"Jostins","given":"Luke"},{"family":"Shah","given":"Tejas"},{"family":"Abedian","given":"Shifteh"},{"family":"Cheon","given":"Jae Hee"},{"family":"Cho","given":"Judy"},{"family":"Dayani","given":"Naser E."},{"family":"Franke","given":"Lude"},{"family":"Fuyuno","given":"Yuta"},{"family":"Hart","given":"Ailsa"},{"family":"Juyal","given":"Ramesh C."},{"family":"Juyal","given":"Garima"},{"family":"Kim","given":"Won Ho"},{"family":"Morris","given":"Andrew P."},{"family":"Poustchi","given":"Hossein"},{"family":"Newman","given":"William G."},{"family":"Midha","given":"Vandana"},{"family":"Orchard","given":"Timothy R."},{"family":"Vahedi","given":"Homayon"},{"family":"Sood","given":"Ajit"},{"family":"Sung","given":"Joseph Y."},{"family":"Malekzadeh","given":"Reza"},{"family":"Westra","given":"Harm-Jan"},{"family":"Yamazaki","given":"Keiko"},{"family":"Yang","given":"Suk-Kyun"},{"literal":"International Multiple Sclerosis Genetics Consortium"},{"literal":"International IBD Genetics Consortium"},{"family":"Barrett","given":"Jeffrey C."},{"family":"Alizadeh","given":"Behrooz Z."},{"family":"Parkes","given":"Miles"},{"family":"Bk","given":"Thelma"},{"family":"Daly","given":"Mark J."},{"family":"Kubo","given":"Michiaki"},{"family":"Anderson","given":"Carl A."},{"family":"Weersma","given":"Rinse K."}],"issued":{"date-parts":[["2015",9]]}}}],"schema":"https://github.com/citation-style-language/schema/raw/master/csl-citation.json"} </w:instrText>
      </w:r>
      <w:r>
        <w:rPr>
          <w:rFonts w:ascii="Arial" w:hAnsi="Arial" w:cs="Arial"/>
        </w:rPr>
        <w:fldChar w:fldCharType="separate"/>
      </w:r>
      <w:r w:rsidR="001C677F" w:rsidRPr="001C677F">
        <w:rPr>
          <w:rFonts w:ascii="Arial" w:eastAsiaTheme="minorHAnsi" w:hAnsi="Arial" w:cs="Arial"/>
          <w:vertAlign w:val="superscript"/>
          <w14:ligatures w14:val="standardContextual"/>
        </w:rPr>
        <w:t>17</w:t>
      </w:r>
      <w:r>
        <w:rPr>
          <w:rFonts w:ascii="Arial" w:hAnsi="Arial" w:cs="Arial"/>
        </w:rPr>
        <w:fldChar w:fldCharType="end"/>
      </w:r>
      <w:r>
        <w:rPr>
          <w:rFonts w:ascii="Arial" w:hAnsi="Arial" w:cs="Arial"/>
        </w:rPr>
        <w:t xml:space="preserve">, </w:t>
      </w:r>
      <w:r w:rsidRPr="00E22B11">
        <w:rPr>
          <w:rFonts w:ascii="Arial" w:hAnsi="Arial" w:cs="Arial"/>
        </w:rPr>
        <w:t>polycystic ovarian syndrome</w:t>
      </w:r>
      <w:r>
        <w:rPr>
          <w:rFonts w:ascii="Arial" w:hAnsi="Arial" w:cs="Arial"/>
        </w:rPr>
        <w:fldChar w:fldCharType="begin"/>
      </w:r>
      <w:r w:rsidR="001C677F">
        <w:rPr>
          <w:rFonts w:ascii="Arial" w:hAnsi="Arial" w:cs="Arial"/>
        </w:rPr>
        <w:instrText xml:space="preserve"> ADDIN ZOTERO_ITEM CSL_CITATION {"citationID":"SZQpeMKE","properties":{"formattedCitation":"\\super 18\\nosupersub{}","plainCitation":"18","noteIndex":0},"citationItems":[{"id":57,"uris":["http://zotero.org/users/local/HUSG1dD8/items/PFS7DXI4"],"itemData":{"id":57,"type":"article-journal","abstract":"Polycystic ovary syndrome (PCOS) is a disorder characterized by hyperandrogenism, ovulatory dysfunction and polycystic ovarian morphology. Affected women frequently have metabolic disturbances including insulin resistance and dysregulation of glucose homeostasis. PCOS is diagnosed with two different sets of diagnostic criteria, resulting in a phenotypic spectrum of PCOS cases. The genetic similarities between cases diagnosed based on the two criteria have been largely unknown. Previous studies in Chinese and European subjects have identified 16 loci associated with risk of PCOS. We report a fixed-effect, inverse-weighted-variance meta-analysis from 10,074 PCOS cases and 103,164 controls of European ancestry and characterisation of PCOS related traits. We identified 3 novel loci (near PLGRKT, ZBTB16 and MAPRE1), and provide replication of 11 previously reported loci. Only one locus differed significantly in its association by diagnostic criteria; otherwise the genetic architecture was similar between PCOS diagnosed by self-report and PCOS diagnosed by NIH or non-NIH Rotterdam criteria across common variants at 13 loci. Identified variants were associated with hyperandrogenism, gonadotropin regulation and testosterone levels in affected women. Linkage disequilibrium score regression analysis revealed genetic correlations with obesity, fasting insulin, type 2 diabetes, lipid levels and coronary artery disease, indicating shared genetic architecture between metabolic traits and PCOS. Mendelian randomization analyses suggested variants associated with body mass index, fasting insulin, menopause timing, depression and male-pattern balding play a causal role in PCOS. The data thus demonstrate 3 novel loci associated with PCOS and similar genetic architecture for all diagnostic criteria. The data also provide the first genetic evidence for a male phenotype for PCOS and a causal link to depression, a previously hypothesized comorbid disease. Thus, the genetics provide a comprehensive view of PCOS that encompasses multiple diagnostic criteria, gender, reproductive potential and mental health.","container-title":"PLoS genetics","DOI":"10.1371/journal.pgen.1007813","ISSN":"1553-7404","issue":"12","journalAbbreviation":"PLoS Genet","language":"eng","note":"PMID: 30566500\nPMCID: PMC6300389","page":"e1007813","source":"PubMed","title":"Large-scale genome-wide meta-analysis of polycystic ovary syndrome suggests shared genetic architecture for different diagnosis criteria","volume":"14","author":[{"family":"Day","given":"Felix"},{"family":"Karaderi","given":"Tugce"},{"family":"Jones","given":"Michelle R."},{"family":"Meun","given":"Cindy"},{"family":"He","given":"Chunyan"},{"family":"Drong","given":"Alex"},{"family":"Kraft","given":"Peter"},{"family":"Lin","given":"Nan"},{"family":"Huang","given":"Hongyan"},{"family":"Broer","given":"Linda"},{"family":"Magi","given":"Reedik"},{"family":"Saxena","given":"Richa"},{"family":"Laisk","given":"Triin"},{"family":"Urbanek","given":"Margrit"},{"family":"Hayes","given":"M. Geoffrey"},{"family":"Thorleifsson","given":"Gudmar"},{"family":"Fernandez-Tajes","given":"Juan"},{"family":"Mahajan","given":"Anubha"},{"family":"Mullin","given":"Benjamin H."},{"family":"Stuckey","given":"Bronwyn G. A."},{"family":"Spector","given":"Timothy D."},{"family":"Wilson","given":"Scott G."},{"family":"Goodarzi","given":"Mark O."},{"family":"Davis","given":"Lea"},{"family":"Obermayer-Pietsch","given":"Barbara"},{"family":"Uitterlinden","given":"André G."},{"family":"Anttila","given":"Verneri"},{"family":"Neale","given":"Benjamin M."},{"family":"Jarvelin","given":"Marjo-Riitta"},{"family":"Fauser","given":"Bart"},{"family":"Kowalska","given":"Irina"},{"family":"Visser","given":"Jenny A."},{"family":"Andersen","given":"Marianne"},{"family":"Ong","given":"Ken"},{"family":"Stener-Victorin","given":"Elisabet"},{"family":"Ehrmann","given":"David"},{"family":"Legro","given":"Richard S."},{"family":"Salumets","given":"Andres"},{"family":"McCarthy","given":"Mark I."},{"family":"Morin-Papunen","given":"Laure"},{"family":"Thorsteinsdottir","given":"Unnur"},{"family":"Stefansson","given":"Kari"},{"literal":"23andMe Research Team"},{"family":"Styrkarsdottir","given":"Unnur"},{"family":"Perry","given":"John R. B."},{"family":"Dunaif","given":"Andrea"},{"family":"Laven","given":"Joop"},{"family":"Franks","given":"Steve"},{"family":"Lindgren","given":"Cecilia M."},{"family":"Welt","given":"Corrine K."}],"issued":{"date-parts":[["2018",12]]}}}],"schema":"https://github.com/citation-style-language/schema/raw/master/csl-citation.json"} </w:instrText>
      </w:r>
      <w:r>
        <w:rPr>
          <w:rFonts w:ascii="Arial" w:hAnsi="Arial" w:cs="Arial"/>
        </w:rPr>
        <w:fldChar w:fldCharType="separate"/>
      </w:r>
      <w:r w:rsidR="001C677F" w:rsidRPr="001C677F">
        <w:rPr>
          <w:rFonts w:ascii="Arial" w:eastAsiaTheme="minorHAnsi" w:hAnsi="Arial" w:cs="Arial"/>
          <w:vertAlign w:val="superscript"/>
          <w14:ligatures w14:val="standardContextual"/>
        </w:rPr>
        <w:t>18</w:t>
      </w:r>
      <w:r>
        <w:rPr>
          <w:rFonts w:ascii="Arial" w:hAnsi="Arial" w:cs="Arial"/>
        </w:rPr>
        <w:fldChar w:fldCharType="end"/>
      </w:r>
      <w:r>
        <w:rPr>
          <w:rFonts w:ascii="Arial" w:hAnsi="Arial" w:cs="Arial"/>
        </w:rPr>
        <w:t xml:space="preserve">, </w:t>
      </w:r>
      <w:r w:rsidRPr="00E22B11">
        <w:rPr>
          <w:rFonts w:ascii="Arial" w:hAnsi="Arial" w:cs="Arial"/>
        </w:rPr>
        <w:t>rheumatoid arthritis</w:t>
      </w:r>
      <w:r>
        <w:rPr>
          <w:rFonts w:ascii="Arial" w:hAnsi="Arial" w:cs="Arial"/>
        </w:rPr>
        <w:fldChar w:fldCharType="begin"/>
      </w:r>
      <w:r w:rsidR="001C677F">
        <w:rPr>
          <w:rFonts w:ascii="Arial" w:hAnsi="Arial" w:cs="Arial"/>
        </w:rPr>
        <w:instrText xml:space="preserve"> ADDIN ZOTERO_ITEM CSL_CITATION {"citationID":"LiIWFup1","properties":{"formattedCitation":"\\super 19\\nosupersub{}","plainCitation":"19","noteIndex":0},"citationItems":[{"id":60,"uris":["http://zotero.org/users/local/HUSG1dD8/items/GNQRWF9R"],"itemData":{"id":60,"type":"article-journal","abstract":"Objectives\nTo find causal genes for rheumatoid arthritis (RA) and its seropositive (RF and/or ACPA positive) and seronegative subsets.\n\nMethods\nWe performed a genome-wide association study (GWAS) of 31 313 RA cases (68% seropositive) and ~1 million controls from Northwestern Europe. We searched for causal genes outside the HLA-locus through effect on coding, mRNA expression in several tissues and/or levels of plasma proteins (SomaScan) and did network analysis (Qiagen).\n\nResults\nWe found 25 sequence variants for RA overall, 33 for seropositive and 2 for seronegative RA, altogether 37 sequence variants at 34 non-HLA loci, of which 15 are novel. Genomic, transcriptomic and proteomic analysis of these yielded 25 causal genes in seropositive RA and additional two overall. Most encode proteins in the network of interferon-alpha/beta and IL-12/23 that signal through the JAK/STAT-pathway. Highlighting those with largest effect on seropositive RA, a rare missense variant in STAT4 (rs140675301-A) that is independent of reported non-coding STAT4-variants, increases the risk of seropositive RA 2.27-fold (p=2.1×10−9), more than the rs2476601-A missense variant in PTPN22 (OR=1.59, p=1.3×10−160). STAT4 rs140675301-A replaces hydrophilic glutamic acid with hydrophobic valine (Glu128Val) in a conserved, surface-exposed loop. A stop-mutation (rs76428106-C) in FLT3 increases seropositive RA risk (OR=1.35, p=6.6×10−11). Independent missense variants in TYK2 (rs34536443-C, rs12720356-C, rs35018800-A, latter two novel) associate with decreased risk of seropositive RA (ORs=0.63–0.87, p=10−9–10−27) and decreased plasma levels of interferon-alpha/beta receptor 1 that signals through TYK2/JAK1/STAT4.\n\nConclusion\nSequence variants pointing to causal genes in the JAK/STAT pathway have largest effect on seropositive RA, while associations with seronegative RA remain scarce.","container-title":"Annals of the Rheumatic Diseases","DOI":"10.1136/annrheumdis-2021-221754","ISSN":"0003-4967","issue":"8","journalAbbreviation":"Ann Rheum Dis","note":"PMID: 35470158\nPMCID: PMC9279832","page":"1085-1095","source":"PubMed Central","title":"Multiomics analysis of rheumatoid arthritis yields sequence variants that have large effects on risk of the seropositive subset","volume":"81","author":[{"family":"Saevarsdottir","given":"Saedis"},{"family":"Stefansdottir","given":"Lilja"},{"family":"Sulem","given":"Patrick"},{"family":"Thorleifsson","given":"Gudmar"},{"family":"Ferkingstad","given":"Egil"},{"family":"Rutsdottir","given":"Gudrun"},{"family":"Glintborg","given":"Bente"},{"family":"Westerlind","given":"Helga"},{"family":"Grondal","given":"Gerdur"},{"family":"Loft","given":"Isabella C"},{"family":"Sorensen","given":"Signe Bek"},{"family":"Lie","given":"Benedicte A"},{"family":"Brink","given":"Mikael"},{"family":"Ärlestig","given":"Lisbeth"},{"family":"Arnthorsson","given":"Asgeir Orn"},{"family":"Baecklund","given":"Eva"},{"family":"Banasik","given":"Karina"},{"family":"Bank","given":"Steffen"},{"family":"Bjorkman","given":"Lena I"},{"family":"Ellingsen","given":"Torkell"},{"family":"Erikstrup","given":"Christian"},{"family":"Frei","given":"Oleksandr"},{"family":"Gjertsson","given":"Inger"},{"family":"Gudbjartsson","given":"Daniel F"},{"family":"Gudjonsson","given":"Sigurjon A"},{"family":"Halldorsson","given":"Gisli H"},{"family":"Hendricks","given":"Oliver"},{"family":"Hillert","given":"Jan"},{"family":"Hogdall","given":"Estrid"},{"family":"Jacobsen","given":"Søren"},{"family":"Jensen","given":"Dorte Vendelbo"},{"family":"Jonsson","given":"Helgi"},{"family":"Kastbom","given":"Alf"},{"family":"Kockum","given":"Ingrid"},{"family":"Kristensen","given":"Salome"},{"family":"Kristjansdottir","given":"Helga"},{"family":"Larsen","given":"Margit H"},{"family":"Linauskas","given":"Asta"},{"family":"Hauge","given":"Ellen-Margrethe"},{"family":"Loft","given":"Anne G"},{"family":"Ludviksson","given":"Bjorn R"},{"family":"Lund","given":"Sigrun H"},{"family":"Markusson","given":"Thorsteinn"},{"family":"Masson","given":"Gisli"},{"family":"Melsted","given":"Pall"},{"family":"Moore","given":"Kristjan H S"},{"family":"Munk","given":"Heidi"},{"family":"Nielsen","given":"Kaspar R"},{"family":"Norddahl","given":"Gudmundur L"},{"family":"Oddsson","given":"Asmundur"},{"family":"Olafsdottir","given":"Thorunn A"},{"family":"Olason","given":"Pall I"},{"family":"Olsson","given":"Tomas"},{"family":"Ostrowski","given":"Sisse Rye"},{"family":"Hørslev-Petersen","given":"Kim"},{"family":"Rognvaldsson","given":"Solvi"},{"family":"Sanner","given":"Helga"},{"family":"Silberberg","given":"Gilad N"},{"family":"Stefansson","given":"Hreinn"},{"family":"Sørensen","given":"Erik"},{"family":"Sørensen","given":"Inge J"},{"family":"Turesson","given":"Carl"},{"family":"Bergman","given":"Thomas"},{"family":"Alfredsson","given":"Lars"},{"family":"Kvien","given":"Tore K"},{"family":"Brunak","given":"Søren"},{"family":"Steinsson","given":"Kristján"},{"family":"Andersen","given":"Vibeke"},{"family":"Andreassen","given":"Ole A"},{"family":"Rantapää-Dahlqvist","given":"Solbritt"},{"family":"Hetland","given":"Merete Lund"},{"family":"Klareskog","given":"Lars"},{"family":"Askling","given":"Johan"},{"family":"Padyukov","given":"Leonid"},{"family":"Pedersen","given":"Ole BV"},{"family":"Thorsteinsdottir","given":"Unnur"},{"family":"Jonsdottir","given":"Ingileif"},{"family":"Stefansson","given":"Kari"}],"issued":{"date-parts":[["2022",8]]}}}],"schema":"https://github.com/citation-style-language/schema/raw/master/csl-citation.json"} </w:instrText>
      </w:r>
      <w:r>
        <w:rPr>
          <w:rFonts w:ascii="Arial" w:hAnsi="Arial" w:cs="Arial"/>
        </w:rPr>
        <w:fldChar w:fldCharType="separate"/>
      </w:r>
      <w:r w:rsidR="001C677F" w:rsidRPr="001C677F">
        <w:rPr>
          <w:rFonts w:ascii="Arial" w:eastAsiaTheme="minorHAnsi" w:hAnsi="Arial" w:cs="Arial"/>
          <w:vertAlign w:val="superscript"/>
          <w14:ligatures w14:val="standardContextual"/>
        </w:rPr>
        <w:t>19</w:t>
      </w:r>
      <w:r>
        <w:rPr>
          <w:rFonts w:ascii="Arial" w:hAnsi="Arial" w:cs="Arial"/>
        </w:rPr>
        <w:fldChar w:fldCharType="end"/>
      </w:r>
      <w:r w:rsidRPr="00E22B11">
        <w:rPr>
          <w:rFonts w:ascii="Arial" w:hAnsi="Arial" w:cs="Arial"/>
        </w:rPr>
        <w:t>, type 2 diabetes</w:t>
      </w:r>
      <w:r>
        <w:rPr>
          <w:rFonts w:ascii="Arial" w:hAnsi="Arial" w:cs="Arial"/>
        </w:rPr>
        <w:fldChar w:fldCharType="begin"/>
      </w:r>
      <w:r w:rsidR="001C677F">
        <w:rPr>
          <w:rFonts w:ascii="Arial" w:hAnsi="Arial" w:cs="Arial"/>
        </w:rPr>
        <w:instrText xml:space="preserve"> ADDIN ZOTERO_ITEM CSL_CITATION {"citationID":"VGaXSBQ5","properties":{"formattedCitation":"\\super 20\\nosupersub{}","plainCitation":"20","noteIndex":0},"citationItems":[{"id":63,"uris":["http://zotero.org/users/local/HUSG1dD8/items/XQF7NAF7"],"itemData":{"id":63,"type":"article-journal","abstract":"Type 2 diabetes (T2D) is a heterogeneous disease that develops through diverse pathophysiological processes1,2 and molecular mechanisms that are often specific to cell type3,4. Here, to characterize the genetic contribution to these processes across ancestry groups, we aggregate genome-wide association study data from 2,535,601 individuals (39.7% not of European ancestry), including 428,452 cases of T2D. We identify 1,289 independent association signals at genome-wide significance (P &lt; 5 × 10-8) that map to 611 loci, of which 145 loci are, to our knowledge, previously unreported. We define eight non-overlapping clusters of T2D signals that are characterized by distinct profiles of cardiometabolic trait associations. These clusters are differentially enriched for cell-type-specific regions of open chromatin, including pancreatic islets, adipocytes, endothelial cells and enteroendocrine cells. We build cluster-specific partitioned polygenic scores5 in a further 279,552 individuals of diverse ancestry, including 30,288 cases of T2D, and test their association with T2D-related vascular outcomes. Cluster-specific partitioned polygenic scores are associated with coronary artery disease, peripheral artery disease and end-stage diabetic nephropathy across ancestry groups, highlighting the importance of obesity-related processes in the development of vascular outcomes. Our findings show the value of integrating multi-ancestry genome-wide association study data with single-cell epigenomics to disentangle the aetiological heterogeneity that drives the development and progression of T2D. This might offer a route to optimize global access to genetically informed diabetes care.","container-title":"Nature","DOI":"10.1038/s41586-024-07019-6","ISSN":"1476-4687","issue":"8003","journalAbbreviation":"Nature","language":"eng","note":"PMID: 38374256\nPMCID: PMC10937372","page":"347-357","source":"PubMed","title":"Genetic drivers of heterogeneity in type 2 diabetes pathophysiology","volume":"627","author":[{"family":"Suzuki","given":"Ken"},{"family":"Hatzikotoulas","given":"Konstantinos"},{"family":"Southam","given":"Lorraine"},{"family":"Taylor","given":"Henry J."},{"family":"Yin","given":"Xianyong"},{"family":"Lorenz","given":"Kim M."},{"family":"Mandla","given":"Ravi"},{"family":"Huerta-Chagoya","given":"Alicia"},{"family":"Melloni","given":"Giorgio E. M."},{"family":"Kanoni","given":"Stavroula"},{"family":"Rayner","given":"Nigel W."},{"family":"Bocher","given":"Ozvan"},{"family":"Arruda","given":"Ana Luiza"},{"family":"Sonehara","given":"Kyuto"},{"family":"Namba","given":"Shinichi"},{"family":"Lee","given":"Simon S. K."},{"family":"Preuss","given":"Michael H."},{"family":"Petty","given":"Lauren E."},{"family":"Schroeder","given":"Philip"},{"family":"Vanderwerff","given":"Brett"},{"family":"Kals","given":"Mart"},{"family":"Bragg","given":"Fiona"},{"family":"Lin","given":"Kuang"},{"family":"Guo","given":"Xiuqing"},{"family":"Zhang","given":"Weihua"},{"family":"Yao","given":"Jie"},{"family":"Kim","given":"Young Jin"},{"family":"Graff","given":"Mariaelisa"},{"family":"Takeuchi","given":"Fumihiko"},{"family":"Nano","given":"Jana"},{"family":"Lamri","given":"Amel"},{"family":"Nakatochi","given":"Masahiro"},{"family":"Moon","given":"Sanghoon"},{"family":"Scott","given":"Robert A."},{"family":"Cook","given":"James P."},{"family":"Lee","given":"Jung-Jin"},{"family":"Pan","given":"Ian"},{"family":"Taliun","given":"Daniel"},{"family":"Parra","given":"Esteban J."},{"family":"Chai","given":"Jin-Fang"},{"family":"Bielak","given":"Lawrence F."},{"family":"Tabara","given":"Yasuharu"},{"family":"Hai","given":"Yang"},{"family":"Thorleifsson","given":"Gudmar"},{"family":"Grarup","given":"Niels"},{"family":"Sofer","given":"Tamar"},{"family":"Wuttke","given":"Matthias"},{"family":"Sarnowski","given":"Chloé"},{"family":"Gieger","given":"Christian"},{"family":"Nousome","given":"Darryl"},{"family":"Trompet","given":"Stella"},{"family":"Kwak","given":"Soo-Heon"},{"family":"Long","given":"Jirong"},{"family":"Sun","given":"Meng"},{"family":"Tong","given":"Lin"},{"family":"Chen","given":"Wei-Min"},{"family":"Nongmaithem","given":"Suraj S."},{"family":"Noordam","given":"Raymond"},{"family":"Lim","given":"Victor J. Y."},{"family":"Tam","given":"Claudia H. T."},{"family":"Joo","given":"Yoonjung Yoonie"},{"family":"Chen","given":"Chien-Hsiun"},{"family":"Raffield","given":"Laura M."},{"family":"Prins","given":"Bram Peter"},{"family":"Nicolas","given":"Aude"},{"family":"Yanek","given":"Lisa R."},{"family":"Chen","given":"Guanjie"},{"family":"Brody","given":"Jennifer A."},{"family":"Kabagambe","given":"Edmond"},{"family":"An","given":"Ping"},{"family":"Xiang","given":"Anny H."},{"family":"Choi","given":"Hyeok Sun"},{"family":"Cade","given":"Brian E."},{"family":"Tan","given":"Jingyi"},{"family":"Broadaway","given":"K. Alaine"},{"family":"Williamson","given":"Alice"},{"family":"Kamali","given":"Zoha"},{"family":"Cui","given":"Jinrui"},{"family":"Thangam","given":"Manonanthini"},{"family":"Adair","given":"Linda S."},{"family":"Adeyemo","given":"Adebowale"},{"family":"Aguilar-Salinas","given":"Carlos A."},{"family":"Ahluwalia","given":"Tarunveer S."},{"family":"Anand","given":"Sonia S."},{"family":"Bertoni","given":"Alain"},{"family":"Bork-Jensen","given":"Jette"},{"family":"Brandslund","given":"Ivan"},{"family":"Buchanan","given":"Thomas A."},{"family":"Burant","given":"Charles F."},{"family":"Butterworth","given":"Adam S."},{"family":"Canouil","given":"Mickaël"},{"family":"Chan","given":"Juliana C. N."},{"family":"Chang","given":"Li-Ching"},{"family":"Chee","given":"Miao-Li"},{"family":"Chen","given":"Ji"},{"family":"Chen","given":"Shyh-Huei"},{"family":"Chen","given":"Yuan-Tsong"},{"family":"Chen","given":"Zhengming"},{"family":"Chuang","given":"Lee-Ming"},{"family":"Cushman","given":"Mary"},{"family":"Danesh","given":"John"},{"family":"Das","given":"Swapan K."},{"family":"Silva","given":"H. Janaka","non-dropping-particle":"de"},{"family":"Dedoussis","given":"George"},{"family":"Dimitrov","given":"Latchezar"},{"family":"Doumatey","given":"Ayo P."},{"family":"Du","given":"Shufa"},{"family":"Duan","given":"Qing"},{"family":"Eckardt","given":"Kai-Uwe"},{"family":"Emery","given":"Leslie S."},{"family":"Evans","given":"Daniel S."},{"family":"Evans","given":"Michele K."},{"family":"Fischer","given":"Krista"},{"family":"Floyd","given":"James S."},{"family":"Ford","given":"Ian"},{"family":"Franco","given":"Oscar H."},{"family":"Frayling","given":"Timothy M."},{"family":"Freedman","given":"Barry I."},{"family":"Genter","given":"Pauline"},{"family":"Gerstein","given":"Hertzel C."},{"family":"Giedraitis","given":"Vilmantas"},{"family":"González-Villalpando","given":"Clicerio"},{"family":"González-Villalpando","given":"Maria Elena"},{"family":"Gordon-Larsen","given":"Penny"},{"family":"Gross","given":"Myron"},{"family":"Guare","given":"Lindsay A."},{"family":"Hackinger","given":"Sophie"},{"family":"Hakaste","given":"Liisa"},{"family":"Han","given":"Sohee"},{"family":"Hattersley","given":"Andrew T."},{"family":"Herder","given":"Christian"},{"family":"Horikoshi","given":"Momoko"},{"family":"Howard","given":"Annie-Green"},{"family":"Hsueh","given":"Willa"},{"family":"Huang","given":"Mengna"},{"family":"Huang","given":"Wei"},{"family":"Hung","given":"Yi-Jen"},{"family":"Hwang","given":"Mi Yeong"},{"family":"Hwu","given":"Chii-Min"},{"family":"Ichihara","given":"Sahoko"},{"family":"Ikram","given":"Mohammad Arfan"},{"family":"Ingelsson","given":"Martin"},{"family":"Islam","given":"Md Tariqul"},{"family":"Isono","given":"Masato"},{"family":"Jang","given":"Hye-Mi"},{"family":"Jasmine","given":"Farzana"},{"family":"Jiang","given":"Guozhi"},{"family":"Jonas","given":"Jost B."},{"family":"Jørgensen","given":"Torben"},{"family":"Kamanu","given":"Frederick K."},{"family":"Kandeel","given":"Fouad R."},{"family":"Kasturiratne","given":"Anuradhani"},{"family":"Katsuya","given":"Tomohiro"},{"family":"Kaur","given":"Varinderpal"},{"family":"Kawaguchi","given":"Takahisa"},{"family":"Keaton","given":"Jacob M."},{"family":"Kho","given":"Abel N."},{"family":"Khor","given":"Chiea-Chuen"},{"family":"Kibriya","given":"Muhammad G."},{"family":"Kim","given":"Duk-Hwan"},{"family":"Kronenberg","given":"Florian"},{"family":"Kuusisto","given":"Johanna"},{"family":"Läll","given":"Kristi"},{"family":"Lange","given":"Leslie A."},{"family":"Lee","given":"Kyung Min"},{"family":"Lee","given":"Myung-Shik"},{"family":"Lee","given":"Nanette R."},{"family":"Leong","given":"Aaron"},{"family":"Li","given":"Liming"},{"family":"Li","given":"Yun"},{"family":"Li-Gao","given":"Ruifang"},{"family":"Ligthart","given":"Symen"},{"family":"Lindgren","given":"Cecilia M."},{"family":"Linneberg","given":"Allan"},{"family":"Liu","given":"Ching-Ti"},{"family":"Liu","given":"Jianjun"},{"family":"Locke","given":"Adam E."},{"family":"Louie","given":"Tin"},{"family":"Luan","given":"Jian'an"},{"family":"Luk","given":"Andrea O."},{"family":"Luo","given":"Xi"},{"family":"Lv","given":"Jun"},{"family":"Lynch","given":"Julie A."},{"family":"Lyssenko","given":"Valeriya"},{"family":"Maeda","given":"Shiro"},{"family":"Mamakou","given":"Vasiliki"},{"family":"Mansuri","given":"Sohail Rafik"},{"family":"Matsuda","given":"Koichi"},{"family":"Meitinger","given":"Thomas"},{"family":"Melander","given":"Olle"},{"family":"Metspalu","given":"Andres"},{"family":"Mo","given":"Huan"},{"family":"Morris","given":"Andrew D."},{"family":"Moura","given":"Filipe A."},{"family":"Nadler","given":"Jerry L."},{"family":"Nalls","given":"Michael A."},{"family":"Nayak","given":"Uma"},{"family":"Ntalla","given":"Ioanna"},{"family":"Okada","given":"Yukinori"},{"family":"Orozco","given":"Lorena"},{"family":"Patel","given":"Sanjay R."},{"family":"Patil","given":"Snehal"},{"family":"Pei","given":"Pei"},{"family":"Pereira","given":"Mark A."},{"family":"Peters","given":"Annette"},{"family":"Pirie","given":"Fraser J."},{"family":"Polikowsky","given":"Hannah G."},{"family":"Porneala","given":"Bianca"},{"family":"Prasad","given":"Gauri"},{"family":"Rasmussen-Torvik","given":"Laura J."},{"family":"Reiner","given":"Alexander P."},{"family":"Roden","given":"Michael"},{"family":"Rohde","given":"Rebecca"},{"family":"Roll","given":"Katheryn"},{"family":"Sabanayagam","given":"Charumathi"},{"family":"Sandow","given":"Kevin"},{"family":"Sankareswaran","given":"Alagu"},{"family":"Sattar","given":"Naveed"},{"family":"Schönherr","given":"Sebastian"},{"family":"Shahriar","given":"Mohammad"},{"family":"Shen","given":"Botong"},{"family":"Shi","given":"Jinxiu"},{"family":"Shin","given":"Dong Mun"},{"family":"Shojima","given":"Nobuhiro"},{"family":"Smith","given":"Jennifer A."},{"family":"So","given":"Wing Yee"},{"family":"Stančáková","given":"Alena"},{"family":"Steinthorsdottir","given":"Valgerdur"},{"family":"Stilp","given":"Adrienne M."},{"family":"Strauch","given":"Konstantin"},{"family":"Taylor","given":"Kent D."},{"family":"Thorand","given":"Barbara"},{"family":"Thorsteinsdottir","given":"Unnur"},{"family":"Tomlinson","given":"Brian"},{"family":"Tran","given":"Tam C."},{"family":"Tsai","given":"Fuu-Jen"},{"family":"Tuomilehto","given":"Jaakko"},{"family":"Tusie-Luna","given":"Teresa"},{"family":"Udler","given":"Miriam S."},{"family":"Valladares-Salgado","given":"Adan"},{"family":"Dam","given":"Rob M.","non-dropping-particle":"van"},{"family":"Klinken","given":"Jan B.","non-dropping-particle":"van"},{"family":"Varma","given":"Rohit"},{"family":"Wacher-Rodarte","given":"Niels"},{"family":"Wheeler","given":"Eleanor"},{"family":"Wickremasinghe","given":"Ananda R."},{"family":"Dijk","given":"Ko Willems","non-dropping-particle":"van"},{"family":"Witte","given":"Daniel R."},{"family":"Yajnik","given":"Chittaranjan S."},{"family":"Yamamoto","given":"Ken"},{"family":"Yamamoto","given":"Kenichi"},{"family":"Yoon","given":"Kyungheon"},{"family":"Yu","given":"Canqing"},{"family":"Yuan","given":"Jian-Min"},{"family":"Yusuf","given":"Salim"},{"family":"Zawistowski","given":"Matthew"},{"family":"Zhang","given":"Liang"},{"family":"Zheng","given":"Wei"},{"literal":"VA Million Veteran Program"},{"family":"Raffel","given":"Leslie J."},{"family":"Igase","given":"Michiya"},{"family":"Ipp","given":"Eli"},{"family":"Redline","given":"Susan"},{"family":"Cho","given":"Yoon Shin"},{"family":"Lind","given":"Lars"},{"family":"Province","given":"Michael A."},{"family":"Fornage","given":"Myriam"},{"family":"Hanis","given":"Craig L."},{"family":"Ingelsson","given":"Erik"},{"family":"Zonderman","given":"Alan B."},{"family":"Psaty","given":"Bruce M."},{"family":"Wang","given":"Ya-Xing"},{"family":"Rotimi","given":"Charles N."},{"family":"Becker","given":"Diane M."},{"family":"Matsuda","given":"Fumihiko"},{"family":"Liu","given":"Yongmei"},{"family":"Yokota","given":"Mitsuhiro"},{"family":"Kardia","given":"Sharon L. R."},{"family":"Peyser","given":"Patricia A."},{"family":"Pankow","given":"James S."},{"family":"Engert","given":"James C."},{"family":"Bonnefond","given":"Amélie"},{"family":"Froguel","given":"Philippe"},{"family":"Wilson","given":"James G."},{"family":"Sheu","given":"Wayne H. H."},{"family":"Wu","given":"Jer-Yuarn"},{"family":"Hayes","given":"M. Geoffrey"},{"family":"Ma","given":"Ronald C. W."},{"family":"Wong","given":"Tien-Yin"},{"family":"Mook-Kanamori","given":"Dennis O."},{"family":"Tuomi","given":"Tiinamaija"},{"family":"Chandak","given":"Giriraj R."},{"family":"Collins","given":"Francis S."},{"family":"Bharadwaj","given":"Dwaipayan"},{"family":"Paré","given":"Guillaume"},{"family":"Sale","given":"Michèle M."},{"family":"Ahsan","given":"Habibul"},{"family":"Motala","given":"Ayesha A."},{"family":"Shu","given":"Xiao-Ou"},{"family":"Park","given":"Kyong-Soo"},{"family":"Jukema","given":"J. Wouter"},{"family":"Cruz","given":"Miguel"},{"family":"Chen","given":"Yii-Der Ida"},{"family":"Rich","given":"Stephen S."},{"family":"McKean-Cowdin","given":"Roberta"},{"family":"Grallert","given":"Harald"},{"family":"Cheng","given":"Ching-Yu"},{"family":"Ghanbari","given":"Mohsen"},{"family":"Tai","given":"E.-Shyong"},{"family":"Dupuis","given":"Josee"},{"family":"Kato","given":"Norihiro"},{"family":"Laakso","given":"Markku"},{"family":"Köttgen","given":"Anna"},{"family":"Koh","given":"Woon-Puay"},{"family":"Bowden","given":"Donald W."},{"family":"Palmer","given":"Colin N. A."},{"family":"Kooner","given":"Jaspal S."},{"family":"Kooperberg","given":"Charles"},{"family":"Liu","given":"Simin"},{"family":"North","given":"Kari E."},{"family":"Saleheen","given":"Danish"},{"family":"Hansen","given":"Torben"},{"family":"Pedersen","given":"Oluf"},{"family":"Wareham","given":"Nicholas J."},{"family":"Lee","given":"Juyoung"},{"family":"Kim","given":"Bong-Jo"},{"family":"Millwood","given":"Iona Y."},{"family":"Walters","given":"Robin G."},{"family":"Stefansson","given":"Kari"},{"family":"Ahlqvist","given":"Emma"},{"family":"Goodarzi","given":"Mark O."},{"family":"Mohlke","given":"Karen L."},{"family":"Langenberg","given":"Claudia"},{"family":"Haiman","given":"Christopher A."},{"family":"Loos","given":"Ruth J. F."},{"family":"Florez","given":"Jose C."},{"family":"Rader","given":"Daniel J."},{"family":"Ritchie","given":"Marylyn D."},{"family":"Zöllner","given":"Sebastian"},{"family":"Mägi","given":"Reedik"},{"family":"Marston","given":"Nicholas A."},{"family":"Ruff","given":"Christian T."},{"family":"Heel","given":"David A.","non-dropping-particle":"van"},{"family":"Finer","given":"Sarah"},{"family":"Denny","given":"Joshua C."},{"family":"Yamauchi","given":"Toshimasa"},{"family":"Kadowaki","given":"Takashi"},{"family":"Chambers","given":"John C."},{"family":"Ng","given":"Maggie C. Y."},{"family":"Sim","given":"Xueling"},{"family":"Below","given":"Jennifer E."},{"family":"Tsao","given":"Philip S."},{"family":"Chang","given":"Kyong-Mi"},{"family":"McCarthy","given":"Mark I."},{"family":"Meigs","given":"James B."},{"family":"Mahajan","given":"Anubha"},{"family":"Spracklen","given":"Cassandra N."},{"family":"Mercader","given":"Josep M."},{"family":"Boehnke","given":"Michael"},{"family":"Rotter","given":"Jerome I."},{"family":"Vujkovic","given":"Marijana"},{"family":"Voight","given":"Benjamin F."},{"family":"Morris","given":"Andrew P."},{"family":"Zeggini","given":"Eleftheria"}],"issued":{"date-parts":[["2024",3]]}}}],"schema":"https://github.com/citation-style-language/schema/raw/master/csl-citation.json"} </w:instrText>
      </w:r>
      <w:r>
        <w:rPr>
          <w:rFonts w:ascii="Arial" w:hAnsi="Arial" w:cs="Arial"/>
        </w:rPr>
        <w:fldChar w:fldCharType="separate"/>
      </w:r>
      <w:r w:rsidR="001C677F" w:rsidRPr="001C677F">
        <w:rPr>
          <w:rFonts w:ascii="Arial" w:eastAsiaTheme="minorHAnsi" w:hAnsi="Arial" w:cs="Arial"/>
          <w:vertAlign w:val="superscript"/>
          <w14:ligatures w14:val="standardContextual"/>
        </w:rPr>
        <w:t>20</w:t>
      </w:r>
      <w:r>
        <w:rPr>
          <w:rFonts w:ascii="Arial" w:hAnsi="Arial" w:cs="Arial"/>
        </w:rPr>
        <w:fldChar w:fldCharType="end"/>
      </w:r>
      <w:r>
        <w:rPr>
          <w:rFonts w:ascii="Arial" w:hAnsi="Arial" w:cs="Arial"/>
        </w:rPr>
        <w:t xml:space="preserve">, </w:t>
      </w:r>
      <w:r w:rsidRPr="00E22B11">
        <w:rPr>
          <w:rFonts w:ascii="Arial" w:hAnsi="Arial" w:cs="Arial"/>
        </w:rPr>
        <w:t>atopic dermatitis</w:t>
      </w:r>
      <w:r>
        <w:rPr>
          <w:rFonts w:ascii="Arial" w:hAnsi="Arial" w:cs="Arial"/>
        </w:rPr>
        <w:fldChar w:fldCharType="begin"/>
      </w:r>
      <w:r w:rsidR="001C677F">
        <w:rPr>
          <w:rFonts w:ascii="Arial" w:hAnsi="Arial" w:cs="Arial"/>
        </w:rPr>
        <w:instrText xml:space="preserve"> ADDIN ZOTERO_ITEM CSL_CITATION {"citationID":"lvzlG9UF","properties":{"formattedCitation":"\\super 21\\nosupersub{}","plainCitation":"21","noteIndex":0},"citationItems":[{"id":66,"uris":["http://zotero.org/users/local/HUSG1dD8/items/T67VLVNN"],"itemData":{"id":66,"type":"article-journal","abstract":"Atopic dermatitis (AD) is a common inflammatory skin condition and prior genome-wide association studies (GWAS) have identified 71 associated loci. In the current study we conducted the largest AD GWAS to date (discovery N = 1,086,394, replication N = 3,604,027), combining previously reported cohorts with additional available data. We identified 81 loci (29 novel) in the European-only analysis (which all replicated in a separate European analysis) and 10 additional loci in the multi-ancestry analysis (3 novel). Eight variants from the multi-ancestry analysis replicated in at least one of the populations tested (European, Latino or African), while two may be specific to individuals of Japanese ancestry. AD loci showed enrichment for DNAse I hypersensitivity and eQTL associations in blood. At each locus we prioritised candidate genes by integrating multi-omic data. The implicated genes are predominantly in immune pathways of relevance to atopic inflammation and some offer drug repurposing opportunities.","container-title":"Nature Communications","DOI":"10.1038/s41467-023-41180-2","ISSN":"2041-1723","issue":"1","journalAbbreviation":"Nat Commun","language":"eng","note":"PMID: 37794016\nPMCID: PMC10550990","page":"6172","source":"PubMed","title":"European and multi-ancestry genome-wide association meta-analysis of atopic dermatitis highlights importance of systemic immune regulation","volume":"14","author":[{"family":"Budu-Aggrey","given":"Ashley"},{"family":"Kilanowski","given":"Anna"},{"family":"Sobczyk","given":"Maria K."},{"literal":"23andMe Research Team"},{"family":"Shringarpure","given":"Suyash S."},{"family":"Mitchell","given":"Ruth"},{"family":"Reis","given":"Kadri"},{"family":"Reigo","given":"Anu"},{"literal":"Estonian Biobank Research Team"},{"family":"Mägi","given":"Reedik"},{"family":"Nelis","given":"Mari"},{"family":"Tanaka","given":"Nao"},{"family":"Brumpton","given":"Ben M."},{"family":"Thomas","given":"Laurent F."},{"family":"Sole-Navais","given":"Pol"},{"family":"Flatley","given":"Christopher"},{"family":"Espuela-Ortiz","given":"Antonio"},{"family":"Herrera-Luis","given":"Esther"},{"family":"Lominchar","given":"Jesus V. T."},{"family":"Bork-Jensen","given":"Jette"},{"family":"Marenholz","given":"Ingo"},{"family":"Arnau-Soler","given":"Aleix"},{"family":"Jeong","given":"Ayoung"},{"family":"Fawcett","given":"Katherine A."},{"family":"Baurecht","given":"Hansjorg"},{"family":"Rodriguez","given":"Elke"},{"family":"Alves","given":"Alexessander Couto"},{"family":"Kumar","given":"Ashish"},{"family":"Sleiman","given":"Patrick M."},{"family":"Chang","given":"Xiao"},{"family":"Medina-Gomez","given":"Carolina"},{"family":"Hu","given":"Chen"},{"family":"Xu","given":"Cheng-Jian"},{"family":"Qi","given":"Cancan"},{"family":"El-Heis","given":"Sarah"},{"family":"Titcombe","given":"Philip"},{"family":"Antoun","given":"Elie"},{"family":"Fadista","given":"João"},{"family":"Wang","given":"Carol A."},{"family":"Thiering","given":"Elisabeth"},{"family":"Wu","given":"Baojun"},{"family":"Kress","given":"Sara"},{"family":"Kothalawala","given":"Dilini M."},{"family":"Kadalayil","given":"Latha"},{"family":"Duan","given":"Jiasong"},{"family":"Zhang","given":"Hongmei"},{"family":"Hadebe","given":"Sabelo"},{"family":"Hoffmann","given":"Thomas"},{"family":"Jorgenson","given":"Eric"},{"family":"Choquet","given":"Hélène"},{"family":"Risch","given":"Neil"},{"family":"Njølstad","given":"Pål"},{"family":"Andreassen","given":"Ole A."},{"family":"Johansson","given":"Stefan"},{"family":"Almqvist","given":"Catarina"},{"family":"Gong","given":"Tong"},{"family":"Ullemar","given":"Vilhelmina"},{"family":"Karlsson","given":"Robert"},{"family":"Magnusson","given":"Patrik K. E."},{"family":"Szwajda","given":"Agnieszka"},{"family":"Burchard","given":"Esteban G."},{"family":"Thyssen","given":"Jacob P."},{"family":"Hansen","given":"Torben"},{"family":"Kårhus","given":"Line L."},{"family":"Dantoft","given":"Thomas M."},{"family":"Jeanrenaud","given":"Alexander C. S. N."},{"family":"Ghauri","given":"Ahla"},{"family":"Arnold","given":"Andreas"},{"family":"Homuth","given":"Georg"},{"family":"Lau","given":"Susanne"},{"family":"Nöthen","given":"Markus M."},{"family":"Hübner","given":"Norbert"},{"family":"Imboden","given":"Medea"},{"family":"Visconti","given":"Alessia"},{"family":"Falchi","given":"Mario"},{"family":"Bataille","given":"Veronique"},{"family":"Hysi","given":"Pirro"},{"family":"Ballardini","given":"Natalia"},{"family":"Boomsma","given":"Dorret I."},{"family":"Hottenga","given":"Jouke J."},{"family":"Müller-Nurasyid","given":"Martina"},{"family":"Ahluwalia","given":"Tarunveer S."},{"family":"Stokholm","given":"Jakob"},{"family":"Chawes","given":"Bo"},{"family":"Schoos","given":"Ann-Marie M."},{"family":"Esplugues","given":"Ana"},{"family":"Bustamante","given":"Mariona"},{"family":"Raby","given":"Benjamin"},{"family":"Arshad","given":"Syed"},{"family":"German","given":"Chris"},{"family":"Esko","given":"Tõnu"},{"family":"Milani","given":"Lili A."},{"family":"Metspalu","given":"Andres"},{"family":"Terao","given":"Chikashi"},{"family":"Abuabara","given":"Katrina"},{"family":"Løset","given":"Mari"},{"family":"Hveem","given":"Kristian"},{"family":"Jacobsson","given":"Bo"},{"family":"Pino-Yanes","given":"Maria"},{"family":"Strachan","given":"David P."},{"family":"Grarup","given":"Niels"},{"family":"Linneberg","given":"Allan"},{"family":"Lee","given":"Young-Ae"},{"family":"Probst-Hensch","given":"Nicole"},{"family":"Weidinger","given":"Stephan"},{"family":"Jarvelin","given":"Marjo-Riitta"},{"family":"Melén","given":"Erik"},{"family":"Hakonarson","given":"Hakon"},{"family":"Irvine","given":"Alan D."},{"family":"Jarvis","given":"Deborah"},{"family":"Nijsten","given":"Tamar"},{"family":"Duijts","given":"Liesbeth"},{"family":"Vonk","given":"Judith M."},{"family":"Koppelmann","given":"Gerard H."},{"family":"Godfrey","given":"Keith M."},{"family":"Barton","given":"Sheila J."},{"family":"Feenstra","given":"Bjarke"},{"family":"Pennell","given":"Craig E."},{"family":"Sly","given":"Peter D."},{"family":"Holt","given":"Patrick G."},{"family":"Williams","given":"L. Keoki"},{"family":"Bisgaard","given":"Hans"},{"family":"Bønnelykke","given":"Klaus"},{"family":"Curtin","given":"John"},{"family":"Simpson","given":"Angela"},{"family":"Murray","given":"Clare"},{"family":"Schikowski","given":"Tamara"},{"family":"Bunyavanich","given":"Supinda"},{"family":"Weiss","given":"Scott T."},{"family":"Holloway","given":"John W."},{"family":"Min","given":"Josine L."},{"family":"Brown","given":"Sara J."},{"family":"Standl","given":"Marie"},{"family":"Paternoster","given":"Lavinia"}],"issued":{"date-parts":[["2023",10,4]]}}}],"schema":"https://github.com/citation-style-language/schema/raw/master/csl-citation.json"} </w:instrText>
      </w:r>
      <w:r>
        <w:rPr>
          <w:rFonts w:ascii="Arial" w:hAnsi="Arial" w:cs="Arial"/>
        </w:rPr>
        <w:fldChar w:fldCharType="separate"/>
      </w:r>
      <w:r w:rsidR="001C677F" w:rsidRPr="001C677F">
        <w:rPr>
          <w:rFonts w:ascii="Arial" w:eastAsiaTheme="minorHAnsi" w:hAnsi="Arial" w:cs="Arial"/>
          <w:vertAlign w:val="superscript"/>
          <w14:ligatures w14:val="standardContextual"/>
        </w:rPr>
        <w:t>21</w:t>
      </w:r>
      <w:r>
        <w:rPr>
          <w:rFonts w:ascii="Arial" w:hAnsi="Arial" w:cs="Arial"/>
        </w:rPr>
        <w:fldChar w:fldCharType="end"/>
      </w:r>
      <w:r>
        <w:rPr>
          <w:rFonts w:ascii="Arial" w:hAnsi="Arial" w:cs="Arial"/>
        </w:rPr>
        <w:t>, psoriasis</w:t>
      </w:r>
      <w:r>
        <w:rPr>
          <w:rFonts w:ascii="Arial" w:hAnsi="Arial" w:cs="Arial"/>
        </w:rPr>
        <w:fldChar w:fldCharType="begin"/>
      </w:r>
      <w:r w:rsidR="001C677F">
        <w:rPr>
          <w:rFonts w:ascii="Arial" w:hAnsi="Arial" w:cs="Arial"/>
        </w:rPr>
        <w:instrText xml:space="preserve"> ADDIN ZOTERO_ITEM CSL_CITATION {"citationID":"ditRodVq","properties":{"formattedCitation":"\\super 22\\nosupersub{}","plainCitation":"22","noteIndex":0},"citationItems":[{"id":69,"uris":["http://zotero.org/users/local/HUSG1dD8/items/MKI3CVTF"],"itemData":{"id":69,"type":"article-journal","abstract":"Current genome-wide association studies do not yet capture sufficient diversity in populations and scope of phenotypes. To expand an atlas of genetic associations in non-European populations, we conducted 220 deep-phenotype genome-wide association studies (diseases, biomarkers and medication usage) in BioBank Japan (n = 179,000), by incorporating past medical history and text-mining of electronic medical records. Meta-analyses with the UK Biobank and FinnGen (ntotal = 628,000) identified ~5,000 new loci, which improved the resolution of the genomic map of human traits. This atlas elucidated the landscape of pleiotropy as represented by the major histocompatibility complex locus, where we conducted HLA fine-mapping. Finally, we performed statistical decomposition of matrices of phenome-wide summary statistics, and identified latent genetic components, which pinpointed responsible variants and biological mechanisms underlying current disease classifications across populations. The decomposed components enabled genetically informed subtyping of similar diseases (for example, allergic diseases). Our study suggests a potential avenue for hypothesis-free re-investigation of human diseases through genetics.","container-title":"Nature Genetics","DOI":"10.1038/s41588-021-00931-x","ISSN":"1546-1718","issue":"10","journalAbbreviation":"Nat Genet","language":"eng","note":"PMID: 34594039","page":"1415-1424","source":"PubMed","title":"A cross-population atlas of genetic associations for 220 human phenotypes","volume":"53","author":[{"family":"Sakaue","given":"Saori"},{"family":"Kanai","given":"Masahiro"},{"family":"Tanigawa","given":"Yosuke"},{"family":"Karjalainen","given":"Juha"},{"family":"Kurki","given":"Mitja"},{"family":"Koshiba","given":"Seizo"},{"family":"Narita","given":"Akira"},{"family":"Konuma","given":"Takahiro"},{"family":"Yamamoto","given":"Kenichi"},{"family":"Akiyama","given":"Masato"},{"family":"Ishigaki","given":"Kazuyoshi"},{"family":"Suzuki","given":"Akari"},{"family":"Suzuki","given":"Ken"},{"family":"Obara","given":"Wataru"},{"family":"Yamaji","given":"Ken"},{"family":"Takahashi","given":"Kazuhisa"},{"family":"Asai","given":"Satoshi"},{"family":"Takahashi","given":"Yasuo"},{"family":"Suzuki","given":"Takao"},{"family":"Shinozaki","given":"Nobuaki"},{"family":"Yamaguchi","given":"Hiroki"},{"family":"Minami","given":"Shiro"},{"family":"Murayama","given":"Shigeo"},{"family":"Yoshimori","given":"Kozo"},{"family":"Nagayama","given":"Satoshi"},{"family":"Obata","given":"Daisuke"},{"family":"Higashiyama","given":"Masahiko"},{"family":"Masumoto","given":"Akihide"},{"family":"Koretsune","given":"Yukihiro"},{"literal":"FinnGen"},{"family":"Ito","given":"Kaoru"},{"family":"Terao","given":"Chikashi"},{"family":"Yamauchi","given":"Toshimasa"},{"family":"Komuro","given":"Issei"},{"family":"Kadowaki","given":"Takashi"},{"family":"Tamiya","given":"Gen"},{"family":"Yamamoto","given":"Masayuki"},{"family":"Nakamura","given":"Yusuke"},{"family":"Kubo","given":"Michiaki"},{"family":"Murakami","given":"Yoshinori"},{"family":"Yamamoto","given":"Kazuhiko"},{"family":"Kamatani","given":"Yoichiro"},{"family":"Palotie","given":"Aarno"},{"family":"Rivas","given":"Manuel A."},{"family":"Daly","given":"Mark J."},{"family":"Matsuda","given":"Koichi"},{"family":"Okada","given":"Yukinori"}],"issued":{"date-parts":[["2021",10]]}}}],"schema":"https://github.com/citation-style-language/schema/raw/master/csl-citation.json"} </w:instrText>
      </w:r>
      <w:r>
        <w:rPr>
          <w:rFonts w:ascii="Arial" w:hAnsi="Arial" w:cs="Arial"/>
        </w:rPr>
        <w:fldChar w:fldCharType="separate"/>
      </w:r>
      <w:r w:rsidR="001C677F" w:rsidRPr="001C677F">
        <w:rPr>
          <w:rFonts w:eastAsiaTheme="minorHAnsi"/>
          <w:vertAlign w:val="superscript"/>
          <w14:ligatures w14:val="standardContextual"/>
        </w:rPr>
        <w:t>22</w:t>
      </w:r>
      <w:r>
        <w:rPr>
          <w:rFonts w:ascii="Arial" w:hAnsi="Arial" w:cs="Arial"/>
        </w:rPr>
        <w:fldChar w:fldCharType="end"/>
      </w:r>
      <w:r>
        <w:rPr>
          <w:rFonts w:ascii="Arial" w:hAnsi="Arial" w:cs="Arial"/>
        </w:rPr>
        <w:t>, schizophrenia</w:t>
      </w:r>
      <w:r>
        <w:rPr>
          <w:rFonts w:ascii="Arial" w:hAnsi="Arial" w:cs="Arial"/>
        </w:rPr>
        <w:fldChar w:fldCharType="begin"/>
      </w:r>
      <w:r w:rsidR="001C677F">
        <w:rPr>
          <w:rFonts w:ascii="Arial" w:hAnsi="Arial" w:cs="Arial"/>
        </w:rPr>
        <w:instrText xml:space="preserve"> ADDIN ZOTERO_ITEM CSL_CITATION {"citationID":"wB0hGynN","properties":{"formattedCitation":"\\super 23\\nosupersub{}","plainCitation":"23","noteIndex":0},"citationItems":[{"id":72,"uris":["http://zotero.org/users/local/HUSG1dD8/items/4T8JNIZW"],"itemData":{"id":72,"type":"article-journal","abstract":"Schizophrenia has a heritability of 60-80%1, much of which is attributable to common risk alleles. Here, in a two-stage genome-wide association study of up to 76,755 individuals with schizophrenia and 243,649 control individuals, we report common variant associations at 287 distinct genomic loci. Associations were concentrated in genes that are expressed in excitatory and inhibitory neurons of the central nervous system, but not in other tissues or cell types. Using fine-mapping and functional genomic data, we identify 120 genes (106 protein-coding) that are likely to underpin associations at some of these loci, including 16 genes with credible causal non-synonymous or untranslated region variation. We also implicate fundamental processes related to neuronal function, including synaptic organization, differentiation and transmission. Fine-mapped candidates were enriched for genes associated with rare disruptive coding variants in people with schizophrenia, including the glutamate receptor subunit GRIN2A and transcription factor SP4, and were also enriched for genes implicated by such variants in neurodevelopmental disorders. We identify biological processes relevant to schizophrenia pathophysiology; show convergence of common and rare variant associations in schizophrenia and neurodevelopmental disorders; and provide a resource of prioritized genes and variants to advance mechanistic studies.","container-title":"Nature","DOI":"10.1038/s41586-022-04434-5","ISSN":"1476-4687","issue":"7906","journalAbbreviation":"Nature","language":"eng","note":"PMID: 35396580\nPMCID: PMC9392466","page":"502-508","source":"PubMed","title":"Mapping genomic loci implicates genes and synaptic biology in schizophrenia","volume":"604","author":[{"family":"Trubetskoy","given":"Vassily"},{"family":"Pardiñas","given":"Antonio F."},{"family":"Qi","given":"Ting"},{"family":"Panagiotaropoulou","given":"Georgia"},{"family":"Awasthi","given":"Swapnil"},{"family":"Bigdeli","given":"Tim B."},{"family":"Bryois","given":"Julien"},{"family":"Chen","given":"Chia-Yen"},{"family":"Dennison","given":"Charlotte A."},{"family":"Hall","given":"Lynsey S."},{"family":"Lam","given":"Max"},{"family":"Watanabe","given":"Kyoko"},{"family":"Frei","given":"Oleksandr"},{"family":"Ge","given":"Tian"},{"family":"Harwood","given":"Janet C."},{"family":"Koopmans","given":"Frank"},{"family":"Magnusson","given":"Sigurdur"},{"family":"Richards","given":"Alexander L."},{"family":"Sidorenko","given":"Julia"},{"family":"Wu","given":"Yang"},{"family":"Zeng","given":"Jian"},{"family":"Grove","given":"Jakob"},{"family":"Kim","given":"Minsoo"},{"family":"Li","given":"Zhiqiang"},{"family":"Voloudakis","given":"Georgios"},{"family":"Zhang","given":"Wen"},{"family":"Adams","given":"Mark"},{"family":"Agartz","given":"Ingrid"},{"family":"Atkinson","given":"Elizabeth G."},{"family":"Agerbo","given":"Esben"},{"family":"Al Eissa","given":"Mariam"},{"family":"Albus","given":"Margot"},{"family":"Alexander","given":"Madeline"},{"family":"Alizadeh","given":"Behrooz Z."},{"family":"Alptekin","given":"Köksal"},{"family":"Als","given":"Thomas D."},{"family":"Amin","given":"Farooq"},{"family":"Arolt","given":"Volker"},{"family":"Arrojo","given":"Manuel"},{"family":"Athanasiu","given":"Lavinia"},{"family":"Azevedo","given":"Maria Helena"},{"family":"Bacanu","given":"Silviu A."},{"family":"Bass","given":"Nicholas J."},{"family":"Begemann","given":"Martin"},{"family":"Belliveau","given":"Richard A."},{"family":"Bene","given":"Judit"},{"family":"Benyamin","given":"Beben"},{"family":"Bergen","given":"Sarah E."},{"family":"Blasi","given":"Giuseppe"},{"family":"Bobes","given":"Julio"},{"family":"Bonassi","given":"Stefano"},{"family":"Braun","given":"Alice"},{"family":"Bressan","given":"Rodrigo Affonseca"},{"family":"Bromet","given":"Evelyn J."},{"family":"Bruggeman","given":"Richard"},{"family":"Buckley","given":"Peter F."},{"family":"Buckner","given":"Randy L."},{"family":"Bybjerg-Grauholm","given":"Jonas"},{"family":"Cahn","given":"Wiepke"},{"family":"Cairns","given":"Murray J."},{"family":"Calkins","given":"Monica E."},{"family":"Carr","given":"Vaughan J."},{"family":"Castle","given":"David"},{"family":"Catts","given":"Stanley V."},{"family":"Chambert","given":"Kimberley D."},{"family":"Chan","given":"Raymond C. K."},{"family":"Chaumette","given":"Boris"},{"family":"Cheng","given":"Wei"},{"family":"Cheung","given":"Eric F. C."},{"family":"Chong","given":"Siow Ann"},{"family":"Cohen","given":"David"},{"family":"Consoli","given":"Angèle"},{"family":"Cordeiro","given":"Quirino"},{"family":"Costas","given":"Javier"},{"family":"Curtis","given":"Charles"},{"family":"Davidson","given":"Michael"},{"family":"Davis","given":"Kenneth L."},{"family":"Haan","given":"Lieuwe","non-dropping-particle":"de"},{"family":"Degenhardt","given":"Franziska"},{"family":"DeLisi","given":"Lynn E."},{"family":"Demontis","given":"Ditte"},{"family":"Dickerson","given":"Faith"},{"family":"Dikeos","given":"Dimitris"},{"family":"Dinan","given":"Timothy"},{"family":"Djurovic","given":"Srdjan"},{"family":"Duan","given":"Jubao"},{"family":"Ducci","given":"Giuseppe"},{"family":"Dudbridge","given":"Frank"},{"family":"Eriksson","given":"Johan G."},{"family":"Fañanás","given":"Lourdes"},{"family":"Faraone","given":"Stephen V."},{"family":"Fiorentino","given":"Alessia"},{"family":"Forstner","given":"Andreas"},{"family":"Frank","given":"Josef"},{"family":"Freimer","given":"Nelson B."},{"family":"Fromer","given":"Menachem"},{"family":"Frustaci","given":"Alessandra"},{"family":"Gadelha","given":"Ary"},{"family":"Genovese","given":"Giulio"},{"family":"Gershon","given":"Elliot S."},{"family":"Giannitelli","given":"Marianna"},{"family":"Giegling","given":"Ina"},{"family":"Giusti-Rodríguez","given":"Paola"},{"family":"Godard","given":"Stephanie"},{"family":"Goldstein","given":"Jacqueline I."},{"family":"González Peñas","given":"Javier"},{"family":"González-Pinto","given":"Ana"},{"family":"Gopal","given":"Srihari"},{"family":"Gratten","given":"Jacob"},{"family":"Green","given":"Michael F."},{"family":"Greenwood","given":"Tiffany A."},{"family":"Guillin","given":"Olivier"},{"family":"Gülöksüz","given":"Sinan"},{"family":"Gur","given":"Raquel E."},{"family":"Gur","given":"Ruben C."},{"family":"Gutiérrez","given":"Blanca"},{"family":"Hahn","given":"Eric"},{"family":"Hakonarson","given":"Hakon"},{"family":"Haroutunian","given":"Vahram"},{"family":"Hartmann","given":"Annette M."},{"family":"Harvey","given":"Carol"},{"family":"Hayward","given":"Caroline"},{"family":"Henskens","given":"Frans A."},{"family":"Herms","given":"Stefan"},{"family":"Hoffmann","given":"Per"},{"family":"Howrigan","given":"Daniel P."},{"family":"Ikeda","given":"Masashi"},{"family":"Iyegbe","given":"Conrad"},{"family":"Joa","given":"Inge"},{"family":"Julià","given":"Antonio"},{"family":"Kähler","given":"Anna K."},{"family":"Kam-Thong","given":"Tony"},{"family":"Kamatani","given":"Yoichiro"},{"family":"Karachanak-Yankova","given":"Sena"},{"family":"Kebir","given":"Oussama"},{"family":"Keller","given":"Matthew C."},{"family":"Kelly","given":"Brian J."},{"family":"Khrunin","given":"Andrey"},{"family":"Kim","given":"Sung-Wan"},{"family":"Klovins","given":"Janis"},{"family":"Kondratiev","given":"Nikolay"},{"family":"Konte","given":"Bettina"},{"family":"Kraft","given":"Julia"},{"family":"Kubo","given":"Michiaki"},{"family":"Kučinskas","given":"Vaidutis"},{"family":"Kučinskiene","given":"Zita Ausrele"},{"family":"Kusumawardhani","given":"Agung"},{"family":"Kuzelova-Ptackova","given":"Hana"},{"family":"Landi","given":"Stefano"},{"family":"Lazzeroni","given":"Laura C."},{"family":"Lee","given":"Phil H."},{"family":"Legge","given":"Sophie E."},{"family":"Lehrer","given":"Douglas S."},{"family":"Lencer","given":"Rebecca"},{"family":"Lerer","given":"Bernard"},{"family":"Li","given":"Miaoxin"},{"family":"Lieberman","given":"Jeffrey"},{"family":"Light","given":"Gregory A."},{"family":"Limborska","given":"Svetlana"},{"family":"Liu","given":"Chih-Min"},{"family":"Lönnqvist","given":"Jouko"},{"family":"Loughland","given":"Carmel M."},{"family":"Lubinski","given":"Jan"},{"family":"Luykx","given":"Jurjen J."},{"family":"Lynham","given":"Amy"},{"family":"Macek","given":"Milan"},{"family":"Mackinnon","given":"Andrew"},{"family":"Magnusson","given":"Patrik K. E."},{"family":"Maher","given":"Brion S."},{"family":"Maier","given":"Wolfgang"},{"family":"Malaspina","given":"Dolores"},{"family":"Mallet","given":"Jacques"},{"family":"Marder","given":"Stephen R."},{"family":"Marsal","given":"Sara"},{"family":"Martin","given":"Alicia R."},{"family":"Martorell","given":"Lourdes"},{"family":"Mattheisen","given":"Manuel"},{"family":"McCarley","given":"Robert W."},{"family":"McDonald","given":"Colm"},{"family":"McGrath","given":"John J."},{"family":"Medeiros","given":"Helena"},{"family":"Meier","given":"Sandra"},{"family":"Melegh","given":"Bela"},{"family":"Melle","given":"Ingrid"},{"family":"Mesholam-Gately","given":"Raquelle I."},{"family":"Metspalu","given":"Andres"},{"family":"Michie","given":"Patricia T."},{"family":"Milani","given":"Lili"},{"family":"Milanova","given":"Vihra"},{"family":"Mitjans","given":"Marina"},{"family":"Molden","given":"Espen"},{"family":"Molina","given":"Esther"},{"family":"Molto","given":"María Dolores"},{"family":"Mondelli","given":"Valeria"},{"family":"Moreno","given":"Carmen"},{"family":"Morley","given":"Christopher P."},{"family":"Muntané","given":"Gerard"},{"family":"Murphy","given":"Kieran C."},{"family":"Myin-Germeys","given":"Inez"},{"family":"Nenadić","given":"Igor"},{"family":"Nestadt","given":"Gerald"},{"family":"Nikitina-Zake","given":"Liene"},{"family":"Noto","given":"Cristiano"},{"family":"Nuechterlein","given":"Keith H."},{"family":"O'Brien","given":"Niamh Louise"},{"family":"O'Neill","given":"F. Anthony"},{"family":"Oh","given":"Sang-Yun"},{"family":"Olincy","given":"Ann"},{"family":"Ota","given":"Vanessa Kiyomi"},{"family":"Pantelis","given":"Christos"},{"family":"Papadimitriou","given":"George N."},{"family":"Parellada","given":"Mara"},{"family":"Paunio","given":"Tiina"},{"family":"Pellegrino","given":"Renata"},{"family":"Periyasamy","given":"Sathish"},{"family":"Perkins","given":"Diana O."},{"family":"Pfuhlmann","given":"Bruno"},{"family":"Pietiläinen","given":"Olli"},{"family":"Pimm","given":"Jonathan"},{"family":"Porteous","given":"David"},{"family":"Powell","given":"John"},{"family":"Quattrone","given":"Diego"},{"family":"Quested","given":"Digby"},{"family":"Radant","given":"Allen D."},{"family":"Rampino","given":"Antonio"},{"family":"Rapaport","given":"Mark H."},{"family":"Rautanen","given":"Anna"},{"family":"Reichenberg","given":"Abraham"},{"family":"Roe","given":"Cheryl"},{"family":"Roffman","given":"Joshua L."},{"family":"Roth","given":"Julian"},{"family":"Rothermundt","given":"Matthias"},{"family":"Rutten","given":"Bart P. F."},{"family":"Saker-Delye","given":"Safaa"},{"family":"Salomaa","given":"Veikko"},{"family":"Sanjuan","given":"Julio"},{"family":"Santoro","given":"Marcos Leite"},{"family":"Savitz","given":"Adam"},{"family":"Schall","given":"Ulrich"},{"family":"Scott","given":"Rodney J."},{"family":"Seidman","given":"Larry J."},{"family":"Sharp","given":"Sally Isabel"},{"family":"Shi","given":"Jianxin"},{"family":"Siever","given":"Larry J."},{"family":"Sigurdsson","given":"Engilbert"},{"family":"Sim","given":"Kang"},{"family":"Skarabis","given":"Nora"},{"family":"Slominsky","given":"Petr"},{"family":"So","given":"Hon-Cheong"},{"family":"Sobell","given":"Janet L."},{"family":"Söderman","given":"Erik"},{"family":"Stain","given":"Helen J."},{"family":"Steen","given":"Nils Eiel"},{"family":"Steixner-Kumar","given":"Agnes A."},{"family":"Stögmann","given":"Elisabeth"},{"family":"Stone","given":"William S."},{"family":"Straub","given":"Richard E."},{"family":"Streit","given":"Fabian"},{"family":"Strengman","given":"Eric"},{"family":"Stroup","given":"T. Scott"},{"family":"Subramaniam","given":"Mythily"},{"family":"Sugar","given":"Catherine A."},{"family":"Suvisaari","given":"Jaana"},{"family":"Svrakic","given":"Dragan M."},{"family":"Swerdlow","given":"Neal R."},{"family":"Szatkiewicz","given":"Jin P."},{"family":"Ta","given":"Thi Minh Tam"},{"family":"Takahashi","given":"Atsushi"},{"family":"Terao","given":"Chikashi"},{"family":"Thibaut","given":"Florence"},{"family":"Toncheva","given":"Draga"},{"family":"Tooney","given":"Paul A."},{"family":"Torretta","given":"Silvia"},{"family":"Tosato","given":"Sarah"},{"family":"Tura","given":"Gian Battista"},{"family":"Turetsky","given":"Bruce I."},{"family":"Üçok","given":"Alp"},{"family":"Vaaler","given":"Arne"},{"family":"Amelsvoort","given":"Therese","non-dropping-particle":"van"},{"family":"Winkel","given":"Ruud","non-dropping-particle":"van"},{"family":"Veijola","given":"Juha"},{"family":"Waddington","given":"John"},{"family":"Walter","given":"Henrik"},{"family":"Waterreus","given":"Anna"},{"family":"Webb","given":"Bradley T."},{"family":"Weiser","given":"Mark"},{"family":"Williams","given":"Nigel M."},{"family":"Witt","given":"Stephanie H."},{"family":"Wormley","given":"Brandon K."},{"family":"Wu","given":"Jing Qin"},{"family":"Xu","given":"Zhida"},{"family":"Yolken","given":"Robert"},{"family":"Zai","given":"Clement C."},{"family":"Zhou","given":"Wei"},{"family":"Zhu","given":"Feng"},{"family":"Zimprich","given":"Fritz"},{"family":"Atbaşoğlu","given":"Eşref Cem"},{"family":"Ayub","given":"Muhammad"},{"family":"Benner","given":"Christian"},{"family":"Bertolino","given":"Alessandro"},{"family":"Black","given":"Donald W."},{"family":"Bray","given":"Nicholas J."},{"family":"Breen","given":"Gerome"},{"family":"Buccola","given":"Nancy G."},{"family":"Byerley","given":"William F."},{"family":"Chen","given":"Wei J."},{"family":"Cloninger","given":"C. Robert"},{"family":"Crespo-Facorro","given":"Benedicto"},{"family":"Donohoe","given":"Gary"},{"family":"Freedman","given":"Robert"},{"family":"Galletly","given":"Cherrie"},{"family":"Gandal","given":"Michael J."},{"family":"Gennarelli","given":"Massimo"},{"family":"Hougaard","given":"David M."},{"family":"Hwu","given":"Hai-Gwo"},{"family":"Jablensky","given":"Assen V."},{"family":"McCarroll","given":"Steven A."},{"family":"Moran","given":"Jennifer L."},{"family":"Mors","given":"Ole"},{"family":"Mortensen","given":"Preben B."},{"family":"Müller-Myhsok","given":"Bertram"},{"family":"Neil","given":"Amanda L."},{"family":"Nordentoft","given":"Merete"},{"family":"Pato","given":"Michele T."},{"family":"Petryshen","given":"Tracey L."},{"family":"Pirinen","given":"Matti"},{"family":"Pulver","given":"Ann E."},{"family":"Schulze","given":"Thomas G."},{"family":"Silverman","given":"Jeremy M."},{"family":"Smoller","given":"Jordan W."},{"family":"Stahl","given":"Eli A."},{"family":"Tsuang","given":"Debby W."},{"family":"Vilella","given":"Elisabet"},{"family":"Wang","given":"Shi-Heng"},{"family":"Xu","given":"Shuhua"},{"literal":"Indonesia Schizophrenia Consortium"},{"literal":"PsychENCODE"},{"literal":"Psychosis Endophenotypes International Consortium"},{"literal":"SynGO Consortium"},{"family":"Adolfsson","given":"Rolf"},{"family":"Arango","given":"Celso"},{"family":"Baune","given":"Bernhard T."},{"family":"Belangero","given":"Sintia Iole"},{"family":"Børglum","given":"Anders D."},{"family":"Braff","given":"David"},{"family":"Bramon","given":"Elvira"},{"family":"Buxbaum","given":"Joseph D."},{"family":"Campion","given":"Dominique"},{"family":"Cervilla","given":"Jorge A."},{"family":"Cichon","given":"Sven"},{"family":"Collier","given":"David A."},{"family":"Corvin","given":"Aiden"},{"family":"Curtis","given":"David"},{"family":"Forti","given":"Marta Di"},{"family":"Domenici","given":"Enrico"},{"family":"Ehrenreich","given":"Hannelore"},{"family":"Escott-Price","given":"Valentina"},{"family":"Esko","given":"Tõnu"},{"family":"Fanous","given":"Ayman H."},{"family":"Gareeva","given":"Anna"},{"family":"Gawlik","given":"Micha"},{"family":"Gejman","given":"Pablo V."},{"family":"Gill","given":"Michael"},{"family":"Glatt","given":"Stephen J."},{"family":"Golimbet","given":"Vera"},{"family":"Hong","given":"Kyung Sue"},{"family":"Hultman","given":"Christina M."},{"family":"Hyman","given":"Steven E."},{"family":"Iwata","given":"Nakao"},{"family":"Jönsson","given":"Erik G."},{"family":"Kahn","given":"René S."},{"family":"Kennedy","given":"James L."},{"family":"Khusnutdinova","given":"Elza"},{"family":"Kirov","given":"George"},{"family":"Knowles","given":"James A."},{"family":"Krebs","given":"Marie-Odile"},{"family":"Laurent-Levinson","given":"Claudine"},{"family":"Lee","given":"Jimmy"},{"family":"Lencz","given":"Todd"},{"family":"Levinson","given":"Douglas F."},{"family":"Li","given":"Qingqin S."},{"family":"Liu","given":"Jianjun"},{"family":"Malhotra","given":"Anil K."},{"family":"Malhotra","given":"Dheeraj"},{"family":"McIntosh","given":"Andrew"},{"family":"McQuillin","given":"Andrew"},{"family":"Menezes","given":"Paulo R."},{"family":"Morgan","given":"Vera A."},{"family":"Morris","given":"Derek W."},{"family":"Mowry","given":"Bryan J."},{"family":"Murray","given":"Robin M."},{"family":"Nimgaonkar","given":"Vishwajit"},{"family":"Nöthen","given":"Markus M."},{"family":"Ophoff","given":"Roel A."},{"family":"Paciga","given":"Sara A."},{"family":"Palotie","given":"Aarno"},{"family":"Pato","given":"Carlos N."},{"family":"Qin","given":"Shengying"},{"family":"Rietschel","given":"Marcella"},{"family":"Riley","given":"Brien P."},{"family":"Rivera","given":"Margarita"},{"family":"Rujescu","given":"Dan"},{"family":"Saka","given":"Meram C."},{"family":"Sanders","given":"Alan R."},{"family":"Schwab","given":"Sibylle G."},{"family":"Serretti","given":"Alessandro"},{"family":"Sham","given":"Pak C."},{"family":"Shi","given":"Yongyong"},{"family":"St Clair","given":"David"},{"family":"Stefánsson","given":"Hreinn"},{"family":"Stefansson","given":"Kari"},{"family":"Tsuang","given":"Ming T."},{"family":"Os","given":"Jim","non-dropping-particle":"van"},{"family":"Vawter","given":"Marquis P."},{"family":"Weinberger","given":"Daniel R."},{"family":"Werge","given":"Thomas"},{"family":"Wildenauer","given":"Dieter B."},{"family":"Yu","given":"Xin"},{"family":"Yue","given":"Weihua"},{"family":"Holmans","given":"Peter A."},{"family":"Pocklington","given":"Andrew J."},{"family":"Roussos","given":"Panos"},{"family":"Vassos","given":"Evangelos"},{"family":"Verhage","given":"Matthijs"},{"family":"Visscher","given":"Peter M."},{"family":"Yang","given":"Jian"},{"family":"Posthuma","given":"Danielle"},{"family":"Andreassen","given":"Ole A."},{"family":"Kendler","given":"Kenneth S."},{"family":"Owen","given":"Michael J."},{"family":"Wray","given":"Naomi R."},{"family":"Daly","given":"Mark J."},{"family":"Huang","given":"Hailiang"},{"family":"Neale","given":"Benjamin M."},{"family":"Sullivan","given":"Patrick F."},{"family":"Ripke","given":"Stephan"},{"family":"Walters","given":"James T. R."},{"family":"O'Donovan","given":"Michael C."},{"literal":"Schizophrenia Working Group of the Psychiatric Genomics Consortium"}],"issued":{"date-parts":[["2022",4]]}}}],"schema":"https://github.com/citation-style-language/schema/raw/master/csl-citation.json"} </w:instrText>
      </w:r>
      <w:r>
        <w:rPr>
          <w:rFonts w:ascii="Arial" w:hAnsi="Arial" w:cs="Arial"/>
        </w:rPr>
        <w:fldChar w:fldCharType="separate"/>
      </w:r>
      <w:r w:rsidR="001C677F" w:rsidRPr="001C677F">
        <w:rPr>
          <w:rFonts w:ascii="Arial" w:eastAsiaTheme="minorHAnsi" w:hAnsi="Arial" w:cs="Arial"/>
          <w:vertAlign w:val="superscript"/>
          <w14:ligatures w14:val="standardContextual"/>
        </w:rPr>
        <w:t>23</w:t>
      </w:r>
      <w:r>
        <w:rPr>
          <w:rFonts w:ascii="Arial" w:hAnsi="Arial" w:cs="Arial"/>
        </w:rPr>
        <w:fldChar w:fldCharType="end"/>
      </w:r>
      <w:r>
        <w:rPr>
          <w:rFonts w:ascii="Arial" w:hAnsi="Arial" w:cs="Arial"/>
        </w:rPr>
        <w:t xml:space="preserve">, </w:t>
      </w:r>
      <w:r w:rsidRPr="00E22B11">
        <w:rPr>
          <w:rFonts w:ascii="Arial" w:hAnsi="Arial" w:cs="Arial"/>
        </w:rPr>
        <w:t>and asthma</w:t>
      </w:r>
      <w:r>
        <w:rPr>
          <w:rFonts w:ascii="Arial" w:hAnsi="Arial" w:cs="Arial"/>
        </w:rPr>
        <w:fldChar w:fldCharType="begin"/>
      </w:r>
      <w:r w:rsidR="001C677F">
        <w:rPr>
          <w:rFonts w:ascii="Arial" w:hAnsi="Arial" w:cs="Arial"/>
        </w:rPr>
        <w:instrText xml:space="preserve"> ADDIN ZOTERO_ITEM CSL_CITATION {"citationID":"vX60uQxO","properties":{"formattedCitation":"\\super 24\\nosupersub{}","plainCitation":"24","noteIndex":0},"citationItems":[{"id":75,"uris":["http://zotero.org/users/local/HUSG1dD8/items/UXV2XL5F"],"itemData":{"id":75,"type":"article-journal","abstract":"Asthma is a complex disease that varies widely in prevalence across populations. The extent to which genetic variation contributes to these disparities is unclear, as the genetics underlying asthma have been investigated primarily in populations of European descent. As part of the Global Biobank Meta-analysis Initiative, we conducted a large-scale genome-wide association study of asthma (153,763 cases and 1,647,022 controls) via meta-analysis across 22 biobanks spanning multiple ancestries. We discovered 179 asthma-associated loci, 49 of which were not previously reported. Despite the wide range in asthma prevalence among biobanks, we found largely consistent genetic effects across biobanks and ancestries. The meta-analysis also improved polygenic risk prediction in non-European populations compared with previous studies. Additionally, we found considerable genetic overlap between age-of-onset subtypes and between asthma and comorbid diseases. Our work underscores the multi-factorial nature of asthma development and offers insight into its shared genetic architecture.","container-title":"Cell Genomics","DOI":"10.1016/j.xgen.2022.100212","ISSN":"2666-979X","issue":"12","journalAbbreviation":"Cell Genom","language":"eng","note":"PMID: 36778051\nPMCID: PMC9903683","page":"100212","source":"PubMed","title":"Multi-ancestry meta-analysis of asthma identifies novel associations and highlights the value of increased power and diversity","volume":"2","author":[{"family":"Tsuo","given":"Kristin"},{"family":"Zhou","given":"Wei"},{"family":"Wang","given":"Ying"},{"family":"Kanai","given":"Masahiro"},{"family":"Namba","given":"Shinichi"},{"family":"Gupta","given":"Rahul"},{"family":"Majara","given":"Lerato"},{"family":"Nkambule","given":"Lethukuthula L."},{"family":"Morisaki","given":"Takayuki"},{"family":"Okada","given":"Yukinori"},{"family":"Neale","given":"Benjamin M."},{"literal":"Global Biobank Meta-analysis Initiative"},{"family":"Daly","given":"Mark J."},{"family":"Martin","given":"Alicia R."}],"issued":{"date-parts":[["2022",12,14]]}}}],"schema":"https://github.com/citation-style-language/schema/raw/master/csl-citation.json"} </w:instrText>
      </w:r>
      <w:r>
        <w:rPr>
          <w:rFonts w:ascii="Arial" w:hAnsi="Arial" w:cs="Arial"/>
        </w:rPr>
        <w:fldChar w:fldCharType="separate"/>
      </w:r>
      <w:r w:rsidR="001C677F" w:rsidRPr="001C677F">
        <w:rPr>
          <w:rFonts w:ascii="Arial" w:eastAsiaTheme="minorHAnsi" w:hAnsi="Arial" w:cs="Arial"/>
          <w:vertAlign w:val="superscript"/>
          <w14:ligatures w14:val="standardContextual"/>
        </w:rPr>
        <w:t>24</w:t>
      </w:r>
      <w:r>
        <w:rPr>
          <w:rFonts w:ascii="Arial" w:hAnsi="Arial" w:cs="Arial"/>
        </w:rPr>
        <w:fldChar w:fldCharType="end"/>
      </w:r>
      <w:r w:rsidRPr="00E22B11">
        <w:rPr>
          <w:rFonts w:ascii="Arial" w:hAnsi="Arial" w:cs="Arial"/>
        </w:rPr>
        <w:t xml:space="preserve">. We </w:t>
      </w:r>
      <w:r w:rsidRPr="00E22B11">
        <w:rPr>
          <w:rFonts w:ascii="Arial" w:hAnsi="Arial" w:cs="Arial"/>
        </w:rPr>
        <w:lastRenderedPageBreak/>
        <w:t>applied a Bonferroni correction to correct for multiple testing, setting a significance threshold of 0.0056 (α = 0.05/</w:t>
      </w:r>
      <w:r w:rsidRPr="00124672">
        <w:rPr>
          <w:rFonts w:ascii="Arial" w:hAnsi="Arial" w:cs="Arial"/>
        </w:rPr>
        <w:t>9 studies).</w:t>
      </w:r>
      <w:r>
        <w:rPr>
          <w:rFonts w:ascii="Arial" w:hAnsi="Arial" w:cs="Arial"/>
        </w:rPr>
        <w:t xml:space="preserve"> </w:t>
      </w:r>
      <w:r w:rsidRPr="00124672">
        <w:rPr>
          <w:rFonts w:ascii="Arial" w:hAnsi="Arial" w:cs="Arial"/>
        </w:rPr>
        <w:t>We reviewed the lead HS variants in the GWAS Catalog</w:t>
      </w:r>
      <w:r>
        <w:rPr>
          <w:rFonts w:ascii="Arial" w:hAnsi="Arial" w:cs="Arial"/>
        </w:rPr>
        <w:fldChar w:fldCharType="begin"/>
      </w:r>
      <w:r w:rsidR="001C677F">
        <w:rPr>
          <w:rFonts w:ascii="Arial" w:hAnsi="Arial" w:cs="Arial"/>
        </w:rPr>
        <w:instrText xml:space="preserve"> ADDIN ZOTERO_ITEM CSL_CITATION {"citationID":"bETwsig0","properties":{"formattedCitation":"\\super 25\\nosupersub{}","plainCitation":"25","noteIndex":0},"citationItems":[{"id":138,"uris":["http://zotero.org/users/local/HUSG1dD8/items/Y6447CM2"],"itemData":{"id":138,"type":"article-journal","abstract":"The NHGRI-EBI GWAS Catalog serves as a vital resource for the genetic research community, providing access to the most comprehensive database of human GWAS results. Currently, it contains close to 7 000 publications for &amp;gt;15 000 traits, from which more than 625 000 lead associations have been curated. Additionally, 85 000 full genome-wide summary statistics datasets—containing association data for all variants in the analysis—are available for downstream analyses such as meta-analysis, fine-mapping, Mendelian randomisation or development of polygenic risk scores. As a centralised repository for GWAS results, the GWAS Catalog sets and implements standards for data submission and harmonisation, and encourages the use of consistent descriptors for traits, samples and methodologies. We share processes and vocabulary with the PGS Catalog, improving interoperability for a growing user group. Here, we describe the latest changes in data content, improvements in our user interface, and the implementation of the GWAS-SSF standard format for summary statistics. We address the challenges of handling the rapid increase in large-scale molecular quantitative trait GWAS and the need for sensitivity in the use of population and cohort descriptors while maintaining data interoperability and reusability.","container-title":"Nucleic Acids Research","DOI":"10.1093/nar/gkae1070","ISSN":"1362-4962","issue":"D1","journalAbbreviation":"Nucleic Acids Research","page":"D998-D1005","source":"Silverchair","title":"The NHGRI-EBI GWAS Catalog: standards for reusability, sustainability and diversity","title-short":"The NHGRI-EBI GWAS Catalog","volume":"53","author":[{"family":"Cerezo","given":"Maria"},{"family":"Sollis","given":"Elliot"},{"family":"Ji","given":"Yue"},{"family":"Lewis","given":"Elizabeth"},{"family":"Abid","given":"Ala"},{"family":"Bircan","given":"Karatuğ Ozan"},{"family":"Hall","given":"Peggy"},{"family":"Hayhurst","given":"James"},{"family":"John","given":"Sajo"},{"family":"Mosaku","given":"Abayomi"},{"family":"Ramachandran","given":"Santhi"},{"family":"Foreman","given":"Amy"},{"family":"Ibrahim","given":"Arwa"},{"family":"McLaughlin","given":"James"},{"family":"Pendlington","given":"Zoë"},{"family":"Stefancsik","given":"Ray"},{"family":"Lambert","given":"Samuel A"},{"family":"McMahon","given":"Aoife"},{"family":"Morales","given":"Joannella"},{"family":"Keane","given":"Thomas"},{"family":"Inouye","given":"Michael"},{"family":"Parkinson","given":"Helen"},{"family":"Harris","given":"Laura W"}],"issued":{"date-parts":[["2025",1,6]]}}}],"schema":"https://github.com/citation-style-language/schema/raw/master/csl-citation.json"} </w:instrText>
      </w:r>
      <w:r>
        <w:rPr>
          <w:rFonts w:ascii="Arial" w:hAnsi="Arial" w:cs="Arial"/>
        </w:rPr>
        <w:fldChar w:fldCharType="separate"/>
      </w:r>
      <w:r w:rsidR="001C677F" w:rsidRPr="001C677F">
        <w:rPr>
          <w:rFonts w:ascii="Arial" w:eastAsiaTheme="minorHAnsi" w:hAnsi="Arial" w:cs="Arial"/>
          <w:vertAlign w:val="superscript"/>
          <w14:ligatures w14:val="standardContextual"/>
        </w:rPr>
        <w:t>25</w:t>
      </w:r>
      <w:r>
        <w:rPr>
          <w:rFonts w:ascii="Arial" w:hAnsi="Arial" w:cs="Arial"/>
        </w:rPr>
        <w:fldChar w:fldCharType="end"/>
      </w:r>
      <w:r>
        <w:rPr>
          <w:rFonts w:ascii="Arial" w:hAnsi="Arial" w:cs="Arial"/>
        </w:rPr>
        <w:t xml:space="preserve"> </w:t>
      </w:r>
      <w:r w:rsidRPr="00124672">
        <w:rPr>
          <w:rFonts w:ascii="Arial" w:hAnsi="Arial" w:cs="Arial"/>
        </w:rPr>
        <w:t>to identify reported associations with related traits.</w:t>
      </w:r>
    </w:p>
    <w:p w14:paraId="0FF3C009" w14:textId="77777777" w:rsidR="00026B72" w:rsidRPr="00E22B11" w:rsidRDefault="00026B72" w:rsidP="00026B72">
      <w:pPr>
        <w:rPr>
          <w:rFonts w:ascii="Arial" w:hAnsi="Arial" w:cs="Arial"/>
        </w:rPr>
      </w:pPr>
    </w:p>
    <w:p w14:paraId="151ADCB5" w14:textId="77777777" w:rsidR="00026B72" w:rsidRPr="00E22B11" w:rsidRDefault="00026B72" w:rsidP="00026B72">
      <w:pPr>
        <w:rPr>
          <w:rFonts w:ascii="Arial" w:hAnsi="Arial" w:cs="Arial"/>
          <w:u w:val="single"/>
        </w:rPr>
      </w:pPr>
      <w:r w:rsidRPr="00E22B11">
        <w:rPr>
          <w:rFonts w:ascii="Arial" w:hAnsi="Arial" w:cs="Arial"/>
          <w:u w:val="single"/>
        </w:rPr>
        <w:t xml:space="preserve">Candidate </w:t>
      </w:r>
      <w:r>
        <w:rPr>
          <w:rFonts w:ascii="Arial" w:hAnsi="Arial" w:cs="Arial"/>
          <w:u w:val="single"/>
        </w:rPr>
        <w:t>G</w:t>
      </w:r>
      <w:r w:rsidRPr="00E22B11">
        <w:rPr>
          <w:rFonts w:ascii="Arial" w:hAnsi="Arial" w:cs="Arial"/>
          <w:u w:val="single"/>
        </w:rPr>
        <w:t xml:space="preserve">enes and </w:t>
      </w:r>
      <w:r>
        <w:rPr>
          <w:rFonts w:ascii="Arial" w:hAnsi="Arial" w:cs="Arial"/>
          <w:u w:val="single"/>
        </w:rPr>
        <w:t>R</w:t>
      </w:r>
      <w:r w:rsidRPr="00E22B11">
        <w:rPr>
          <w:rFonts w:ascii="Arial" w:hAnsi="Arial" w:cs="Arial"/>
          <w:u w:val="single"/>
        </w:rPr>
        <w:t xml:space="preserve">egulatory </w:t>
      </w:r>
      <w:r>
        <w:rPr>
          <w:rFonts w:ascii="Arial" w:hAnsi="Arial" w:cs="Arial"/>
          <w:u w:val="single"/>
        </w:rPr>
        <w:t>E</w:t>
      </w:r>
      <w:r w:rsidRPr="00E22B11">
        <w:rPr>
          <w:rFonts w:ascii="Arial" w:hAnsi="Arial" w:cs="Arial"/>
          <w:u w:val="single"/>
        </w:rPr>
        <w:t>lements</w:t>
      </w:r>
    </w:p>
    <w:p w14:paraId="4291D183" w14:textId="77777777" w:rsidR="00026B72" w:rsidRDefault="00026B72" w:rsidP="00026B72">
      <w:pPr>
        <w:rPr>
          <w:rFonts w:ascii="Arial" w:hAnsi="Arial" w:cs="Arial"/>
        </w:rPr>
      </w:pPr>
    </w:p>
    <w:p w14:paraId="6F1F6C8C" w14:textId="741967FB" w:rsidR="00026B72" w:rsidRPr="006A340C" w:rsidRDefault="00026B72" w:rsidP="00026B72">
      <w:pPr>
        <w:rPr>
          <w:rFonts w:ascii="Arial" w:hAnsi="Arial" w:cs="Arial"/>
        </w:rPr>
      </w:pPr>
      <w:r w:rsidRPr="00E22B11">
        <w:rPr>
          <w:rFonts w:ascii="Arial" w:hAnsi="Arial" w:cs="Arial"/>
        </w:rPr>
        <w:t>To prioritize potential candidate genes</w:t>
      </w:r>
      <w:r w:rsidR="00EE16E0">
        <w:rPr>
          <w:rFonts w:ascii="Arial" w:hAnsi="Arial" w:cs="Arial"/>
        </w:rPr>
        <w:t xml:space="preserve"> and identify vari</w:t>
      </w:r>
      <w:r w:rsidR="00DD2D9D">
        <w:rPr>
          <w:rFonts w:ascii="Arial" w:hAnsi="Arial" w:cs="Arial"/>
        </w:rPr>
        <w:t>a</w:t>
      </w:r>
      <w:r w:rsidR="00EE16E0">
        <w:rPr>
          <w:rFonts w:ascii="Arial" w:hAnsi="Arial" w:cs="Arial"/>
        </w:rPr>
        <w:t>nts within gene coding regions</w:t>
      </w:r>
      <w:r w:rsidRPr="00E22B11">
        <w:rPr>
          <w:rFonts w:ascii="Arial" w:hAnsi="Arial" w:cs="Arial"/>
        </w:rPr>
        <w:t xml:space="preserve">, </w:t>
      </w:r>
      <w:r>
        <w:rPr>
          <w:rFonts w:ascii="Arial" w:hAnsi="Arial" w:cs="Arial"/>
        </w:rPr>
        <w:t>we generated variant-level annotation using WGSA Annotator</w:t>
      </w:r>
      <w:r>
        <w:rPr>
          <w:rFonts w:ascii="Arial" w:hAnsi="Arial" w:cs="Arial"/>
        </w:rPr>
        <w:fldChar w:fldCharType="begin"/>
      </w:r>
      <w:r w:rsidR="001C677F">
        <w:rPr>
          <w:rFonts w:ascii="Arial" w:hAnsi="Arial" w:cs="Arial"/>
        </w:rPr>
        <w:instrText xml:space="preserve"> ADDIN ZOTERO_ITEM CSL_CITATION {"citationID":"BAm296Jd","properties":{"formattedCitation":"\\super 26\\nosupersub{}","plainCitation":"26","noteIndex":0},"citationItems":[{"id":78,"uris":["http://zotero.org/users/local/HUSG1dD8/items/6B93CIL9"],"itemData":{"id":78,"type":"article-journal","container-title":"Journal of Medical Genetics","DOI":"10.1136/jmedgenet-2015-103423","ISSN":"1468-6244","issue":"2","journalAbbreviation":"J Med Genet","language":"eng","note":"PMID: 26395054\nPMCID: PMC5124490","page":"111-112","source":"PubMed","title":"WGSA: an annotation pipeline for human genome sequencing studies","title-short":"WGSA","volume":"53","author":[{"family":"Liu","given":"Xiaoming"},{"family":"White","given":"Simon"},{"family":"Peng","given":"Bo"},{"family":"Johnson","given":"Andrew D."},{"family":"Brody","given":"Jennifer A."},{"family":"Li","given":"Alexander H."},{"family":"Huang","given":"Zhuoyi"},{"family":"Carroll","given":"Andrew"},{"family":"Wei","given":"Peng"},{"family":"Gibbs","given":"Richard"},{"family":"Klein","given":"Robert J."},{"family":"Boerwinkle","given":"Eric"}],"issued":{"date-parts":[["2016",2]]}}}],"schema":"https://github.com/citation-style-language/schema/raw/master/csl-citation.json"} </w:instrText>
      </w:r>
      <w:r>
        <w:rPr>
          <w:rFonts w:ascii="Arial" w:hAnsi="Arial" w:cs="Arial"/>
        </w:rPr>
        <w:fldChar w:fldCharType="separate"/>
      </w:r>
      <w:r w:rsidR="001C677F" w:rsidRPr="001C677F">
        <w:rPr>
          <w:rFonts w:ascii="Arial" w:eastAsiaTheme="minorHAnsi" w:hAnsi="Arial" w:cs="Arial"/>
          <w:vertAlign w:val="superscript"/>
          <w14:ligatures w14:val="standardContextual"/>
        </w:rPr>
        <w:t>26</w:t>
      </w:r>
      <w:r>
        <w:rPr>
          <w:rFonts w:ascii="Arial" w:hAnsi="Arial" w:cs="Arial"/>
        </w:rPr>
        <w:fldChar w:fldCharType="end"/>
      </w:r>
      <w:r>
        <w:rPr>
          <w:rFonts w:ascii="Arial" w:hAnsi="Arial" w:cs="Arial"/>
        </w:rPr>
        <w:t>. Next</w:t>
      </w:r>
      <w:r w:rsidRPr="00E22B11">
        <w:rPr>
          <w:rFonts w:ascii="Arial" w:hAnsi="Arial" w:cs="Arial"/>
        </w:rPr>
        <w:t>, we tested for evidence of colocalization between HS signals and signals from ten sources of expression quantitative trait loci (eQTL) data in HS-relevant tissues: skin (</w:t>
      </w:r>
      <w:r>
        <w:rPr>
          <w:rFonts w:ascii="Arial" w:hAnsi="Arial" w:cs="Arial"/>
        </w:rPr>
        <w:t xml:space="preserve">lower leg and </w:t>
      </w:r>
      <w:proofErr w:type="spellStart"/>
      <w:r>
        <w:rPr>
          <w:rFonts w:ascii="Arial" w:hAnsi="Arial" w:cs="Arial"/>
        </w:rPr>
        <w:t>subrapubic</w:t>
      </w:r>
      <w:proofErr w:type="spellEnd"/>
      <w:r>
        <w:rPr>
          <w:rFonts w:ascii="Arial" w:hAnsi="Arial" w:cs="Arial"/>
        </w:rPr>
        <w:t>),</w:t>
      </w:r>
      <w:r w:rsidRPr="00E22B11">
        <w:rPr>
          <w:rFonts w:ascii="Arial" w:hAnsi="Arial" w:cs="Arial"/>
        </w:rPr>
        <w:t xml:space="preserve"> lymphocytes, breast mammary tissue, and spleen</w:t>
      </w:r>
      <w:r>
        <w:rPr>
          <w:rFonts w:ascii="Arial" w:hAnsi="Arial" w:cs="Arial"/>
        </w:rPr>
        <w:t xml:space="preserve"> from GTEx</w:t>
      </w:r>
      <w:r>
        <w:rPr>
          <w:rFonts w:ascii="Arial" w:hAnsi="Arial" w:cs="Arial"/>
        </w:rPr>
        <w:fldChar w:fldCharType="begin"/>
      </w:r>
      <w:r w:rsidR="001C677F">
        <w:rPr>
          <w:rFonts w:ascii="Arial" w:hAnsi="Arial" w:cs="Arial"/>
        </w:rPr>
        <w:instrText xml:space="preserve"> ADDIN ZOTERO_ITEM CSL_CITATION {"citationID":"m62FeqHg","properties":{"formattedCitation":"\\super 27\\nosupersub{}","plainCitation":"27","noteIndex":0},"citationItems":[{"id":81,"uris":["http://zotero.org/users/local/HUSG1dD8/items/735MTYEH"],"itemData":{"id":81,"type":"article-journal","abstract":"The Genotype-Tissue Expression (GTEx) project was established to characterize genetic effects on the transcriptome across human tissues and to link these regulatory mechanisms to trait and disease associations. Here, we present analyses of the version 8 data, examining 15,201 RNA-sequencing samples from 49 tissues of 838 postmortem donors. We comprehensively characterize genetic associations for gene expression and splicing in cis and trans, showing that regulatory associations are found for almost all genes, and describe the underlying molecular mechanisms and their contribution to allelic heterogeneity and pleiotropy of complex traits. Leveraging the large diversity of tissues, we provide insights into the tissue specificity of genetic effects and show that cell type composition is a key factor in understanding gene regulatory mechanisms in human tissues.","container-title":"Science (New York, N.Y.)","DOI":"10.1126/science.aaz1776","ISSN":"1095-9203","issue":"6509","journalAbbreviation":"Science","language":"eng","note":"PMID: 32913098\nPMCID: PMC7737656","page":"1318-1330","source":"PubMed","title":"The GTEx Consortium atlas of genetic regulatory effects across human tissues","volume":"369","author":[{"literal":"GTEx Consortium"}],"issued":{"date-parts":[["2020",9,11]]}}}],"schema":"https://github.com/citation-style-language/schema/raw/master/csl-citation.json"} </w:instrText>
      </w:r>
      <w:r>
        <w:rPr>
          <w:rFonts w:ascii="Arial" w:hAnsi="Arial" w:cs="Arial"/>
        </w:rPr>
        <w:fldChar w:fldCharType="separate"/>
      </w:r>
      <w:r w:rsidR="001C677F" w:rsidRPr="001C677F">
        <w:rPr>
          <w:rFonts w:ascii="Arial" w:eastAsiaTheme="minorHAnsi" w:hAnsi="Arial" w:cs="Arial"/>
          <w:vertAlign w:val="superscript"/>
          <w14:ligatures w14:val="standardContextual"/>
        </w:rPr>
        <w:t>27</w:t>
      </w:r>
      <w:r>
        <w:rPr>
          <w:rFonts w:ascii="Arial" w:hAnsi="Arial" w:cs="Arial"/>
        </w:rPr>
        <w:fldChar w:fldCharType="end"/>
      </w:r>
      <w:r>
        <w:rPr>
          <w:rFonts w:ascii="Arial" w:hAnsi="Arial" w:cs="Arial"/>
        </w:rPr>
        <w:t xml:space="preserve">, </w:t>
      </w:r>
      <w:r w:rsidRPr="00E22B11">
        <w:rPr>
          <w:rFonts w:ascii="Arial" w:hAnsi="Arial" w:cs="Arial"/>
        </w:rPr>
        <w:t xml:space="preserve">two skin datasets </w:t>
      </w:r>
      <w:r>
        <w:rPr>
          <w:rFonts w:ascii="Arial" w:hAnsi="Arial" w:cs="Arial"/>
        </w:rPr>
        <w:t>from TwinsUK</w:t>
      </w:r>
      <w:r>
        <w:rPr>
          <w:rFonts w:ascii="Arial" w:hAnsi="Arial" w:cs="Arial"/>
        </w:rPr>
        <w:fldChar w:fldCharType="begin"/>
      </w:r>
      <w:r w:rsidR="001C677F">
        <w:rPr>
          <w:rFonts w:ascii="Arial" w:hAnsi="Arial" w:cs="Arial"/>
        </w:rPr>
        <w:instrText xml:space="preserve"> ADDIN ZOTERO_ITEM CSL_CITATION {"citationID":"4kD6WeAP","properties":{"formattedCitation":"\\super 28,29\\nosupersub{}","plainCitation":"28,29","noteIndex":0},"citationItems":[{"id":87,"uris":["http://zotero.org/users/local/HUSG1dD8/items/2GCGKLUM"],"itemData":{"id":87,"type":"article-journal","abstract":"Whole-skin DNA methylation variation has been implicated in several diseases, including melanoma, but its genetic basis has not yet been fully characterized. Using bulk skin tissue samples from 414 healthy female UK twins, we performed twin-based heritability and methylation quantitative trait loci (meQTL) analyses for &gt;400,000 DNA methylation sites. We find that the human skin DNA methylome is on average less heritable than previously estimated in blood and other tissues (mean heritability: 10.02%). meQTL analysis identified local genetic effects influencing DNA methylation at 18.8% (76,442) of tested CpG sites, as well as 1,775 CpG sites associated with at least one distal genetic variant. As a functional follow-up, we performed skin expression QTL (eQTL) analyses in a partially overlapping sample of 604 female twins. Colocalization analysis identified over 3,500 shared genetic effects affecting thousands of CpG sites (10,067) and genes (4,475). Mediation analysis of putative colocalized gene-CpG pairs identified 114 genes with evidence for eQTL effects being mediated by DNA methylation in skin, including in genes implicating skin disease such as ALOX12 and CSPG4. We further explored the relevance of skin meQTLs to skin disease and found that skin meQTLs and CpGs under genetic influence were enriched for multiple skin-related genome-wide and epigenome-wide association signals, including for melanoma and psoriasis. Our findings give insights into the regulatory landscape of epigenomic variation in skin.","container-title":"American Journal of Human Genetics","DOI":"10.1016/j.ajhg.2024.07.010","ISSN":"1537-6605","issue":"9","journalAbbreviation":"Am J Hum Genet","language":"eng","note":"PMID: 39137780\nPMCID: PMC11393713","page":"1932-1952","source":"PubMed","title":"Genetic effects on the skin methylome in healthy older twins","volume":"111","author":[{"family":"Shore","given":"Christopher J."},{"family":"Villicaña","given":"Sergio"},{"family":"El-Sayed Moustafa","given":"Julia S."},{"family":"Roberts","given":"Amy L."},{"family":"Gunn","given":"David A."},{"family":"Bataille","given":"Veronique"},{"family":"Deloukas","given":"Panos"},{"family":"Spector","given":"Tim D."},{"family":"Small","given":"Kerrin S."},{"family":"Bell","given":"Jordana T."}],"issued":{"date-parts":[["2024",9,5]]}}},{"id":84,"uris":["http://zotero.org/users/local/HUSG1dD8/items/3WX5ZFF4"],"itemData":{"id":84,"type":"article-journal","abstract":"Many gene expression quantitative trait locus (eQTL) studies have published their summary statistics, which can be used to gain insight into complex human traits by downstream analyses, such as fine mapping and co-localization. However, technical differences between these datasets are a barrier to their widespread use. Consequently, target genes for most genome-wide association study (GWAS) signals have still not been identified. In the present study, we present the eQTL Catalogue ( https://www.ebi.ac.uk/eqtl ), a resource of quality-controlled, uniformly re-computed gene expression and splicing QTLs from 21 studies. We find that, for matching cell types and tissues, the eQTL effect sizes are highly reproducible between studies. Although most QTLs were shared between most bulk tissues, we identified a greater diversity of cell-type-specific QTLs from purified cell types, a subset of which also manifested as new disease co-localizations. Our summary statistics are freely available to enable the systematic interpretation of human GWAS associations across many cell types and tissues.","container-title":"Nature Genetics","DOI":"10.1038/s41588-021-00924-w","ISSN":"1546-1718","issue":"9","journalAbbreviation":"Nat Genet","language":"eng","note":"PMID: 34493866\nPMCID: PMC8423625","page":"1290-1299","source":"PubMed","title":"A compendium of uniformly processed human gene expression and splicing quantitative trait loci","volume":"53","author":[{"family":"Kerimov","given":"Nurlan"},{"family":"Hayhurst","given":"James D."},{"family":"Peikova","given":"Kateryna"},{"family":"Manning","given":"Jonathan R."},{"family":"Walter","given":"Peter"},{"family":"Kolberg","given":"Liis"},{"family":"Samoviča","given":"Marija"},{"family":"Sakthivel","given":"Manoj Pandian"},{"family":"Kuzmin","given":"Ivan"},{"family":"Trevanion","given":"Stephen J."},{"family":"Burdett","given":"Tony"},{"family":"Jupp","given":"Simon"},{"family":"Parkinson","given":"Helen"},{"family":"Papatheodorou","given":"Irene"},{"family":"Yates","given":"Andrew D."},{"family":"Zerbino","given":"Daniel R."},{"family":"Alasoo","given":"Kaur"}],"issued":{"date-parts":[["2021",9]]}}}],"schema":"https://github.com/citation-style-language/schema/raw/master/csl-citation.json"} </w:instrText>
      </w:r>
      <w:r>
        <w:rPr>
          <w:rFonts w:ascii="Arial" w:hAnsi="Arial" w:cs="Arial"/>
        </w:rPr>
        <w:fldChar w:fldCharType="separate"/>
      </w:r>
      <w:r w:rsidR="001C677F" w:rsidRPr="001C677F">
        <w:rPr>
          <w:rFonts w:ascii="Arial" w:eastAsiaTheme="minorHAnsi" w:hAnsi="Arial" w:cs="Arial"/>
          <w:vertAlign w:val="superscript"/>
          <w14:ligatures w14:val="standardContextual"/>
        </w:rPr>
        <w:t>28,29</w:t>
      </w:r>
      <w:r>
        <w:rPr>
          <w:rFonts w:ascii="Arial" w:hAnsi="Arial" w:cs="Arial"/>
        </w:rPr>
        <w:fldChar w:fldCharType="end"/>
      </w:r>
      <w:r>
        <w:rPr>
          <w:rFonts w:ascii="Arial" w:hAnsi="Arial" w:cs="Arial"/>
        </w:rPr>
        <w:t xml:space="preserve">, </w:t>
      </w:r>
      <w:r w:rsidRPr="00E22B11">
        <w:rPr>
          <w:rFonts w:ascii="Arial" w:hAnsi="Arial" w:cs="Arial"/>
        </w:rPr>
        <w:t>blood</w:t>
      </w:r>
      <w:r>
        <w:rPr>
          <w:rFonts w:ascii="Arial" w:hAnsi="Arial" w:cs="Arial"/>
        </w:rPr>
        <w:t xml:space="preserve"> from eQTLGen</w:t>
      </w:r>
      <w:r>
        <w:rPr>
          <w:rFonts w:ascii="Arial" w:hAnsi="Arial" w:cs="Arial"/>
        </w:rPr>
        <w:fldChar w:fldCharType="begin"/>
      </w:r>
      <w:r w:rsidR="001C677F">
        <w:rPr>
          <w:rFonts w:ascii="Arial" w:hAnsi="Arial" w:cs="Arial"/>
        </w:rPr>
        <w:instrText xml:space="preserve"> ADDIN ZOTERO_ITEM CSL_CITATION {"citationID":"b7HkJ5rw","properties":{"formattedCitation":"\\super 30\\nosupersub{}","plainCitation":"30","noteIndex":0},"citationItems":[{"id":89,"uris":["http://zotero.org/users/local/HUSG1dD8/items/JH8XMPVY"],"itemData":{"id":89,"type":"article-journal","abstract":"Trait-associated genetic variants affect complex phenotypes primarily via regulatory mechanisms on the transcriptome. To investigate the genetics of gene expression, we performed cis- and trans-expression quantitative trait locus (eQTL) analyses using blood-derived expression from 31,684 individuals through the eQTLGen Consortium. We detected cis-eQTL for 88% of genes, and these were replicable in numerous tissues. Distal trans-eQTL (detected for 37% of 10,317 trait-associated variants tested) showed lower replication rates, partially due to low replication power and confounding by cell type composition. However, replication analyses in single-cell RNA-seq data prioritized intracellular trans-eQTL. Trans-eQTL exerted their effects via several mechanisms, primarily through regulation by transcription factors. Expression of 13% of the genes correlated with polygenic scores for 1,263 phenotypes, pinpointing potential drivers for those traits. In summary, this work represents a large eQTL resource, and its results serve as a starting point for in-depth interpretation of complex phenotypes.","container-title":"Nature Genetics","DOI":"10.1038/s41588-021-00913-z","ISSN":"1546-1718","issue":"9","journalAbbreviation":"Nat Genet","language":"eng","note":"PMID: 34475573\nPMCID: PMC8432599","page":"1300-1310","source":"PubMed","title":"Large-scale cis- and trans-eQTL analyses identify thousands of genetic loci and polygenic scores that regulate blood gene expression","volume":"53","author":[{"family":"Võsa","given":"Urmo"},{"family":"Claringbould","given":"Annique"},{"family":"Westra","given":"Harm-Jan"},{"family":"Bonder","given":"Marc Jan"},{"family":"Deelen","given":"Patrick"},{"family":"Zeng","given":"Biao"},{"family":"Kirsten","given":"Holger"},{"family":"Saha","given":"Ashis"},{"family":"Kreuzhuber","given":"Roman"},{"family":"Yazar","given":"Seyhan"},{"family":"Brugge","given":"Harm"},{"family":"Oelen","given":"Roy"},{"family":"Vries","given":"Dylan H.","non-dropping-particle":"de"},{"family":"Wijst","given":"Monique G. P.","non-dropping-particle":"van der"},{"family":"Kasela","given":"Silva"},{"family":"Pervjakova","given":"Natalia"},{"family":"Alves","given":"Isabel"},{"family":"Favé","given":"Marie-Julie"},{"family":"Agbessi","given":"Mawussé"},{"family":"Christiansen","given":"Mark W."},{"family":"Jansen","given":"Rick"},{"family":"Seppälä","given":"Ilkka"},{"family":"Tong","given":"Lin"},{"family":"Teumer","given":"Alexander"},{"family":"Schramm","given":"Katharina"},{"family":"Hemani","given":"Gibran"},{"family":"Verlouw","given":"Joost"},{"family":"Yaghootkar","given":"Hanieh"},{"family":"Sönmez Flitman","given":"Reyhan"},{"family":"Brown","given":"Andrew"},{"family":"Kukushkina","given":"Viktorija"},{"family":"Kalnapenkis","given":"Anette"},{"family":"Rüeger","given":"Sina"},{"family":"Porcu","given":"Eleonora"},{"family":"Kronberg","given":"Jaanika"},{"family":"Kettunen","given":"Johannes"},{"family":"Lee","given":"Bernett"},{"family":"Zhang","given":"Futao"},{"family":"Qi","given":"Ting"},{"family":"Hernandez","given":"Jose Alquicira"},{"family":"Arindrarto","given":"Wibowo"},{"family":"Beutner","given":"Frank"},{"literal":"BIOS Consortium"},{"literal":"i2QTL Consortium"},{"family":"Dmitrieva","given":"Julia"},{"family":"Elansary","given":"Mahmoud"},{"family":"Fairfax","given":"Benjamin P."},{"family":"Georges","given":"Michel"},{"family":"Heijmans","given":"Bastiaan T."},{"family":"Hewitt","given":"Alex W."},{"family":"Kähönen","given":"Mika"},{"family":"Kim","given":"Yungil"},{"family":"Knight","given":"Julian C."},{"family":"Kovacs","given":"Peter"},{"family":"Krohn","given":"Knut"},{"family":"Li","given":"Shuang"},{"family":"Loeffler","given":"Markus"},{"family":"Marigorta","given":"Urko M."},{"family":"Mei","given":"Hailang"},{"family":"Momozawa","given":"Yukihide"},{"family":"Müller-Nurasyid","given":"Martina"},{"family":"Nauck","given":"Matthias"},{"family":"Nivard","given":"Michel G."},{"family":"Penninx","given":"Brenda W. J. H."},{"family":"Pritchard","given":"Jonathan K."},{"family":"Raitakari","given":"Olli T."},{"family":"Rotzschke","given":"Olaf"},{"family":"Slagboom","given":"Eline P."},{"family":"Stehouwer","given":"Coen D. A."},{"family":"Stumvoll","given":"Michael"},{"family":"Sullivan","given":"Patrick"},{"family":"Hoen","given":"Peter A. C.","non-dropping-particle":"'t"},{"family":"Thiery","given":"Joachim"},{"family":"Tönjes","given":"Anke"},{"family":"Dongen","given":"Jenny","non-dropping-particle":"van"},{"family":"Iterson","given":"Maarten","non-dropping-particle":"van"},{"family":"Veldink","given":"Jan H."},{"family":"Völker","given":"Uwe"},{"family":"Warmerdam","given":"Robert"},{"family":"Wijmenga","given":"Cisca"},{"family":"Swertz","given":"Morris"},{"family":"Andiappan","given":"Anand"},{"family":"Montgomery","given":"Grant W."},{"family":"Ripatti","given":"Samuli"},{"family":"Perola","given":"Markus"},{"family":"Kutalik","given":"Zoltan"},{"family":"Dermitzakis","given":"Emmanouil"},{"family":"Bergmann","given":"Sven"},{"family":"Frayling","given":"Timothy"},{"family":"Meurs","given":"Joyce","non-dropping-particle":"van"},{"family":"Prokisch","given":"Holger"},{"family":"Ahsan","given":"Habibul"},{"family":"Pierce","given":"Brandon L."},{"family":"Lehtimäki","given":"Terho"},{"family":"Boomsma","given":"Dorret I."},{"family":"Psaty","given":"Bruce M."},{"family":"Gharib","given":"Sina A."},{"family":"Awadalla","given":"Philip"},{"family":"Milani","given":"Lili"},{"family":"Ouwehand","given":"Willem H."},{"family":"Downes","given":"Kate"},{"family":"Stegle","given":"Oliver"},{"family":"Battle","given":"Alexis"},{"family":"Visscher","given":"Peter M."},{"family":"Yang","given":"Jian"},{"family":"Scholz","given":"Markus"},{"family":"Powell","given":"Joseph"},{"family":"Gibson","given":"Greg"},{"family":"Esko","given":"Tõnu"},{"family":"Franke","given":"Lude"}],"issued":{"date-parts":[["2021",9]]}}}],"schema":"https://github.com/citation-style-language/schema/raw/master/csl-citation.json"} </w:instrText>
      </w:r>
      <w:r>
        <w:rPr>
          <w:rFonts w:ascii="Arial" w:hAnsi="Arial" w:cs="Arial"/>
        </w:rPr>
        <w:fldChar w:fldCharType="separate"/>
      </w:r>
      <w:r w:rsidR="001C677F" w:rsidRPr="001C677F">
        <w:rPr>
          <w:rFonts w:ascii="Arial" w:eastAsiaTheme="minorHAnsi" w:hAnsi="Arial" w:cs="Arial"/>
          <w:vertAlign w:val="superscript"/>
          <w14:ligatures w14:val="standardContextual"/>
        </w:rPr>
        <w:t>30</w:t>
      </w:r>
      <w:r>
        <w:rPr>
          <w:rFonts w:ascii="Arial" w:hAnsi="Arial" w:cs="Arial"/>
        </w:rPr>
        <w:fldChar w:fldCharType="end"/>
      </w:r>
      <w:r>
        <w:rPr>
          <w:rFonts w:ascii="Arial" w:hAnsi="Arial" w:cs="Arial"/>
        </w:rPr>
        <w:t xml:space="preserve">, </w:t>
      </w:r>
      <w:r w:rsidRPr="00E22B11">
        <w:rPr>
          <w:rFonts w:ascii="Arial" w:hAnsi="Arial" w:cs="Arial"/>
        </w:rPr>
        <w:t xml:space="preserve">and skin from the Psoriasis Treatment with Abatacept and </w:t>
      </w:r>
      <w:r w:rsidRPr="006A340C">
        <w:rPr>
          <w:rFonts w:ascii="Arial" w:hAnsi="Arial" w:cs="Arial"/>
        </w:rPr>
        <w:t>Ustekinumab: A Study of Efficacy (PAUSE)</w:t>
      </w:r>
      <w:r w:rsidRPr="006A340C">
        <w:rPr>
          <w:rFonts w:ascii="Arial" w:hAnsi="Arial" w:cs="Arial"/>
        </w:rPr>
        <w:fldChar w:fldCharType="begin"/>
      </w:r>
      <w:r w:rsidR="001C677F" w:rsidRPr="006A340C">
        <w:rPr>
          <w:rFonts w:ascii="Arial" w:hAnsi="Arial" w:cs="Arial"/>
        </w:rPr>
        <w:instrText xml:space="preserve"> ADDIN ZOTERO_ITEM CSL_CITATION {"citationID":"E1KN3WDZ","properties":{"formattedCitation":"\\super 31\\nosupersub{}","plainCitation":"31","noteIndex":0},"citationItems":[{"id":92,"uris":["http://zotero.org/users/local/HUSG1dD8/items/UEKVGS9D"],"itemData":{"id":92,"type":"article-journal","abstract":"Psoriasis is a chronic, systemic inflammatory condition primarily affecting skin. While the role of the immune compartment (e.g., T cells) is well established, the changes in the skin compartment are more poorly understood. Using longitudinal skin biopsies (n = 375) from the \"Psoriasis Treatment with Abatacept and Ustekinumab: A Study of Efficacy\"(PAUSE) clinical trial (n = 101), we report 953 expression quantitative trait loci (eQTLs). Of those, 116 eQTLs have effect sizes that were modulated by local skin inflammation (eQTL interactions). By examining these eQTL genes (eGenes), we find that most are expressed in the skin tissue compartment, and a subset overlap with the NRF2 pathway. Indeed, the strongest eQTL interaction signal - rs1491377616-LCE3C - links a psoriasis risk locus with a gene specifically expressed in the epidermis. This eQTL study highlights the potential to use biospecimens from clinical trials to discover in vivo eQTL interactions with therapeutically relevant environmental variables.","container-title":"Nature Communications","DOI":"10.1038/s41467-023-41984-2","ISSN":"2041-1723","issue":"1","journalAbbreviation":"Nat Commun","language":"eng","note":"PMID: 37805522\nPMCID: PMC10560299","page":"6268","source":"PubMed","title":"Immunosuppression causes dynamic changes in expression QTLs in psoriatic skin","volume":"14","author":[{"family":"Xiao","given":"Qian"},{"family":"Mears","given":"Joseph"},{"family":"Nathan","given":"Aparna"},{"family":"Ishigaki","given":"Kazuyoshi"},{"family":"Baglaenko","given":"Yuriy"},{"family":"Lim","given":"Noha"},{"family":"Cooney","given":"Laura A."},{"family":"Harris","given":"Kristina M."},{"family":"Anderson","given":"Mark S."},{"family":"Fox","given":"David A."},{"family":"Smilek","given":"Dawn E."},{"family":"Krueger","given":"James G."},{"family":"Raychaudhuri","given":"Soumya"}],"issued":{"date-parts":[["2023",10,7]]}}}],"schema":"https://github.com/citation-style-language/schema/raw/master/csl-citation.json"} </w:instrText>
      </w:r>
      <w:r w:rsidRPr="006A340C">
        <w:rPr>
          <w:rFonts w:ascii="Arial" w:hAnsi="Arial" w:cs="Arial"/>
        </w:rPr>
        <w:fldChar w:fldCharType="separate"/>
      </w:r>
      <w:r w:rsidR="001C677F" w:rsidRPr="006A340C">
        <w:rPr>
          <w:rFonts w:ascii="Arial" w:eastAsiaTheme="minorHAnsi" w:hAnsi="Arial" w:cs="Arial"/>
          <w:vertAlign w:val="superscript"/>
          <w14:ligatures w14:val="standardContextual"/>
        </w:rPr>
        <w:t>31</w:t>
      </w:r>
      <w:r w:rsidRPr="006A340C">
        <w:rPr>
          <w:rFonts w:ascii="Arial" w:hAnsi="Arial" w:cs="Arial"/>
        </w:rPr>
        <w:fldChar w:fldCharType="end"/>
      </w:r>
      <w:r w:rsidRPr="006A340C">
        <w:rPr>
          <w:rFonts w:ascii="Arial" w:hAnsi="Arial" w:cs="Arial"/>
        </w:rPr>
        <w:t xml:space="preserve">. If studies were reported mapped to hg38, we lifted the data to hg19 using the UCSC </w:t>
      </w:r>
      <w:proofErr w:type="spellStart"/>
      <w:r w:rsidRPr="006A340C">
        <w:rPr>
          <w:rFonts w:ascii="Arial" w:hAnsi="Arial" w:cs="Arial"/>
        </w:rPr>
        <w:t>LiftOver</w:t>
      </w:r>
      <w:proofErr w:type="spellEnd"/>
      <w:r w:rsidRPr="006A340C">
        <w:rPr>
          <w:rFonts w:ascii="Arial" w:hAnsi="Arial" w:cs="Arial"/>
        </w:rPr>
        <w:t xml:space="preserve"> tool</w:t>
      </w:r>
      <w:r w:rsidRPr="006A340C">
        <w:rPr>
          <w:rFonts w:ascii="Arial" w:hAnsi="Arial" w:cs="Arial"/>
        </w:rPr>
        <w:fldChar w:fldCharType="begin"/>
      </w:r>
      <w:r w:rsidR="001C677F" w:rsidRPr="006A340C">
        <w:rPr>
          <w:rFonts w:ascii="Arial" w:hAnsi="Arial" w:cs="Arial"/>
        </w:rPr>
        <w:instrText xml:space="preserve"> ADDIN ZOTERO_ITEM CSL_CITATION {"citationID":"b6qxDTlX","properties":{"formattedCitation":"\\super 7\\nosupersub{}","plainCitation":"7","noteIndex":0},"citationItems":[{"id":31,"uris":["http://zotero.org/users/local/HUSG1dD8/items/DRI5ZRBH"],"itemData":{"id":31,"type":"article-journal","abstract":"The University of California Santa Cruz Genome Browser Database (GBD) contains sequence and annotation data for the genomes of about a dozen vertebrate species and several major model organisms. Genome annotations typically include assembly data, sequence composition, genes and gene predictions, mRNA and expressed sequence tag evidence, comparative genomics, regulation, expression and variation data. The database is optimized to support fast interactive performance with web tools that provide powerful visualization and querying capabilities for mining the data. The Genome Browser displays a wide variety of annotations at all scales from single nucleotide level up to a full chromosome. The Table Browser provides direct access to the database tables and sequence data, enabling complex queries on genome-wide datasets. The Proteome Browser graphically displays protein properties. The Gene Sorter allows filtering and comparison of genes by several metrics including expression data and several gene properties. BLAT and In Silico PCR search for sequences in entire genomes in seconds. These tools are highly integrated and provide many hyperlinks to other databases and websites. The GBD, browsing tools, downloadable data files and links to documentation and other information can be found at http://genome.ucsc.edu/.","container-title":"Nucleic Acids Research","DOI":"10.1093/nar/gkj144","ISSN":"1362-4962","issue":"Database issue","journalAbbreviation":"Nucleic Acids Res","language":"eng","note":"PMID: 16381938\nPMCID: PMC1347506","page":"D590-598","source":"PubMed","title":"The UCSC Genome Browser Database: update 2006","title-short":"The UCSC Genome Browser Database","volume":"34","author":[{"family":"Hinrichs","given":"A. S."},{"family":"Karolchik","given":"D."},{"family":"Baertsch","given":"R."},{"family":"Barber","given":"G. P."},{"family":"Bejerano","given":"G."},{"family":"Clawson","given":"H."},{"family":"Diekhans","given":"M."},{"family":"Furey","given":"T. S."},{"family":"Harte","given":"R. A."},{"family":"Hsu","given":"F."},{"family":"Hillman-Jackson","given":"J."},{"family":"Kuhn","given":"R. M."},{"family":"Pedersen","given":"J. S."},{"family":"Pohl","given":"A."},{"family":"Raney","given":"B. J."},{"family":"Rosenbloom","given":"K. R."},{"family":"Siepel","given":"A."},{"family":"Smith","given":"K. E."},{"family":"Sugnet","given":"C. W."},{"family":"Sultan-Qurraie","given":"A."},{"family":"Thomas","given":"D. J."},{"family":"Trumbower","given":"H."},{"family":"Weber","given":"R. J."},{"family":"Weirauch","given":"M."},{"family":"Zweig","given":"A. S."},{"family":"Haussler","given":"D."},{"family":"Kent","given":"W. J."}],"issued":{"date-parts":[["2006",1,1]]}}}],"schema":"https://github.com/citation-style-language/schema/raw/master/csl-citation.json"} </w:instrText>
      </w:r>
      <w:r w:rsidRPr="006A340C">
        <w:rPr>
          <w:rFonts w:ascii="Arial" w:hAnsi="Arial" w:cs="Arial"/>
        </w:rPr>
        <w:fldChar w:fldCharType="separate"/>
      </w:r>
      <w:r w:rsidR="001C677F" w:rsidRPr="006A340C">
        <w:rPr>
          <w:rFonts w:ascii="Arial" w:eastAsiaTheme="minorHAnsi" w:hAnsi="Arial" w:cs="Arial"/>
          <w:vertAlign w:val="superscript"/>
          <w14:ligatures w14:val="standardContextual"/>
        </w:rPr>
        <w:t>7</w:t>
      </w:r>
      <w:r w:rsidRPr="006A340C">
        <w:rPr>
          <w:rFonts w:ascii="Arial" w:hAnsi="Arial" w:cs="Arial"/>
        </w:rPr>
        <w:fldChar w:fldCharType="end"/>
      </w:r>
      <w:r w:rsidRPr="006A340C">
        <w:rPr>
          <w:rFonts w:ascii="Arial" w:hAnsi="Arial" w:cs="Arial"/>
        </w:rPr>
        <w:t>. We used PLINK</w:t>
      </w:r>
      <w:r w:rsidRPr="006A340C">
        <w:rPr>
          <w:rFonts w:ascii="Arial" w:hAnsi="Arial" w:cs="Arial"/>
        </w:rPr>
        <w:fldChar w:fldCharType="begin"/>
      </w:r>
      <w:r w:rsidR="001C677F" w:rsidRPr="006A340C">
        <w:rPr>
          <w:rFonts w:ascii="Arial" w:hAnsi="Arial" w:cs="Arial"/>
        </w:rPr>
        <w:instrText xml:space="preserve"> ADDIN ZOTERO_ITEM CSL_CITATION {"citationID":"M2aNtwX8","properties":{"formattedCitation":"\\super 13\\nosupersub{}","plainCitation":"13","noteIndex":0},"citationItems":[{"id":44,"uris":["http://zotero.org/users/local/HUSG1dD8/items/E6FHJW2T"],"itemData":{"id":44,"type":"article-journal","abstract":"Whole-genome association studies (WGAS) bring new computational, as well as analytic, challenges to researchers. Many existing genetic-analysis tools are not designed to handle such large data sets in a convenient manner and do not necessarily exploit the new opportunities that whole-genome data bring. To address these issues, we developed PLINK, an open-source C/C++ WGAS tool set. With PLINK, large data sets comprising hundreds of thousands of markers genotyped for thousands of individuals can be rapidly manipulated and analyzed in their entirety. As well as providing tools to make the basic analytic steps computationally efficient, PLINK also supports some novel approaches to whole-genome data that take advantage of whole-genome coverage. We introduce PLINK and describe the five main domains of function: data management, summary statistics, population stratification, association analysis, and identity-by-descent estimation. In particular, we focus on the estimation and use of identity-by-state and identity-by-descent information in the context of population-based whole-genome studies. This information can be used to detect and correct for population stratification and to identify extended chromosomal segments that are shared identical by descent between very distantly related individuals. Analysis of the patterns of segmental sharing has the potential to map disease loci that contain multiple rare variants in a population-based linkage analysis.","container-title":"American Journal of Human Genetics","DOI":"10.1086/519795","ISSN":"0002-9297","issue":"3","journalAbbreviation":"Am J Hum Genet","language":"eng","note":"PMID: 17701901\nPMCID: PMC1950838","page":"559-575","source":"PubMed","title":"PLINK: a tool set for whole-genome association and population-based linkage analyses","title-short":"PLINK","volume":"81","author":[{"family":"Purcell","given":"Shaun"},{"family":"Neale","given":"Benjamin"},{"family":"Todd-Brown","given":"Kathe"},{"family":"Thomas","given":"Lori"},{"family":"Ferreira","given":"Manuel A. R."},{"family":"Bender","given":"David"},{"family":"Maller","given":"Julian"},{"family":"Sklar","given":"Pamela"},{"family":"Bakker","given":"Paul I. W.","non-dropping-particle":"de"},{"family":"Daly","given":"Mark J."},{"family":"Sham","given":"Pak C."}],"issued":{"date-parts":[["2007",9]]}}}],"schema":"https://github.com/citation-style-language/schema/raw/master/csl-citation.json"} </w:instrText>
      </w:r>
      <w:r w:rsidRPr="006A340C">
        <w:rPr>
          <w:rFonts w:ascii="Arial" w:hAnsi="Arial" w:cs="Arial"/>
        </w:rPr>
        <w:fldChar w:fldCharType="separate"/>
      </w:r>
      <w:r w:rsidR="001C677F" w:rsidRPr="006A340C">
        <w:rPr>
          <w:rFonts w:ascii="Arial" w:eastAsiaTheme="minorHAnsi" w:hAnsi="Arial" w:cs="Arial"/>
          <w:vertAlign w:val="superscript"/>
          <w14:ligatures w14:val="standardContextual"/>
        </w:rPr>
        <w:t>13</w:t>
      </w:r>
      <w:r w:rsidRPr="006A340C">
        <w:rPr>
          <w:rFonts w:ascii="Arial" w:hAnsi="Arial" w:cs="Arial"/>
        </w:rPr>
        <w:fldChar w:fldCharType="end"/>
      </w:r>
      <w:r w:rsidRPr="006A340C">
        <w:rPr>
          <w:rFonts w:ascii="Arial" w:hAnsi="Arial" w:cs="Arial"/>
        </w:rPr>
        <w:t xml:space="preserve"> (1.90b3) to identify signals with LD r</w:t>
      </w:r>
      <w:r w:rsidRPr="006A340C">
        <w:rPr>
          <w:rFonts w:ascii="Arial" w:hAnsi="Arial" w:cs="Arial"/>
          <w:vertAlign w:val="superscript"/>
        </w:rPr>
        <w:t>2</w:t>
      </w:r>
      <w:r w:rsidRPr="006A340C">
        <w:rPr>
          <w:rFonts w:ascii="Arial" w:hAnsi="Arial" w:cs="Arial"/>
        </w:rPr>
        <w:t xml:space="preserve"> ≥ 0.5 between an HS lead variant and an eQTL lead variant for a gene within 500 kb (40K EUR UKB LD reference) and assessed colocalization using coloc</w:t>
      </w:r>
      <w:r w:rsidRPr="006A340C">
        <w:rPr>
          <w:rFonts w:ascii="Arial" w:hAnsi="Arial" w:cs="Arial"/>
        </w:rPr>
        <w:fldChar w:fldCharType="begin"/>
      </w:r>
      <w:r w:rsidR="001C677F" w:rsidRPr="006A340C">
        <w:rPr>
          <w:rFonts w:ascii="Arial" w:hAnsi="Arial" w:cs="Arial"/>
        </w:rPr>
        <w:instrText xml:space="preserve"> ADDIN ZOTERO_ITEM CSL_CITATION {"citationID":"T3TG9K2h","properties":{"formattedCitation":"\\super 32\\nosupersub{}","plainCitation":"32","noteIndex":0},"citationItems":[{"id":95,"uris":["http://zotero.org/users/local/HUSG1dD8/items/GFEKVXZ2"],"itemData":{"id":95,"type":"article-journal","abstract":"Genetic association studies, in particular the genome-wide association study (GWAS) design, have provided a wealth of novel insights into the aetiology of a wide range of human diseases and traits, in particular cardiovascular diseases and lipid biomarkers. The next challenge consists of understanding the molecular basis of these associations. The integration of multiple association datasets, including gene expression datasets, can contribute to this goal. We have developed a novel statistical methodology to assess whether two association signals are consistent with a shared causal variant. An application is the integration of disease scans with expression quantitative trait locus (eQTL) studies, but any pair of GWAS datasets can be integrated in this framework. We demonstrate the value of the approach by re-analysing a gene expression dataset in 966 liver samples with a published meta-analysis of lipid traits including &gt;100,000 individuals of European ancestry. Combining all lipid biomarkers, our re-analysis supported 26 out of 38 reported colocalisation results with eQTLs and identified 14 new colocalisation results, hence highlighting the value of a formal statistical test. In three cases of reported eQTL-lipid pairs (SYPL2, IFT172, TBKBP1) for which our analysis suggests that the eQTL pattern is not consistent with the lipid association, we identify alternative colocalisation results with SORT1, GCKR, and KPNB1, indicating that these genes are more likely to be causal in these genomic intervals. A key feature of the method is the ability to derive the output statistics from single SNP summary statistics, hence making it possible to perform systematic meta-analysis type comparisons across multiple GWAS datasets (implemented online at http://coloc.cs.ucl.ac.uk/coloc/). Our methodology provides information about candidate causal genes in associated intervals and has direct implications for the understanding of complex diseases as well as the design of drugs to target disease pathways.","container-title":"PLoS genetics","DOI":"10.1371/journal.pgen.1004383","ISSN":"1553-7404","issue":"5","journalAbbreviation":"PLoS Genet","language":"eng","note":"PMID: 24830394\nPMCID: PMC4022491","page":"e1004383","source":"PubMed","title":"Bayesian test for colocalisation between pairs of genetic association studies using summary statistics","volume":"10","author":[{"family":"Giambartolomei","given":"Claudia"},{"family":"Vukcevic","given":"Damjan"},{"family":"Schadt","given":"Eric E."},{"family":"Franke","given":"Lude"},{"family":"Hingorani","given":"Aroon D."},{"family":"Wallace","given":"Chris"},{"family":"Plagnol","given":"Vincent"}],"issued":{"date-parts":[["2014",5]]}}}],"schema":"https://github.com/citation-style-language/schema/raw/master/csl-citation.json"} </w:instrText>
      </w:r>
      <w:r w:rsidRPr="006A340C">
        <w:rPr>
          <w:rFonts w:ascii="Arial" w:hAnsi="Arial" w:cs="Arial"/>
        </w:rPr>
        <w:fldChar w:fldCharType="separate"/>
      </w:r>
      <w:r w:rsidR="001C677F" w:rsidRPr="006A340C">
        <w:rPr>
          <w:rFonts w:ascii="Arial" w:eastAsiaTheme="minorHAnsi" w:hAnsi="Arial" w:cs="Arial"/>
          <w:vertAlign w:val="superscript"/>
          <w14:ligatures w14:val="standardContextual"/>
        </w:rPr>
        <w:t>32</w:t>
      </w:r>
      <w:r w:rsidRPr="006A340C">
        <w:rPr>
          <w:rFonts w:ascii="Arial" w:hAnsi="Arial" w:cs="Arial"/>
        </w:rPr>
        <w:fldChar w:fldCharType="end"/>
      </w:r>
      <w:r w:rsidRPr="006A340C">
        <w:rPr>
          <w:rFonts w:ascii="Arial" w:hAnsi="Arial" w:cs="Arial"/>
        </w:rPr>
        <w:t xml:space="preserve"> (5.1.0.1, default parameters).</w:t>
      </w:r>
      <w:r w:rsidR="00BB16E5" w:rsidRPr="006A340C">
        <w:rPr>
          <w:rFonts w:ascii="Arial" w:hAnsi="Arial" w:cs="Arial"/>
        </w:rPr>
        <w:t xml:space="preserve"> </w:t>
      </w:r>
      <w:r w:rsidR="00A31C0B" w:rsidRPr="006A340C">
        <w:rPr>
          <w:rFonts w:ascii="Arial" w:hAnsi="Arial" w:cs="Arial"/>
        </w:rPr>
        <w:t>We considered signals to be colocalized if the posterior probability for a shared causal variant (PP4) was ≥ 0.7.</w:t>
      </w:r>
    </w:p>
    <w:p w14:paraId="23942E86" w14:textId="77777777" w:rsidR="00026B72" w:rsidRPr="006A340C" w:rsidRDefault="00026B72" w:rsidP="00026B72">
      <w:pPr>
        <w:rPr>
          <w:rFonts w:ascii="Arial" w:hAnsi="Arial" w:cs="Arial"/>
        </w:rPr>
      </w:pPr>
    </w:p>
    <w:p w14:paraId="06C9814E" w14:textId="34B50D00" w:rsidR="00026B72" w:rsidRPr="003759AA" w:rsidRDefault="00026B72" w:rsidP="00026B72">
      <w:pPr>
        <w:rPr>
          <w:rFonts w:ascii="Arial" w:hAnsi="Arial" w:cs="Arial"/>
          <w:b/>
          <w:bCs/>
        </w:rPr>
      </w:pPr>
      <w:r w:rsidRPr="006A340C">
        <w:rPr>
          <w:rFonts w:ascii="Arial" w:hAnsi="Arial" w:cs="Arial"/>
        </w:rPr>
        <w:t>To further prioritize candidate genes, we queried if genes within 2 Mb of a lead variant were differentially expressed between</w:t>
      </w:r>
      <w:r w:rsidRPr="00E22B11">
        <w:rPr>
          <w:rFonts w:ascii="Arial" w:hAnsi="Arial" w:cs="Arial"/>
        </w:rPr>
        <w:t xml:space="preserve"> cell types of the scalp</w:t>
      </w:r>
      <w:r>
        <w:rPr>
          <w:rFonts w:ascii="Arial" w:hAnsi="Arial" w:cs="Arial"/>
        </w:rPr>
        <w:fldChar w:fldCharType="begin"/>
      </w:r>
      <w:r w:rsidR="001C677F">
        <w:rPr>
          <w:rFonts w:ascii="Arial" w:hAnsi="Arial" w:cs="Arial"/>
        </w:rPr>
        <w:instrText xml:space="preserve"> ADDIN ZOTERO_ITEM CSL_CITATION {"citationID":"z5m8F8hz","properties":{"formattedCitation":"\\super 33\\nosupersub{}","plainCitation":"33","noteIndex":0},"citationItems":[{"id":98,"uris":["http://zotero.org/users/local/HUSG1dD8/items/3GBY8XVM"],"itemData":{"id":98,"type":"article-journal","abstract":"Genome-wide association studies have identified many loci associated with hair and skin disease, but identification of causal variants requires deciphering of gene-regulatory networks in relevant cell types. We generated matched single-cell chromatin profiles and transcriptomes from scalp tissue from healthy controls and patients with alopecia areata, identifying diverse cell types of the hair follicle niche. By interrogating these datasets at multiple levels of cellular resolution, we infer 50-100% more enhancer-gene links than previous approaches and show that aggregate enhancer accessibility for highly regulated genes predicts expression. We use these gene-regulatory maps to prioritize cell types, genes and causal variants implicated in the pathobiology of androgenetic alopecia (AGA), eczema and other complex traits. AGA genome-wide association studies signals are enriched in dermal papilla regulatory regions, supporting the role of these cells as drivers of AGA pathogenesis. Finally, we train machine learning models to nominate single-nucleotide polymorphisms that affect gene expression through disruption of transcription factor binding, predicting candidate functional single-nucleotide polymorphism for AGA and eczema.","container-title":"Nature Genetics","DOI":"10.1038/s41588-023-01445-4","ISSN":"1546-1718","issue":"8","journalAbbreviation":"Nat Genet","language":"eng","note":"PMID: 37500727\nPMCID: PMC11190942","page":"1288-1300","source":"PubMed","title":"Integrated single-cell chromatin and transcriptomic analyses of human scalp identify gene-regulatory programs and critical cell types for hair and skin diseases","volume":"55","author":[{"family":"Ober-Reynolds","given":"Benjamin"},{"family":"Wang","given":"Chen"},{"family":"Ko","given":"Justin M."},{"family":"Rios","given":"Eon J."},{"family":"Aasi","given":"Sumaira Z."},{"family":"Davis","given":"Mark M."},{"family":"Oro","given":"Anthony E."},{"family":"Greenleaf","given":"William J."}],"issued":{"date-parts":[["2023",8]]}}}],"schema":"https://github.com/citation-style-language/schema/raw/master/csl-citation.json"} </w:instrText>
      </w:r>
      <w:r>
        <w:rPr>
          <w:rFonts w:ascii="Arial" w:hAnsi="Arial" w:cs="Arial"/>
        </w:rPr>
        <w:fldChar w:fldCharType="separate"/>
      </w:r>
      <w:r w:rsidR="001C677F" w:rsidRPr="001C677F">
        <w:rPr>
          <w:rFonts w:ascii="Arial" w:eastAsiaTheme="minorHAnsi" w:hAnsi="Arial" w:cs="Arial"/>
          <w:vertAlign w:val="superscript"/>
          <w14:ligatures w14:val="standardContextual"/>
        </w:rPr>
        <w:t>33</w:t>
      </w:r>
      <w:r>
        <w:rPr>
          <w:rFonts w:ascii="Arial" w:hAnsi="Arial" w:cs="Arial"/>
        </w:rPr>
        <w:fldChar w:fldCharType="end"/>
      </w:r>
      <w:r w:rsidRPr="00E22B11">
        <w:rPr>
          <w:rFonts w:ascii="Arial" w:hAnsi="Arial" w:cs="Arial"/>
        </w:rPr>
        <w:t xml:space="preserve"> or differentially expressed in HS lesions versus unaffected skin of HS patients</w:t>
      </w:r>
      <w:r>
        <w:rPr>
          <w:rFonts w:ascii="Arial" w:hAnsi="Arial" w:cs="Arial"/>
        </w:rPr>
        <w:fldChar w:fldCharType="begin"/>
      </w:r>
      <w:r w:rsidR="001C677F">
        <w:rPr>
          <w:rFonts w:ascii="Arial" w:hAnsi="Arial" w:cs="Arial"/>
        </w:rPr>
        <w:instrText xml:space="preserve"> ADDIN ZOTERO_ITEM CSL_CITATION {"citationID":"N0pZtaOy","properties":{"formattedCitation":"\\super 34\\nosupersub{}","plainCitation":"34","noteIndex":0},"citationItems":[{"id":100,"uris":["http://zotero.org/users/local/HUSG1dD8/items/P2PRGF33"],"itemData":{"id":100,"type":"article-journal","abstract":"Hidradenitis suppurativa (HS) is a common, debilitating inflammatory skin disease linked to immune dysregulation and abnormalities in follicular structure and function. Several studies have characterized the transcriptomic profile of affected and unaffected skin in small populations. In this study of 20 patients, RNA from lesional and matching non-lesional skin biopsies in 20 subjects were used to identify an expression-based HS disease signature. This was followed by differential expression and pathway enrichment analyses, as well as jointly reanalyzing our findings with previously published transcriptomic profiles. We establish an RNA-Seq based HS expression disease signature that is mostly consistent with previous reports. Bulk-RNA profiles from 104 subjects in 7 previously reported data sets identified a disease signature of 118 differentially regulated genes compared to three control data sets from non-lesional skin. We confirmed previously reported expression profiles and further characterized dysregulation in complement activation and host response to bacteria in disease pathogenesis. Changes in the transcriptome of lesional skin in this cohort of HS patients is consistent with smaller previously reported populations. The findings further support the significance of immune dysregulation, in particular with regard to bacterial response mechanisms. Joint analysis of this and previously reported cohorts indicate a remarkably consistent expression profile.","container-title":"PloS One","DOI":"10.1371/journal.pone.0284047","ISSN":"1932-6203","issue":"4","journalAbbreviation":"PLoS One","language":"eng","note":"PMID: 37023004\nPMCID: PMC10079067","page":"e0284047","source":"PubMed","title":"A Hidradenitis Suppurativa molecular disease signature derived from patient samples by high-throughput RNA sequencing and re-analysis of previously reported transcriptomic data sets","volume":"18","author":[{"family":"Freudenberg","given":"Johannes M."},{"family":"Liu","given":"Zhi"},{"family":"Singh","given":"Jennifer"},{"family":"Thomas","given":"Elizabeth"},{"family":"Traini","given":"Christopher"},{"family":"Rajpal","given":"Deepak K."},{"family":"Sayed","given":"Christopher J."}],"issued":{"date-parts":[["2023"]]}}}],"schema":"https://github.com/citation-style-language/schema/raw/master/csl-citation.json"} </w:instrText>
      </w:r>
      <w:r>
        <w:rPr>
          <w:rFonts w:ascii="Arial" w:hAnsi="Arial" w:cs="Arial"/>
        </w:rPr>
        <w:fldChar w:fldCharType="separate"/>
      </w:r>
      <w:r w:rsidR="001C677F" w:rsidRPr="001C677F">
        <w:rPr>
          <w:rFonts w:ascii="Arial" w:eastAsiaTheme="minorHAnsi" w:hAnsi="Arial" w:cs="Arial"/>
          <w:vertAlign w:val="superscript"/>
          <w14:ligatures w14:val="standardContextual"/>
        </w:rPr>
        <w:t>34</w:t>
      </w:r>
      <w:r>
        <w:rPr>
          <w:rFonts w:ascii="Arial" w:hAnsi="Arial" w:cs="Arial"/>
        </w:rPr>
        <w:fldChar w:fldCharType="end"/>
      </w:r>
      <w:r>
        <w:rPr>
          <w:rFonts w:ascii="Arial" w:hAnsi="Arial" w:cs="Arial"/>
        </w:rPr>
        <w:t xml:space="preserve">. </w:t>
      </w:r>
      <w:r w:rsidR="003C7384">
        <w:rPr>
          <w:rFonts w:ascii="Arial" w:hAnsi="Arial" w:cs="Arial"/>
        </w:rPr>
        <w:t xml:space="preserve">The scalp genomic data consisted of data from 22 cell clusters in five major cell classes: keratinocytes, T lymphocytes, myeloid cells, fibroblasts, and endothelial cells. We used scalp cell-type expression </w:t>
      </w:r>
      <w:r w:rsidR="003C7384" w:rsidRPr="003759AA">
        <w:rPr>
          <w:rFonts w:ascii="Arial" w:hAnsi="Arial" w:cs="Arial"/>
        </w:rPr>
        <w:t>levels of genes near the HS GWAS signals to investigate plausible candidate genes</w:t>
      </w:r>
      <w:r w:rsidR="003C7384" w:rsidRPr="003759AA">
        <w:rPr>
          <w:rFonts w:ascii="Arial" w:hAnsi="Arial" w:cs="Arial"/>
        </w:rPr>
        <w:fldChar w:fldCharType="begin"/>
      </w:r>
      <w:r w:rsidR="001C677F">
        <w:rPr>
          <w:rFonts w:ascii="Arial" w:hAnsi="Arial" w:cs="Arial"/>
        </w:rPr>
        <w:instrText xml:space="preserve"> ADDIN ZOTERO_ITEM CSL_CITATION {"citationID":"kiuRY0fn","properties":{"formattedCitation":"\\super 33\\nosupersub{}","plainCitation":"33","noteIndex":0},"citationItems":[{"id":98,"uris":["http://zotero.org/users/local/HUSG1dD8/items/3GBY8XVM"],"itemData":{"id":98,"type":"article-journal","abstract":"Genome-wide association studies have identified many loci associated with hair and skin disease, but identification of causal variants requires deciphering of gene-regulatory networks in relevant cell types. We generated matched single-cell chromatin profiles and transcriptomes from scalp tissue from healthy controls and patients with alopecia areata, identifying diverse cell types of the hair follicle niche. By interrogating these datasets at multiple levels of cellular resolution, we infer 50-100% more enhancer-gene links than previous approaches and show that aggregate enhancer accessibility for highly regulated genes predicts expression. We use these gene-regulatory maps to prioritize cell types, genes and causal variants implicated in the pathobiology of androgenetic alopecia (AGA), eczema and other complex traits. AGA genome-wide association studies signals are enriched in dermal papilla regulatory regions, supporting the role of these cells as drivers of AGA pathogenesis. Finally, we train machine learning models to nominate single-nucleotide polymorphisms that affect gene expression through disruption of transcription factor binding, predicting candidate functional single-nucleotide polymorphism for AGA and eczema.","container-title":"Nature Genetics","DOI":"10.1038/s41588-023-01445-4","ISSN":"1546-1718","issue":"8","journalAbbreviation":"Nat Genet","language":"eng","note":"PMID: 37500727\nPMCID: PMC11190942","page":"1288-1300","source":"PubMed","title":"Integrated single-cell chromatin and transcriptomic analyses of human scalp identify gene-regulatory programs and critical cell types for hair and skin diseases","volume":"55","author":[{"family":"Ober-Reynolds","given":"Benjamin"},{"family":"Wang","given":"Chen"},{"family":"Ko","given":"Justin M."},{"family":"Rios","given":"Eon J."},{"family":"Aasi","given":"Sumaira Z."},{"family":"Davis","given":"Mark M."},{"family":"Oro","given":"Anthony E."},{"family":"Greenleaf","given":"William J."}],"issued":{"date-parts":[["2023",8]]}}}],"schema":"https://github.com/citation-style-language/schema/raw/master/csl-citation.json"} </w:instrText>
      </w:r>
      <w:r w:rsidR="003C7384" w:rsidRPr="003759AA">
        <w:rPr>
          <w:rFonts w:ascii="Arial" w:hAnsi="Arial" w:cs="Arial"/>
        </w:rPr>
        <w:fldChar w:fldCharType="separate"/>
      </w:r>
      <w:r w:rsidR="001C677F" w:rsidRPr="001C677F">
        <w:rPr>
          <w:rFonts w:ascii="Arial" w:eastAsiaTheme="minorHAnsi" w:hAnsi="Arial" w:cs="Arial"/>
          <w:vertAlign w:val="superscript"/>
          <w14:ligatures w14:val="standardContextual"/>
        </w:rPr>
        <w:t>33</w:t>
      </w:r>
      <w:r w:rsidR="003C7384" w:rsidRPr="003759AA">
        <w:rPr>
          <w:rFonts w:ascii="Arial" w:hAnsi="Arial" w:cs="Arial"/>
        </w:rPr>
        <w:fldChar w:fldCharType="end"/>
      </w:r>
      <w:r w:rsidR="003C7384" w:rsidRPr="00206BB5">
        <w:rPr>
          <w:rStyle w:val="Strong"/>
          <w:rFonts w:ascii="Arial" w:eastAsiaTheme="majorEastAsia" w:hAnsi="Arial" w:cs="Arial"/>
          <w:b w:val="0"/>
          <w:bCs w:val="0"/>
        </w:rPr>
        <w:t xml:space="preserve">. </w:t>
      </w:r>
      <w:r w:rsidR="003C7384" w:rsidRPr="003759AA">
        <w:rPr>
          <w:rStyle w:val="Strong"/>
          <w:rFonts w:ascii="Arial" w:eastAsiaTheme="majorEastAsia" w:hAnsi="Arial" w:cs="Arial"/>
          <w:b w:val="0"/>
          <w:bCs w:val="0"/>
        </w:rPr>
        <w:t>We obtained log</w:t>
      </w:r>
      <w:r w:rsidR="003C7384" w:rsidRPr="000C470C">
        <w:rPr>
          <w:rStyle w:val="Strong"/>
          <w:rFonts w:ascii="Arial" w:eastAsiaTheme="majorEastAsia" w:hAnsi="Arial" w:cs="Arial"/>
          <w:b w:val="0"/>
          <w:bCs w:val="0"/>
          <w:vertAlign w:val="subscript"/>
        </w:rPr>
        <w:t>2</w:t>
      </w:r>
      <w:r w:rsidR="003C7384" w:rsidRPr="003759AA">
        <w:rPr>
          <w:rStyle w:val="Strong"/>
          <w:rFonts w:ascii="Arial" w:eastAsiaTheme="majorEastAsia" w:hAnsi="Arial" w:cs="Arial"/>
          <w:b w:val="0"/>
          <w:bCs w:val="0"/>
        </w:rPr>
        <w:t xml:space="preserve"> fold-change values from 22 cell clusters to examine the relative expression of all protein-coding genes within 2 Mb of any lead HS variant</w:t>
      </w:r>
      <w:r w:rsidR="00EF7C07">
        <w:rPr>
          <w:rStyle w:val="Strong"/>
          <w:rFonts w:ascii="Arial" w:eastAsiaTheme="majorEastAsia" w:hAnsi="Arial" w:cs="Arial"/>
          <w:b w:val="0"/>
          <w:bCs w:val="0"/>
        </w:rPr>
        <w:t>.</w:t>
      </w:r>
      <w:r w:rsidR="00C5739B">
        <w:rPr>
          <w:rStyle w:val="Strong"/>
          <w:rFonts w:ascii="Arial" w:eastAsiaTheme="majorEastAsia" w:hAnsi="Arial" w:cs="Arial"/>
          <w:b w:val="0"/>
          <w:bCs w:val="0"/>
        </w:rPr>
        <w:t xml:space="preserve"> </w:t>
      </w:r>
      <w:r w:rsidR="00C5739B">
        <w:rPr>
          <w:rFonts w:ascii="Helvetica Neue" w:eastAsiaTheme="minorHAnsi" w:hAnsi="Helvetica Neue" w:cs="Helvetica Neue"/>
          <w:color w:val="000000"/>
          <w14:ligatures w14:val="standardContextual"/>
        </w:rPr>
        <w:t>We used ATAC-seq signal to compare regulatory element activity between 9 scalp cell types. To compute ATAC-seq signal per cell type, we quantified the number of Tn5 transpositions in each donor for each cell type, normalized this data by reads per million mapped reads, and summed normalized signal across the donors for a given cell type using a combination of BEDTools</w:t>
      </w:r>
      <w:r w:rsidR="00090528">
        <w:rPr>
          <w:rFonts w:ascii="Helvetica Neue" w:eastAsiaTheme="minorHAnsi" w:hAnsi="Helvetica Neue" w:cs="Helvetica Neue"/>
          <w:color w:val="000000"/>
          <w14:ligatures w14:val="standardContextual"/>
        </w:rPr>
        <w:fldChar w:fldCharType="begin"/>
      </w:r>
      <w:r w:rsidR="00090528">
        <w:rPr>
          <w:rFonts w:ascii="Helvetica Neue" w:eastAsiaTheme="minorHAnsi" w:hAnsi="Helvetica Neue" w:cs="Helvetica Neue"/>
          <w:color w:val="000000"/>
          <w14:ligatures w14:val="standardContextual"/>
        </w:rPr>
        <w:instrText xml:space="preserve"> ADDIN ZOTERO_ITEM CSL_CITATION {"citationID":"GJwI9kpK","properties":{"formattedCitation":"\\super 35\\nosupersub{}","plainCitation":"35","noteIndex":0},"citationItems":[{"id":209,"uris":["http://zotero.org/users/local/HUSG1dD8/items/QJRYAMT9"],"itemData":{"id":209,"type":"article-journal","abstract":"MOTIVATION: Testing for correlations between different sets of genomic features is a fundamental task in genomics research. However, searching for overlaps between features with existing web-based methods is complicated by the massive datasets that are routinely produced with current sequencing technologies. Fast and flexible tools are therefore required to ask complex questions of these data in an efficient manner.\nRESULTS: This article introduces a new software suite for the comparison, manipulation and annotation of genomic features in Browser Extensible Data (BED) and General Feature Format (GFF) format. BEDTools also supports the comparison of sequence alignments in BAM format to both BED and GFF features. The tools are extremely efficient and allow the user to compare large datasets (e.g. next-generation sequencing data) with both public and custom genome annotation tracks. BEDTools can be combined with one another as well as with standard UNIX commands, thus facilitating routine genomics tasks as well as pipelines that can quickly answer intricate questions of large genomic datasets.\nAVAILABILITY AND IMPLEMENTATION: BEDTools was written in C++. Source code and a comprehensive user manual are freely available at http://code.google.com/p/bedtools\nCONTACT: aaronquinlan@gmail.com; imh4y@virginia.edu\nSUPPLEMENTARY INFORMATION: Supplementary data are available at Bioinformatics online.","container-title":"Bioinformatics (Oxford, England)","DOI":"10.1093/bioinformatics/btq033","ISSN":"1367-4811","issue":"6","journalAbbreviation":"Bioinformatics","language":"eng","note":"PMID: 20110278\nPMCID: PMC2832824","page":"841-842","source":"PubMed","title":"BEDTools: a flexible suite of utilities for comparing genomic features","title-short":"BEDTools","volume":"26","author":[{"family":"Quinlan","given":"Aaron R."},{"family":"Hall","given":"Ira M."}],"issued":{"date-parts":[["2010",3,15]]}}}],"schema":"https://github.com/citation-style-language/schema/raw/master/csl-citation.json"} </w:instrText>
      </w:r>
      <w:r w:rsidR="00090528">
        <w:rPr>
          <w:rFonts w:ascii="Helvetica Neue" w:eastAsiaTheme="minorHAnsi" w:hAnsi="Helvetica Neue" w:cs="Helvetica Neue"/>
          <w:color w:val="000000"/>
          <w14:ligatures w14:val="standardContextual"/>
        </w:rPr>
        <w:fldChar w:fldCharType="separate"/>
      </w:r>
      <w:r w:rsidR="00090528" w:rsidRPr="00090528">
        <w:rPr>
          <w:rFonts w:ascii="Helvetica Neue" w:eastAsiaTheme="minorHAnsi" w:hAnsi="Helvetica Neue"/>
          <w:color w:val="000000"/>
          <w:vertAlign w:val="superscript"/>
          <w14:ligatures w14:val="standardContextual"/>
        </w:rPr>
        <w:t>35</w:t>
      </w:r>
      <w:r w:rsidR="00090528">
        <w:rPr>
          <w:rFonts w:ascii="Helvetica Neue" w:eastAsiaTheme="minorHAnsi" w:hAnsi="Helvetica Neue" w:cs="Helvetica Neue"/>
          <w:color w:val="000000"/>
          <w14:ligatures w14:val="standardContextual"/>
        </w:rPr>
        <w:fldChar w:fldCharType="end"/>
      </w:r>
      <w:r w:rsidR="00C5739B">
        <w:rPr>
          <w:rFonts w:ascii="Helvetica Neue" w:eastAsiaTheme="minorHAnsi" w:hAnsi="Helvetica Neue" w:cs="Helvetica Neue"/>
          <w:color w:val="000000"/>
          <w14:ligatures w14:val="standardContextual"/>
        </w:rPr>
        <w:t xml:space="preserve"> and UCSCtools</w:t>
      </w:r>
      <w:r w:rsidR="00090528">
        <w:rPr>
          <w:rFonts w:ascii="Helvetica Neue" w:eastAsiaTheme="minorHAnsi" w:hAnsi="Helvetica Neue" w:cs="Helvetica Neue"/>
          <w:color w:val="000000"/>
          <w14:ligatures w14:val="standardContextual"/>
        </w:rPr>
        <w:fldChar w:fldCharType="begin"/>
      </w:r>
      <w:r w:rsidR="00090528">
        <w:rPr>
          <w:rFonts w:ascii="Helvetica Neue" w:eastAsiaTheme="minorHAnsi" w:hAnsi="Helvetica Neue" w:cs="Helvetica Neue"/>
          <w:color w:val="000000"/>
          <w14:ligatures w14:val="standardContextual"/>
        </w:rPr>
        <w:instrText xml:space="preserve"> ADDIN ZOTERO_ITEM CSL_CITATION {"citationID":"J7M5CByD","properties":{"formattedCitation":"\\super 36\\nosupersub{}","plainCitation":"36","noteIndex":0},"citationItems":[{"id":212,"uris":["http://zotero.org/users/local/HUSG1dD8/items/THAC59HN"],"itemData":{"id":212,"type":"article-journal","abstract":"As vertebrate genome sequences near completion and research refocuses to their analysis, the issue of effective genome annotation display becomes critical. A mature web tool for rapid and reliable display of any requested portion of the genome at any scale, together with several dozen aligned annotation tracks, is provided at http://genome.ucsc.edu. This browser displays assembly contigs and gaps, mRNA and expressed sequence tag alignments, multiple gene predictions, cross-species homologies, single nucleotide polymorphisms, sequence-tagged sites, radiation hybrid data, transposon repeats, and more as a stack of coregistered tracks. Text and sequence-based searches provide quick and precise access to any region of specific interest. Secondary links from individual features lead to sequence details and supplementary off-site databases. One-half of the annotation tracks are computed at the University of California, Santa Cruz from publicly available sequence data; collaborators worldwide provide the rest. Users can stably add their own custom tracks to the browser for educational or research purposes. The conceptual and technical framework of the browser, its underlying MYSQL database, and overall use are described. The web site currently serves over 50,000 pages per day to over 3000 different users.","container-title":"Genome Research","DOI":"10.1101/gr.229102","ISSN":"1088-9051","issue":"6","journalAbbreviation":"Genome Res","language":"eng","note":"PMID: 12045153\nPMCID: PMC186604","page":"996-1006","source":"PubMed","title":"The human genome browser at UCSC","volume":"12","author":[{"family":"Kent","given":"W. James"},{"family":"Sugnet","given":"Charles W."},{"family":"Furey","given":"Terrence S."},{"family":"Roskin","given":"Krishna M."},{"family":"Pringle","given":"Tom H."},{"family":"Zahler","given":"Alan M."},{"family":"Haussler","given":"David"}],"issued":{"date-parts":[["2002",6]]}}}],"schema":"https://github.com/citation-style-language/schema/raw/master/csl-citation.json"} </w:instrText>
      </w:r>
      <w:r w:rsidR="00090528">
        <w:rPr>
          <w:rFonts w:ascii="Helvetica Neue" w:eastAsiaTheme="minorHAnsi" w:hAnsi="Helvetica Neue" w:cs="Helvetica Neue"/>
          <w:color w:val="000000"/>
          <w14:ligatures w14:val="standardContextual"/>
        </w:rPr>
        <w:fldChar w:fldCharType="separate"/>
      </w:r>
      <w:r w:rsidR="00090528" w:rsidRPr="00090528">
        <w:rPr>
          <w:rFonts w:ascii="Helvetica Neue" w:eastAsiaTheme="minorHAnsi" w:hAnsi="Helvetica Neue"/>
          <w:color w:val="000000"/>
          <w:vertAlign w:val="superscript"/>
          <w14:ligatures w14:val="standardContextual"/>
        </w:rPr>
        <w:t>36</w:t>
      </w:r>
      <w:r w:rsidR="00090528">
        <w:rPr>
          <w:rFonts w:ascii="Helvetica Neue" w:eastAsiaTheme="minorHAnsi" w:hAnsi="Helvetica Neue" w:cs="Helvetica Neue"/>
          <w:color w:val="000000"/>
          <w14:ligatures w14:val="standardContextual"/>
        </w:rPr>
        <w:fldChar w:fldCharType="end"/>
      </w:r>
      <w:r w:rsidR="00090528">
        <w:rPr>
          <w:rFonts w:ascii="Helvetica Neue" w:eastAsiaTheme="minorHAnsi" w:hAnsi="Helvetica Neue" w:cs="Helvetica Neue"/>
          <w:color w:val="000000"/>
          <w14:ligatures w14:val="standardContextual"/>
        </w:rPr>
        <w:t>.</w:t>
      </w:r>
      <w:r w:rsidR="00F74CF5" w:rsidRPr="00F74CF5">
        <w:rPr>
          <w:rFonts w:ascii="Arial" w:hAnsi="Arial" w:cs="Arial"/>
        </w:rPr>
        <w:t xml:space="preserve"> </w:t>
      </w:r>
    </w:p>
    <w:p w14:paraId="7B7250C5" w14:textId="77777777" w:rsidR="00026B72" w:rsidRDefault="00026B72" w:rsidP="00026B72">
      <w:pPr>
        <w:rPr>
          <w:rFonts w:ascii="Arial" w:hAnsi="Arial" w:cs="Arial"/>
        </w:rPr>
      </w:pPr>
    </w:p>
    <w:p w14:paraId="6B9181B0" w14:textId="178759C9" w:rsidR="00026B72" w:rsidRPr="00E22B11" w:rsidRDefault="00026B72" w:rsidP="00026B72">
      <w:pPr>
        <w:rPr>
          <w:rFonts w:ascii="Arial" w:hAnsi="Arial" w:cs="Arial"/>
        </w:rPr>
      </w:pPr>
      <w:r>
        <w:rPr>
          <w:rFonts w:ascii="Arial" w:hAnsi="Arial" w:cs="Arial"/>
        </w:rPr>
        <w:t>T</w:t>
      </w:r>
      <w:r w:rsidRPr="00E22B11">
        <w:rPr>
          <w:rFonts w:ascii="Arial" w:hAnsi="Arial" w:cs="Arial"/>
        </w:rPr>
        <w:t xml:space="preserve">o investigate spatial chromatin interactions </w:t>
      </w:r>
      <w:r>
        <w:rPr>
          <w:rFonts w:ascii="Arial" w:hAnsi="Arial" w:cs="Arial"/>
        </w:rPr>
        <w:t>between</w:t>
      </w:r>
      <w:r w:rsidRPr="00E22B11">
        <w:rPr>
          <w:rFonts w:ascii="Arial" w:hAnsi="Arial" w:cs="Arial"/>
        </w:rPr>
        <w:t xml:space="preserve"> lead </w:t>
      </w:r>
      <w:r>
        <w:rPr>
          <w:rFonts w:ascii="Arial" w:hAnsi="Arial" w:cs="Arial"/>
        </w:rPr>
        <w:t xml:space="preserve">GWAS </w:t>
      </w:r>
      <w:r w:rsidRPr="00E22B11">
        <w:rPr>
          <w:rFonts w:ascii="Arial" w:hAnsi="Arial" w:cs="Arial"/>
        </w:rPr>
        <w:t xml:space="preserve">variants </w:t>
      </w:r>
      <w:r>
        <w:rPr>
          <w:rFonts w:ascii="Arial" w:hAnsi="Arial" w:cs="Arial"/>
        </w:rPr>
        <w:t>and</w:t>
      </w:r>
      <w:r w:rsidRPr="00E22B11">
        <w:rPr>
          <w:rFonts w:ascii="Arial" w:hAnsi="Arial" w:cs="Arial"/>
        </w:rPr>
        <w:t xml:space="preserve"> potential target genes</w:t>
      </w:r>
      <w:r>
        <w:rPr>
          <w:rFonts w:ascii="Arial" w:hAnsi="Arial" w:cs="Arial"/>
        </w:rPr>
        <w:t xml:space="preserve">, </w:t>
      </w:r>
      <w:r w:rsidRPr="00E22B11">
        <w:rPr>
          <w:rFonts w:ascii="Arial" w:hAnsi="Arial" w:cs="Arial"/>
        </w:rPr>
        <w:t>we</w:t>
      </w:r>
      <w:r>
        <w:rPr>
          <w:rFonts w:ascii="Arial" w:hAnsi="Arial" w:cs="Arial"/>
        </w:rPr>
        <w:t xml:space="preserve"> used HUGIn</w:t>
      </w:r>
      <w:r>
        <w:rPr>
          <w:rFonts w:ascii="Arial" w:hAnsi="Arial" w:cs="Arial"/>
        </w:rPr>
        <w:fldChar w:fldCharType="begin"/>
      </w:r>
      <w:r w:rsidR="00090528">
        <w:rPr>
          <w:rFonts w:ascii="Arial" w:hAnsi="Arial" w:cs="Arial"/>
        </w:rPr>
        <w:instrText xml:space="preserve"> ADDIN ZOTERO_ITEM CSL_CITATION {"citationID":"v03Twop1","properties":{"formattedCitation":"\\super 37\\nosupersub{}","plainCitation":"37","noteIndex":0},"citationItems":[{"id":103,"uris":["http://zotero.org/users/local/HUSG1dD8/items/I6TJSB88"],"itemData":{"id":103,"type":"article-journal","abstract":"MOTIVATION: High throughput chromatin conformation capture (3C) technologies, such as Hi-C and ChIA-PET, have the potential to elucidate the functional roles of non-coding variants. However, most of published genome-wide unbiased chromatin organization studies have used cultured cell lines, limiting their generalizability.\nRESULTS: We developed a web browser, HUGIn, to visualize Hi-C data generated from 21 human primary tissues and cell lines. HUGIn enables assessment of chromatin contacts both constitutive across and specific to tissue(s) and/or cell line(s) at any genomic loci, including GWAS SNPs, eQTLs and cis-regulatory elements, facilitating the understanding of both GWAS and eQTL results and functional genomics data.\nAVAILABILITY AND IMPLEMENTATION: HUGIn is available at http://yunliweb.its.unc.edu/HUGIn.\nCONTACT: yunli@med.unc.edu or hum@ccf.org.\nSUPPLEMENTARY INFORMATION: Supplementary data are available at Bioinformatics online.","container-title":"Bioinformatics (Oxford, England)","DOI":"10.1093/bioinformatics/btx359","ISSN":"1367-4811","issue":"23","journalAbbreviation":"Bioinformatics","language":"eng","note":"PMID: 28582503\nPMCID: PMC5860315","page":"3793-3795","source":"PubMed","title":"HUGIn: Hi-C Unifying Genomic Interrogator","title-short":"HUGIn","volume":"33","author":[{"family":"Martin","given":"Joshua S."},{"family":"Xu","given":"Zheng"},{"family":"Reiner","given":"Alex P."},{"family":"Mohlke","given":"Karen L."},{"family":"Sullivan","given":"Patrick"},{"family":"Ren","given":"Bing"},{"family":"Hu","given":"Ming"},{"family":"Li","given":"Yun"}],"issued":{"date-parts":[["2017",12,1]]}}}],"schema":"https://github.com/citation-style-language/schema/raw/master/csl-citation.json"} </w:instrText>
      </w:r>
      <w:r>
        <w:rPr>
          <w:rFonts w:ascii="Arial" w:hAnsi="Arial" w:cs="Arial"/>
        </w:rPr>
        <w:fldChar w:fldCharType="separate"/>
      </w:r>
      <w:r w:rsidR="00090528" w:rsidRPr="00090528">
        <w:rPr>
          <w:rFonts w:ascii="Arial" w:eastAsiaTheme="minorHAnsi" w:hAnsi="Arial" w:cs="Arial"/>
          <w:vertAlign w:val="superscript"/>
          <w14:ligatures w14:val="standardContextual"/>
        </w:rPr>
        <w:t>37</w:t>
      </w:r>
      <w:r>
        <w:rPr>
          <w:rFonts w:ascii="Arial" w:hAnsi="Arial" w:cs="Arial"/>
        </w:rPr>
        <w:fldChar w:fldCharType="end"/>
      </w:r>
      <w:r>
        <w:rPr>
          <w:rFonts w:ascii="Arial" w:hAnsi="Arial" w:cs="Arial"/>
        </w:rPr>
        <w:t xml:space="preserve"> to</w:t>
      </w:r>
      <w:r w:rsidRPr="00E22B11">
        <w:rPr>
          <w:rFonts w:ascii="Arial" w:hAnsi="Arial" w:cs="Arial"/>
        </w:rPr>
        <w:t xml:space="preserve"> examin</w:t>
      </w:r>
      <w:r>
        <w:rPr>
          <w:rFonts w:ascii="Arial" w:hAnsi="Arial" w:cs="Arial"/>
        </w:rPr>
        <w:t>e</w:t>
      </w:r>
      <w:r w:rsidRPr="00E22B11">
        <w:rPr>
          <w:rFonts w:ascii="Arial" w:hAnsi="Arial" w:cs="Arial"/>
        </w:rPr>
        <w:t xml:space="preserve"> Hi-C chromatin interaction data from mesenchymal cells</w:t>
      </w:r>
      <w:r>
        <w:rPr>
          <w:rFonts w:ascii="Arial" w:hAnsi="Arial" w:cs="Arial"/>
        </w:rPr>
        <w:fldChar w:fldCharType="begin"/>
      </w:r>
      <w:r w:rsidR="00090528">
        <w:rPr>
          <w:rFonts w:ascii="Arial" w:hAnsi="Arial" w:cs="Arial"/>
        </w:rPr>
        <w:instrText xml:space="preserve"> ADDIN ZOTERO_ITEM CSL_CITATION {"citationID":"WZ3SLRw5","properties":{"formattedCitation":"\\super 38\\nosupersub{}","plainCitation":"38","noteIndex":0},"citationItems":[{"id":106,"uris":["http://zotero.org/users/local/HUSG1dD8/items/DH6IS4BQ"],"itemData":{"id":106,"type":"article-journal","abstract":"The three-dimensional configuration of DNA is integral to all nuclear processes in eukaryotes, yet our knowledge of the chromosome architecture is still limited. Genome-wide chromosome conformation capture studies have uncovered features of chromatin organization in cultured cells, but genome architecture in human tissues has yet to be explored. Here, we report the most comprehensive survey to date of chromatin organization in human tissues. Through integrative analysis of chromatin contact maps in 21 primary human tissues and cell types, we find topologically associating domains highly conserved in different tissues. We also discover genomic regions that exhibit unusually high levels of local chromatin interactions. These frequently interacting regions (FIREs) are enriched for super-enhancers and are near tissue-specifically expressed genes. They display strong tissue-specificity in local chromatin interactions. Additionally, FIRE formation is partially dependent on CTCF and the Cohesin complex. We further show that FIREs can help annotate the function of non-coding sequence variants.","container-title":"Cell Reports","DOI":"10.1016/j.celrep.2016.10.061","ISSN":"2211-1247","issue":"8","journalAbbreviation":"Cell Rep","language":"eng","note":"PMID: 27851967\nPMCID: PMC5478386","page":"2042-2059","source":"PubMed","title":"A Compendium of Chromatin Contact Maps Reveals Spatially Active Regions in the Human Genome","volume":"17","author":[{"family":"Schmitt","given":"Anthony D."},{"family":"Hu","given":"Ming"},{"family":"Jung","given":"Inkyung"},{"family":"Xu","given":"Zheng"},{"family":"Qiu","given":"Yunjiang"},{"family":"Tan","given":"Catherine L."},{"family":"Li","given":"Yun"},{"family":"Lin","given":"Shin"},{"family":"Lin","given":"Yiing"},{"family":"Barr","given":"Cathy L."},{"family":"Ren","given":"Bing"}],"issued":{"date-parts":[["2016",11,15]]}}}],"schema":"https://github.com/citation-style-language/schema/raw/master/csl-citation.json"} </w:instrText>
      </w:r>
      <w:r>
        <w:rPr>
          <w:rFonts w:ascii="Arial" w:hAnsi="Arial" w:cs="Arial"/>
        </w:rPr>
        <w:fldChar w:fldCharType="separate"/>
      </w:r>
      <w:r w:rsidR="00090528" w:rsidRPr="00090528">
        <w:rPr>
          <w:rFonts w:ascii="Arial" w:eastAsiaTheme="minorHAnsi" w:hAnsi="Arial" w:cs="Arial"/>
          <w:vertAlign w:val="superscript"/>
          <w14:ligatures w14:val="standardContextual"/>
        </w:rPr>
        <w:t>38</w:t>
      </w:r>
      <w:r>
        <w:rPr>
          <w:rFonts w:ascii="Arial" w:hAnsi="Arial" w:cs="Arial"/>
        </w:rPr>
        <w:fldChar w:fldCharType="end"/>
      </w:r>
      <w:r>
        <w:rPr>
          <w:rFonts w:ascii="Arial" w:hAnsi="Arial" w:cs="Arial"/>
        </w:rPr>
        <w:t xml:space="preserve">. </w:t>
      </w:r>
      <w:r w:rsidRPr="00E22B11">
        <w:rPr>
          <w:rFonts w:ascii="Arial" w:hAnsi="Arial" w:cs="Arial"/>
        </w:rPr>
        <w:t xml:space="preserve">We </w:t>
      </w:r>
      <w:r>
        <w:rPr>
          <w:rFonts w:ascii="Arial" w:hAnsi="Arial" w:cs="Arial"/>
        </w:rPr>
        <w:t>analyzed</w:t>
      </w:r>
      <w:r w:rsidRPr="00E22B11">
        <w:rPr>
          <w:rFonts w:ascii="Arial" w:hAnsi="Arial" w:cs="Arial"/>
        </w:rPr>
        <w:t xml:space="preserve"> mesenchymal cells </w:t>
      </w:r>
      <w:r>
        <w:rPr>
          <w:rFonts w:ascii="Arial" w:hAnsi="Arial" w:cs="Arial"/>
        </w:rPr>
        <w:t>because</w:t>
      </w:r>
      <w:r w:rsidRPr="00E22B11">
        <w:rPr>
          <w:rFonts w:ascii="Arial" w:hAnsi="Arial" w:cs="Arial"/>
        </w:rPr>
        <w:t xml:space="preserve"> inflammatory status of mesenchymal stem cells </w:t>
      </w:r>
      <w:r>
        <w:rPr>
          <w:rFonts w:ascii="Arial" w:hAnsi="Arial" w:cs="Arial"/>
        </w:rPr>
        <w:t>may</w:t>
      </w:r>
      <w:r w:rsidRPr="00E22B11">
        <w:rPr>
          <w:rFonts w:ascii="Arial" w:hAnsi="Arial" w:cs="Arial"/>
        </w:rPr>
        <w:t xml:space="preserve"> play a role in HS pathogenesis</w:t>
      </w:r>
      <w:r>
        <w:rPr>
          <w:rFonts w:ascii="Arial" w:hAnsi="Arial" w:cs="Arial"/>
        </w:rPr>
        <w:fldChar w:fldCharType="begin"/>
      </w:r>
      <w:r w:rsidR="00090528">
        <w:rPr>
          <w:rFonts w:ascii="Arial" w:hAnsi="Arial" w:cs="Arial"/>
        </w:rPr>
        <w:instrText xml:space="preserve"> ADDIN ZOTERO_ITEM CSL_CITATION {"citationID":"GBZHLcQB","properties":{"formattedCitation":"\\super 39\\nosupersub{}","plainCitation":"39","noteIndex":0},"citationItems":[{"id":109,"uris":["http://zotero.org/users/local/HUSG1dD8/items/ZMVVGS54"],"itemData":{"id":109,"type":"article-journal","abstract":"IMPORTANCE: Hidradenitis suppurativa (HS) is a disease of the terminal hair follicle in apocrine gland-enriched skin areas, where immunobiology dysregulation of mesenchymal stem cells (MSCs) may have a key role.\nOBJECTIVE: To investigate the MSC profile in patients with HS and in healthy controls.\nDESIGN, SETTING, AND PARTICIPANTS: In this prospective case-control study, patients with HS were recruited from the Dermatological Clinic at the Department of Clinical and Molecular Sciences, Università Politecnica delle Marche, Ancona, Italy. Biopsy specimens were analyzed at the Histology Section of the Department of Clinical and Molecular Sciences. Participants included 11 patients with HS and 9 healthy controls, who were recruited into the study between January 20, 2015, and September 20, 2016, and underwent punch biopsy from axillary skin. None of the participants had received any antibiotics (systemic or topical therapy) within almost 12 weeks before the study.\nMAIN OUTCOMES AND MEASURES: The immunophenotypic profile of MSCs was characterized following the minimal criteria established by the International Society for Cellular Therapy for the identification of MSCs. Levels of 12 cytokines belonging to helper T-cell subtypes 1, 2, and 17 pathways were examined on the secretome of isolated cells by enzyme-linked immunoabsorbent assay.\nRESULTS: Skin MSCs were characterized in 11 patients with HS (8 women and 3 men; mean [SD] age, 35.8 [7.9] years) and 9 healthy controls (7 women and 2 men; mean [SD] age, 36.7 [6.9] years). The healthy controls were matched with patients with HS for body mass index. Mesenchymal stem cells isolated from patients with HS (HS-MSCs) and from healthy controls (C-MSCs) met the International Society for Cellular Therapy minimal criteria. Compared with C-MSCs, cytokine analyses of HS-MSCs revealed statistically significant overexpression of interleukin (IL) 6 (median [interquartile range {IQR}], 8765.00 [7659.00-9123.00] vs 2849.00 [2609.00-3001.00] pg/mL; P = .008), IL-10 (median [IQR], 29.46 [26.35-35.79] vs 21.36 [19.89-23.33] pg/mL; P = .004), IL-12 (median [IQR], 15.25 [13.27-16.25] vs 11.89 [10.73-12.33] pg/mL; P = .03), IL-17A (median [IQR], 15.24 [13.23-17.24] vs 11.24 [10.28-11.95] pg/mL; P = .008), tumor necrosis factor (median [IQR], 42.54 [42.20-43.94] vs 32.55 [31.78-33.28] pg/mL; P = .004), transforming growth factor β1 (median [IQR], 1728.00 [1535.00-1979.00] vs 500.80 [465.00-634.50] pg/mL; P = .004), and interferon γ (median [IQR], 11.49 [10.71-12.35] vs 9.45 [9.29-10.01] pg/mL; P = .005).\nCONCLUSIONS AND RELEVANCE: Mesenchymal stem cells isolated from the skin of patients with HS seem to be activated toward an inflammatory status. The imbalance between proinflammatory and anti-inflammatory activities of MSCs favors the hypothesis of their pathogenic involvement in HS.","container-title":"JAMA dermatology","DOI":"10.1001/jamadermatol.2018.2516","ISSN":"2168-6084","issue":"10","journalAbbreviation":"JAMA Dermatol","language":"eng","note":"PMID: 30140888\nPMCID: PMC6233744","page":"1184-1190","source":"PubMed","title":"Pathogenetic Characteristics of Mesenchymal Stem Cells in Hidradenitis Suppurativa","volume":"154","author":[{"family":"Campanati","given":"Anna"},{"family":"Orciani","given":"Monia"},{"family":"Sorgentoni","given":"Giulia"},{"family":"Consales","given":"Veronica"},{"family":"Offidani","given":"Annamaria"},{"family":"Di Primio","given":"Roberto"}],"issued":{"date-parts":[["2018",10,1]]}}}],"schema":"https://github.com/citation-style-language/schema/raw/master/csl-citation.json"} </w:instrText>
      </w:r>
      <w:r>
        <w:rPr>
          <w:rFonts w:ascii="Arial" w:hAnsi="Arial" w:cs="Arial"/>
        </w:rPr>
        <w:fldChar w:fldCharType="separate"/>
      </w:r>
      <w:r w:rsidR="00090528" w:rsidRPr="00090528">
        <w:rPr>
          <w:rFonts w:ascii="Arial" w:eastAsiaTheme="minorHAnsi" w:hAnsi="Arial" w:cs="Arial"/>
          <w:vertAlign w:val="superscript"/>
          <w14:ligatures w14:val="standardContextual"/>
        </w:rPr>
        <w:t>39</w:t>
      </w:r>
      <w:r>
        <w:rPr>
          <w:rFonts w:ascii="Arial" w:hAnsi="Arial" w:cs="Arial"/>
        </w:rPr>
        <w:fldChar w:fldCharType="end"/>
      </w:r>
      <w:r>
        <w:rPr>
          <w:rFonts w:ascii="Arial" w:hAnsi="Arial" w:cs="Arial"/>
        </w:rPr>
        <w:t>.</w:t>
      </w:r>
      <w:r w:rsidRPr="00E22B11">
        <w:rPr>
          <w:rFonts w:ascii="Arial" w:hAnsi="Arial" w:cs="Arial"/>
          <w:color w:val="000000"/>
        </w:rPr>
        <w:t xml:space="preserve"> </w:t>
      </w:r>
    </w:p>
    <w:p w14:paraId="48291AF9" w14:textId="77777777" w:rsidR="00026B72" w:rsidRDefault="00026B72" w:rsidP="00026B72">
      <w:pPr>
        <w:rPr>
          <w:rFonts w:ascii="Arial" w:hAnsi="Arial" w:cs="Arial"/>
        </w:rPr>
      </w:pPr>
    </w:p>
    <w:p w14:paraId="6BFC9ACC" w14:textId="5C0E2EC8" w:rsidR="00026B72" w:rsidRPr="00E22B11" w:rsidRDefault="00026B72" w:rsidP="00026B72">
      <w:pPr>
        <w:rPr>
          <w:rFonts w:ascii="Arial" w:hAnsi="Arial" w:cs="Arial"/>
        </w:rPr>
      </w:pPr>
      <w:r w:rsidRPr="00E22B11">
        <w:rPr>
          <w:rFonts w:ascii="Arial" w:hAnsi="Arial" w:cs="Arial"/>
        </w:rPr>
        <w:t xml:space="preserve">To identify potential regulatory elements </w:t>
      </w:r>
      <w:r>
        <w:rPr>
          <w:rFonts w:ascii="Arial" w:hAnsi="Arial" w:cs="Arial"/>
        </w:rPr>
        <w:t>that may be altered by</w:t>
      </w:r>
      <w:r w:rsidRPr="00E22B11">
        <w:rPr>
          <w:rFonts w:ascii="Arial" w:hAnsi="Arial" w:cs="Arial"/>
        </w:rPr>
        <w:t xml:space="preserve"> HS signals, we </w:t>
      </w:r>
      <w:bookmarkStart w:id="0" w:name="_Hlk190850918"/>
      <w:r>
        <w:rPr>
          <w:rFonts w:ascii="Arial" w:hAnsi="Arial" w:cs="Arial"/>
        </w:rPr>
        <w:t>compared the</w:t>
      </w:r>
      <w:r w:rsidRPr="00E22B11">
        <w:rPr>
          <w:rFonts w:ascii="Arial" w:hAnsi="Arial" w:cs="Arial"/>
        </w:rPr>
        <w:t xml:space="preserve"> </w:t>
      </w:r>
      <w:r>
        <w:rPr>
          <w:rFonts w:ascii="Arial" w:hAnsi="Arial" w:cs="Arial"/>
        </w:rPr>
        <w:t>HS-associated variants</w:t>
      </w:r>
      <w:r w:rsidRPr="00E22B11">
        <w:rPr>
          <w:rFonts w:ascii="Arial" w:hAnsi="Arial" w:cs="Arial"/>
        </w:rPr>
        <w:t xml:space="preserve"> </w:t>
      </w:r>
      <w:r>
        <w:rPr>
          <w:rFonts w:ascii="Arial" w:hAnsi="Arial" w:cs="Arial"/>
        </w:rPr>
        <w:t xml:space="preserve">to regions </w:t>
      </w:r>
      <w:r w:rsidR="004E38FE">
        <w:rPr>
          <w:rFonts w:ascii="Arial" w:hAnsi="Arial" w:cs="Arial"/>
        </w:rPr>
        <w:t>identified using the assay of transposase-accessible chromatin (</w:t>
      </w:r>
      <w:r>
        <w:rPr>
          <w:rFonts w:ascii="Arial" w:hAnsi="Arial" w:cs="Arial"/>
        </w:rPr>
        <w:t>ATAC-seq</w:t>
      </w:r>
      <w:r w:rsidR="004E38FE">
        <w:rPr>
          <w:rFonts w:ascii="Arial" w:hAnsi="Arial" w:cs="Arial"/>
        </w:rPr>
        <w:t>)</w:t>
      </w:r>
      <w:r>
        <w:rPr>
          <w:rFonts w:ascii="Arial" w:hAnsi="Arial" w:cs="Arial"/>
        </w:rPr>
        <w:t xml:space="preserve"> </w:t>
      </w:r>
      <w:r w:rsidRPr="00E22B11">
        <w:rPr>
          <w:rFonts w:ascii="Arial" w:hAnsi="Arial" w:cs="Arial"/>
        </w:rPr>
        <w:t xml:space="preserve">chromatin </w:t>
      </w:r>
      <w:r>
        <w:rPr>
          <w:rFonts w:ascii="Arial" w:hAnsi="Arial" w:cs="Arial"/>
        </w:rPr>
        <w:t>accessibility</w:t>
      </w:r>
      <w:r w:rsidRPr="00E22B11">
        <w:rPr>
          <w:rFonts w:ascii="Arial" w:hAnsi="Arial" w:cs="Arial"/>
        </w:rPr>
        <w:t xml:space="preserve"> </w:t>
      </w:r>
      <w:r w:rsidR="004E38FE">
        <w:rPr>
          <w:rFonts w:ascii="Arial" w:hAnsi="Arial" w:cs="Arial"/>
        </w:rPr>
        <w:t xml:space="preserve">data </w:t>
      </w:r>
      <w:r>
        <w:rPr>
          <w:rFonts w:ascii="Arial" w:hAnsi="Arial" w:cs="Arial"/>
        </w:rPr>
        <w:t>in</w:t>
      </w:r>
      <w:r w:rsidRPr="00E22B11">
        <w:rPr>
          <w:rFonts w:ascii="Arial" w:hAnsi="Arial" w:cs="Arial"/>
        </w:rPr>
        <w:t xml:space="preserve"> human scalp</w:t>
      </w:r>
      <w:r>
        <w:rPr>
          <w:rFonts w:ascii="Arial" w:hAnsi="Arial" w:cs="Arial"/>
        </w:rPr>
        <w:t xml:space="preserve"> cell type</w:t>
      </w:r>
      <w:r w:rsidRPr="00E22B11">
        <w:rPr>
          <w:rFonts w:ascii="Arial" w:hAnsi="Arial" w:cs="Arial"/>
        </w:rPr>
        <w:t>s</w:t>
      </w:r>
      <w:r>
        <w:rPr>
          <w:rFonts w:ascii="Arial" w:hAnsi="Arial" w:cs="Arial"/>
        </w:rPr>
        <w:fldChar w:fldCharType="begin"/>
      </w:r>
      <w:r w:rsidR="001C677F">
        <w:rPr>
          <w:rFonts w:ascii="Arial" w:hAnsi="Arial" w:cs="Arial"/>
        </w:rPr>
        <w:instrText xml:space="preserve"> ADDIN ZOTERO_ITEM CSL_CITATION {"citationID":"6r5hLite","properties":{"formattedCitation":"\\super 33\\nosupersub{}","plainCitation":"33","noteIndex":0},"citationItems":[{"id":98,"uris":["http://zotero.org/users/local/HUSG1dD8/items/3GBY8XVM"],"itemData":{"id":98,"type":"article-journal","abstract":"Genome-wide association studies have identified many loci associated with hair and skin disease, but identification of causal variants requires deciphering of gene-regulatory networks in relevant cell types. We generated matched single-cell chromatin profiles and transcriptomes from scalp tissue from healthy controls and patients with alopecia areata, identifying diverse cell types of the hair follicle niche. By interrogating these datasets at multiple levels of cellular resolution, we infer 50-100% more enhancer-gene links than previous approaches and show that aggregate enhancer accessibility for highly regulated genes predicts expression. We use these gene-regulatory maps to prioritize cell types, genes and causal variants implicated in the pathobiology of androgenetic alopecia (AGA), eczema and other complex traits. AGA genome-wide association studies signals are enriched in dermal papilla regulatory regions, supporting the role of these cells as drivers of AGA pathogenesis. Finally, we train machine learning models to nominate single-nucleotide polymorphisms that affect gene expression through disruption of transcription factor binding, predicting candidate functional single-nucleotide polymorphism for AGA and eczema.","container-title":"Nature Genetics","DOI":"10.1038/s41588-023-01445-4","ISSN":"1546-1718","issue":"8","journalAbbreviation":"Nat Genet","language":"eng","note":"PMID: 37500727\nPMCID: PMC11190942","page":"1288-1300","source":"PubMed","title":"Integrated single-cell chromatin and transcriptomic analyses of human scalp identify gene-regulatory programs and critical cell types for hair and skin diseases","volume":"55","author":[{"family":"Ober-Reynolds","given":"Benjamin"},{"family":"Wang","given":"Chen"},{"family":"Ko","given":"Justin M."},{"family":"Rios","given":"Eon J."},{"family":"Aasi","given":"Sumaira Z."},{"family":"Davis","given":"Mark M."},{"family":"Oro","given":"Anthony E."},{"family":"Greenleaf","given":"William J."}],"issued":{"date-parts":[["2023",8]]}}}],"schema":"https://github.com/citation-style-language/schema/raw/master/csl-citation.json"} </w:instrText>
      </w:r>
      <w:r>
        <w:rPr>
          <w:rFonts w:ascii="Arial" w:hAnsi="Arial" w:cs="Arial"/>
        </w:rPr>
        <w:fldChar w:fldCharType="separate"/>
      </w:r>
      <w:r w:rsidR="001C677F" w:rsidRPr="001C677F">
        <w:rPr>
          <w:rFonts w:ascii="Arial" w:eastAsiaTheme="minorHAnsi" w:hAnsi="Arial" w:cs="Arial"/>
          <w:vertAlign w:val="superscript"/>
          <w14:ligatures w14:val="standardContextual"/>
        </w:rPr>
        <w:t>33</w:t>
      </w:r>
      <w:r>
        <w:rPr>
          <w:rFonts w:ascii="Arial" w:hAnsi="Arial" w:cs="Arial"/>
        </w:rPr>
        <w:fldChar w:fldCharType="end"/>
      </w:r>
      <w:bookmarkEnd w:id="0"/>
      <w:r>
        <w:rPr>
          <w:rFonts w:ascii="Arial" w:hAnsi="Arial" w:cs="Arial"/>
        </w:rPr>
        <w:t xml:space="preserve">. </w:t>
      </w:r>
      <w:r w:rsidRPr="00E22B11">
        <w:rPr>
          <w:rFonts w:ascii="Arial" w:hAnsi="Arial" w:cs="Arial"/>
        </w:rPr>
        <w:t xml:space="preserve">We tested if any lead variants or </w:t>
      </w:r>
      <w:r>
        <w:rPr>
          <w:rFonts w:ascii="Arial" w:hAnsi="Arial" w:cs="Arial"/>
        </w:rPr>
        <w:t xml:space="preserve">their </w:t>
      </w:r>
      <w:r w:rsidRPr="00E22B11">
        <w:rPr>
          <w:rFonts w:ascii="Arial" w:hAnsi="Arial" w:cs="Arial"/>
        </w:rPr>
        <w:t>LD proxies (LD r</w:t>
      </w:r>
      <w:r w:rsidRPr="00E22B11">
        <w:rPr>
          <w:rFonts w:ascii="Arial" w:hAnsi="Arial" w:cs="Arial"/>
          <w:vertAlign w:val="superscript"/>
        </w:rPr>
        <w:t>2</w:t>
      </w:r>
      <w:r w:rsidRPr="00E22B11">
        <w:rPr>
          <w:rFonts w:ascii="Arial" w:hAnsi="Arial" w:cs="Arial"/>
        </w:rPr>
        <w:t xml:space="preserve"> ≥ 0.9, 40K EUR UKB) </w:t>
      </w:r>
      <w:r>
        <w:rPr>
          <w:rFonts w:ascii="Arial" w:hAnsi="Arial" w:cs="Arial"/>
        </w:rPr>
        <w:t>were located</w:t>
      </w:r>
      <w:r w:rsidRPr="00E22B11">
        <w:rPr>
          <w:rFonts w:ascii="Arial" w:hAnsi="Arial" w:cs="Arial"/>
        </w:rPr>
        <w:t xml:space="preserve"> within the bounds of reported scalp ATAC</w:t>
      </w:r>
      <w:r>
        <w:rPr>
          <w:rFonts w:ascii="Arial" w:hAnsi="Arial" w:cs="Arial"/>
        </w:rPr>
        <w:t>-seq</w:t>
      </w:r>
      <w:r w:rsidRPr="00E22B11">
        <w:rPr>
          <w:rFonts w:ascii="Arial" w:hAnsi="Arial" w:cs="Arial"/>
        </w:rPr>
        <w:t xml:space="preserve"> </w:t>
      </w:r>
      <w:r w:rsidR="004E38FE">
        <w:rPr>
          <w:rFonts w:ascii="Arial" w:hAnsi="Arial" w:cs="Arial"/>
        </w:rPr>
        <w:t>accessible regions</w:t>
      </w:r>
      <w:r w:rsidR="009A60F4">
        <w:rPr>
          <w:rFonts w:ascii="Arial" w:hAnsi="Arial" w:cs="Arial"/>
        </w:rPr>
        <w:t xml:space="preserve">, </w:t>
      </w:r>
      <w:r w:rsidRPr="00E22B11">
        <w:rPr>
          <w:rFonts w:ascii="Arial" w:hAnsi="Arial" w:cs="Arial"/>
        </w:rPr>
        <w:t xml:space="preserve">both for </w:t>
      </w:r>
      <w:r>
        <w:rPr>
          <w:rFonts w:ascii="Arial" w:hAnsi="Arial" w:cs="Arial"/>
        </w:rPr>
        <w:t>specific cell types and combined cell types</w:t>
      </w:r>
      <w:r w:rsidRPr="00E22B11">
        <w:rPr>
          <w:rFonts w:ascii="Arial" w:hAnsi="Arial" w:cs="Arial"/>
        </w:rPr>
        <w:t>.</w:t>
      </w:r>
    </w:p>
    <w:p w14:paraId="54CB63DE" w14:textId="77777777" w:rsidR="00026B72" w:rsidRDefault="00026B72" w:rsidP="00026B72">
      <w:pPr>
        <w:rPr>
          <w:rFonts w:ascii="Arial" w:hAnsi="Arial" w:cs="Arial"/>
        </w:rPr>
      </w:pPr>
    </w:p>
    <w:p w14:paraId="14896DE7" w14:textId="774A04C4" w:rsidR="00B57BCA" w:rsidRDefault="00B57BCA" w:rsidP="00026B72">
      <w:pPr>
        <w:rPr>
          <w:rFonts w:ascii="Arial" w:hAnsi="Arial" w:cs="Arial"/>
        </w:rPr>
      </w:pPr>
      <w:r w:rsidRPr="00E22B11">
        <w:rPr>
          <w:rFonts w:ascii="Arial" w:hAnsi="Arial" w:cs="Arial"/>
        </w:rPr>
        <w:lastRenderedPageBreak/>
        <w:t xml:space="preserve">We </w:t>
      </w:r>
      <w:r>
        <w:rPr>
          <w:rFonts w:ascii="Arial" w:hAnsi="Arial" w:cs="Arial"/>
        </w:rPr>
        <w:t xml:space="preserve">prioritized </w:t>
      </w:r>
      <w:r w:rsidRPr="00E22B11">
        <w:rPr>
          <w:rFonts w:ascii="Arial" w:hAnsi="Arial" w:cs="Arial"/>
        </w:rPr>
        <w:t>protein-coding genes within</w:t>
      </w:r>
      <w:r>
        <w:rPr>
          <w:rFonts w:ascii="Arial" w:hAnsi="Arial" w:cs="Arial"/>
        </w:rPr>
        <w:t xml:space="preserve"> a somewhat strict</w:t>
      </w:r>
      <w:r w:rsidRPr="00E22B11">
        <w:rPr>
          <w:rFonts w:ascii="Arial" w:hAnsi="Arial" w:cs="Arial"/>
        </w:rPr>
        <w:t xml:space="preserve"> 100 kb of a lead variant; nearest protein-coding genes for signals without a protein-coding gene within 100 kb; or genes within 1 Mb of the lead variant with external evidence of HS-relevance.</w:t>
      </w:r>
    </w:p>
    <w:p w14:paraId="0E042EFF" w14:textId="77777777" w:rsidR="00450574" w:rsidRPr="00E22B11" w:rsidRDefault="00450574" w:rsidP="00026B72">
      <w:pPr>
        <w:rPr>
          <w:rFonts w:ascii="Arial" w:hAnsi="Arial" w:cs="Arial"/>
        </w:rPr>
      </w:pPr>
    </w:p>
    <w:p w14:paraId="19C31ABC" w14:textId="77777777" w:rsidR="00026B72" w:rsidRPr="00E22B11" w:rsidRDefault="00026B72" w:rsidP="00026B72">
      <w:pPr>
        <w:rPr>
          <w:rFonts w:ascii="Arial" w:hAnsi="Arial" w:cs="Arial"/>
          <w:u w:val="single"/>
        </w:rPr>
      </w:pPr>
      <w:r w:rsidRPr="00E22B11">
        <w:rPr>
          <w:rFonts w:ascii="Arial" w:hAnsi="Arial" w:cs="Arial"/>
          <w:u w:val="single"/>
        </w:rPr>
        <w:t xml:space="preserve">Transcriptional </w:t>
      </w:r>
      <w:r>
        <w:rPr>
          <w:rFonts w:ascii="Arial" w:hAnsi="Arial" w:cs="Arial"/>
          <w:u w:val="single"/>
        </w:rPr>
        <w:t>R</w:t>
      </w:r>
      <w:r w:rsidRPr="00E22B11">
        <w:rPr>
          <w:rFonts w:ascii="Arial" w:hAnsi="Arial" w:cs="Arial"/>
          <w:u w:val="single"/>
        </w:rPr>
        <w:t xml:space="preserve">eporter </w:t>
      </w:r>
      <w:r>
        <w:rPr>
          <w:rFonts w:ascii="Arial" w:hAnsi="Arial" w:cs="Arial"/>
          <w:u w:val="single"/>
        </w:rPr>
        <w:t>A</w:t>
      </w:r>
      <w:r w:rsidRPr="00E22B11">
        <w:rPr>
          <w:rFonts w:ascii="Arial" w:hAnsi="Arial" w:cs="Arial"/>
          <w:u w:val="single"/>
        </w:rPr>
        <w:t>ssays</w:t>
      </w:r>
    </w:p>
    <w:p w14:paraId="6CE56507" w14:textId="77777777" w:rsidR="00026B72" w:rsidRPr="00E22B11" w:rsidRDefault="00026B72" w:rsidP="00026B72">
      <w:pPr>
        <w:rPr>
          <w:rFonts w:ascii="Arial" w:hAnsi="Arial" w:cs="Arial"/>
        </w:rPr>
      </w:pPr>
    </w:p>
    <w:p w14:paraId="3761A95E" w14:textId="23C367C5" w:rsidR="00A903A8" w:rsidRDefault="00026B72" w:rsidP="00026B72">
      <w:pPr>
        <w:rPr>
          <w:rFonts w:ascii="Arial" w:hAnsi="Arial" w:cs="Arial"/>
        </w:rPr>
      </w:pPr>
      <w:r w:rsidRPr="00E22B11">
        <w:rPr>
          <w:rFonts w:ascii="Arial" w:hAnsi="Arial" w:cs="Arial"/>
        </w:rPr>
        <w:t xml:space="preserve">We performed transcriptional reporter assays in the spontaneously immortalized human epidermal </w:t>
      </w:r>
      <w:proofErr w:type="spellStart"/>
      <w:r w:rsidRPr="00E22B11">
        <w:rPr>
          <w:rFonts w:ascii="Arial" w:hAnsi="Arial" w:cs="Arial"/>
        </w:rPr>
        <w:t>HaCaT</w:t>
      </w:r>
      <w:proofErr w:type="spellEnd"/>
      <w:r w:rsidRPr="00E22B11">
        <w:rPr>
          <w:rFonts w:ascii="Arial" w:hAnsi="Arial" w:cs="Arial"/>
        </w:rPr>
        <w:t xml:space="preserve"> cell</w:t>
      </w:r>
      <w:r>
        <w:rPr>
          <w:rFonts w:ascii="Arial" w:hAnsi="Arial" w:cs="Arial"/>
        </w:rPr>
        <w:t xml:space="preserve"> line</w:t>
      </w:r>
      <w:r w:rsidRPr="00E22B11">
        <w:rPr>
          <w:rFonts w:ascii="Arial" w:hAnsi="Arial" w:cs="Arial"/>
        </w:rPr>
        <w:t xml:space="preserve"> (</w:t>
      </w:r>
      <w:proofErr w:type="spellStart"/>
      <w:r w:rsidRPr="00E22B11">
        <w:rPr>
          <w:rFonts w:ascii="Arial" w:hAnsi="Arial" w:cs="Arial"/>
        </w:rPr>
        <w:t>Cytion</w:t>
      </w:r>
      <w:proofErr w:type="spellEnd"/>
      <w:r w:rsidRPr="00E22B11">
        <w:rPr>
          <w:rFonts w:ascii="Arial" w:hAnsi="Arial" w:cs="Arial"/>
        </w:rPr>
        <w:t xml:space="preserve">). We cultured </w:t>
      </w:r>
      <w:proofErr w:type="spellStart"/>
      <w:r w:rsidRPr="00E22B11">
        <w:rPr>
          <w:rFonts w:ascii="Arial" w:hAnsi="Arial" w:cs="Arial"/>
        </w:rPr>
        <w:t>HaCaT</w:t>
      </w:r>
      <w:proofErr w:type="spellEnd"/>
      <w:r w:rsidRPr="00E22B11">
        <w:rPr>
          <w:rFonts w:ascii="Arial" w:hAnsi="Arial" w:cs="Arial"/>
        </w:rPr>
        <w:t xml:space="preserve"> cells in DMEM-high glucose (Sigma) supplemented with 10% fetal bovine serum and maintained </w:t>
      </w:r>
      <w:r w:rsidRPr="00E22B11">
        <w:rPr>
          <w:rFonts w:ascii="Arial" w:hAnsi="Arial" w:cs="Arial"/>
          <w:color w:val="000000"/>
          <w:shd w:val="clear" w:color="auto" w:fill="FFFFFF"/>
        </w:rPr>
        <w:t>at 37</w:t>
      </w:r>
      <w:r w:rsidRPr="00E22B11">
        <w:rPr>
          <w:rFonts w:ascii="Arial" w:hAnsi="Arial" w:cs="Arial"/>
          <w:color w:val="000000"/>
          <w:shd w:val="clear" w:color="auto" w:fill="FFFFFF"/>
          <w:vertAlign w:val="superscript"/>
        </w:rPr>
        <w:t>o</w:t>
      </w:r>
      <w:r w:rsidRPr="00E22B11">
        <w:rPr>
          <w:rFonts w:ascii="Arial" w:hAnsi="Arial" w:cs="Arial"/>
          <w:color w:val="000000"/>
          <w:shd w:val="clear" w:color="auto" w:fill="FFFFFF"/>
        </w:rPr>
        <w:t>C in a humidified incubator with 5% CO</w:t>
      </w:r>
      <w:r w:rsidRPr="00C01F77">
        <w:rPr>
          <w:rFonts w:ascii="Arial" w:hAnsi="Arial" w:cs="Arial"/>
          <w:color w:val="000000"/>
          <w:shd w:val="clear" w:color="auto" w:fill="FFFFFF"/>
          <w:vertAlign w:val="subscript"/>
        </w:rPr>
        <w:t>2</w:t>
      </w:r>
      <w:r w:rsidRPr="00E22B11">
        <w:rPr>
          <w:rFonts w:ascii="Arial" w:hAnsi="Arial" w:cs="Arial"/>
          <w:color w:val="000000"/>
          <w:shd w:val="clear" w:color="auto" w:fill="FFFFFF"/>
        </w:rPr>
        <w:t>.</w:t>
      </w:r>
      <w:r>
        <w:rPr>
          <w:rFonts w:ascii="Arial" w:hAnsi="Arial" w:cs="Arial"/>
        </w:rPr>
        <w:t xml:space="preserve"> </w:t>
      </w:r>
      <w:r w:rsidRPr="00E22B11">
        <w:rPr>
          <w:rFonts w:ascii="Arial" w:hAnsi="Arial" w:cs="Arial"/>
        </w:rPr>
        <w:t>To test the allelic differences in transcriptional activity, we designed PCR primers (</w:t>
      </w:r>
      <w:r w:rsidRPr="00C01F77">
        <w:rPr>
          <w:rFonts w:ascii="Arial" w:hAnsi="Arial" w:cs="Arial"/>
          <w:b/>
          <w:bCs/>
        </w:rPr>
        <w:t>Table S3</w:t>
      </w:r>
      <w:r w:rsidRPr="00E22B11">
        <w:rPr>
          <w:rFonts w:ascii="Arial" w:hAnsi="Arial" w:cs="Arial"/>
        </w:rPr>
        <w:t xml:space="preserve">) to amplify DNA fragments </w:t>
      </w:r>
      <w:r>
        <w:rPr>
          <w:rFonts w:ascii="Arial" w:hAnsi="Arial" w:cs="Arial"/>
        </w:rPr>
        <w:t>spanning</w:t>
      </w:r>
      <w:r w:rsidRPr="00E22B11">
        <w:rPr>
          <w:rFonts w:ascii="Arial" w:hAnsi="Arial" w:cs="Arial"/>
        </w:rPr>
        <w:t xml:space="preserve"> rs981625 (406 bp) or </w:t>
      </w:r>
      <w:r>
        <w:rPr>
          <w:rFonts w:ascii="Arial" w:hAnsi="Arial" w:cs="Arial"/>
        </w:rPr>
        <w:t xml:space="preserve">a </w:t>
      </w:r>
      <w:r w:rsidRPr="00E22B11">
        <w:rPr>
          <w:rFonts w:ascii="Arial" w:hAnsi="Arial" w:cs="Arial"/>
          <w:bCs/>
        </w:rPr>
        <w:t>3</w:t>
      </w:r>
      <w:r>
        <w:rPr>
          <w:rFonts w:ascii="Arial" w:hAnsi="Arial" w:cs="Arial"/>
          <w:bCs/>
        </w:rPr>
        <w:t>-variant</w:t>
      </w:r>
      <w:r w:rsidRPr="00E22B11">
        <w:rPr>
          <w:rFonts w:ascii="Arial" w:hAnsi="Arial" w:cs="Arial"/>
          <w:bCs/>
        </w:rPr>
        <w:t xml:space="preserve"> </w:t>
      </w:r>
      <w:r>
        <w:rPr>
          <w:rFonts w:ascii="Arial" w:hAnsi="Arial" w:cs="Arial"/>
          <w:bCs/>
        </w:rPr>
        <w:t>h</w:t>
      </w:r>
      <w:r w:rsidRPr="00E22B11">
        <w:rPr>
          <w:rFonts w:ascii="Arial" w:hAnsi="Arial" w:cs="Arial"/>
          <w:bCs/>
        </w:rPr>
        <w:t>aplotype</w:t>
      </w:r>
      <w:r>
        <w:rPr>
          <w:rFonts w:ascii="Arial" w:hAnsi="Arial" w:cs="Arial"/>
          <w:bCs/>
        </w:rPr>
        <w:t xml:space="preserve"> of</w:t>
      </w:r>
      <w:r w:rsidRPr="00E22B11">
        <w:rPr>
          <w:rFonts w:ascii="Arial" w:hAnsi="Arial" w:cs="Arial"/>
          <w:bCs/>
        </w:rPr>
        <w:t xml:space="preserve"> </w:t>
      </w:r>
      <w:r w:rsidRPr="00E22B11">
        <w:rPr>
          <w:rFonts w:ascii="Arial" w:hAnsi="Arial" w:cs="Arial"/>
        </w:rPr>
        <w:t>rs17226067</w:t>
      </w:r>
      <w:r>
        <w:rPr>
          <w:rFonts w:ascii="Arial" w:hAnsi="Arial" w:cs="Arial"/>
        </w:rPr>
        <w:t>,</w:t>
      </w:r>
      <w:r w:rsidRPr="00E22B11">
        <w:rPr>
          <w:rFonts w:ascii="Arial" w:hAnsi="Arial" w:cs="Arial"/>
        </w:rPr>
        <w:t xml:space="preserve"> rs17825774</w:t>
      </w:r>
      <w:r>
        <w:rPr>
          <w:rFonts w:ascii="Arial" w:hAnsi="Arial" w:cs="Arial"/>
        </w:rPr>
        <w:t>, and</w:t>
      </w:r>
      <w:r w:rsidRPr="00E22B11">
        <w:rPr>
          <w:rFonts w:ascii="Arial" w:hAnsi="Arial" w:cs="Arial"/>
        </w:rPr>
        <w:t xml:space="preserve"> rs17825799</w:t>
      </w:r>
      <w:r>
        <w:rPr>
          <w:rFonts w:ascii="Arial" w:hAnsi="Arial" w:cs="Arial"/>
        </w:rPr>
        <w:t xml:space="preserve"> (</w:t>
      </w:r>
      <w:r w:rsidRPr="00E22B11">
        <w:rPr>
          <w:rFonts w:ascii="Arial" w:hAnsi="Arial" w:cs="Arial"/>
        </w:rPr>
        <w:t>375 bp). We generated PCR products for both alleles</w:t>
      </w:r>
      <w:r>
        <w:rPr>
          <w:rFonts w:ascii="Arial" w:hAnsi="Arial" w:cs="Arial"/>
        </w:rPr>
        <w:t xml:space="preserve"> or haplotypes</w:t>
      </w:r>
      <w:r w:rsidRPr="00E22B11">
        <w:rPr>
          <w:rFonts w:ascii="Arial" w:hAnsi="Arial" w:cs="Arial"/>
        </w:rPr>
        <w:t xml:space="preserve"> and cloned them into luciferase reporter vector pGL4.23 (Promega)</w:t>
      </w:r>
      <w:r>
        <w:rPr>
          <w:rFonts w:ascii="Arial" w:hAnsi="Arial" w:cs="Arial"/>
        </w:rPr>
        <w:t>, which</w:t>
      </w:r>
      <w:r w:rsidRPr="00E22B11">
        <w:rPr>
          <w:rFonts w:ascii="Arial" w:hAnsi="Arial" w:cs="Arial"/>
        </w:rPr>
        <w:t xml:space="preserve"> </w:t>
      </w:r>
      <w:r>
        <w:rPr>
          <w:rFonts w:ascii="Arial" w:hAnsi="Arial" w:cs="Arial"/>
        </w:rPr>
        <w:t xml:space="preserve">contains a minimal promoter, </w:t>
      </w:r>
      <w:r w:rsidRPr="00E22B11">
        <w:rPr>
          <w:rFonts w:ascii="Arial" w:hAnsi="Arial" w:cs="Arial"/>
        </w:rPr>
        <w:t xml:space="preserve">in forward and reverse orientations with respect to the genome. The day before transfection, we plated 110,000 </w:t>
      </w:r>
      <w:proofErr w:type="spellStart"/>
      <w:r w:rsidRPr="00E22B11">
        <w:rPr>
          <w:rFonts w:ascii="Arial" w:hAnsi="Arial" w:cs="Arial"/>
        </w:rPr>
        <w:t>HaCaT</w:t>
      </w:r>
      <w:proofErr w:type="spellEnd"/>
      <w:r w:rsidRPr="00E22B11">
        <w:rPr>
          <w:rFonts w:ascii="Arial" w:hAnsi="Arial" w:cs="Arial"/>
        </w:rPr>
        <w:t xml:space="preserve"> cells per well in 24</w:t>
      </w:r>
      <w:r>
        <w:rPr>
          <w:rFonts w:ascii="Arial" w:hAnsi="Arial" w:cs="Arial"/>
        </w:rPr>
        <w:t>-</w:t>
      </w:r>
      <w:r w:rsidRPr="00E22B11">
        <w:rPr>
          <w:rFonts w:ascii="Arial" w:hAnsi="Arial" w:cs="Arial"/>
        </w:rPr>
        <w:t xml:space="preserve">well plates and co-transfected three to five sequence-verified luciferase reporter constructs </w:t>
      </w:r>
      <w:r>
        <w:rPr>
          <w:rFonts w:ascii="Arial" w:hAnsi="Arial" w:cs="Arial"/>
        </w:rPr>
        <w:t>with</w:t>
      </w:r>
      <w:r w:rsidRPr="00E22B11">
        <w:rPr>
          <w:rFonts w:ascii="Arial" w:hAnsi="Arial" w:cs="Arial"/>
        </w:rPr>
        <w:t xml:space="preserve"> </w:t>
      </w:r>
      <w:proofErr w:type="spellStart"/>
      <w:r w:rsidRPr="00E22B11">
        <w:rPr>
          <w:rFonts w:ascii="Arial" w:hAnsi="Arial" w:cs="Arial"/>
        </w:rPr>
        <w:t>phRL</w:t>
      </w:r>
      <w:proofErr w:type="spellEnd"/>
      <w:r w:rsidRPr="00E22B11">
        <w:rPr>
          <w:rFonts w:ascii="Arial" w:hAnsi="Arial" w:cs="Arial"/>
        </w:rPr>
        <w:t xml:space="preserve">-TK </w:t>
      </w:r>
      <w:proofErr w:type="spellStart"/>
      <w:r w:rsidRPr="00E22B11">
        <w:rPr>
          <w:rFonts w:ascii="Arial" w:hAnsi="Arial" w:cs="Arial"/>
        </w:rPr>
        <w:t>Renilla</w:t>
      </w:r>
      <w:proofErr w:type="spellEnd"/>
      <w:r w:rsidRPr="00E22B11">
        <w:rPr>
          <w:rFonts w:ascii="Arial" w:hAnsi="Arial" w:cs="Arial"/>
        </w:rPr>
        <w:t xml:space="preserve"> reporter vector (Promega) in duplicate wells using lipofectamine 3000 (Life Technologies) following the manufacture</w:t>
      </w:r>
      <w:r>
        <w:rPr>
          <w:rFonts w:ascii="Arial" w:hAnsi="Arial" w:cs="Arial"/>
        </w:rPr>
        <w:t>r</w:t>
      </w:r>
      <w:r w:rsidRPr="00E22B11">
        <w:rPr>
          <w:rFonts w:ascii="Arial" w:hAnsi="Arial" w:cs="Arial"/>
        </w:rPr>
        <w:t xml:space="preserve">’s protocol. Luciferase and </w:t>
      </w:r>
      <w:proofErr w:type="spellStart"/>
      <w:r w:rsidRPr="00E22B11">
        <w:rPr>
          <w:rFonts w:ascii="Arial" w:hAnsi="Arial" w:cs="Arial"/>
        </w:rPr>
        <w:t>Renilla</w:t>
      </w:r>
      <w:proofErr w:type="spellEnd"/>
      <w:r w:rsidRPr="00E22B11">
        <w:rPr>
          <w:rFonts w:ascii="Arial" w:hAnsi="Arial" w:cs="Arial"/>
        </w:rPr>
        <w:t xml:space="preserve"> activity were measured after 48 hours of transfection using </w:t>
      </w:r>
      <w:r>
        <w:rPr>
          <w:rFonts w:ascii="Arial" w:hAnsi="Arial" w:cs="Arial"/>
        </w:rPr>
        <w:t>the d</w:t>
      </w:r>
      <w:r w:rsidRPr="00E22B11">
        <w:rPr>
          <w:rFonts w:ascii="Arial" w:hAnsi="Arial" w:cs="Arial"/>
        </w:rPr>
        <w:t>ual-</w:t>
      </w:r>
      <w:r>
        <w:rPr>
          <w:rFonts w:ascii="Arial" w:hAnsi="Arial" w:cs="Arial"/>
        </w:rPr>
        <w:t>l</w:t>
      </w:r>
      <w:r w:rsidRPr="00E22B11">
        <w:rPr>
          <w:rFonts w:ascii="Arial" w:hAnsi="Arial" w:cs="Arial"/>
        </w:rPr>
        <w:t xml:space="preserve">uciferase </w:t>
      </w:r>
      <w:r>
        <w:rPr>
          <w:rFonts w:ascii="Arial" w:hAnsi="Arial" w:cs="Arial"/>
        </w:rPr>
        <w:t>r</w:t>
      </w:r>
      <w:r w:rsidRPr="00E22B11">
        <w:rPr>
          <w:rFonts w:ascii="Arial" w:hAnsi="Arial" w:cs="Arial"/>
        </w:rPr>
        <w:t xml:space="preserve">eporter assay system. We normalized luciferase to </w:t>
      </w:r>
      <w:proofErr w:type="spellStart"/>
      <w:r w:rsidRPr="00E22B11">
        <w:rPr>
          <w:rFonts w:ascii="Arial" w:hAnsi="Arial" w:cs="Arial"/>
        </w:rPr>
        <w:t>Renilla</w:t>
      </w:r>
      <w:proofErr w:type="spellEnd"/>
      <w:r w:rsidRPr="00E22B11">
        <w:rPr>
          <w:rFonts w:ascii="Arial" w:hAnsi="Arial" w:cs="Arial"/>
        </w:rPr>
        <w:t xml:space="preserve"> activity, calculated fold</w:t>
      </w:r>
      <w:r>
        <w:rPr>
          <w:rFonts w:ascii="Arial" w:hAnsi="Arial" w:cs="Arial"/>
        </w:rPr>
        <w:t>-</w:t>
      </w:r>
      <w:r w:rsidRPr="00E22B11">
        <w:rPr>
          <w:rFonts w:ascii="Arial" w:hAnsi="Arial" w:cs="Arial"/>
        </w:rPr>
        <w:t>change in luciferase activity relative to an empty vector</w:t>
      </w:r>
      <w:r>
        <w:rPr>
          <w:rFonts w:ascii="Arial" w:hAnsi="Arial" w:cs="Arial"/>
        </w:rPr>
        <w:t xml:space="preserve"> and</w:t>
      </w:r>
      <w:r w:rsidRPr="00E22B11">
        <w:rPr>
          <w:rFonts w:ascii="Arial" w:hAnsi="Arial" w:cs="Arial"/>
        </w:rPr>
        <w:t xml:space="preserve"> tested for differences in activity </w:t>
      </w:r>
      <w:r>
        <w:rPr>
          <w:rFonts w:ascii="Arial" w:hAnsi="Arial" w:cs="Arial"/>
        </w:rPr>
        <w:t xml:space="preserve">between alleles </w:t>
      </w:r>
      <w:r w:rsidRPr="00E22B11">
        <w:rPr>
          <w:rFonts w:ascii="Arial" w:hAnsi="Arial" w:cs="Arial"/>
        </w:rPr>
        <w:t>using two-tailed Student’s t</w:t>
      </w:r>
      <w:r>
        <w:rPr>
          <w:rFonts w:ascii="Arial" w:hAnsi="Arial" w:cs="Arial"/>
        </w:rPr>
        <w:t>-</w:t>
      </w:r>
      <w:r w:rsidRPr="00E22B11">
        <w:rPr>
          <w:rFonts w:ascii="Arial" w:hAnsi="Arial" w:cs="Arial"/>
        </w:rPr>
        <w:t xml:space="preserve">tests. All experiments were </w:t>
      </w:r>
      <w:r>
        <w:rPr>
          <w:rFonts w:ascii="Arial" w:hAnsi="Arial" w:cs="Arial"/>
        </w:rPr>
        <w:t>repeated</w:t>
      </w:r>
      <w:r w:rsidRPr="00E22B11">
        <w:rPr>
          <w:rFonts w:ascii="Arial" w:hAnsi="Arial" w:cs="Arial"/>
        </w:rPr>
        <w:t xml:space="preserve"> a second independent day and yielded comparable results. </w:t>
      </w:r>
    </w:p>
    <w:p w14:paraId="1A70B547" w14:textId="77777777" w:rsidR="00A903A8" w:rsidRDefault="00A903A8">
      <w:pPr>
        <w:rPr>
          <w:rFonts w:ascii="Arial" w:hAnsi="Arial" w:cs="Arial"/>
        </w:rPr>
      </w:pPr>
      <w:r>
        <w:rPr>
          <w:rFonts w:ascii="Arial" w:hAnsi="Arial" w:cs="Arial"/>
        </w:rPr>
        <w:br w:type="page"/>
      </w:r>
    </w:p>
    <w:p w14:paraId="70E88857" w14:textId="22B3B134" w:rsidR="00026B72" w:rsidRPr="00627AEF" w:rsidRDefault="000E3B42" w:rsidP="00627AEF">
      <w:pPr>
        <w:contextualSpacing/>
        <w:rPr>
          <w:rFonts w:ascii="Arial" w:hAnsi="Arial" w:cs="Arial"/>
          <w:b/>
          <w:bCs/>
        </w:rPr>
      </w:pPr>
      <w:r w:rsidRPr="00627AEF">
        <w:rPr>
          <w:rFonts w:ascii="Arial" w:hAnsi="Arial" w:cs="Arial"/>
          <w:b/>
          <w:bCs/>
        </w:rPr>
        <w:lastRenderedPageBreak/>
        <w:t>References</w:t>
      </w:r>
    </w:p>
    <w:p w14:paraId="72E945C6" w14:textId="77777777" w:rsidR="00090528" w:rsidRPr="00DD2D9D" w:rsidRDefault="00A903A8" w:rsidP="00627AEF">
      <w:pPr>
        <w:pStyle w:val="Bibliography"/>
        <w:spacing w:line="240" w:lineRule="auto"/>
        <w:contextualSpacing/>
        <w:rPr>
          <w:rFonts w:ascii="Arial" w:eastAsiaTheme="minorHAnsi" w:hAnsi="Arial" w:cs="Arial"/>
        </w:rPr>
      </w:pPr>
      <w:r w:rsidRPr="00DD2D9D">
        <w:rPr>
          <w:rFonts w:ascii="Arial" w:hAnsi="Arial" w:cs="Arial"/>
        </w:rPr>
        <w:fldChar w:fldCharType="begin"/>
      </w:r>
      <w:r w:rsidRPr="00DD2D9D">
        <w:rPr>
          <w:rFonts w:ascii="Arial" w:hAnsi="Arial" w:cs="Arial"/>
        </w:rPr>
        <w:instrText xml:space="preserve"> ADDIN ZOTERO_BIBL {"uncited":[],"omitted":[],"custom":[]} CSL_BIBLIOGRAPHY </w:instrText>
      </w:r>
      <w:r w:rsidRPr="00DD2D9D">
        <w:rPr>
          <w:rFonts w:ascii="Arial" w:hAnsi="Arial" w:cs="Arial"/>
        </w:rPr>
        <w:fldChar w:fldCharType="separate"/>
      </w:r>
      <w:r w:rsidR="00090528" w:rsidRPr="00DD2D9D">
        <w:rPr>
          <w:rFonts w:ascii="Arial" w:eastAsiaTheme="minorHAnsi" w:hAnsi="Arial" w:cs="Arial"/>
        </w:rPr>
        <w:t>1.</w:t>
      </w:r>
      <w:r w:rsidR="00090528" w:rsidRPr="00DD2D9D">
        <w:rPr>
          <w:rFonts w:ascii="Arial" w:eastAsiaTheme="minorHAnsi" w:hAnsi="Arial" w:cs="Arial"/>
        </w:rPr>
        <w:tab/>
        <w:t xml:space="preserve">Sun, Q. </w:t>
      </w:r>
      <w:r w:rsidR="00090528" w:rsidRPr="00DD2D9D">
        <w:rPr>
          <w:rFonts w:ascii="Arial" w:eastAsiaTheme="minorHAnsi" w:hAnsi="Arial" w:cs="Arial"/>
          <w:i/>
          <w:iCs/>
        </w:rPr>
        <w:t>et al.</w:t>
      </w:r>
      <w:r w:rsidR="00090528" w:rsidRPr="00DD2D9D">
        <w:rPr>
          <w:rFonts w:ascii="Arial" w:eastAsiaTheme="minorHAnsi" w:hAnsi="Arial" w:cs="Arial"/>
        </w:rPr>
        <w:t xml:space="preserve"> Genetic Variants Associated </w:t>
      </w:r>
      <w:proofErr w:type="gramStart"/>
      <w:r w:rsidR="00090528" w:rsidRPr="00DD2D9D">
        <w:rPr>
          <w:rFonts w:ascii="Arial" w:eastAsiaTheme="minorHAnsi" w:hAnsi="Arial" w:cs="Arial"/>
        </w:rPr>
        <w:t>With</w:t>
      </w:r>
      <w:proofErr w:type="gramEnd"/>
      <w:r w:rsidR="00090528" w:rsidRPr="00DD2D9D">
        <w:rPr>
          <w:rFonts w:ascii="Arial" w:eastAsiaTheme="minorHAnsi" w:hAnsi="Arial" w:cs="Arial"/>
        </w:rPr>
        <w:t xml:space="preserve"> Hidradenitis Suppurativa. </w:t>
      </w:r>
      <w:r w:rsidR="00090528" w:rsidRPr="00DD2D9D">
        <w:rPr>
          <w:rFonts w:ascii="Arial" w:eastAsiaTheme="minorHAnsi" w:hAnsi="Arial" w:cs="Arial"/>
          <w:i/>
          <w:iCs/>
        </w:rPr>
        <w:t>JAMA Dermatol</w:t>
      </w:r>
      <w:r w:rsidR="00090528" w:rsidRPr="00DD2D9D">
        <w:rPr>
          <w:rFonts w:ascii="Arial" w:eastAsiaTheme="minorHAnsi" w:hAnsi="Arial" w:cs="Arial"/>
        </w:rPr>
        <w:t xml:space="preserve"> </w:t>
      </w:r>
      <w:r w:rsidR="00090528" w:rsidRPr="00DD2D9D">
        <w:rPr>
          <w:rFonts w:ascii="Arial" w:eastAsiaTheme="minorHAnsi" w:hAnsi="Arial" w:cs="Arial"/>
          <w:b/>
          <w:bCs/>
        </w:rPr>
        <w:t>159</w:t>
      </w:r>
      <w:r w:rsidR="00090528" w:rsidRPr="00DD2D9D">
        <w:rPr>
          <w:rFonts w:ascii="Arial" w:eastAsiaTheme="minorHAnsi" w:hAnsi="Arial" w:cs="Arial"/>
        </w:rPr>
        <w:t>, 930–938 (2023).</w:t>
      </w:r>
    </w:p>
    <w:p w14:paraId="7A26BDBA" w14:textId="77777777" w:rsidR="00090528" w:rsidRPr="00DD2D9D" w:rsidRDefault="00090528" w:rsidP="00627AEF">
      <w:pPr>
        <w:pStyle w:val="Bibliography"/>
        <w:spacing w:line="240" w:lineRule="auto"/>
        <w:contextualSpacing/>
        <w:rPr>
          <w:rFonts w:ascii="Arial" w:eastAsiaTheme="minorHAnsi" w:hAnsi="Arial" w:cs="Arial"/>
        </w:rPr>
      </w:pPr>
      <w:r w:rsidRPr="00DD2D9D">
        <w:rPr>
          <w:rFonts w:ascii="Arial" w:eastAsiaTheme="minorHAnsi" w:hAnsi="Arial" w:cs="Arial"/>
        </w:rPr>
        <w:t>2.</w:t>
      </w:r>
      <w:r w:rsidRPr="00DD2D9D">
        <w:rPr>
          <w:rFonts w:ascii="Arial" w:eastAsiaTheme="minorHAnsi" w:hAnsi="Arial" w:cs="Arial"/>
        </w:rPr>
        <w:tab/>
        <w:t xml:space="preserve">Harris, K. M., Halpern, C. T., Smolen, A. &amp; Haberstick, B. C. The National Longitudinal Study of Adolescent Health (Add Health) Twin Data. </w:t>
      </w:r>
      <w:r w:rsidRPr="00DD2D9D">
        <w:rPr>
          <w:rFonts w:ascii="Arial" w:eastAsiaTheme="minorHAnsi" w:hAnsi="Arial" w:cs="Arial"/>
          <w:i/>
          <w:iCs/>
        </w:rPr>
        <w:t>Twin Research and Human Genetics</w:t>
      </w:r>
      <w:r w:rsidRPr="00DD2D9D">
        <w:rPr>
          <w:rFonts w:ascii="Arial" w:eastAsiaTheme="minorHAnsi" w:hAnsi="Arial" w:cs="Arial"/>
        </w:rPr>
        <w:t xml:space="preserve"> </w:t>
      </w:r>
      <w:r w:rsidRPr="00DD2D9D">
        <w:rPr>
          <w:rFonts w:ascii="Arial" w:eastAsiaTheme="minorHAnsi" w:hAnsi="Arial" w:cs="Arial"/>
          <w:b/>
          <w:bCs/>
        </w:rPr>
        <w:t>9</w:t>
      </w:r>
      <w:r w:rsidRPr="00DD2D9D">
        <w:rPr>
          <w:rFonts w:ascii="Arial" w:eastAsiaTheme="minorHAnsi" w:hAnsi="Arial" w:cs="Arial"/>
        </w:rPr>
        <w:t>, 988–997 (2006).</w:t>
      </w:r>
    </w:p>
    <w:p w14:paraId="3B499210" w14:textId="77777777" w:rsidR="00090528" w:rsidRPr="00DD2D9D" w:rsidRDefault="00090528" w:rsidP="00627AEF">
      <w:pPr>
        <w:pStyle w:val="Bibliography"/>
        <w:spacing w:line="240" w:lineRule="auto"/>
        <w:contextualSpacing/>
        <w:rPr>
          <w:rFonts w:ascii="Arial" w:eastAsiaTheme="minorHAnsi" w:hAnsi="Arial" w:cs="Arial"/>
        </w:rPr>
      </w:pPr>
      <w:r w:rsidRPr="00DD2D9D">
        <w:rPr>
          <w:rFonts w:ascii="Arial" w:eastAsiaTheme="minorHAnsi" w:hAnsi="Arial" w:cs="Arial"/>
        </w:rPr>
        <w:t>3.</w:t>
      </w:r>
      <w:r w:rsidRPr="00DD2D9D">
        <w:rPr>
          <w:rFonts w:ascii="Arial" w:eastAsiaTheme="minorHAnsi" w:hAnsi="Arial" w:cs="Arial"/>
        </w:rPr>
        <w:tab/>
        <w:t xml:space="preserve">Harris, K. M. </w:t>
      </w:r>
      <w:r w:rsidRPr="00DD2D9D">
        <w:rPr>
          <w:rFonts w:ascii="Arial" w:eastAsiaTheme="minorHAnsi" w:hAnsi="Arial" w:cs="Arial"/>
          <w:i/>
          <w:iCs/>
        </w:rPr>
        <w:t>et al.</w:t>
      </w:r>
      <w:r w:rsidRPr="00DD2D9D">
        <w:rPr>
          <w:rFonts w:ascii="Arial" w:eastAsiaTheme="minorHAnsi" w:hAnsi="Arial" w:cs="Arial"/>
        </w:rPr>
        <w:t xml:space="preserve"> Cohort Profile: The National Longitudinal Study of Adolescent to Adult Health (Add Health). </w:t>
      </w:r>
      <w:r w:rsidRPr="00DD2D9D">
        <w:rPr>
          <w:rFonts w:ascii="Arial" w:eastAsiaTheme="minorHAnsi" w:hAnsi="Arial" w:cs="Arial"/>
          <w:i/>
          <w:iCs/>
        </w:rPr>
        <w:t>International Journal of Epidemiology</w:t>
      </w:r>
      <w:r w:rsidRPr="00DD2D9D">
        <w:rPr>
          <w:rFonts w:ascii="Arial" w:eastAsiaTheme="minorHAnsi" w:hAnsi="Arial" w:cs="Arial"/>
        </w:rPr>
        <w:t xml:space="preserve"> </w:t>
      </w:r>
      <w:r w:rsidRPr="00DD2D9D">
        <w:rPr>
          <w:rFonts w:ascii="Arial" w:eastAsiaTheme="minorHAnsi" w:hAnsi="Arial" w:cs="Arial"/>
          <w:b/>
          <w:bCs/>
        </w:rPr>
        <w:t>48</w:t>
      </w:r>
      <w:r w:rsidRPr="00DD2D9D">
        <w:rPr>
          <w:rFonts w:ascii="Arial" w:eastAsiaTheme="minorHAnsi" w:hAnsi="Arial" w:cs="Arial"/>
        </w:rPr>
        <w:t>, 1415–1415k (2019).</w:t>
      </w:r>
    </w:p>
    <w:p w14:paraId="107555A5" w14:textId="77777777" w:rsidR="00090528" w:rsidRPr="00DD2D9D" w:rsidRDefault="00090528" w:rsidP="00627AEF">
      <w:pPr>
        <w:pStyle w:val="Bibliography"/>
        <w:spacing w:line="240" w:lineRule="auto"/>
        <w:contextualSpacing/>
        <w:rPr>
          <w:rFonts w:ascii="Arial" w:eastAsiaTheme="minorHAnsi" w:hAnsi="Arial" w:cs="Arial"/>
        </w:rPr>
      </w:pPr>
      <w:r w:rsidRPr="00DD2D9D">
        <w:rPr>
          <w:rFonts w:ascii="Arial" w:eastAsiaTheme="minorHAnsi" w:hAnsi="Arial" w:cs="Arial"/>
        </w:rPr>
        <w:t>4.</w:t>
      </w:r>
      <w:r w:rsidRPr="00DD2D9D">
        <w:rPr>
          <w:rFonts w:ascii="Arial" w:eastAsiaTheme="minorHAnsi" w:hAnsi="Arial" w:cs="Arial"/>
        </w:rPr>
        <w:tab/>
        <w:t xml:space="preserve">Taliun, D. </w:t>
      </w:r>
      <w:r w:rsidRPr="00DD2D9D">
        <w:rPr>
          <w:rFonts w:ascii="Arial" w:eastAsiaTheme="minorHAnsi" w:hAnsi="Arial" w:cs="Arial"/>
          <w:i/>
          <w:iCs/>
        </w:rPr>
        <w:t>et al.</w:t>
      </w:r>
      <w:r w:rsidRPr="00DD2D9D">
        <w:rPr>
          <w:rFonts w:ascii="Arial" w:eastAsiaTheme="minorHAnsi" w:hAnsi="Arial" w:cs="Arial"/>
        </w:rPr>
        <w:t xml:space="preserve"> Sequencing of 53,831 diverse genomes from the NHLBI TOPMed Program. </w:t>
      </w:r>
      <w:r w:rsidRPr="00DD2D9D">
        <w:rPr>
          <w:rFonts w:ascii="Arial" w:eastAsiaTheme="minorHAnsi" w:hAnsi="Arial" w:cs="Arial"/>
          <w:i/>
          <w:iCs/>
        </w:rPr>
        <w:t>Nature</w:t>
      </w:r>
      <w:r w:rsidRPr="00DD2D9D">
        <w:rPr>
          <w:rFonts w:ascii="Arial" w:eastAsiaTheme="minorHAnsi" w:hAnsi="Arial" w:cs="Arial"/>
        </w:rPr>
        <w:t xml:space="preserve"> </w:t>
      </w:r>
      <w:r w:rsidRPr="00DD2D9D">
        <w:rPr>
          <w:rFonts w:ascii="Arial" w:eastAsiaTheme="minorHAnsi" w:hAnsi="Arial" w:cs="Arial"/>
          <w:b/>
          <w:bCs/>
        </w:rPr>
        <w:t>590</w:t>
      </w:r>
      <w:r w:rsidRPr="00DD2D9D">
        <w:rPr>
          <w:rFonts w:ascii="Arial" w:eastAsiaTheme="minorHAnsi" w:hAnsi="Arial" w:cs="Arial"/>
        </w:rPr>
        <w:t>, 290–299 (2021).</w:t>
      </w:r>
    </w:p>
    <w:p w14:paraId="006348A7" w14:textId="77777777" w:rsidR="00090528" w:rsidRPr="00DD2D9D" w:rsidRDefault="00090528" w:rsidP="00627AEF">
      <w:pPr>
        <w:pStyle w:val="Bibliography"/>
        <w:spacing w:line="240" w:lineRule="auto"/>
        <w:contextualSpacing/>
        <w:rPr>
          <w:rFonts w:ascii="Arial" w:eastAsiaTheme="minorHAnsi" w:hAnsi="Arial" w:cs="Arial"/>
        </w:rPr>
      </w:pPr>
      <w:r w:rsidRPr="00DD2D9D">
        <w:rPr>
          <w:rFonts w:ascii="Arial" w:eastAsiaTheme="minorHAnsi" w:hAnsi="Arial" w:cs="Arial"/>
        </w:rPr>
        <w:t>5.</w:t>
      </w:r>
      <w:r w:rsidRPr="00DD2D9D">
        <w:rPr>
          <w:rFonts w:ascii="Arial" w:eastAsiaTheme="minorHAnsi" w:hAnsi="Arial" w:cs="Arial"/>
        </w:rPr>
        <w:tab/>
        <w:t xml:space="preserve">Fuchsberger, C., Abecasis, G. R. &amp; Hinds, D. A. minimac2: faster genotype imputation. </w:t>
      </w:r>
      <w:r w:rsidRPr="00DD2D9D">
        <w:rPr>
          <w:rFonts w:ascii="Arial" w:eastAsiaTheme="minorHAnsi" w:hAnsi="Arial" w:cs="Arial"/>
          <w:i/>
          <w:iCs/>
        </w:rPr>
        <w:t>Bioinformatics</w:t>
      </w:r>
      <w:r w:rsidRPr="00DD2D9D">
        <w:rPr>
          <w:rFonts w:ascii="Arial" w:eastAsiaTheme="minorHAnsi" w:hAnsi="Arial" w:cs="Arial"/>
        </w:rPr>
        <w:t xml:space="preserve"> </w:t>
      </w:r>
      <w:r w:rsidRPr="00DD2D9D">
        <w:rPr>
          <w:rFonts w:ascii="Arial" w:eastAsiaTheme="minorHAnsi" w:hAnsi="Arial" w:cs="Arial"/>
          <w:b/>
          <w:bCs/>
        </w:rPr>
        <w:t>31</w:t>
      </w:r>
      <w:r w:rsidRPr="00DD2D9D">
        <w:rPr>
          <w:rFonts w:ascii="Arial" w:eastAsiaTheme="minorHAnsi" w:hAnsi="Arial" w:cs="Arial"/>
        </w:rPr>
        <w:t>, 782–784 (2015).</w:t>
      </w:r>
    </w:p>
    <w:p w14:paraId="7BE6DA7F" w14:textId="77777777" w:rsidR="00090528" w:rsidRPr="00DD2D9D" w:rsidRDefault="00090528" w:rsidP="00627AEF">
      <w:pPr>
        <w:pStyle w:val="Bibliography"/>
        <w:spacing w:line="240" w:lineRule="auto"/>
        <w:contextualSpacing/>
        <w:rPr>
          <w:rFonts w:ascii="Arial" w:eastAsiaTheme="minorHAnsi" w:hAnsi="Arial" w:cs="Arial"/>
        </w:rPr>
      </w:pPr>
      <w:r w:rsidRPr="00DD2D9D">
        <w:rPr>
          <w:rFonts w:ascii="Arial" w:eastAsiaTheme="minorHAnsi" w:hAnsi="Arial" w:cs="Arial"/>
        </w:rPr>
        <w:t>6.</w:t>
      </w:r>
      <w:r w:rsidRPr="00DD2D9D">
        <w:rPr>
          <w:rFonts w:ascii="Arial" w:eastAsiaTheme="minorHAnsi" w:hAnsi="Arial" w:cs="Arial"/>
        </w:rPr>
        <w:tab/>
        <w:t xml:space="preserve">Das, S. </w:t>
      </w:r>
      <w:r w:rsidRPr="00DD2D9D">
        <w:rPr>
          <w:rFonts w:ascii="Arial" w:eastAsiaTheme="minorHAnsi" w:hAnsi="Arial" w:cs="Arial"/>
          <w:i/>
          <w:iCs/>
        </w:rPr>
        <w:t>et al.</w:t>
      </w:r>
      <w:r w:rsidRPr="00DD2D9D">
        <w:rPr>
          <w:rFonts w:ascii="Arial" w:eastAsiaTheme="minorHAnsi" w:hAnsi="Arial" w:cs="Arial"/>
        </w:rPr>
        <w:t xml:space="preserve"> Next-generation genotype imputation service and methods. </w:t>
      </w:r>
      <w:r w:rsidRPr="00DD2D9D">
        <w:rPr>
          <w:rFonts w:ascii="Arial" w:eastAsiaTheme="minorHAnsi" w:hAnsi="Arial" w:cs="Arial"/>
          <w:i/>
          <w:iCs/>
        </w:rPr>
        <w:t>Nat Genet</w:t>
      </w:r>
      <w:r w:rsidRPr="00DD2D9D">
        <w:rPr>
          <w:rFonts w:ascii="Arial" w:eastAsiaTheme="minorHAnsi" w:hAnsi="Arial" w:cs="Arial"/>
        </w:rPr>
        <w:t xml:space="preserve"> </w:t>
      </w:r>
      <w:r w:rsidRPr="00DD2D9D">
        <w:rPr>
          <w:rFonts w:ascii="Arial" w:eastAsiaTheme="minorHAnsi" w:hAnsi="Arial" w:cs="Arial"/>
          <w:b/>
          <w:bCs/>
        </w:rPr>
        <w:t>48</w:t>
      </w:r>
      <w:r w:rsidRPr="00DD2D9D">
        <w:rPr>
          <w:rFonts w:ascii="Arial" w:eastAsiaTheme="minorHAnsi" w:hAnsi="Arial" w:cs="Arial"/>
        </w:rPr>
        <w:t>, 1284–1287 (2016).</w:t>
      </w:r>
    </w:p>
    <w:p w14:paraId="6259444E" w14:textId="77777777" w:rsidR="00090528" w:rsidRPr="00DD2D9D" w:rsidRDefault="00090528" w:rsidP="00627AEF">
      <w:pPr>
        <w:pStyle w:val="Bibliography"/>
        <w:spacing w:line="240" w:lineRule="auto"/>
        <w:contextualSpacing/>
        <w:rPr>
          <w:rFonts w:ascii="Arial" w:eastAsiaTheme="minorHAnsi" w:hAnsi="Arial" w:cs="Arial"/>
        </w:rPr>
      </w:pPr>
      <w:r w:rsidRPr="00DD2D9D">
        <w:rPr>
          <w:rFonts w:ascii="Arial" w:eastAsiaTheme="minorHAnsi" w:hAnsi="Arial" w:cs="Arial"/>
        </w:rPr>
        <w:t>7.</w:t>
      </w:r>
      <w:r w:rsidRPr="00DD2D9D">
        <w:rPr>
          <w:rFonts w:ascii="Arial" w:eastAsiaTheme="minorHAnsi" w:hAnsi="Arial" w:cs="Arial"/>
        </w:rPr>
        <w:tab/>
        <w:t xml:space="preserve">Hinrichs, A. S. </w:t>
      </w:r>
      <w:r w:rsidRPr="00DD2D9D">
        <w:rPr>
          <w:rFonts w:ascii="Arial" w:eastAsiaTheme="minorHAnsi" w:hAnsi="Arial" w:cs="Arial"/>
          <w:i/>
          <w:iCs/>
        </w:rPr>
        <w:t>et al.</w:t>
      </w:r>
      <w:r w:rsidRPr="00DD2D9D">
        <w:rPr>
          <w:rFonts w:ascii="Arial" w:eastAsiaTheme="minorHAnsi" w:hAnsi="Arial" w:cs="Arial"/>
        </w:rPr>
        <w:t xml:space="preserve"> The UCSC Genome Browser Database: update 2006. </w:t>
      </w:r>
      <w:r w:rsidRPr="00DD2D9D">
        <w:rPr>
          <w:rFonts w:ascii="Arial" w:eastAsiaTheme="minorHAnsi" w:hAnsi="Arial" w:cs="Arial"/>
          <w:i/>
          <w:iCs/>
        </w:rPr>
        <w:t>Nucleic Acids Res</w:t>
      </w:r>
      <w:r w:rsidRPr="00DD2D9D">
        <w:rPr>
          <w:rFonts w:ascii="Arial" w:eastAsiaTheme="minorHAnsi" w:hAnsi="Arial" w:cs="Arial"/>
        </w:rPr>
        <w:t xml:space="preserve"> </w:t>
      </w:r>
      <w:r w:rsidRPr="00DD2D9D">
        <w:rPr>
          <w:rFonts w:ascii="Arial" w:eastAsiaTheme="minorHAnsi" w:hAnsi="Arial" w:cs="Arial"/>
          <w:b/>
          <w:bCs/>
        </w:rPr>
        <w:t>34</w:t>
      </w:r>
      <w:r w:rsidRPr="00DD2D9D">
        <w:rPr>
          <w:rFonts w:ascii="Arial" w:eastAsiaTheme="minorHAnsi" w:hAnsi="Arial" w:cs="Arial"/>
        </w:rPr>
        <w:t>, D590-598 (2006).</w:t>
      </w:r>
    </w:p>
    <w:p w14:paraId="159E4A77" w14:textId="77777777" w:rsidR="00090528" w:rsidRPr="00DD2D9D" w:rsidRDefault="00090528" w:rsidP="00627AEF">
      <w:pPr>
        <w:pStyle w:val="Bibliography"/>
        <w:spacing w:line="240" w:lineRule="auto"/>
        <w:contextualSpacing/>
        <w:rPr>
          <w:rFonts w:ascii="Arial" w:eastAsiaTheme="minorHAnsi" w:hAnsi="Arial" w:cs="Arial"/>
        </w:rPr>
      </w:pPr>
      <w:r w:rsidRPr="00DD2D9D">
        <w:rPr>
          <w:rFonts w:ascii="Arial" w:eastAsiaTheme="minorHAnsi" w:hAnsi="Arial" w:cs="Arial"/>
        </w:rPr>
        <w:t>8.</w:t>
      </w:r>
      <w:r w:rsidRPr="00DD2D9D">
        <w:rPr>
          <w:rFonts w:ascii="Arial" w:eastAsiaTheme="minorHAnsi" w:hAnsi="Arial" w:cs="Arial"/>
        </w:rPr>
        <w:tab/>
        <w:t>METAL: fast and efficient meta-analysis of genomewide association scans | Bioinformatics | Oxford Academic. https://academic.oup.com/bioinformatics/article/26/17/2190/198154.</w:t>
      </w:r>
    </w:p>
    <w:p w14:paraId="749B80CF" w14:textId="77777777" w:rsidR="00090528" w:rsidRPr="00DD2D9D" w:rsidRDefault="00090528" w:rsidP="00627AEF">
      <w:pPr>
        <w:pStyle w:val="Bibliography"/>
        <w:spacing w:line="240" w:lineRule="auto"/>
        <w:contextualSpacing/>
        <w:rPr>
          <w:rFonts w:ascii="Arial" w:eastAsiaTheme="minorHAnsi" w:hAnsi="Arial" w:cs="Arial"/>
        </w:rPr>
      </w:pPr>
      <w:r w:rsidRPr="00DD2D9D">
        <w:rPr>
          <w:rFonts w:ascii="Arial" w:eastAsiaTheme="minorHAnsi" w:hAnsi="Arial" w:cs="Arial"/>
        </w:rPr>
        <w:t>9.</w:t>
      </w:r>
      <w:r w:rsidRPr="00DD2D9D">
        <w:rPr>
          <w:rFonts w:ascii="Arial" w:eastAsiaTheme="minorHAnsi" w:hAnsi="Arial" w:cs="Arial"/>
        </w:rPr>
        <w:tab/>
        <w:t xml:space="preserve">Yang, J., Lee, S. H., Goddard, M. E. &amp; Visscher, P. M. GCTA: a tool for genome-wide complex trait analysis. </w:t>
      </w:r>
      <w:r w:rsidRPr="00DD2D9D">
        <w:rPr>
          <w:rFonts w:ascii="Arial" w:eastAsiaTheme="minorHAnsi" w:hAnsi="Arial" w:cs="Arial"/>
          <w:i/>
          <w:iCs/>
        </w:rPr>
        <w:t>Am J Hum Genet</w:t>
      </w:r>
      <w:r w:rsidRPr="00DD2D9D">
        <w:rPr>
          <w:rFonts w:ascii="Arial" w:eastAsiaTheme="minorHAnsi" w:hAnsi="Arial" w:cs="Arial"/>
        </w:rPr>
        <w:t xml:space="preserve"> </w:t>
      </w:r>
      <w:r w:rsidRPr="00DD2D9D">
        <w:rPr>
          <w:rFonts w:ascii="Arial" w:eastAsiaTheme="minorHAnsi" w:hAnsi="Arial" w:cs="Arial"/>
          <w:b/>
          <w:bCs/>
        </w:rPr>
        <w:t>88</w:t>
      </w:r>
      <w:r w:rsidRPr="00DD2D9D">
        <w:rPr>
          <w:rFonts w:ascii="Arial" w:eastAsiaTheme="minorHAnsi" w:hAnsi="Arial" w:cs="Arial"/>
        </w:rPr>
        <w:t>, 76–82 (2011).</w:t>
      </w:r>
    </w:p>
    <w:p w14:paraId="0CA96D47" w14:textId="77777777" w:rsidR="00090528" w:rsidRPr="00DD2D9D" w:rsidRDefault="00090528" w:rsidP="00627AEF">
      <w:pPr>
        <w:pStyle w:val="Bibliography"/>
        <w:spacing w:line="240" w:lineRule="auto"/>
        <w:contextualSpacing/>
        <w:rPr>
          <w:rFonts w:ascii="Arial" w:eastAsiaTheme="minorHAnsi" w:hAnsi="Arial" w:cs="Arial"/>
        </w:rPr>
      </w:pPr>
      <w:r w:rsidRPr="00DD2D9D">
        <w:rPr>
          <w:rFonts w:ascii="Arial" w:eastAsiaTheme="minorHAnsi" w:hAnsi="Arial" w:cs="Arial"/>
        </w:rPr>
        <w:t>10.</w:t>
      </w:r>
      <w:r w:rsidRPr="00DD2D9D">
        <w:rPr>
          <w:rFonts w:ascii="Arial" w:eastAsiaTheme="minorHAnsi" w:hAnsi="Arial" w:cs="Arial"/>
        </w:rPr>
        <w:tab/>
        <w:t xml:space="preserve">Yang, J. </w:t>
      </w:r>
      <w:r w:rsidRPr="00DD2D9D">
        <w:rPr>
          <w:rFonts w:ascii="Arial" w:eastAsiaTheme="minorHAnsi" w:hAnsi="Arial" w:cs="Arial"/>
          <w:i/>
          <w:iCs/>
        </w:rPr>
        <w:t>et al.</w:t>
      </w:r>
      <w:r w:rsidRPr="00DD2D9D">
        <w:rPr>
          <w:rFonts w:ascii="Arial" w:eastAsiaTheme="minorHAnsi" w:hAnsi="Arial" w:cs="Arial"/>
        </w:rPr>
        <w:t xml:space="preserve"> Conditional and joint multiple-SNP analysis of GWAS summary statistics identifies additional variants influencing complex traits. </w:t>
      </w:r>
      <w:r w:rsidRPr="00DD2D9D">
        <w:rPr>
          <w:rFonts w:ascii="Arial" w:eastAsiaTheme="minorHAnsi" w:hAnsi="Arial" w:cs="Arial"/>
          <w:i/>
          <w:iCs/>
        </w:rPr>
        <w:t>Nat Genet</w:t>
      </w:r>
      <w:r w:rsidRPr="00DD2D9D">
        <w:rPr>
          <w:rFonts w:ascii="Arial" w:eastAsiaTheme="minorHAnsi" w:hAnsi="Arial" w:cs="Arial"/>
        </w:rPr>
        <w:t xml:space="preserve"> </w:t>
      </w:r>
      <w:r w:rsidRPr="00DD2D9D">
        <w:rPr>
          <w:rFonts w:ascii="Arial" w:eastAsiaTheme="minorHAnsi" w:hAnsi="Arial" w:cs="Arial"/>
          <w:b/>
          <w:bCs/>
        </w:rPr>
        <w:t>44</w:t>
      </w:r>
      <w:r w:rsidRPr="00DD2D9D">
        <w:rPr>
          <w:rFonts w:ascii="Arial" w:eastAsiaTheme="minorHAnsi" w:hAnsi="Arial" w:cs="Arial"/>
        </w:rPr>
        <w:t>, 369–375, S1-3 (2012).</w:t>
      </w:r>
    </w:p>
    <w:p w14:paraId="5AD1FBCE" w14:textId="77777777" w:rsidR="00090528" w:rsidRPr="00DD2D9D" w:rsidRDefault="00090528" w:rsidP="00627AEF">
      <w:pPr>
        <w:pStyle w:val="Bibliography"/>
        <w:spacing w:line="240" w:lineRule="auto"/>
        <w:contextualSpacing/>
        <w:rPr>
          <w:rFonts w:ascii="Arial" w:eastAsiaTheme="minorHAnsi" w:hAnsi="Arial" w:cs="Arial"/>
        </w:rPr>
      </w:pPr>
      <w:r w:rsidRPr="00DD2D9D">
        <w:rPr>
          <w:rFonts w:ascii="Arial" w:eastAsiaTheme="minorHAnsi" w:hAnsi="Arial" w:cs="Arial"/>
        </w:rPr>
        <w:t>11.</w:t>
      </w:r>
      <w:r w:rsidRPr="00DD2D9D">
        <w:rPr>
          <w:rFonts w:ascii="Arial" w:eastAsiaTheme="minorHAnsi" w:hAnsi="Arial" w:cs="Arial"/>
        </w:rPr>
        <w:tab/>
        <w:t xml:space="preserve">Perez, G. </w:t>
      </w:r>
      <w:r w:rsidRPr="00DD2D9D">
        <w:rPr>
          <w:rFonts w:ascii="Arial" w:eastAsiaTheme="minorHAnsi" w:hAnsi="Arial" w:cs="Arial"/>
          <w:i/>
          <w:iCs/>
        </w:rPr>
        <w:t>et al.</w:t>
      </w:r>
      <w:r w:rsidRPr="00DD2D9D">
        <w:rPr>
          <w:rFonts w:ascii="Arial" w:eastAsiaTheme="minorHAnsi" w:hAnsi="Arial" w:cs="Arial"/>
        </w:rPr>
        <w:t xml:space="preserve"> The UCSC Genome Browser database: 2025 update. </w:t>
      </w:r>
      <w:r w:rsidRPr="00DD2D9D">
        <w:rPr>
          <w:rFonts w:ascii="Arial" w:eastAsiaTheme="minorHAnsi" w:hAnsi="Arial" w:cs="Arial"/>
          <w:i/>
          <w:iCs/>
        </w:rPr>
        <w:t>Nucleic Acids Res</w:t>
      </w:r>
      <w:r w:rsidRPr="00DD2D9D">
        <w:rPr>
          <w:rFonts w:ascii="Arial" w:eastAsiaTheme="minorHAnsi" w:hAnsi="Arial" w:cs="Arial"/>
        </w:rPr>
        <w:t xml:space="preserve"> </w:t>
      </w:r>
      <w:r w:rsidRPr="00DD2D9D">
        <w:rPr>
          <w:rFonts w:ascii="Arial" w:eastAsiaTheme="minorHAnsi" w:hAnsi="Arial" w:cs="Arial"/>
          <w:b/>
          <w:bCs/>
        </w:rPr>
        <w:t>53</w:t>
      </w:r>
      <w:r w:rsidRPr="00DD2D9D">
        <w:rPr>
          <w:rFonts w:ascii="Arial" w:eastAsiaTheme="minorHAnsi" w:hAnsi="Arial" w:cs="Arial"/>
        </w:rPr>
        <w:t>, D1243–D1249 (2025).</w:t>
      </w:r>
    </w:p>
    <w:p w14:paraId="44B604D2" w14:textId="77777777" w:rsidR="00090528" w:rsidRPr="00DD2D9D" w:rsidRDefault="00090528" w:rsidP="00627AEF">
      <w:pPr>
        <w:pStyle w:val="Bibliography"/>
        <w:spacing w:line="240" w:lineRule="auto"/>
        <w:contextualSpacing/>
        <w:rPr>
          <w:rFonts w:ascii="Arial" w:eastAsiaTheme="minorHAnsi" w:hAnsi="Arial" w:cs="Arial"/>
        </w:rPr>
      </w:pPr>
      <w:r w:rsidRPr="00DD2D9D">
        <w:rPr>
          <w:rFonts w:ascii="Arial" w:eastAsiaTheme="minorHAnsi" w:hAnsi="Arial" w:cs="Arial"/>
        </w:rPr>
        <w:t>12.</w:t>
      </w:r>
      <w:r w:rsidRPr="00DD2D9D">
        <w:rPr>
          <w:rFonts w:ascii="Arial" w:eastAsiaTheme="minorHAnsi" w:hAnsi="Arial" w:cs="Arial"/>
        </w:rPr>
        <w:tab/>
        <w:t xml:space="preserve">Zou, Y., Carbonetto, P., Wang, G. &amp; Stephens, M. Fine-mapping from summary data with the “Sum of Single Effects” model. </w:t>
      </w:r>
      <w:r w:rsidRPr="00DD2D9D">
        <w:rPr>
          <w:rFonts w:ascii="Arial" w:eastAsiaTheme="minorHAnsi" w:hAnsi="Arial" w:cs="Arial"/>
          <w:i/>
          <w:iCs/>
        </w:rPr>
        <w:t>PLOS Genetics</w:t>
      </w:r>
      <w:r w:rsidRPr="00DD2D9D">
        <w:rPr>
          <w:rFonts w:ascii="Arial" w:eastAsiaTheme="minorHAnsi" w:hAnsi="Arial" w:cs="Arial"/>
        </w:rPr>
        <w:t xml:space="preserve"> </w:t>
      </w:r>
      <w:r w:rsidRPr="00DD2D9D">
        <w:rPr>
          <w:rFonts w:ascii="Arial" w:eastAsiaTheme="minorHAnsi" w:hAnsi="Arial" w:cs="Arial"/>
          <w:b/>
          <w:bCs/>
        </w:rPr>
        <w:t>18</w:t>
      </w:r>
      <w:r w:rsidRPr="00DD2D9D">
        <w:rPr>
          <w:rFonts w:ascii="Arial" w:eastAsiaTheme="minorHAnsi" w:hAnsi="Arial" w:cs="Arial"/>
        </w:rPr>
        <w:t>, e1010299 (2022).</w:t>
      </w:r>
    </w:p>
    <w:p w14:paraId="15E3D737" w14:textId="77777777" w:rsidR="00090528" w:rsidRPr="00DD2D9D" w:rsidRDefault="00090528" w:rsidP="00627AEF">
      <w:pPr>
        <w:pStyle w:val="Bibliography"/>
        <w:spacing w:line="240" w:lineRule="auto"/>
        <w:contextualSpacing/>
        <w:rPr>
          <w:rFonts w:ascii="Arial" w:eastAsiaTheme="minorHAnsi" w:hAnsi="Arial" w:cs="Arial"/>
        </w:rPr>
      </w:pPr>
      <w:r w:rsidRPr="00DD2D9D">
        <w:rPr>
          <w:rFonts w:ascii="Arial" w:eastAsiaTheme="minorHAnsi" w:hAnsi="Arial" w:cs="Arial"/>
        </w:rPr>
        <w:t>13.</w:t>
      </w:r>
      <w:r w:rsidRPr="00DD2D9D">
        <w:rPr>
          <w:rFonts w:ascii="Arial" w:eastAsiaTheme="minorHAnsi" w:hAnsi="Arial" w:cs="Arial"/>
        </w:rPr>
        <w:tab/>
        <w:t xml:space="preserve">Purcell, S. </w:t>
      </w:r>
      <w:r w:rsidRPr="00DD2D9D">
        <w:rPr>
          <w:rFonts w:ascii="Arial" w:eastAsiaTheme="minorHAnsi" w:hAnsi="Arial" w:cs="Arial"/>
          <w:i/>
          <w:iCs/>
        </w:rPr>
        <w:t>et al.</w:t>
      </w:r>
      <w:r w:rsidRPr="00DD2D9D">
        <w:rPr>
          <w:rFonts w:ascii="Arial" w:eastAsiaTheme="minorHAnsi" w:hAnsi="Arial" w:cs="Arial"/>
        </w:rPr>
        <w:t xml:space="preserve"> PLINK: a tool set for whole-genome association and population-based linkage analyses. </w:t>
      </w:r>
      <w:r w:rsidRPr="00DD2D9D">
        <w:rPr>
          <w:rFonts w:ascii="Arial" w:eastAsiaTheme="minorHAnsi" w:hAnsi="Arial" w:cs="Arial"/>
          <w:i/>
          <w:iCs/>
        </w:rPr>
        <w:t>Am J Hum Genet</w:t>
      </w:r>
      <w:r w:rsidRPr="00DD2D9D">
        <w:rPr>
          <w:rFonts w:ascii="Arial" w:eastAsiaTheme="minorHAnsi" w:hAnsi="Arial" w:cs="Arial"/>
        </w:rPr>
        <w:t xml:space="preserve"> </w:t>
      </w:r>
      <w:r w:rsidRPr="00DD2D9D">
        <w:rPr>
          <w:rFonts w:ascii="Arial" w:eastAsiaTheme="minorHAnsi" w:hAnsi="Arial" w:cs="Arial"/>
          <w:b/>
          <w:bCs/>
        </w:rPr>
        <w:t>81</w:t>
      </w:r>
      <w:r w:rsidRPr="00DD2D9D">
        <w:rPr>
          <w:rFonts w:ascii="Arial" w:eastAsiaTheme="minorHAnsi" w:hAnsi="Arial" w:cs="Arial"/>
        </w:rPr>
        <w:t>, 559–575 (2007).</w:t>
      </w:r>
    </w:p>
    <w:p w14:paraId="60C4142C" w14:textId="77777777" w:rsidR="00090528" w:rsidRPr="00DD2D9D" w:rsidRDefault="00090528" w:rsidP="00627AEF">
      <w:pPr>
        <w:pStyle w:val="Bibliography"/>
        <w:spacing w:line="240" w:lineRule="auto"/>
        <w:contextualSpacing/>
        <w:rPr>
          <w:rFonts w:ascii="Arial" w:eastAsiaTheme="minorHAnsi" w:hAnsi="Arial" w:cs="Arial"/>
        </w:rPr>
      </w:pPr>
      <w:r w:rsidRPr="00DD2D9D">
        <w:rPr>
          <w:rFonts w:ascii="Arial" w:eastAsiaTheme="minorHAnsi" w:hAnsi="Arial" w:cs="Arial"/>
        </w:rPr>
        <w:t>14.</w:t>
      </w:r>
      <w:r w:rsidRPr="00DD2D9D">
        <w:rPr>
          <w:rFonts w:ascii="Arial" w:eastAsiaTheme="minorHAnsi" w:hAnsi="Arial" w:cs="Arial"/>
        </w:rPr>
        <w:tab/>
        <w:t xml:space="preserve">Bulik-Sullivan, B. </w:t>
      </w:r>
      <w:r w:rsidRPr="00DD2D9D">
        <w:rPr>
          <w:rFonts w:ascii="Arial" w:eastAsiaTheme="minorHAnsi" w:hAnsi="Arial" w:cs="Arial"/>
          <w:i/>
          <w:iCs/>
        </w:rPr>
        <w:t>et al.</w:t>
      </w:r>
      <w:r w:rsidRPr="00DD2D9D">
        <w:rPr>
          <w:rFonts w:ascii="Arial" w:eastAsiaTheme="minorHAnsi" w:hAnsi="Arial" w:cs="Arial"/>
        </w:rPr>
        <w:t xml:space="preserve"> An atlas of genetic correlations across human diseases and traits. </w:t>
      </w:r>
      <w:r w:rsidRPr="00DD2D9D">
        <w:rPr>
          <w:rFonts w:ascii="Arial" w:eastAsiaTheme="minorHAnsi" w:hAnsi="Arial" w:cs="Arial"/>
          <w:i/>
          <w:iCs/>
        </w:rPr>
        <w:t>Nat Genet</w:t>
      </w:r>
      <w:r w:rsidRPr="00DD2D9D">
        <w:rPr>
          <w:rFonts w:ascii="Arial" w:eastAsiaTheme="minorHAnsi" w:hAnsi="Arial" w:cs="Arial"/>
        </w:rPr>
        <w:t xml:space="preserve"> </w:t>
      </w:r>
      <w:r w:rsidRPr="00DD2D9D">
        <w:rPr>
          <w:rFonts w:ascii="Arial" w:eastAsiaTheme="minorHAnsi" w:hAnsi="Arial" w:cs="Arial"/>
          <w:b/>
          <w:bCs/>
        </w:rPr>
        <w:t>47</w:t>
      </w:r>
      <w:r w:rsidRPr="00DD2D9D">
        <w:rPr>
          <w:rFonts w:ascii="Arial" w:eastAsiaTheme="minorHAnsi" w:hAnsi="Arial" w:cs="Arial"/>
        </w:rPr>
        <w:t>, 1236–1241 (2015).</w:t>
      </w:r>
    </w:p>
    <w:p w14:paraId="5D46C8DB" w14:textId="77777777" w:rsidR="00090528" w:rsidRPr="00DD2D9D" w:rsidRDefault="00090528" w:rsidP="00627AEF">
      <w:pPr>
        <w:pStyle w:val="Bibliography"/>
        <w:spacing w:line="240" w:lineRule="auto"/>
        <w:contextualSpacing/>
        <w:rPr>
          <w:rFonts w:ascii="Arial" w:eastAsiaTheme="minorHAnsi" w:hAnsi="Arial" w:cs="Arial"/>
        </w:rPr>
      </w:pPr>
      <w:r w:rsidRPr="00DD2D9D">
        <w:rPr>
          <w:rFonts w:ascii="Arial" w:eastAsiaTheme="minorHAnsi" w:hAnsi="Arial" w:cs="Arial"/>
        </w:rPr>
        <w:t>15.</w:t>
      </w:r>
      <w:r w:rsidRPr="00DD2D9D">
        <w:rPr>
          <w:rFonts w:ascii="Arial" w:eastAsiaTheme="minorHAnsi" w:hAnsi="Arial" w:cs="Arial"/>
        </w:rPr>
        <w:tab/>
        <w:t xml:space="preserve">Bulik-Sullivan, B. K. </w:t>
      </w:r>
      <w:r w:rsidRPr="00DD2D9D">
        <w:rPr>
          <w:rFonts w:ascii="Arial" w:eastAsiaTheme="minorHAnsi" w:hAnsi="Arial" w:cs="Arial"/>
          <w:i/>
          <w:iCs/>
        </w:rPr>
        <w:t>et al.</w:t>
      </w:r>
      <w:r w:rsidRPr="00DD2D9D">
        <w:rPr>
          <w:rFonts w:ascii="Arial" w:eastAsiaTheme="minorHAnsi" w:hAnsi="Arial" w:cs="Arial"/>
        </w:rPr>
        <w:t xml:space="preserve"> LD Score regression distinguishes confounding from polygenicity in genome-wide association studies. </w:t>
      </w:r>
      <w:r w:rsidRPr="00DD2D9D">
        <w:rPr>
          <w:rFonts w:ascii="Arial" w:eastAsiaTheme="minorHAnsi" w:hAnsi="Arial" w:cs="Arial"/>
          <w:i/>
          <w:iCs/>
        </w:rPr>
        <w:t>Nat Genet</w:t>
      </w:r>
      <w:r w:rsidRPr="00DD2D9D">
        <w:rPr>
          <w:rFonts w:ascii="Arial" w:eastAsiaTheme="minorHAnsi" w:hAnsi="Arial" w:cs="Arial"/>
        </w:rPr>
        <w:t xml:space="preserve"> </w:t>
      </w:r>
      <w:r w:rsidRPr="00DD2D9D">
        <w:rPr>
          <w:rFonts w:ascii="Arial" w:eastAsiaTheme="minorHAnsi" w:hAnsi="Arial" w:cs="Arial"/>
          <w:b/>
          <w:bCs/>
        </w:rPr>
        <w:t>47</w:t>
      </w:r>
      <w:r w:rsidRPr="00DD2D9D">
        <w:rPr>
          <w:rFonts w:ascii="Arial" w:eastAsiaTheme="minorHAnsi" w:hAnsi="Arial" w:cs="Arial"/>
        </w:rPr>
        <w:t>, 291–295 (2015).</w:t>
      </w:r>
    </w:p>
    <w:p w14:paraId="7F945079" w14:textId="77777777" w:rsidR="00090528" w:rsidRPr="00DD2D9D" w:rsidRDefault="00090528" w:rsidP="00627AEF">
      <w:pPr>
        <w:pStyle w:val="Bibliography"/>
        <w:spacing w:line="240" w:lineRule="auto"/>
        <w:contextualSpacing/>
        <w:rPr>
          <w:rFonts w:ascii="Arial" w:eastAsiaTheme="minorHAnsi" w:hAnsi="Arial" w:cs="Arial"/>
        </w:rPr>
      </w:pPr>
      <w:r w:rsidRPr="00DD2D9D">
        <w:rPr>
          <w:rFonts w:ascii="Arial" w:eastAsiaTheme="minorHAnsi" w:hAnsi="Arial" w:cs="Arial"/>
        </w:rPr>
        <w:t>16.</w:t>
      </w:r>
      <w:r w:rsidRPr="00DD2D9D">
        <w:rPr>
          <w:rFonts w:ascii="Arial" w:eastAsiaTheme="minorHAnsi" w:hAnsi="Arial" w:cs="Arial"/>
        </w:rPr>
        <w:tab/>
        <w:t xml:space="preserve">Jiang, L., Zheng, Z., Fang, H. &amp; Yang, J. A generalized linear mixed model association tool for biobank-scale data. </w:t>
      </w:r>
      <w:r w:rsidRPr="00DD2D9D">
        <w:rPr>
          <w:rFonts w:ascii="Arial" w:eastAsiaTheme="minorHAnsi" w:hAnsi="Arial" w:cs="Arial"/>
          <w:i/>
          <w:iCs/>
        </w:rPr>
        <w:t>Nat Genet</w:t>
      </w:r>
      <w:r w:rsidRPr="00DD2D9D">
        <w:rPr>
          <w:rFonts w:ascii="Arial" w:eastAsiaTheme="minorHAnsi" w:hAnsi="Arial" w:cs="Arial"/>
        </w:rPr>
        <w:t xml:space="preserve"> </w:t>
      </w:r>
      <w:r w:rsidRPr="00DD2D9D">
        <w:rPr>
          <w:rFonts w:ascii="Arial" w:eastAsiaTheme="minorHAnsi" w:hAnsi="Arial" w:cs="Arial"/>
          <w:b/>
          <w:bCs/>
        </w:rPr>
        <w:t>53</w:t>
      </w:r>
      <w:r w:rsidRPr="00DD2D9D">
        <w:rPr>
          <w:rFonts w:ascii="Arial" w:eastAsiaTheme="minorHAnsi" w:hAnsi="Arial" w:cs="Arial"/>
        </w:rPr>
        <w:t>, 1616–1621 (2021).</w:t>
      </w:r>
    </w:p>
    <w:p w14:paraId="77E026C4" w14:textId="77777777" w:rsidR="00090528" w:rsidRPr="00DD2D9D" w:rsidRDefault="00090528" w:rsidP="00627AEF">
      <w:pPr>
        <w:pStyle w:val="Bibliography"/>
        <w:spacing w:line="240" w:lineRule="auto"/>
        <w:contextualSpacing/>
        <w:rPr>
          <w:rFonts w:ascii="Arial" w:eastAsiaTheme="minorHAnsi" w:hAnsi="Arial" w:cs="Arial"/>
        </w:rPr>
      </w:pPr>
      <w:r w:rsidRPr="00DD2D9D">
        <w:rPr>
          <w:rFonts w:ascii="Arial" w:eastAsiaTheme="minorHAnsi" w:hAnsi="Arial" w:cs="Arial"/>
        </w:rPr>
        <w:t>17.</w:t>
      </w:r>
      <w:r w:rsidRPr="00DD2D9D">
        <w:rPr>
          <w:rFonts w:ascii="Arial" w:eastAsiaTheme="minorHAnsi" w:hAnsi="Arial" w:cs="Arial"/>
        </w:rPr>
        <w:tab/>
        <w:t xml:space="preserve">Liu, J. Z. </w:t>
      </w:r>
      <w:r w:rsidRPr="00DD2D9D">
        <w:rPr>
          <w:rFonts w:ascii="Arial" w:eastAsiaTheme="minorHAnsi" w:hAnsi="Arial" w:cs="Arial"/>
          <w:i/>
          <w:iCs/>
        </w:rPr>
        <w:t>et al.</w:t>
      </w:r>
      <w:r w:rsidRPr="00DD2D9D">
        <w:rPr>
          <w:rFonts w:ascii="Arial" w:eastAsiaTheme="minorHAnsi" w:hAnsi="Arial" w:cs="Arial"/>
        </w:rPr>
        <w:t xml:space="preserve"> Association analyses identify 38 susceptibility loci for inflammatory bowel disease and highlight shared genetic risk across populations. </w:t>
      </w:r>
      <w:r w:rsidRPr="00DD2D9D">
        <w:rPr>
          <w:rFonts w:ascii="Arial" w:eastAsiaTheme="minorHAnsi" w:hAnsi="Arial" w:cs="Arial"/>
          <w:i/>
          <w:iCs/>
        </w:rPr>
        <w:t>Nat Genet</w:t>
      </w:r>
      <w:r w:rsidRPr="00DD2D9D">
        <w:rPr>
          <w:rFonts w:ascii="Arial" w:eastAsiaTheme="minorHAnsi" w:hAnsi="Arial" w:cs="Arial"/>
        </w:rPr>
        <w:t xml:space="preserve"> </w:t>
      </w:r>
      <w:r w:rsidRPr="00DD2D9D">
        <w:rPr>
          <w:rFonts w:ascii="Arial" w:eastAsiaTheme="minorHAnsi" w:hAnsi="Arial" w:cs="Arial"/>
          <w:b/>
          <w:bCs/>
        </w:rPr>
        <w:t>47</w:t>
      </w:r>
      <w:r w:rsidRPr="00DD2D9D">
        <w:rPr>
          <w:rFonts w:ascii="Arial" w:eastAsiaTheme="minorHAnsi" w:hAnsi="Arial" w:cs="Arial"/>
        </w:rPr>
        <w:t>, 979–986 (2015).</w:t>
      </w:r>
    </w:p>
    <w:p w14:paraId="6D3C344C" w14:textId="77777777" w:rsidR="00090528" w:rsidRPr="00DD2D9D" w:rsidRDefault="00090528" w:rsidP="00627AEF">
      <w:pPr>
        <w:pStyle w:val="Bibliography"/>
        <w:spacing w:line="240" w:lineRule="auto"/>
        <w:contextualSpacing/>
        <w:rPr>
          <w:rFonts w:ascii="Arial" w:eastAsiaTheme="minorHAnsi" w:hAnsi="Arial" w:cs="Arial"/>
        </w:rPr>
      </w:pPr>
      <w:r w:rsidRPr="00DD2D9D">
        <w:rPr>
          <w:rFonts w:ascii="Arial" w:eastAsiaTheme="minorHAnsi" w:hAnsi="Arial" w:cs="Arial"/>
        </w:rPr>
        <w:t>18.</w:t>
      </w:r>
      <w:r w:rsidRPr="00DD2D9D">
        <w:rPr>
          <w:rFonts w:ascii="Arial" w:eastAsiaTheme="minorHAnsi" w:hAnsi="Arial" w:cs="Arial"/>
        </w:rPr>
        <w:tab/>
        <w:t xml:space="preserve">Day, F. </w:t>
      </w:r>
      <w:r w:rsidRPr="00DD2D9D">
        <w:rPr>
          <w:rFonts w:ascii="Arial" w:eastAsiaTheme="minorHAnsi" w:hAnsi="Arial" w:cs="Arial"/>
          <w:i/>
          <w:iCs/>
        </w:rPr>
        <w:t>et al.</w:t>
      </w:r>
      <w:r w:rsidRPr="00DD2D9D">
        <w:rPr>
          <w:rFonts w:ascii="Arial" w:eastAsiaTheme="minorHAnsi" w:hAnsi="Arial" w:cs="Arial"/>
        </w:rPr>
        <w:t xml:space="preserve"> Large-scale genome-wide meta-analysis of polycystic ovary syndrome suggests shared genetic architecture for different diagnosis criteria. </w:t>
      </w:r>
      <w:r w:rsidRPr="00DD2D9D">
        <w:rPr>
          <w:rFonts w:ascii="Arial" w:eastAsiaTheme="minorHAnsi" w:hAnsi="Arial" w:cs="Arial"/>
          <w:i/>
          <w:iCs/>
        </w:rPr>
        <w:t>PLoS Genet</w:t>
      </w:r>
      <w:r w:rsidRPr="00DD2D9D">
        <w:rPr>
          <w:rFonts w:ascii="Arial" w:eastAsiaTheme="minorHAnsi" w:hAnsi="Arial" w:cs="Arial"/>
        </w:rPr>
        <w:t xml:space="preserve"> </w:t>
      </w:r>
      <w:r w:rsidRPr="00DD2D9D">
        <w:rPr>
          <w:rFonts w:ascii="Arial" w:eastAsiaTheme="minorHAnsi" w:hAnsi="Arial" w:cs="Arial"/>
          <w:b/>
          <w:bCs/>
        </w:rPr>
        <w:t>14</w:t>
      </w:r>
      <w:r w:rsidRPr="00DD2D9D">
        <w:rPr>
          <w:rFonts w:ascii="Arial" w:eastAsiaTheme="minorHAnsi" w:hAnsi="Arial" w:cs="Arial"/>
        </w:rPr>
        <w:t>, e1007813 (2018).</w:t>
      </w:r>
    </w:p>
    <w:p w14:paraId="39AF34A1" w14:textId="77777777" w:rsidR="00090528" w:rsidRPr="00DD2D9D" w:rsidRDefault="00090528" w:rsidP="00627AEF">
      <w:pPr>
        <w:pStyle w:val="Bibliography"/>
        <w:spacing w:line="240" w:lineRule="auto"/>
        <w:contextualSpacing/>
        <w:rPr>
          <w:rFonts w:ascii="Arial" w:eastAsiaTheme="minorHAnsi" w:hAnsi="Arial" w:cs="Arial"/>
        </w:rPr>
      </w:pPr>
      <w:r w:rsidRPr="00DD2D9D">
        <w:rPr>
          <w:rFonts w:ascii="Arial" w:eastAsiaTheme="minorHAnsi" w:hAnsi="Arial" w:cs="Arial"/>
        </w:rPr>
        <w:t>19.</w:t>
      </w:r>
      <w:r w:rsidRPr="00DD2D9D">
        <w:rPr>
          <w:rFonts w:ascii="Arial" w:eastAsiaTheme="minorHAnsi" w:hAnsi="Arial" w:cs="Arial"/>
        </w:rPr>
        <w:tab/>
        <w:t xml:space="preserve">Saevarsdottir, S. </w:t>
      </w:r>
      <w:r w:rsidRPr="00DD2D9D">
        <w:rPr>
          <w:rFonts w:ascii="Arial" w:eastAsiaTheme="minorHAnsi" w:hAnsi="Arial" w:cs="Arial"/>
          <w:i/>
          <w:iCs/>
        </w:rPr>
        <w:t>et al.</w:t>
      </w:r>
      <w:r w:rsidRPr="00DD2D9D">
        <w:rPr>
          <w:rFonts w:ascii="Arial" w:eastAsiaTheme="minorHAnsi" w:hAnsi="Arial" w:cs="Arial"/>
        </w:rPr>
        <w:t xml:space="preserve"> Multiomics analysis of rheumatoid arthritis yields sequence variants that have large effects on risk of the seropositive subset. </w:t>
      </w:r>
      <w:r w:rsidRPr="00DD2D9D">
        <w:rPr>
          <w:rFonts w:ascii="Arial" w:eastAsiaTheme="minorHAnsi" w:hAnsi="Arial" w:cs="Arial"/>
          <w:i/>
          <w:iCs/>
        </w:rPr>
        <w:t>Ann Rheum Dis</w:t>
      </w:r>
      <w:r w:rsidRPr="00DD2D9D">
        <w:rPr>
          <w:rFonts w:ascii="Arial" w:eastAsiaTheme="minorHAnsi" w:hAnsi="Arial" w:cs="Arial"/>
        </w:rPr>
        <w:t xml:space="preserve"> </w:t>
      </w:r>
      <w:r w:rsidRPr="00DD2D9D">
        <w:rPr>
          <w:rFonts w:ascii="Arial" w:eastAsiaTheme="minorHAnsi" w:hAnsi="Arial" w:cs="Arial"/>
          <w:b/>
          <w:bCs/>
        </w:rPr>
        <w:t>81</w:t>
      </w:r>
      <w:r w:rsidRPr="00DD2D9D">
        <w:rPr>
          <w:rFonts w:ascii="Arial" w:eastAsiaTheme="minorHAnsi" w:hAnsi="Arial" w:cs="Arial"/>
        </w:rPr>
        <w:t>, 1085–1095 (2022).</w:t>
      </w:r>
    </w:p>
    <w:p w14:paraId="1182E96B" w14:textId="77777777" w:rsidR="00090528" w:rsidRPr="00DD2D9D" w:rsidRDefault="00090528" w:rsidP="00627AEF">
      <w:pPr>
        <w:pStyle w:val="Bibliography"/>
        <w:spacing w:line="240" w:lineRule="auto"/>
        <w:contextualSpacing/>
        <w:rPr>
          <w:rFonts w:ascii="Arial" w:eastAsiaTheme="minorHAnsi" w:hAnsi="Arial" w:cs="Arial"/>
        </w:rPr>
      </w:pPr>
      <w:r w:rsidRPr="00DD2D9D">
        <w:rPr>
          <w:rFonts w:ascii="Arial" w:eastAsiaTheme="minorHAnsi" w:hAnsi="Arial" w:cs="Arial"/>
        </w:rPr>
        <w:lastRenderedPageBreak/>
        <w:t>20.</w:t>
      </w:r>
      <w:r w:rsidRPr="00DD2D9D">
        <w:rPr>
          <w:rFonts w:ascii="Arial" w:eastAsiaTheme="minorHAnsi" w:hAnsi="Arial" w:cs="Arial"/>
        </w:rPr>
        <w:tab/>
        <w:t xml:space="preserve">Suzuki, K. </w:t>
      </w:r>
      <w:r w:rsidRPr="00DD2D9D">
        <w:rPr>
          <w:rFonts w:ascii="Arial" w:eastAsiaTheme="minorHAnsi" w:hAnsi="Arial" w:cs="Arial"/>
          <w:i/>
          <w:iCs/>
        </w:rPr>
        <w:t>et al.</w:t>
      </w:r>
      <w:r w:rsidRPr="00DD2D9D">
        <w:rPr>
          <w:rFonts w:ascii="Arial" w:eastAsiaTheme="minorHAnsi" w:hAnsi="Arial" w:cs="Arial"/>
        </w:rPr>
        <w:t xml:space="preserve"> Genetic drivers of heterogeneity in type 2 diabetes pathophysiology. </w:t>
      </w:r>
      <w:r w:rsidRPr="00DD2D9D">
        <w:rPr>
          <w:rFonts w:ascii="Arial" w:eastAsiaTheme="minorHAnsi" w:hAnsi="Arial" w:cs="Arial"/>
          <w:i/>
          <w:iCs/>
        </w:rPr>
        <w:t>Nature</w:t>
      </w:r>
      <w:r w:rsidRPr="00DD2D9D">
        <w:rPr>
          <w:rFonts w:ascii="Arial" w:eastAsiaTheme="minorHAnsi" w:hAnsi="Arial" w:cs="Arial"/>
        </w:rPr>
        <w:t xml:space="preserve"> </w:t>
      </w:r>
      <w:r w:rsidRPr="00DD2D9D">
        <w:rPr>
          <w:rFonts w:ascii="Arial" w:eastAsiaTheme="minorHAnsi" w:hAnsi="Arial" w:cs="Arial"/>
          <w:b/>
          <w:bCs/>
        </w:rPr>
        <w:t>627</w:t>
      </w:r>
      <w:r w:rsidRPr="00DD2D9D">
        <w:rPr>
          <w:rFonts w:ascii="Arial" w:eastAsiaTheme="minorHAnsi" w:hAnsi="Arial" w:cs="Arial"/>
        </w:rPr>
        <w:t>, 347–357 (2024).</w:t>
      </w:r>
    </w:p>
    <w:p w14:paraId="66417B0C" w14:textId="77777777" w:rsidR="00090528" w:rsidRPr="00DD2D9D" w:rsidRDefault="00090528" w:rsidP="00627AEF">
      <w:pPr>
        <w:pStyle w:val="Bibliography"/>
        <w:spacing w:line="240" w:lineRule="auto"/>
        <w:contextualSpacing/>
        <w:rPr>
          <w:rFonts w:ascii="Arial" w:eastAsiaTheme="minorHAnsi" w:hAnsi="Arial" w:cs="Arial"/>
        </w:rPr>
      </w:pPr>
      <w:r w:rsidRPr="00DD2D9D">
        <w:rPr>
          <w:rFonts w:ascii="Arial" w:eastAsiaTheme="minorHAnsi" w:hAnsi="Arial" w:cs="Arial"/>
        </w:rPr>
        <w:t>21.</w:t>
      </w:r>
      <w:r w:rsidRPr="00DD2D9D">
        <w:rPr>
          <w:rFonts w:ascii="Arial" w:eastAsiaTheme="minorHAnsi" w:hAnsi="Arial" w:cs="Arial"/>
        </w:rPr>
        <w:tab/>
        <w:t xml:space="preserve">Budu-Aggrey, A. </w:t>
      </w:r>
      <w:r w:rsidRPr="00DD2D9D">
        <w:rPr>
          <w:rFonts w:ascii="Arial" w:eastAsiaTheme="minorHAnsi" w:hAnsi="Arial" w:cs="Arial"/>
          <w:i/>
          <w:iCs/>
        </w:rPr>
        <w:t>et al.</w:t>
      </w:r>
      <w:r w:rsidRPr="00DD2D9D">
        <w:rPr>
          <w:rFonts w:ascii="Arial" w:eastAsiaTheme="minorHAnsi" w:hAnsi="Arial" w:cs="Arial"/>
        </w:rPr>
        <w:t xml:space="preserve"> European and multi-ancestry genome-wide association meta-analysis of atopic dermatitis highlights importance of systemic immune regulation. </w:t>
      </w:r>
      <w:r w:rsidRPr="00DD2D9D">
        <w:rPr>
          <w:rFonts w:ascii="Arial" w:eastAsiaTheme="minorHAnsi" w:hAnsi="Arial" w:cs="Arial"/>
          <w:i/>
          <w:iCs/>
        </w:rPr>
        <w:t>Nat Commun</w:t>
      </w:r>
      <w:r w:rsidRPr="00DD2D9D">
        <w:rPr>
          <w:rFonts w:ascii="Arial" w:eastAsiaTheme="minorHAnsi" w:hAnsi="Arial" w:cs="Arial"/>
        </w:rPr>
        <w:t xml:space="preserve"> </w:t>
      </w:r>
      <w:r w:rsidRPr="00DD2D9D">
        <w:rPr>
          <w:rFonts w:ascii="Arial" w:eastAsiaTheme="minorHAnsi" w:hAnsi="Arial" w:cs="Arial"/>
          <w:b/>
          <w:bCs/>
        </w:rPr>
        <w:t>14</w:t>
      </w:r>
      <w:r w:rsidRPr="00DD2D9D">
        <w:rPr>
          <w:rFonts w:ascii="Arial" w:eastAsiaTheme="minorHAnsi" w:hAnsi="Arial" w:cs="Arial"/>
        </w:rPr>
        <w:t>, 6172 (2023).</w:t>
      </w:r>
    </w:p>
    <w:p w14:paraId="791A58A4" w14:textId="77777777" w:rsidR="00090528" w:rsidRPr="00DD2D9D" w:rsidRDefault="00090528" w:rsidP="00627AEF">
      <w:pPr>
        <w:pStyle w:val="Bibliography"/>
        <w:spacing w:line="240" w:lineRule="auto"/>
        <w:contextualSpacing/>
        <w:rPr>
          <w:rFonts w:ascii="Arial" w:eastAsiaTheme="minorHAnsi" w:hAnsi="Arial" w:cs="Arial"/>
        </w:rPr>
      </w:pPr>
      <w:r w:rsidRPr="00DD2D9D">
        <w:rPr>
          <w:rFonts w:ascii="Arial" w:eastAsiaTheme="minorHAnsi" w:hAnsi="Arial" w:cs="Arial"/>
        </w:rPr>
        <w:t>22.</w:t>
      </w:r>
      <w:r w:rsidRPr="00DD2D9D">
        <w:rPr>
          <w:rFonts w:ascii="Arial" w:eastAsiaTheme="minorHAnsi" w:hAnsi="Arial" w:cs="Arial"/>
        </w:rPr>
        <w:tab/>
        <w:t xml:space="preserve">Sakaue, S. </w:t>
      </w:r>
      <w:r w:rsidRPr="00DD2D9D">
        <w:rPr>
          <w:rFonts w:ascii="Arial" w:eastAsiaTheme="minorHAnsi" w:hAnsi="Arial" w:cs="Arial"/>
          <w:i/>
          <w:iCs/>
        </w:rPr>
        <w:t>et al.</w:t>
      </w:r>
      <w:r w:rsidRPr="00DD2D9D">
        <w:rPr>
          <w:rFonts w:ascii="Arial" w:eastAsiaTheme="minorHAnsi" w:hAnsi="Arial" w:cs="Arial"/>
        </w:rPr>
        <w:t xml:space="preserve"> A cross-population atlas of genetic associations for 220 human phenotypes. </w:t>
      </w:r>
      <w:r w:rsidRPr="00DD2D9D">
        <w:rPr>
          <w:rFonts w:ascii="Arial" w:eastAsiaTheme="minorHAnsi" w:hAnsi="Arial" w:cs="Arial"/>
          <w:i/>
          <w:iCs/>
        </w:rPr>
        <w:t>Nat Genet</w:t>
      </w:r>
      <w:r w:rsidRPr="00DD2D9D">
        <w:rPr>
          <w:rFonts w:ascii="Arial" w:eastAsiaTheme="minorHAnsi" w:hAnsi="Arial" w:cs="Arial"/>
        </w:rPr>
        <w:t xml:space="preserve"> </w:t>
      </w:r>
      <w:r w:rsidRPr="00DD2D9D">
        <w:rPr>
          <w:rFonts w:ascii="Arial" w:eastAsiaTheme="minorHAnsi" w:hAnsi="Arial" w:cs="Arial"/>
          <w:b/>
          <w:bCs/>
        </w:rPr>
        <w:t>53</w:t>
      </w:r>
      <w:r w:rsidRPr="00DD2D9D">
        <w:rPr>
          <w:rFonts w:ascii="Arial" w:eastAsiaTheme="minorHAnsi" w:hAnsi="Arial" w:cs="Arial"/>
        </w:rPr>
        <w:t>, 1415–1424 (2021).</w:t>
      </w:r>
    </w:p>
    <w:p w14:paraId="02C79141" w14:textId="77777777" w:rsidR="00090528" w:rsidRPr="00DD2D9D" w:rsidRDefault="00090528" w:rsidP="00627AEF">
      <w:pPr>
        <w:pStyle w:val="Bibliography"/>
        <w:spacing w:line="240" w:lineRule="auto"/>
        <w:contextualSpacing/>
        <w:rPr>
          <w:rFonts w:ascii="Arial" w:eastAsiaTheme="minorHAnsi" w:hAnsi="Arial" w:cs="Arial"/>
        </w:rPr>
      </w:pPr>
      <w:r w:rsidRPr="00DD2D9D">
        <w:rPr>
          <w:rFonts w:ascii="Arial" w:eastAsiaTheme="minorHAnsi" w:hAnsi="Arial" w:cs="Arial"/>
        </w:rPr>
        <w:t>23.</w:t>
      </w:r>
      <w:r w:rsidRPr="00DD2D9D">
        <w:rPr>
          <w:rFonts w:ascii="Arial" w:eastAsiaTheme="minorHAnsi" w:hAnsi="Arial" w:cs="Arial"/>
        </w:rPr>
        <w:tab/>
        <w:t xml:space="preserve">Trubetskoy, V. </w:t>
      </w:r>
      <w:r w:rsidRPr="00DD2D9D">
        <w:rPr>
          <w:rFonts w:ascii="Arial" w:eastAsiaTheme="minorHAnsi" w:hAnsi="Arial" w:cs="Arial"/>
          <w:i/>
          <w:iCs/>
        </w:rPr>
        <w:t>et al.</w:t>
      </w:r>
      <w:r w:rsidRPr="00DD2D9D">
        <w:rPr>
          <w:rFonts w:ascii="Arial" w:eastAsiaTheme="minorHAnsi" w:hAnsi="Arial" w:cs="Arial"/>
        </w:rPr>
        <w:t xml:space="preserve"> Mapping genomic loci implicates genes and synaptic biology in schizophrenia. </w:t>
      </w:r>
      <w:r w:rsidRPr="00DD2D9D">
        <w:rPr>
          <w:rFonts w:ascii="Arial" w:eastAsiaTheme="minorHAnsi" w:hAnsi="Arial" w:cs="Arial"/>
          <w:i/>
          <w:iCs/>
        </w:rPr>
        <w:t>Nature</w:t>
      </w:r>
      <w:r w:rsidRPr="00DD2D9D">
        <w:rPr>
          <w:rFonts w:ascii="Arial" w:eastAsiaTheme="minorHAnsi" w:hAnsi="Arial" w:cs="Arial"/>
        </w:rPr>
        <w:t xml:space="preserve"> </w:t>
      </w:r>
      <w:r w:rsidRPr="00DD2D9D">
        <w:rPr>
          <w:rFonts w:ascii="Arial" w:eastAsiaTheme="minorHAnsi" w:hAnsi="Arial" w:cs="Arial"/>
          <w:b/>
          <w:bCs/>
        </w:rPr>
        <w:t>604</w:t>
      </w:r>
      <w:r w:rsidRPr="00DD2D9D">
        <w:rPr>
          <w:rFonts w:ascii="Arial" w:eastAsiaTheme="minorHAnsi" w:hAnsi="Arial" w:cs="Arial"/>
        </w:rPr>
        <w:t>, 502–508 (2022).</w:t>
      </w:r>
    </w:p>
    <w:p w14:paraId="3D1C1FE3" w14:textId="77777777" w:rsidR="00090528" w:rsidRPr="00DD2D9D" w:rsidRDefault="00090528" w:rsidP="00627AEF">
      <w:pPr>
        <w:pStyle w:val="Bibliography"/>
        <w:spacing w:line="240" w:lineRule="auto"/>
        <w:contextualSpacing/>
        <w:rPr>
          <w:rFonts w:ascii="Arial" w:eastAsiaTheme="minorHAnsi" w:hAnsi="Arial" w:cs="Arial"/>
        </w:rPr>
      </w:pPr>
      <w:r w:rsidRPr="00DD2D9D">
        <w:rPr>
          <w:rFonts w:ascii="Arial" w:eastAsiaTheme="minorHAnsi" w:hAnsi="Arial" w:cs="Arial"/>
        </w:rPr>
        <w:t>24.</w:t>
      </w:r>
      <w:r w:rsidRPr="00DD2D9D">
        <w:rPr>
          <w:rFonts w:ascii="Arial" w:eastAsiaTheme="minorHAnsi" w:hAnsi="Arial" w:cs="Arial"/>
        </w:rPr>
        <w:tab/>
        <w:t xml:space="preserve">Tsuo, K. </w:t>
      </w:r>
      <w:r w:rsidRPr="00DD2D9D">
        <w:rPr>
          <w:rFonts w:ascii="Arial" w:eastAsiaTheme="minorHAnsi" w:hAnsi="Arial" w:cs="Arial"/>
          <w:i/>
          <w:iCs/>
        </w:rPr>
        <w:t>et al.</w:t>
      </w:r>
      <w:r w:rsidRPr="00DD2D9D">
        <w:rPr>
          <w:rFonts w:ascii="Arial" w:eastAsiaTheme="minorHAnsi" w:hAnsi="Arial" w:cs="Arial"/>
        </w:rPr>
        <w:t xml:space="preserve"> Multi-ancestry meta-analysis of asthma identifies novel associations and highlights the value of increased power and diversity. </w:t>
      </w:r>
      <w:r w:rsidRPr="00DD2D9D">
        <w:rPr>
          <w:rFonts w:ascii="Arial" w:eastAsiaTheme="minorHAnsi" w:hAnsi="Arial" w:cs="Arial"/>
          <w:i/>
          <w:iCs/>
        </w:rPr>
        <w:t>Cell Genom</w:t>
      </w:r>
      <w:r w:rsidRPr="00DD2D9D">
        <w:rPr>
          <w:rFonts w:ascii="Arial" w:eastAsiaTheme="minorHAnsi" w:hAnsi="Arial" w:cs="Arial"/>
        </w:rPr>
        <w:t xml:space="preserve"> </w:t>
      </w:r>
      <w:r w:rsidRPr="00DD2D9D">
        <w:rPr>
          <w:rFonts w:ascii="Arial" w:eastAsiaTheme="minorHAnsi" w:hAnsi="Arial" w:cs="Arial"/>
          <w:b/>
          <w:bCs/>
        </w:rPr>
        <w:t>2</w:t>
      </w:r>
      <w:r w:rsidRPr="00DD2D9D">
        <w:rPr>
          <w:rFonts w:ascii="Arial" w:eastAsiaTheme="minorHAnsi" w:hAnsi="Arial" w:cs="Arial"/>
        </w:rPr>
        <w:t>, 100212 (2022).</w:t>
      </w:r>
    </w:p>
    <w:p w14:paraId="7B0026EC" w14:textId="77777777" w:rsidR="00090528" w:rsidRPr="00DD2D9D" w:rsidRDefault="00090528" w:rsidP="00627AEF">
      <w:pPr>
        <w:pStyle w:val="Bibliography"/>
        <w:spacing w:line="240" w:lineRule="auto"/>
        <w:contextualSpacing/>
        <w:rPr>
          <w:rFonts w:ascii="Arial" w:eastAsiaTheme="minorHAnsi" w:hAnsi="Arial" w:cs="Arial"/>
        </w:rPr>
      </w:pPr>
      <w:r w:rsidRPr="00DD2D9D">
        <w:rPr>
          <w:rFonts w:ascii="Arial" w:eastAsiaTheme="minorHAnsi" w:hAnsi="Arial" w:cs="Arial"/>
        </w:rPr>
        <w:t>25.</w:t>
      </w:r>
      <w:r w:rsidRPr="00DD2D9D">
        <w:rPr>
          <w:rFonts w:ascii="Arial" w:eastAsiaTheme="minorHAnsi" w:hAnsi="Arial" w:cs="Arial"/>
        </w:rPr>
        <w:tab/>
        <w:t xml:space="preserve">Cerezo, M. </w:t>
      </w:r>
      <w:r w:rsidRPr="00DD2D9D">
        <w:rPr>
          <w:rFonts w:ascii="Arial" w:eastAsiaTheme="minorHAnsi" w:hAnsi="Arial" w:cs="Arial"/>
          <w:i/>
          <w:iCs/>
        </w:rPr>
        <w:t>et al.</w:t>
      </w:r>
      <w:r w:rsidRPr="00DD2D9D">
        <w:rPr>
          <w:rFonts w:ascii="Arial" w:eastAsiaTheme="minorHAnsi" w:hAnsi="Arial" w:cs="Arial"/>
        </w:rPr>
        <w:t xml:space="preserve"> The NHGRI-EBI GWAS Catalog: standards for reusability, sustainability and diversity. </w:t>
      </w:r>
      <w:r w:rsidRPr="00DD2D9D">
        <w:rPr>
          <w:rFonts w:ascii="Arial" w:eastAsiaTheme="minorHAnsi" w:hAnsi="Arial" w:cs="Arial"/>
          <w:i/>
          <w:iCs/>
        </w:rPr>
        <w:t>Nucleic Acids Research</w:t>
      </w:r>
      <w:r w:rsidRPr="00DD2D9D">
        <w:rPr>
          <w:rFonts w:ascii="Arial" w:eastAsiaTheme="minorHAnsi" w:hAnsi="Arial" w:cs="Arial"/>
        </w:rPr>
        <w:t xml:space="preserve"> </w:t>
      </w:r>
      <w:r w:rsidRPr="00DD2D9D">
        <w:rPr>
          <w:rFonts w:ascii="Arial" w:eastAsiaTheme="minorHAnsi" w:hAnsi="Arial" w:cs="Arial"/>
          <w:b/>
          <w:bCs/>
        </w:rPr>
        <w:t>53</w:t>
      </w:r>
      <w:r w:rsidRPr="00DD2D9D">
        <w:rPr>
          <w:rFonts w:ascii="Arial" w:eastAsiaTheme="minorHAnsi" w:hAnsi="Arial" w:cs="Arial"/>
        </w:rPr>
        <w:t>, D998–D1005 (2025).</w:t>
      </w:r>
    </w:p>
    <w:p w14:paraId="4FE22C50" w14:textId="77777777" w:rsidR="00090528" w:rsidRPr="00DD2D9D" w:rsidRDefault="00090528" w:rsidP="00627AEF">
      <w:pPr>
        <w:pStyle w:val="Bibliography"/>
        <w:spacing w:line="240" w:lineRule="auto"/>
        <w:contextualSpacing/>
        <w:rPr>
          <w:rFonts w:ascii="Arial" w:eastAsiaTheme="minorHAnsi" w:hAnsi="Arial" w:cs="Arial"/>
        </w:rPr>
      </w:pPr>
      <w:r w:rsidRPr="00DD2D9D">
        <w:rPr>
          <w:rFonts w:ascii="Arial" w:eastAsiaTheme="minorHAnsi" w:hAnsi="Arial" w:cs="Arial"/>
        </w:rPr>
        <w:t>26.</w:t>
      </w:r>
      <w:r w:rsidRPr="00DD2D9D">
        <w:rPr>
          <w:rFonts w:ascii="Arial" w:eastAsiaTheme="minorHAnsi" w:hAnsi="Arial" w:cs="Arial"/>
        </w:rPr>
        <w:tab/>
        <w:t xml:space="preserve">Liu, X. </w:t>
      </w:r>
      <w:r w:rsidRPr="00DD2D9D">
        <w:rPr>
          <w:rFonts w:ascii="Arial" w:eastAsiaTheme="minorHAnsi" w:hAnsi="Arial" w:cs="Arial"/>
          <w:i/>
          <w:iCs/>
        </w:rPr>
        <w:t>et al.</w:t>
      </w:r>
      <w:r w:rsidRPr="00DD2D9D">
        <w:rPr>
          <w:rFonts w:ascii="Arial" w:eastAsiaTheme="minorHAnsi" w:hAnsi="Arial" w:cs="Arial"/>
        </w:rPr>
        <w:t xml:space="preserve"> WGSA: an annotation pipeline for human genome sequencing studies. </w:t>
      </w:r>
      <w:r w:rsidRPr="00DD2D9D">
        <w:rPr>
          <w:rFonts w:ascii="Arial" w:eastAsiaTheme="minorHAnsi" w:hAnsi="Arial" w:cs="Arial"/>
          <w:i/>
          <w:iCs/>
        </w:rPr>
        <w:t>J Med Genet</w:t>
      </w:r>
      <w:r w:rsidRPr="00DD2D9D">
        <w:rPr>
          <w:rFonts w:ascii="Arial" w:eastAsiaTheme="minorHAnsi" w:hAnsi="Arial" w:cs="Arial"/>
        </w:rPr>
        <w:t xml:space="preserve"> </w:t>
      </w:r>
      <w:r w:rsidRPr="00DD2D9D">
        <w:rPr>
          <w:rFonts w:ascii="Arial" w:eastAsiaTheme="minorHAnsi" w:hAnsi="Arial" w:cs="Arial"/>
          <w:b/>
          <w:bCs/>
        </w:rPr>
        <w:t>53</w:t>
      </w:r>
      <w:r w:rsidRPr="00DD2D9D">
        <w:rPr>
          <w:rFonts w:ascii="Arial" w:eastAsiaTheme="minorHAnsi" w:hAnsi="Arial" w:cs="Arial"/>
        </w:rPr>
        <w:t>, 111–112 (2016).</w:t>
      </w:r>
    </w:p>
    <w:p w14:paraId="32CAC737" w14:textId="77777777" w:rsidR="00090528" w:rsidRPr="00DD2D9D" w:rsidRDefault="00090528" w:rsidP="00627AEF">
      <w:pPr>
        <w:pStyle w:val="Bibliography"/>
        <w:spacing w:line="240" w:lineRule="auto"/>
        <w:contextualSpacing/>
        <w:rPr>
          <w:rFonts w:ascii="Arial" w:eastAsiaTheme="minorHAnsi" w:hAnsi="Arial" w:cs="Arial"/>
        </w:rPr>
      </w:pPr>
      <w:r w:rsidRPr="00DD2D9D">
        <w:rPr>
          <w:rFonts w:ascii="Arial" w:eastAsiaTheme="minorHAnsi" w:hAnsi="Arial" w:cs="Arial"/>
        </w:rPr>
        <w:t>27.</w:t>
      </w:r>
      <w:r w:rsidRPr="00DD2D9D">
        <w:rPr>
          <w:rFonts w:ascii="Arial" w:eastAsiaTheme="minorHAnsi" w:hAnsi="Arial" w:cs="Arial"/>
        </w:rPr>
        <w:tab/>
        <w:t xml:space="preserve">GTEx Consortium. The GTEx Consortium atlas of genetic regulatory effects across human tissues. </w:t>
      </w:r>
      <w:r w:rsidRPr="00DD2D9D">
        <w:rPr>
          <w:rFonts w:ascii="Arial" w:eastAsiaTheme="minorHAnsi" w:hAnsi="Arial" w:cs="Arial"/>
          <w:i/>
          <w:iCs/>
        </w:rPr>
        <w:t>Science</w:t>
      </w:r>
      <w:r w:rsidRPr="00DD2D9D">
        <w:rPr>
          <w:rFonts w:ascii="Arial" w:eastAsiaTheme="minorHAnsi" w:hAnsi="Arial" w:cs="Arial"/>
        </w:rPr>
        <w:t xml:space="preserve"> </w:t>
      </w:r>
      <w:r w:rsidRPr="00DD2D9D">
        <w:rPr>
          <w:rFonts w:ascii="Arial" w:eastAsiaTheme="minorHAnsi" w:hAnsi="Arial" w:cs="Arial"/>
          <w:b/>
          <w:bCs/>
        </w:rPr>
        <w:t>369</w:t>
      </w:r>
      <w:r w:rsidRPr="00DD2D9D">
        <w:rPr>
          <w:rFonts w:ascii="Arial" w:eastAsiaTheme="minorHAnsi" w:hAnsi="Arial" w:cs="Arial"/>
        </w:rPr>
        <w:t>, 1318–1330 (2020).</w:t>
      </w:r>
    </w:p>
    <w:p w14:paraId="28494DC4" w14:textId="77777777" w:rsidR="00090528" w:rsidRPr="00DD2D9D" w:rsidRDefault="00090528" w:rsidP="00627AEF">
      <w:pPr>
        <w:pStyle w:val="Bibliography"/>
        <w:spacing w:line="240" w:lineRule="auto"/>
        <w:contextualSpacing/>
        <w:rPr>
          <w:rFonts w:ascii="Arial" w:eastAsiaTheme="minorHAnsi" w:hAnsi="Arial" w:cs="Arial"/>
        </w:rPr>
      </w:pPr>
      <w:r w:rsidRPr="00DD2D9D">
        <w:rPr>
          <w:rFonts w:ascii="Arial" w:eastAsiaTheme="minorHAnsi" w:hAnsi="Arial" w:cs="Arial"/>
        </w:rPr>
        <w:t>28.</w:t>
      </w:r>
      <w:r w:rsidRPr="00DD2D9D">
        <w:rPr>
          <w:rFonts w:ascii="Arial" w:eastAsiaTheme="minorHAnsi" w:hAnsi="Arial" w:cs="Arial"/>
        </w:rPr>
        <w:tab/>
        <w:t xml:space="preserve">Shore, C. J. </w:t>
      </w:r>
      <w:r w:rsidRPr="00DD2D9D">
        <w:rPr>
          <w:rFonts w:ascii="Arial" w:eastAsiaTheme="minorHAnsi" w:hAnsi="Arial" w:cs="Arial"/>
          <w:i/>
          <w:iCs/>
        </w:rPr>
        <w:t>et al.</w:t>
      </w:r>
      <w:r w:rsidRPr="00DD2D9D">
        <w:rPr>
          <w:rFonts w:ascii="Arial" w:eastAsiaTheme="minorHAnsi" w:hAnsi="Arial" w:cs="Arial"/>
        </w:rPr>
        <w:t xml:space="preserve"> Genetic effects on the skin methylome in healthy older twins. </w:t>
      </w:r>
      <w:r w:rsidRPr="00DD2D9D">
        <w:rPr>
          <w:rFonts w:ascii="Arial" w:eastAsiaTheme="minorHAnsi" w:hAnsi="Arial" w:cs="Arial"/>
          <w:i/>
          <w:iCs/>
        </w:rPr>
        <w:t>Am J Hum Genet</w:t>
      </w:r>
      <w:r w:rsidRPr="00DD2D9D">
        <w:rPr>
          <w:rFonts w:ascii="Arial" w:eastAsiaTheme="minorHAnsi" w:hAnsi="Arial" w:cs="Arial"/>
        </w:rPr>
        <w:t xml:space="preserve"> </w:t>
      </w:r>
      <w:r w:rsidRPr="00DD2D9D">
        <w:rPr>
          <w:rFonts w:ascii="Arial" w:eastAsiaTheme="minorHAnsi" w:hAnsi="Arial" w:cs="Arial"/>
          <w:b/>
          <w:bCs/>
        </w:rPr>
        <w:t>111</w:t>
      </w:r>
      <w:r w:rsidRPr="00DD2D9D">
        <w:rPr>
          <w:rFonts w:ascii="Arial" w:eastAsiaTheme="minorHAnsi" w:hAnsi="Arial" w:cs="Arial"/>
        </w:rPr>
        <w:t>, 1932–1952 (2024).</w:t>
      </w:r>
    </w:p>
    <w:p w14:paraId="1F39284E" w14:textId="77777777" w:rsidR="00090528" w:rsidRPr="00DD2D9D" w:rsidRDefault="00090528" w:rsidP="00627AEF">
      <w:pPr>
        <w:pStyle w:val="Bibliography"/>
        <w:spacing w:line="240" w:lineRule="auto"/>
        <w:contextualSpacing/>
        <w:rPr>
          <w:rFonts w:ascii="Arial" w:eastAsiaTheme="minorHAnsi" w:hAnsi="Arial" w:cs="Arial"/>
        </w:rPr>
      </w:pPr>
      <w:r w:rsidRPr="00DD2D9D">
        <w:rPr>
          <w:rFonts w:ascii="Arial" w:eastAsiaTheme="minorHAnsi" w:hAnsi="Arial" w:cs="Arial"/>
        </w:rPr>
        <w:t>29.</w:t>
      </w:r>
      <w:r w:rsidRPr="00DD2D9D">
        <w:rPr>
          <w:rFonts w:ascii="Arial" w:eastAsiaTheme="minorHAnsi" w:hAnsi="Arial" w:cs="Arial"/>
        </w:rPr>
        <w:tab/>
        <w:t xml:space="preserve">Kerimov, N. </w:t>
      </w:r>
      <w:r w:rsidRPr="00DD2D9D">
        <w:rPr>
          <w:rFonts w:ascii="Arial" w:eastAsiaTheme="minorHAnsi" w:hAnsi="Arial" w:cs="Arial"/>
          <w:i/>
          <w:iCs/>
        </w:rPr>
        <w:t>et al.</w:t>
      </w:r>
      <w:r w:rsidRPr="00DD2D9D">
        <w:rPr>
          <w:rFonts w:ascii="Arial" w:eastAsiaTheme="minorHAnsi" w:hAnsi="Arial" w:cs="Arial"/>
        </w:rPr>
        <w:t xml:space="preserve"> A compendium of uniformly processed human gene expression and splicing quantitative trait loci. </w:t>
      </w:r>
      <w:r w:rsidRPr="00DD2D9D">
        <w:rPr>
          <w:rFonts w:ascii="Arial" w:eastAsiaTheme="minorHAnsi" w:hAnsi="Arial" w:cs="Arial"/>
          <w:i/>
          <w:iCs/>
        </w:rPr>
        <w:t>Nat Genet</w:t>
      </w:r>
      <w:r w:rsidRPr="00DD2D9D">
        <w:rPr>
          <w:rFonts w:ascii="Arial" w:eastAsiaTheme="minorHAnsi" w:hAnsi="Arial" w:cs="Arial"/>
        </w:rPr>
        <w:t xml:space="preserve"> </w:t>
      </w:r>
      <w:r w:rsidRPr="00DD2D9D">
        <w:rPr>
          <w:rFonts w:ascii="Arial" w:eastAsiaTheme="minorHAnsi" w:hAnsi="Arial" w:cs="Arial"/>
          <w:b/>
          <w:bCs/>
        </w:rPr>
        <w:t>53</w:t>
      </w:r>
      <w:r w:rsidRPr="00DD2D9D">
        <w:rPr>
          <w:rFonts w:ascii="Arial" w:eastAsiaTheme="minorHAnsi" w:hAnsi="Arial" w:cs="Arial"/>
        </w:rPr>
        <w:t>, 1290–1299 (2021).</w:t>
      </w:r>
    </w:p>
    <w:p w14:paraId="6ECBF27A" w14:textId="77777777" w:rsidR="00090528" w:rsidRPr="00DD2D9D" w:rsidRDefault="00090528" w:rsidP="00627AEF">
      <w:pPr>
        <w:pStyle w:val="Bibliography"/>
        <w:spacing w:line="240" w:lineRule="auto"/>
        <w:contextualSpacing/>
        <w:rPr>
          <w:rFonts w:ascii="Arial" w:eastAsiaTheme="minorHAnsi" w:hAnsi="Arial" w:cs="Arial"/>
        </w:rPr>
      </w:pPr>
      <w:r w:rsidRPr="00DD2D9D">
        <w:rPr>
          <w:rFonts w:ascii="Arial" w:eastAsiaTheme="minorHAnsi" w:hAnsi="Arial" w:cs="Arial"/>
        </w:rPr>
        <w:t>30.</w:t>
      </w:r>
      <w:r w:rsidRPr="00DD2D9D">
        <w:rPr>
          <w:rFonts w:ascii="Arial" w:eastAsiaTheme="minorHAnsi" w:hAnsi="Arial" w:cs="Arial"/>
        </w:rPr>
        <w:tab/>
        <w:t xml:space="preserve">Võsa, U. </w:t>
      </w:r>
      <w:r w:rsidRPr="00DD2D9D">
        <w:rPr>
          <w:rFonts w:ascii="Arial" w:eastAsiaTheme="minorHAnsi" w:hAnsi="Arial" w:cs="Arial"/>
          <w:i/>
          <w:iCs/>
        </w:rPr>
        <w:t>et al.</w:t>
      </w:r>
      <w:r w:rsidRPr="00DD2D9D">
        <w:rPr>
          <w:rFonts w:ascii="Arial" w:eastAsiaTheme="minorHAnsi" w:hAnsi="Arial" w:cs="Arial"/>
        </w:rPr>
        <w:t xml:space="preserve"> Large-scale cis- and trans-eQTL analyses identify thousands of genetic loci and polygenic scores that regulate blood gene expression. </w:t>
      </w:r>
      <w:r w:rsidRPr="00DD2D9D">
        <w:rPr>
          <w:rFonts w:ascii="Arial" w:eastAsiaTheme="minorHAnsi" w:hAnsi="Arial" w:cs="Arial"/>
          <w:i/>
          <w:iCs/>
        </w:rPr>
        <w:t>Nat Genet</w:t>
      </w:r>
      <w:r w:rsidRPr="00DD2D9D">
        <w:rPr>
          <w:rFonts w:ascii="Arial" w:eastAsiaTheme="minorHAnsi" w:hAnsi="Arial" w:cs="Arial"/>
        </w:rPr>
        <w:t xml:space="preserve"> </w:t>
      </w:r>
      <w:r w:rsidRPr="00DD2D9D">
        <w:rPr>
          <w:rFonts w:ascii="Arial" w:eastAsiaTheme="minorHAnsi" w:hAnsi="Arial" w:cs="Arial"/>
          <w:b/>
          <w:bCs/>
        </w:rPr>
        <w:t>53</w:t>
      </w:r>
      <w:r w:rsidRPr="00DD2D9D">
        <w:rPr>
          <w:rFonts w:ascii="Arial" w:eastAsiaTheme="minorHAnsi" w:hAnsi="Arial" w:cs="Arial"/>
        </w:rPr>
        <w:t>, 1300–1310 (2021).</w:t>
      </w:r>
    </w:p>
    <w:p w14:paraId="212230BA" w14:textId="77777777" w:rsidR="00090528" w:rsidRPr="00DD2D9D" w:rsidRDefault="00090528" w:rsidP="00627AEF">
      <w:pPr>
        <w:pStyle w:val="Bibliography"/>
        <w:spacing w:line="240" w:lineRule="auto"/>
        <w:contextualSpacing/>
        <w:rPr>
          <w:rFonts w:ascii="Arial" w:eastAsiaTheme="minorHAnsi" w:hAnsi="Arial" w:cs="Arial"/>
        </w:rPr>
      </w:pPr>
      <w:r w:rsidRPr="00DD2D9D">
        <w:rPr>
          <w:rFonts w:ascii="Arial" w:eastAsiaTheme="minorHAnsi" w:hAnsi="Arial" w:cs="Arial"/>
        </w:rPr>
        <w:t>31.</w:t>
      </w:r>
      <w:r w:rsidRPr="00DD2D9D">
        <w:rPr>
          <w:rFonts w:ascii="Arial" w:eastAsiaTheme="minorHAnsi" w:hAnsi="Arial" w:cs="Arial"/>
        </w:rPr>
        <w:tab/>
        <w:t xml:space="preserve">Xiao, Q. </w:t>
      </w:r>
      <w:r w:rsidRPr="00DD2D9D">
        <w:rPr>
          <w:rFonts w:ascii="Arial" w:eastAsiaTheme="minorHAnsi" w:hAnsi="Arial" w:cs="Arial"/>
          <w:i/>
          <w:iCs/>
        </w:rPr>
        <w:t>et al.</w:t>
      </w:r>
      <w:r w:rsidRPr="00DD2D9D">
        <w:rPr>
          <w:rFonts w:ascii="Arial" w:eastAsiaTheme="minorHAnsi" w:hAnsi="Arial" w:cs="Arial"/>
        </w:rPr>
        <w:t xml:space="preserve"> Immunosuppression causes dynamic changes in expression QTLs in psoriatic skin. </w:t>
      </w:r>
      <w:r w:rsidRPr="00DD2D9D">
        <w:rPr>
          <w:rFonts w:ascii="Arial" w:eastAsiaTheme="minorHAnsi" w:hAnsi="Arial" w:cs="Arial"/>
          <w:i/>
          <w:iCs/>
        </w:rPr>
        <w:t>Nat Commun</w:t>
      </w:r>
      <w:r w:rsidRPr="00DD2D9D">
        <w:rPr>
          <w:rFonts w:ascii="Arial" w:eastAsiaTheme="minorHAnsi" w:hAnsi="Arial" w:cs="Arial"/>
        </w:rPr>
        <w:t xml:space="preserve"> </w:t>
      </w:r>
      <w:r w:rsidRPr="00DD2D9D">
        <w:rPr>
          <w:rFonts w:ascii="Arial" w:eastAsiaTheme="minorHAnsi" w:hAnsi="Arial" w:cs="Arial"/>
          <w:b/>
          <w:bCs/>
        </w:rPr>
        <w:t>14</w:t>
      </w:r>
      <w:r w:rsidRPr="00DD2D9D">
        <w:rPr>
          <w:rFonts w:ascii="Arial" w:eastAsiaTheme="minorHAnsi" w:hAnsi="Arial" w:cs="Arial"/>
        </w:rPr>
        <w:t>, 6268 (2023).</w:t>
      </w:r>
    </w:p>
    <w:p w14:paraId="37B41388" w14:textId="77777777" w:rsidR="00090528" w:rsidRPr="00DD2D9D" w:rsidRDefault="00090528" w:rsidP="00627AEF">
      <w:pPr>
        <w:pStyle w:val="Bibliography"/>
        <w:spacing w:line="240" w:lineRule="auto"/>
        <w:contextualSpacing/>
        <w:rPr>
          <w:rFonts w:ascii="Arial" w:eastAsiaTheme="minorHAnsi" w:hAnsi="Arial" w:cs="Arial"/>
        </w:rPr>
      </w:pPr>
      <w:r w:rsidRPr="00DD2D9D">
        <w:rPr>
          <w:rFonts w:ascii="Arial" w:eastAsiaTheme="minorHAnsi" w:hAnsi="Arial" w:cs="Arial"/>
        </w:rPr>
        <w:t>32.</w:t>
      </w:r>
      <w:r w:rsidRPr="00DD2D9D">
        <w:rPr>
          <w:rFonts w:ascii="Arial" w:eastAsiaTheme="minorHAnsi" w:hAnsi="Arial" w:cs="Arial"/>
        </w:rPr>
        <w:tab/>
        <w:t xml:space="preserve">Giambartolomei, C. </w:t>
      </w:r>
      <w:r w:rsidRPr="00DD2D9D">
        <w:rPr>
          <w:rFonts w:ascii="Arial" w:eastAsiaTheme="minorHAnsi" w:hAnsi="Arial" w:cs="Arial"/>
          <w:i/>
          <w:iCs/>
        </w:rPr>
        <w:t>et al.</w:t>
      </w:r>
      <w:r w:rsidRPr="00DD2D9D">
        <w:rPr>
          <w:rFonts w:ascii="Arial" w:eastAsiaTheme="minorHAnsi" w:hAnsi="Arial" w:cs="Arial"/>
        </w:rPr>
        <w:t xml:space="preserve"> Bayesian test for colocalisation between pairs of genetic association studies using summary statistics. </w:t>
      </w:r>
      <w:r w:rsidRPr="00DD2D9D">
        <w:rPr>
          <w:rFonts w:ascii="Arial" w:eastAsiaTheme="minorHAnsi" w:hAnsi="Arial" w:cs="Arial"/>
          <w:i/>
          <w:iCs/>
        </w:rPr>
        <w:t>PLoS Genet</w:t>
      </w:r>
      <w:r w:rsidRPr="00DD2D9D">
        <w:rPr>
          <w:rFonts w:ascii="Arial" w:eastAsiaTheme="minorHAnsi" w:hAnsi="Arial" w:cs="Arial"/>
        </w:rPr>
        <w:t xml:space="preserve"> </w:t>
      </w:r>
      <w:r w:rsidRPr="00DD2D9D">
        <w:rPr>
          <w:rFonts w:ascii="Arial" w:eastAsiaTheme="minorHAnsi" w:hAnsi="Arial" w:cs="Arial"/>
          <w:b/>
          <w:bCs/>
        </w:rPr>
        <w:t>10</w:t>
      </w:r>
      <w:r w:rsidRPr="00DD2D9D">
        <w:rPr>
          <w:rFonts w:ascii="Arial" w:eastAsiaTheme="minorHAnsi" w:hAnsi="Arial" w:cs="Arial"/>
        </w:rPr>
        <w:t>, e1004383 (2014).</w:t>
      </w:r>
    </w:p>
    <w:p w14:paraId="125E1895" w14:textId="77777777" w:rsidR="00090528" w:rsidRPr="00DD2D9D" w:rsidRDefault="00090528" w:rsidP="00627AEF">
      <w:pPr>
        <w:pStyle w:val="Bibliography"/>
        <w:spacing w:line="240" w:lineRule="auto"/>
        <w:contextualSpacing/>
        <w:rPr>
          <w:rFonts w:ascii="Arial" w:eastAsiaTheme="minorHAnsi" w:hAnsi="Arial" w:cs="Arial"/>
        </w:rPr>
      </w:pPr>
      <w:r w:rsidRPr="00DD2D9D">
        <w:rPr>
          <w:rFonts w:ascii="Arial" w:eastAsiaTheme="minorHAnsi" w:hAnsi="Arial" w:cs="Arial"/>
        </w:rPr>
        <w:t>33.</w:t>
      </w:r>
      <w:r w:rsidRPr="00DD2D9D">
        <w:rPr>
          <w:rFonts w:ascii="Arial" w:eastAsiaTheme="minorHAnsi" w:hAnsi="Arial" w:cs="Arial"/>
        </w:rPr>
        <w:tab/>
        <w:t xml:space="preserve">Ober-Reynolds, B. </w:t>
      </w:r>
      <w:r w:rsidRPr="00DD2D9D">
        <w:rPr>
          <w:rFonts w:ascii="Arial" w:eastAsiaTheme="minorHAnsi" w:hAnsi="Arial" w:cs="Arial"/>
          <w:i/>
          <w:iCs/>
        </w:rPr>
        <w:t>et al.</w:t>
      </w:r>
      <w:r w:rsidRPr="00DD2D9D">
        <w:rPr>
          <w:rFonts w:ascii="Arial" w:eastAsiaTheme="minorHAnsi" w:hAnsi="Arial" w:cs="Arial"/>
        </w:rPr>
        <w:t xml:space="preserve"> Integrated single-cell chromatin and transcriptomic analyses of human scalp identify gene-regulatory programs and critical cell types for hair and skin diseases. </w:t>
      </w:r>
      <w:r w:rsidRPr="00DD2D9D">
        <w:rPr>
          <w:rFonts w:ascii="Arial" w:eastAsiaTheme="minorHAnsi" w:hAnsi="Arial" w:cs="Arial"/>
          <w:i/>
          <w:iCs/>
        </w:rPr>
        <w:t>Nat Genet</w:t>
      </w:r>
      <w:r w:rsidRPr="00DD2D9D">
        <w:rPr>
          <w:rFonts w:ascii="Arial" w:eastAsiaTheme="minorHAnsi" w:hAnsi="Arial" w:cs="Arial"/>
        </w:rPr>
        <w:t xml:space="preserve"> </w:t>
      </w:r>
      <w:r w:rsidRPr="00DD2D9D">
        <w:rPr>
          <w:rFonts w:ascii="Arial" w:eastAsiaTheme="minorHAnsi" w:hAnsi="Arial" w:cs="Arial"/>
          <w:b/>
          <w:bCs/>
        </w:rPr>
        <w:t>55</w:t>
      </w:r>
      <w:r w:rsidRPr="00DD2D9D">
        <w:rPr>
          <w:rFonts w:ascii="Arial" w:eastAsiaTheme="minorHAnsi" w:hAnsi="Arial" w:cs="Arial"/>
        </w:rPr>
        <w:t>, 1288–1300 (2023).</w:t>
      </w:r>
    </w:p>
    <w:p w14:paraId="3EE1CD3E" w14:textId="77777777" w:rsidR="00090528" w:rsidRPr="00DD2D9D" w:rsidRDefault="00090528" w:rsidP="00627AEF">
      <w:pPr>
        <w:pStyle w:val="Bibliography"/>
        <w:spacing w:line="240" w:lineRule="auto"/>
        <w:contextualSpacing/>
        <w:rPr>
          <w:rFonts w:ascii="Arial" w:eastAsiaTheme="minorHAnsi" w:hAnsi="Arial" w:cs="Arial"/>
        </w:rPr>
      </w:pPr>
      <w:r w:rsidRPr="00DD2D9D">
        <w:rPr>
          <w:rFonts w:ascii="Arial" w:eastAsiaTheme="minorHAnsi" w:hAnsi="Arial" w:cs="Arial"/>
        </w:rPr>
        <w:t>34.</w:t>
      </w:r>
      <w:r w:rsidRPr="00DD2D9D">
        <w:rPr>
          <w:rFonts w:ascii="Arial" w:eastAsiaTheme="minorHAnsi" w:hAnsi="Arial" w:cs="Arial"/>
        </w:rPr>
        <w:tab/>
        <w:t xml:space="preserve">Freudenberg, J. M. </w:t>
      </w:r>
      <w:r w:rsidRPr="00DD2D9D">
        <w:rPr>
          <w:rFonts w:ascii="Arial" w:eastAsiaTheme="minorHAnsi" w:hAnsi="Arial" w:cs="Arial"/>
          <w:i/>
          <w:iCs/>
        </w:rPr>
        <w:t>et al.</w:t>
      </w:r>
      <w:r w:rsidRPr="00DD2D9D">
        <w:rPr>
          <w:rFonts w:ascii="Arial" w:eastAsiaTheme="minorHAnsi" w:hAnsi="Arial" w:cs="Arial"/>
        </w:rPr>
        <w:t xml:space="preserve"> A Hidradenitis Suppurativa molecular disease signature derived from patient samples by high-throughput RNA sequencing and re-analysis of previously reported transcriptomic data sets. </w:t>
      </w:r>
      <w:r w:rsidRPr="00DD2D9D">
        <w:rPr>
          <w:rFonts w:ascii="Arial" w:eastAsiaTheme="minorHAnsi" w:hAnsi="Arial" w:cs="Arial"/>
          <w:i/>
          <w:iCs/>
        </w:rPr>
        <w:t>PLoS One</w:t>
      </w:r>
      <w:r w:rsidRPr="00DD2D9D">
        <w:rPr>
          <w:rFonts w:ascii="Arial" w:eastAsiaTheme="minorHAnsi" w:hAnsi="Arial" w:cs="Arial"/>
        </w:rPr>
        <w:t xml:space="preserve"> </w:t>
      </w:r>
      <w:r w:rsidRPr="00DD2D9D">
        <w:rPr>
          <w:rFonts w:ascii="Arial" w:eastAsiaTheme="minorHAnsi" w:hAnsi="Arial" w:cs="Arial"/>
          <w:b/>
          <w:bCs/>
        </w:rPr>
        <w:t>18</w:t>
      </w:r>
      <w:r w:rsidRPr="00DD2D9D">
        <w:rPr>
          <w:rFonts w:ascii="Arial" w:eastAsiaTheme="minorHAnsi" w:hAnsi="Arial" w:cs="Arial"/>
        </w:rPr>
        <w:t>, e0284047 (2023).</w:t>
      </w:r>
    </w:p>
    <w:p w14:paraId="778B9771" w14:textId="77777777" w:rsidR="00090528" w:rsidRPr="00DD2D9D" w:rsidRDefault="00090528" w:rsidP="00627AEF">
      <w:pPr>
        <w:pStyle w:val="Bibliography"/>
        <w:spacing w:line="240" w:lineRule="auto"/>
        <w:contextualSpacing/>
        <w:rPr>
          <w:rFonts w:ascii="Arial" w:eastAsiaTheme="minorHAnsi" w:hAnsi="Arial" w:cs="Arial"/>
        </w:rPr>
      </w:pPr>
      <w:r w:rsidRPr="00DD2D9D">
        <w:rPr>
          <w:rFonts w:ascii="Arial" w:eastAsiaTheme="minorHAnsi" w:hAnsi="Arial" w:cs="Arial"/>
        </w:rPr>
        <w:t>35.</w:t>
      </w:r>
      <w:r w:rsidRPr="00DD2D9D">
        <w:rPr>
          <w:rFonts w:ascii="Arial" w:eastAsiaTheme="minorHAnsi" w:hAnsi="Arial" w:cs="Arial"/>
        </w:rPr>
        <w:tab/>
        <w:t xml:space="preserve">Quinlan, A. R. &amp; Hall, I. M. BEDTools: a flexible suite of utilities for comparing genomic features. </w:t>
      </w:r>
      <w:r w:rsidRPr="00DD2D9D">
        <w:rPr>
          <w:rFonts w:ascii="Arial" w:eastAsiaTheme="minorHAnsi" w:hAnsi="Arial" w:cs="Arial"/>
          <w:i/>
          <w:iCs/>
        </w:rPr>
        <w:t>Bioinformatics</w:t>
      </w:r>
      <w:r w:rsidRPr="00DD2D9D">
        <w:rPr>
          <w:rFonts w:ascii="Arial" w:eastAsiaTheme="minorHAnsi" w:hAnsi="Arial" w:cs="Arial"/>
        </w:rPr>
        <w:t xml:space="preserve"> </w:t>
      </w:r>
      <w:r w:rsidRPr="00DD2D9D">
        <w:rPr>
          <w:rFonts w:ascii="Arial" w:eastAsiaTheme="minorHAnsi" w:hAnsi="Arial" w:cs="Arial"/>
          <w:b/>
          <w:bCs/>
        </w:rPr>
        <w:t>26</w:t>
      </w:r>
      <w:r w:rsidRPr="00DD2D9D">
        <w:rPr>
          <w:rFonts w:ascii="Arial" w:eastAsiaTheme="minorHAnsi" w:hAnsi="Arial" w:cs="Arial"/>
        </w:rPr>
        <w:t>, 841–842 (2010).</w:t>
      </w:r>
    </w:p>
    <w:p w14:paraId="413DB4AD" w14:textId="77777777" w:rsidR="00090528" w:rsidRPr="00DD2D9D" w:rsidRDefault="00090528" w:rsidP="00627AEF">
      <w:pPr>
        <w:pStyle w:val="Bibliography"/>
        <w:spacing w:line="240" w:lineRule="auto"/>
        <w:contextualSpacing/>
        <w:rPr>
          <w:rFonts w:ascii="Arial" w:eastAsiaTheme="minorHAnsi" w:hAnsi="Arial" w:cs="Arial"/>
        </w:rPr>
      </w:pPr>
      <w:r w:rsidRPr="00DD2D9D">
        <w:rPr>
          <w:rFonts w:ascii="Arial" w:eastAsiaTheme="minorHAnsi" w:hAnsi="Arial" w:cs="Arial"/>
        </w:rPr>
        <w:t>36.</w:t>
      </w:r>
      <w:r w:rsidRPr="00DD2D9D">
        <w:rPr>
          <w:rFonts w:ascii="Arial" w:eastAsiaTheme="minorHAnsi" w:hAnsi="Arial" w:cs="Arial"/>
        </w:rPr>
        <w:tab/>
        <w:t xml:space="preserve">Kent, W. J. </w:t>
      </w:r>
      <w:r w:rsidRPr="00DD2D9D">
        <w:rPr>
          <w:rFonts w:ascii="Arial" w:eastAsiaTheme="minorHAnsi" w:hAnsi="Arial" w:cs="Arial"/>
          <w:i/>
          <w:iCs/>
        </w:rPr>
        <w:t>et al.</w:t>
      </w:r>
      <w:r w:rsidRPr="00DD2D9D">
        <w:rPr>
          <w:rFonts w:ascii="Arial" w:eastAsiaTheme="minorHAnsi" w:hAnsi="Arial" w:cs="Arial"/>
        </w:rPr>
        <w:t xml:space="preserve"> The human genome browser at UCSC. </w:t>
      </w:r>
      <w:r w:rsidRPr="00DD2D9D">
        <w:rPr>
          <w:rFonts w:ascii="Arial" w:eastAsiaTheme="minorHAnsi" w:hAnsi="Arial" w:cs="Arial"/>
          <w:i/>
          <w:iCs/>
        </w:rPr>
        <w:t>Genome Res</w:t>
      </w:r>
      <w:r w:rsidRPr="00DD2D9D">
        <w:rPr>
          <w:rFonts w:ascii="Arial" w:eastAsiaTheme="minorHAnsi" w:hAnsi="Arial" w:cs="Arial"/>
        </w:rPr>
        <w:t xml:space="preserve"> </w:t>
      </w:r>
      <w:r w:rsidRPr="00DD2D9D">
        <w:rPr>
          <w:rFonts w:ascii="Arial" w:eastAsiaTheme="minorHAnsi" w:hAnsi="Arial" w:cs="Arial"/>
          <w:b/>
          <w:bCs/>
        </w:rPr>
        <w:t>12</w:t>
      </w:r>
      <w:r w:rsidRPr="00DD2D9D">
        <w:rPr>
          <w:rFonts w:ascii="Arial" w:eastAsiaTheme="minorHAnsi" w:hAnsi="Arial" w:cs="Arial"/>
        </w:rPr>
        <w:t>, 996–1006 (2002).</w:t>
      </w:r>
    </w:p>
    <w:p w14:paraId="7749169A" w14:textId="77777777" w:rsidR="00090528" w:rsidRPr="00DD2D9D" w:rsidRDefault="00090528" w:rsidP="00627AEF">
      <w:pPr>
        <w:pStyle w:val="Bibliography"/>
        <w:spacing w:line="240" w:lineRule="auto"/>
        <w:contextualSpacing/>
        <w:rPr>
          <w:rFonts w:ascii="Arial" w:eastAsiaTheme="minorHAnsi" w:hAnsi="Arial" w:cs="Arial"/>
        </w:rPr>
      </w:pPr>
      <w:r w:rsidRPr="00DD2D9D">
        <w:rPr>
          <w:rFonts w:ascii="Arial" w:eastAsiaTheme="minorHAnsi" w:hAnsi="Arial" w:cs="Arial"/>
        </w:rPr>
        <w:t>37.</w:t>
      </w:r>
      <w:r w:rsidRPr="00DD2D9D">
        <w:rPr>
          <w:rFonts w:ascii="Arial" w:eastAsiaTheme="minorHAnsi" w:hAnsi="Arial" w:cs="Arial"/>
        </w:rPr>
        <w:tab/>
        <w:t xml:space="preserve">Martin, J. S. </w:t>
      </w:r>
      <w:r w:rsidRPr="00DD2D9D">
        <w:rPr>
          <w:rFonts w:ascii="Arial" w:eastAsiaTheme="minorHAnsi" w:hAnsi="Arial" w:cs="Arial"/>
          <w:i/>
          <w:iCs/>
        </w:rPr>
        <w:t>et al.</w:t>
      </w:r>
      <w:r w:rsidRPr="00DD2D9D">
        <w:rPr>
          <w:rFonts w:ascii="Arial" w:eastAsiaTheme="minorHAnsi" w:hAnsi="Arial" w:cs="Arial"/>
        </w:rPr>
        <w:t xml:space="preserve"> HUGIn: Hi-C Unifying Genomic Interrogator. </w:t>
      </w:r>
      <w:r w:rsidRPr="00DD2D9D">
        <w:rPr>
          <w:rFonts w:ascii="Arial" w:eastAsiaTheme="minorHAnsi" w:hAnsi="Arial" w:cs="Arial"/>
          <w:i/>
          <w:iCs/>
        </w:rPr>
        <w:t>Bioinformatics</w:t>
      </w:r>
      <w:r w:rsidRPr="00DD2D9D">
        <w:rPr>
          <w:rFonts w:ascii="Arial" w:eastAsiaTheme="minorHAnsi" w:hAnsi="Arial" w:cs="Arial"/>
        </w:rPr>
        <w:t xml:space="preserve"> </w:t>
      </w:r>
      <w:r w:rsidRPr="00DD2D9D">
        <w:rPr>
          <w:rFonts w:ascii="Arial" w:eastAsiaTheme="minorHAnsi" w:hAnsi="Arial" w:cs="Arial"/>
          <w:b/>
          <w:bCs/>
        </w:rPr>
        <w:t>33</w:t>
      </w:r>
      <w:r w:rsidRPr="00DD2D9D">
        <w:rPr>
          <w:rFonts w:ascii="Arial" w:eastAsiaTheme="minorHAnsi" w:hAnsi="Arial" w:cs="Arial"/>
        </w:rPr>
        <w:t>, 3793–3795 (2017).</w:t>
      </w:r>
    </w:p>
    <w:p w14:paraId="49F51645" w14:textId="77777777" w:rsidR="00090528" w:rsidRPr="00DD2D9D" w:rsidRDefault="00090528" w:rsidP="00627AEF">
      <w:pPr>
        <w:pStyle w:val="Bibliography"/>
        <w:spacing w:line="240" w:lineRule="auto"/>
        <w:contextualSpacing/>
        <w:rPr>
          <w:rFonts w:ascii="Arial" w:eastAsiaTheme="minorHAnsi" w:hAnsi="Arial" w:cs="Arial"/>
        </w:rPr>
      </w:pPr>
      <w:r w:rsidRPr="00DD2D9D">
        <w:rPr>
          <w:rFonts w:ascii="Arial" w:eastAsiaTheme="minorHAnsi" w:hAnsi="Arial" w:cs="Arial"/>
        </w:rPr>
        <w:t>38.</w:t>
      </w:r>
      <w:r w:rsidRPr="00DD2D9D">
        <w:rPr>
          <w:rFonts w:ascii="Arial" w:eastAsiaTheme="minorHAnsi" w:hAnsi="Arial" w:cs="Arial"/>
        </w:rPr>
        <w:tab/>
        <w:t xml:space="preserve">Schmitt, A. D. </w:t>
      </w:r>
      <w:r w:rsidRPr="00DD2D9D">
        <w:rPr>
          <w:rFonts w:ascii="Arial" w:eastAsiaTheme="minorHAnsi" w:hAnsi="Arial" w:cs="Arial"/>
          <w:i/>
          <w:iCs/>
        </w:rPr>
        <w:t>et al.</w:t>
      </w:r>
      <w:r w:rsidRPr="00DD2D9D">
        <w:rPr>
          <w:rFonts w:ascii="Arial" w:eastAsiaTheme="minorHAnsi" w:hAnsi="Arial" w:cs="Arial"/>
        </w:rPr>
        <w:t xml:space="preserve"> A Compendium of Chromatin Contact Maps Reveals Spatially Active Regions in the Human Genome. </w:t>
      </w:r>
      <w:r w:rsidRPr="00DD2D9D">
        <w:rPr>
          <w:rFonts w:ascii="Arial" w:eastAsiaTheme="minorHAnsi" w:hAnsi="Arial" w:cs="Arial"/>
          <w:i/>
          <w:iCs/>
        </w:rPr>
        <w:t>Cell Rep</w:t>
      </w:r>
      <w:r w:rsidRPr="00DD2D9D">
        <w:rPr>
          <w:rFonts w:ascii="Arial" w:eastAsiaTheme="minorHAnsi" w:hAnsi="Arial" w:cs="Arial"/>
        </w:rPr>
        <w:t xml:space="preserve"> </w:t>
      </w:r>
      <w:r w:rsidRPr="00DD2D9D">
        <w:rPr>
          <w:rFonts w:ascii="Arial" w:eastAsiaTheme="minorHAnsi" w:hAnsi="Arial" w:cs="Arial"/>
          <w:b/>
          <w:bCs/>
        </w:rPr>
        <w:t>17</w:t>
      </w:r>
      <w:r w:rsidRPr="00DD2D9D">
        <w:rPr>
          <w:rFonts w:ascii="Arial" w:eastAsiaTheme="minorHAnsi" w:hAnsi="Arial" w:cs="Arial"/>
        </w:rPr>
        <w:t>, 2042–2059 (2016).</w:t>
      </w:r>
    </w:p>
    <w:p w14:paraId="5A64265D" w14:textId="77777777" w:rsidR="00090528" w:rsidRPr="00DD2D9D" w:rsidRDefault="00090528" w:rsidP="00627AEF">
      <w:pPr>
        <w:pStyle w:val="Bibliography"/>
        <w:spacing w:line="240" w:lineRule="auto"/>
        <w:contextualSpacing/>
        <w:rPr>
          <w:rFonts w:ascii="Arial" w:eastAsiaTheme="minorHAnsi" w:hAnsi="Arial" w:cs="Arial"/>
        </w:rPr>
      </w:pPr>
      <w:r w:rsidRPr="00DD2D9D">
        <w:rPr>
          <w:rFonts w:ascii="Arial" w:eastAsiaTheme="minorHAnsi" w:hAnsi="Arial" w:cs="Arial"/>
        </w:rPr>
        <w:t>39.</w:t>
      </w:r>
      <w:r w:rsidRPr="00DD2D9D">
        <w:rPr>
          <w:rFonts w:ascii="Arial" w:eastAsiaTheme="minorHAnsi" w:hAnsi="Arial" w:cs="Arial"/>
        </w:rPr>
        <w:tab/>
        <w:t xml:space="preserve">Campanati, A. </w:t>
      </w:r>
      <w:r w:rsidRPr="00DD2D9D">
        <w:rPr>
          <w:rFonts w:ascii="Arial" w:eastAsiaTheme="minorHAnsi" w:hAnsi="Arial" w:cs="Arial"/>
          <w:i/>
          <w:iCs/>
        </w:rPr>
        <w:t>et al.</w:t>
      </w:r>
      <w:r w:rsidRPr="00DD2D9D">
        <w:rPr>
          <w:rFonts w:ascii="Arial" w:eastAsiaTheme="minorHAnsi" w:hAnsi="Arial" w:cs="Arial"/>
        </w:rPr>
        <w:t xml:space="preserve"> Pathogenetic Characteristics of Mesenchymal Stem Cells in Hidradenitis Suppurativa. </w:t>
      </w:r>
      <w:r w:rsidRPr="00DD2D9D">
        <w:rPr>
          <w:rFonts w:ascii="Arial" w:eastAsiaTheme="minorHAnsi" w:hAnsi="Arial" w:cs="Arial"/>
          <w:i/>
          <w:iCs/>
        </w:rPr>
        <w:t>JAMA Dermatol</w:t>
      </w:r>
      <w:r w:rsidRPr="00DD2D9D">
        <w:rPr>
          <w:rFonts w:ascii="Arial" w:eastAsiaTheme="minorHAnsi" w:hAnsi="Arial" w:cs="Arial"/>
        </w:rPr>
        <w:t xml:space="preserve"> </w:t>
      </w:r>
      <w:r w:rsidRPr="00DD2D9D">
        <w:rPr>
          <w:rFonts w:ascii="Arial" w:eastAsiaTheme="minorHAnsi" w:hAnsi="Arial" w:cs="Arial"/>
          <w:b/>
          <w:bCs/>
        </w:rPr>
        <w:t>154</w:t>
      </w:r>
      <w:r w:rsidRPr="00DD2D9D">
        <w:rPr>
          <w:rFonts w:ascii="Arial" w:eastAsiaTheme="minorHAnsi" w:hAnsi="Arial" w:cs="Arial"/>
        </w:rPr>
        <w:t>, 1184–1190 (2018).</w:t>
      </w:r>
    </w:p>
    <w:p w14:paraId="4E2D4169" w14:textId="4F209AB2" w:rsidR="00DA2A15" w:rsidRDefault="00A903A8" w:rsidP="00627AEF">
      <w:pPr>
        <w:pStyle w:val="Bibliography"/>
        <w:spacing w:line="240" w:lineRule="auto"/>
        <w:contextualSpacing/>
      </w:pPr>
      <w:r w:rsidRPr="00DD2D9D">
        <w:rPr>
          <w:rFonts w:ascii="Arial" w:hAnsi="Arial" w:cs="Arial"/>
        </w:rPr>
        <w:fldChar w:fldCharType="end"/>
      </w:r>
    </w:p>
    <w:sectPr w:rsidR="00DA2A15" w:rsidSect="00E209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B72"/>
    <w:rsid w:val="000228E6"/>
    <w:rsid w:val="00023D77"/>
    <w:rsid w:val="00023FBC"/>
    <w:rsid w:val="00024C6B"/>
    <w:rsid w:val="00026B72"/>
    <w:rsid w:val="00027735"/>
    <w:rsid w:val="00031CC3"/>
    <w:rsid w:val="00037576"/>
    <w:rsid w:val="00053270"/>
    <w:rsid w:val="00055E04"/>
    <w:rsid w:val="00062846"/>
    <w:rsid w:val="00074A05"/>
    <w:rsid w:val="00085683"/>
    <w:rsid w:val="00087384"/>
    <w:rsid w:val="00090528"/>
    <w:rsid w:val="0009461B"/>
    <w:rsid w:val="000A0713"/>
    <w:rsid w:val="000C1F1E"/>
    <w:rsid w:val="000C3301"/>
    <w:rsid w:val="000C470C"/>
    <w:rsid w:val="000D2277"/>
    <w:rsid w:val="000E3B42"/>
    <w:rsid w:val="000F3989"/>
    <w:rsid w:val="000F3F21"/>
    <w:rsid w:val="00127E6A"/>
    <w:rsid w:val="00163A92"/>
    <w:rsid w:val="00167436"/>
    <w:rsid w:val="0019029E"/>
    <w:rsid w:val="00192DD3"/>
    <w:rsid w:val="001A7063"/>
    <w:rsid w:val="001B3DB8"/>
    <w:rsid w:val="001B554E"/>
    <w:rsid w:val="001C55ED"/>
    <w:rsid w:val="001C677F"/>
    <w:rsid w:val="001C70D9"/>
    <w:rsid w:val="00202CD9"/>
    <w:rsid w:val="00205016"/>
    <w:rsid w:val="00206BB5"/>
    <w:rsid w:val="00237C20"/>
    <w:rsid w:val="0025152E"/>
    <w:rsid w:val="00253E0F"/>
    <w:rsid w:val="00256B12"/>
    <w:rsid w:val="00262F50"/>
    <w:rsid w:val="00263D20"/>
    <w:rsid w:val="00276199"/>
    <w:rsid w:val="00286812"/>
    <w:rsid w:val="002A672F"/>
    <w:rsid w:val="002A6C48"/>
    <w:rsid w:val="002B3566"/>
    <w:rsid w:val="002B50CB"/>
    <w:rsid w:val="002D786F"/>
    <w:rsid w:val="002E0AF7"/>
    <w:rsid w:val="002E2CF2"/>
    <w:rsid w:val="002E4F8B"/>
    <w:rsid w:val="002F337B"/>
    <w:rsid w:val="00310CF6"/>
    <w:rsid w:val="0031491A"/>
    <w:rsid w:val="00333C1F"/>
    <w:rsid w:val="003418A1"/>
    <w:rsid w:val="0034416F"/>
    <w:rsid w:val="00344906"/>
    <w:rsid w:val="00352E2E"/>
    <w:rsid w:val="003562FD"/>
    <w:rsid w:val="0036401C"/>
    <w:rsid w:val="003721E0"/>
    <w:rsid w:val="00373DD6"/>
    <w:rsid w:val="00374787"/>
    <w:rsid w:val="003759AA"/>
    <w:rsid w:val="003769AD"/>
    <w:rsid w:val="0039009C"/>
    <w:rsid w:val="00392EEE"/>
    <w:rsid w:val="00396C23"/>
    <w:rsid w:val="003B343F"/>
    <w:rsid w:val="003B5FD9"/>
    <w:rsid w:val="003C0C77"/>
    <w:rsid w:val="003C5DC9"/>
    <w:rsid w:val="003C7384"/>
    <w:rsid w:val="003F2060"/>
    <w:rsid w:val="003F26EB"/>
    <w:rsid w:val="004004B5"/>
    <w:rsid w:val="0040314E"/>
    <w:rsid w:val="00405A05"/>
    <w:rsid w:val="004061C9"/>
    <w:rsid w:val="00433B35"/>
    <w:rsid w:val="00435BF2"/>
    <w:rsid w:val="00450574"/>
    <w:rsid w:val="00451B91"/>
    <w:rsid w:val="00452B9E"/>
    <w:rsid w:val="00490FBF"/>
    <w:rsid w:val="004B2F96"/>
    <w:rsid w:val="004C7F5D"/>
    <w:rsid w:val="004E38FE"/>
    <w:rsid w:val="004E3A73"/>
    <w:rsid w:val="00506222"/>
    <w:rsid w:val="00506862"/>
    <w:rsid w:val="0052339C"/>
    <w:rsid w:val="00535D7A"/>
    <w:rsid w:val="00535E31"/>
    <w:rsid w:val="00542EBE"/>
    <w:rsid w:val="00546B28"/>
    <w:rsid w:val="00554091"/>
    <w:rsid w:val="005606F1"/>
    <w:rsid w:val="00574629"/>
    <w:rsid w:val="00574E39"/>
    <w:rsid w:val="00575E7D"/>
    <w:rsid w:val="00583802"/>
    <w:rsid w:val="00585EBD"/>
    <w:rsid w:val="0059314B"/>
    <w:rsid w:val="00595019"/>
    <w:rsid w:val="00595309"/>
    <w:rsid w:val="005A6075"/>
    <w:rsid w:val="005B06D4"/>
    <w:rsid w:val="005D0337"/>
    <w:rsid w:val="005E511A"/>
    <w:rsid w:val="00627AEF"/>
    <w:rsid w:val="006325AF"/>
    <w:rsid w:val="00665C67"/>
    <w:rsid w:val="006A013D"/>
    <w:rsid w:val="006A340C"/>
    <w:rsid w:val="006C20EB"/>
    <w:rsid w:val="006C3CE2"/>
    <w:rsid w:val="006D3F9F"/>
    <w:rsid w:val="006E2B66"/>
    <w:rsid w:val="006E32D8"/>
    <w:rsid w:val="006F6F24"/>
    <w:rsid w:val="00703B32"/>
    <w:rsid w:val="007061F7"/>
    <w:rsid w:val="007078CF"/>
    <w:rsid w:val="00736FCD"/>
    <w:rsid w:val="007839A9"/>
    <w:rsid w:val="00797D8C"/>
    <w:rsid w:val="007A20D7"/>
    <w:rsid w:val="007B3684"/>
    <w:rsid w:val="007C5FAF"/>
    <w:rsid w:val="007E6F16"/>
    <w:rsid w:val="007F38DB"/>
    <w:rsid w:val="00805384"/>
    <w:rsid w:val="00820B9C"/>
    <w:rsid w:val="008233C4"/>
    <w:rsid w:val="00832CBA"/>
    <w:rsid w:val="008361B8"/>
    <w:rsid w:val="00840E6C"/>
    <w:rsid w:val="00861B88"/>
    <w:rsid w:val="00871C53"/>
    <w:rsid w:val="00873B7B"/>
    <w:rsid w:val="00877E7C"/>
    <w:rsid w:val="00880E5E"/>
    <w:rsid w:val="008A0EA9"/>
    <w:rsid w:val="008B179D"/>
    <w:rsid w:val="008C42C1"/>
    <w:rsid w:val="008D036E"/>
    <w:rsid w:val="008D1617"/>
    <w:rsid w:val="008D212D"/>
    <w:rsid w:val="008D3100"/>
    <w:rsid w:val="008F230F"/>
    <w:rsid w:val="00921521"/>
    <w:rsid w:val="00922DD1"/>
    <w:rsid w:val="009440BF"/>
    <w:rsid w:val="009521EA"/>
    <w:rsid w:val="00953803"/>
    <w:rsid w:val="00962714"/>
    <w:rsid w:val="00967BE1"/>
    <w:rsid w:val="009726FD"/>
    <w:rsid w:val="00980D2E"/>
    <w:rsid w:val="009828C9"/>
    <w:rsid w:val="009A0399"/>
    <w:rsid w:val="009A3214"/>
    <w:rsid w:val="009A60F4"/>
    <w:rsid w:val="009B37DD"/>
    <w:rsid w:val="009B600E"/>
    <w:rsid w:val="009D1B40"/>
    <w:rsid w:val="009D1EF4"/>
    <w:rsid w:val="009E22BE"/>
    <w:rsid w:val="009F43E6"/>
    <w:rsid w:val="00A173DC"/>
    <w:rsid w:val="00A31C0B"/>
    <w:rsid w:val="00A337F2"/>
    <w:rsid w:val="00A50234"/>
    <w:rsid w:val="00A572CF"/>
    <w:rsid w:val="00A70D52"/>
    <w:rsid w:val="00A81574"/>
    <w:rsid w:val="00A81E34"/>
    <w:rsid w:val="00A840DE"/>
    <w:rsid w:val="00A858CE"/>
    <w:rsid w:val="00A903A8"/>
    <w:rsid w:val="00AF74BD"/>
    <w:rsid w:val="00B06214"/>
    <w:rsid w:val="00B34998"/>
    <w:rsid w:val="00B37C75"/>
    <w:rsid w:val="00B52734"/>
    <w:rsid w:val="00B57BCA"/>
    <w:rsid w:val="00B736FE"/>
    <w:rsid w:val="00B75CE8"/>
    <w:rsid w:val="00BA374F"/>
    <w:rsid w:val="00BA5BE7"/>
    <w:rsid w:val="00BA71AE"/>
    <w:rsid w:val="00BB09EA"/>
    <w:rsid w:val="00BB16E5"/>
    <w:rsid w:val="00BC1B61"/>
    <w:rsid w:val="00BC3162"/>
    <w:rsid w:val="00C03106"/>
    <w:rsid w:val="00C15178"/>
    <w:rsid w:val="00C16D5C"/>
    <w:rsid w:val="00C17ACD"/>
    <w:rsid w:val="00C26A54"/>
    <w:rsid w:val="00C31490"/>
    <w:rsid w:val="00C32D87"/>
    <w:rsid w:val="00C337C5"/>
    <w:rsid w:val="00C5739B"/>
    <w:rsid w:val="00C573E1"/>
    <w:rsid w:val="00C60FC2"/>
    <w:rsid w:val="00C71436"/>
    <w:rsid w:val="00C82E64"/>
    <w:rsid w:val="00C85DE7"/>
    <w:rsid w:val="00C94DB0"/>
    <w:rsid w:val="00CB5D44"/>
    <w:rsid w:val="00CC382E"/>
    <w:rsid w:val="00CC6ED8"/>
    <w:rsid w:val="00CD1507"/>
    <w:rsid w:val="00CD5BFA"/>
    <w:rsid w:val="00CE1781"/>
    <w:rsid w:val="00CE2B34"/>
    <w:rsid w:val="00CF689C"/>
    <w:rsid w:val="00D12B37"/>
    <w:rsid w:val="00D16CDA"/>
    <w:rsid w:val="00D26DDC"/>
    <w:rsid w:val="00D4164E"/>
    <w:rsid w:val="00D57666"/>
    <w:rsid w:val="00D628BD"/>
    <w:rsid w:val="00DA2A15"/>
    <w:rsid w:val="00DA5CB1"/>
    <w:rsid w:val="00DB091B"/>
    <w:rsid w:val="00DB11E8"/>
    <w:rsid w:val="00DC05B6"/>
    <w:rsid w:val="00DD2D9D"/>
    <w:rsid w:val="00DF78CD"/>
    <w:rsid w:val="00E16AA7"/>
    <w:rsid w:val="00E209DA"/>
    <w:rsid w:val="00E26DBF"/>
    <w:rsid w:val="00E30801"/>
    <w:rsid w:val="00E31FEB"/>
    <w:rsid w:val="00E61A16"/>
    <w:rsid w:val="00E704E3"/>
    <w:rsid w:val="00E7065D"/>
    <w:rsid w:val="00E713E7"/>
    <w:rsid w:val="00E77BBD"/>
    <w:rsid w:val="00E847A4"/>
    <w:rsid w:val="00E92347"/>
    <w:rsid w:val="00E93333"/>
    <w:rsid w:val="00EB443C"/>
    <w:rsid w:val="00EB5BFF"/>
    <w:rsid w:val="00EB68E4"/>
    <w:rsid w:val="00EC1B2B"/>
    <w:rsid w:val="00ED22F6"/>
    <w:rsid w:val="00EE16E0"/>
    <w:rsid w:val="00EE6234"/>
    <w:rsid w:val="00EE7B2D"/>
    <w:rsid w:val="00EF42C9"/>
    <w:rsid w:val="00EF4C26"/>
    <w:rsid w:val="00EF7C07"/>
    <w:rsid w:val="00F1078A"/>
    <w:rsid w:val="00F11D25"/>
    <w:rsid w:val="00F2019C"/>
    <w:rsid w:val="00F45044"/>
    <w:rsid w:val="00F57C19"/>
    <w:rsid w:val="00F63B0D"/>
    <w:rsid w:val="00F63E7C"/>
    <w:rsid w:val="00F74CF5"/>
    <w:rsid w:val="00F770DF"/>
    <w:rsid w:val="00FA4336"/>
    <w:rsid w:val="00FC42C1"/>
    <w:rsid w:val="00FC5372"/>
    <w:rsid w:val="00FD352A"/>
    <w:rsid w:val="00FE2BE0"/>
    <w:rsid w:val="00FE7389"/>
    <w:rsid w:val="00FF7A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6CE3237"/>
  <w15:chartTrackingRefBased/>
  <w15:docId w15:val="{F4E00173-3433-3848-9CF7-2A988C1A4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528"/>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026B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6B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6B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6B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6B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6B7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6B7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6B7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6B7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6B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6B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6B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6B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6B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6B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6B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6B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6B72"/>
    <w:rPr>
      <w:rFonts w:eastAsiaTheme="majorEastAsia" w:cstheme="majorBidi"/>
      <w:color w:val="272727" w:themeColor="text1" w:themeTint="D8"/>
    </w:rPr>
  </w:style>
  <w:style w:type="paragraph" w:styleId="Title">
    <w:name w:val="Title"/>
    <w:basedOn w:val="Normal"/>
    <w:next w:val="Normal"/>
    <w:link w:val="TitleChar"/>
    <w:uiPriority w:val="10"/>
    <w:qFormat/>
    <w:rsid w:val="00026B7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6B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6B7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6B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6B7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26B72"/>
    <w:rPr>
      <w:i/>
      <w:iCs/>
      <w:color w:val="404040" w:themeColor="text1" w:themeTint="BF"/>
    </w:rPr>
  </w:style>
  <w:style w:type="paragraph" w:styleId="ListParagraph">
    <w:name w:val="List Paragraph"/>
    <w:basedOn w:val="Normal"/>
    <w:uiPriority w:val="34"/>
    <w:qFormat/>
    <w:rsid w:val="00026B72"/>
    <w:pPr>
      <w:ind w:left="720"/>
      <w:contextualSpacing/>
    </w:pPr>
  </w:style>
  <w:style w:type="character" w:styleId="IntenseEmphasis">
    <w:name w:val="Intense Emphasis"/>
    <w:basedOn w:val="DefaultParagraphFont"/>
    <w:uiPriority w:val="21"/>
    <w:qFormat/>
    <w:rsid w:val="00026B72"/>
    <w:rPr>
      <w:i/>
      <w:iCs/>
      <w:color w:val="0F4761" w:themeColor="accent1" w:themeShade="BF"/>
    </w:rPr>
  </w:style>
  <w:style w:type="paragraph" w:styleId="IntenseQuote">
    <w:name w:val="Intense Quote"/>
    <w:basedOn w:val="Normal"/>
    <w:next w:val="Normal"/>
    <w:link w:val="IntenseQuoteChar"/>
    <w:uiPriority w:val="30"/>
    <w:qFormat/>
    <w:rsid w:val="00026B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6B72"/>
    <w:rPr>
      <w:i/>
      <w:iCs/>
      <w:color w:val="0F4761" w:themeColor="accent1" w:themeShade="BF"/>
    </w:rPr>
  </w:style>
  <w:style w:type="character" w:styleId="IntenseReference">
    <w:name w:val="Intense Reference"/>
    <w:basedOn w:val="DefaultParagraphFont"/>
    <w:uiPriority w:val="32"/>
    <w:qFormat/>
    <w:rsid w:val="00026B72"/>
    <w:rPr>
      <w:b/>
      <w:bCs/>
      <w:smallCaps/>
      <w:color w:val="0F4761" w:themeColor="accent1" w:themeShade="BF"/>
      <w:spacing w:val="5"/>
    </w:rPr>
  </w:style>
  <w:style w:type="character" w:styleId="Strong">
    <w:name w:val="Strong"/>
    <w:basedOn w:val="DefaultParagraphFont"/>
    <w:uiPriority w:val="22"/>
    <w:qFormat/>
    <w:rsid w:val="003C7384"/>
    <w:rPr>
      <w:b/>
      <w:bCs/>
    </w:rPr>
  </w:style>
  <w:style w:type="paragraph" w:styleId="Bibliography">
    <w:name w:val="Bibliography"/>
    <w:basedOn w:val="Normal"/>
    <w:next w:val="Normal"/>
    <w:uiPriority w:val="37"/>
    <w:unhideWhenUsed/>
    <w:rsid w:val="00A903A8"/>
    <w:pPr>
      <w:tabs>
        <w:tab w:val="left" w:pos="380"/>
      </w:tabs>
      <w:spacing w:line="480" w:lineRule="auto"/>
      <w:ind w:left="384" w:hanging="384"/>
    </w:pPr>
  </w:style>
  <w:style w:type="paragraph" w:styleId="Revision">
    <w:name w:val="Revision"/>
    <w:hidden/>
    <w:uiPriority w:val="99"/>
    <w:semiHidden/>
    <w:rsid w:val="004E38FE"/>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4E38FE"/>
    <w:rPr>
      <w:sz w:val="16"/>
      <w:szCs w:val="16"/>
    </w:rPr>
  </w:style>
  <w:style w:type="paragraph" w:styleId="CommentText">
    <w:name w:val="annotation text"/>
    <w:basedOn w:val="Normal"/>
    <w:link w:val="CommentTextChar"/>
    <w:uiPriority w:val="99"/>
    <w:semiHidden/>
    <w:unhideWhenUsed/>
    <w:rsid w:val="004E38FE"/>
    <w:rPr>
      <w:sz w:val="20"/>
      <w:szCs w:val="20"/>
    </w:rPr>
  </w:style>
  <w:style w:type="character" w:customStyle="1" w:styleId="CommentTextChar">
    <w:name w:val="Comment Text Char"/>
    <w:basedOn w:val="DefaultParagraphFont"/>
    <w:link w:val="CommentText"/>
    <w:uiPriority w:val="99"/>
    <w:semiHidden/>
    <w:rsid w:val="004E38FE"/>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E38FE"/>
    <w:rPr>
      <w:b/>
      <w:bCs/>
    </w:rPr>
  </w:style>
  <w:style w:type="character" w:customStyle="1" w:styleId="CommentSubjectChar">
    <w:name w:val="Comment Subject Char"/>
    <w:basedOn w:val="CommentTextChar"/>
    <w:link w:val="CommentSubject"/>
    <w:uiPriority w:val="99"/>
    <w:semiHidden/>
    <w:rsid w:val="004E38FE"/>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26263</Words>
  <Characters>149700</Characters>
  <Application>Microsoft Office Word</Application>
  <DocSecurity>0</DocSecurity>
  <Lines>1247</Lines>
  <Paragraphs>351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Broadaway, Kelsy Alaine</dc:creator>
  <cp:keywords/>
  <dc:description/>
  <cp:lastModifiedBy>Mohlke, Karen L</cp:lastModifiedBy>
  <cp:revision>3</cp:revision>
  <dcterms:created xsi:type="dcterms:W3CDTF">2025-07-14T17:13:00Z</dcterms:created>
  <dcterms:modified xsi:type="dcterms:W3CDTF">2025-07-14T17:13:00Z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zotero-version="7.0.11"&gt;&lt;session id="QOaB3OAK"/&gt;&lt;style id="http://www.zotero.org/styles/nature" hasBibliography="1" bibliographyStyleHasBeenSet="1"/&gt;&lt;prefs&gt;&lt;pref name="fieldType" value="Field"/&gt;&lt;/prefs&gt;&lt;/data&gt;</vt:lpwstr>
  </property>
</Properties>
</file>