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162" w:rsidRPr="00D537D7" w:rsidRDefault="006B1162" w:rsidP="006B1162">
      <w:pPr>
        <w:rPr>
          <w:rFonts w:ascii="Times New Roman" w:hAnsi="Times New Roman" w:cs="Times New Roman"/>
          <w:sz w:val="24"/>
          <w:szCs w:val="24"/>
        </w:rPr>
      </w:pPr>
      <w:r>
        <w:rPr>
          <w:rFonts w:ascii="Times New Roman" w:hAnsi="Times New Roman" w:cs="Times New Roman"/>
          <w:sz w:val="24"/>
          <w:szCs w:val="24"/>
        </w:rPr>
        <w:t xml:space="preserve">Supplementary Material </w:t>
      </w:r>
      <w:r w:rsidRPr="00D537D7">
        <w:rPr>
          <w:rFonts w:ascii="Times New Roman" w:hAnsi="Times New Roman" w:cs="Times New Roman"/>
          <w:sz w:val="24"/>
          <w:szCs w:val="24"/>
        </w:rPr>
        <w:t>1. Search strategy</w:t>
      </w:r>
    </w:p>
    <w:p w:rsidR="006B1162" w:rsidRPr="00D537D7" w:rsidRDefault="006B1162" w:rsidP="006B116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70"/>
        <w:gridCol w:w="7380"/>
      </w:tblGrid>
      <w:tr w:rsidR="006B1162" w:rsidRPr="00D537D7" w:rsidTr="00F83E81">
        <w:trPr>
          <w:trHeight w:val="285"/>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Database</w:t>
            </w:r>
          </w:p>
        </w:tc>
        <w:tc>
          <w:tcPr>
            <w:tcW w:w="7599"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Strategy</w:t>
            </w:r>
          </w:p>
        </w:tc>
      </w:tr>
      <w:tr w:rsidR="006B1162" w:rsidRPr="00D537D7" w:rsidTr="00F83E81">
        <w:trPr>
          <w:trHeight w:val="895"/>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Medline</w:t>
            </w:r>
          </w:p>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(OVID)</w:t>
            </w:r>
          </w:p>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1946-</w:t>
            </w:r>
          </w:p>
        </w:tc>
        <w:tc>
          <w:tcPr>
            <w:tcW w:w="7599" w:type="dxa"/>
          </w:tcPr>
          <w:p w:rsidR="006B1162" w:rsidRPr="00D537D7" w:rsidRDefault="006B1162" w:rsidP="006B1162">
            <w:pPr>
              <w:pStyle w:val="ListParagraph"/>
              <w:numPr>
                <w:ilvl w:val="0"/>
                <w:numId w:val="2"/>
              </w:numPr>
              <w:rPr>
                <w:rFonts w:ascii="Times New Roman" w:hAnsi="Times New Roman" w:cs="Times New Roman"/>
                <w:sz w:val="24"/>
                <w:szCs w:val="24"/>
              </w:rPr>
            </w:pPr>
            <w:r w:rsidRPr="00D537D7">
              <w:rPr>
                <w:rFonts w:ascii="Times New Roman" w:hAnsi="Times New Roman" w:cs="Times New Roman"/>
                <w:sz w:val="24"/>
                <w:szCs w:val="24"/>
              </w:rPr>
              <w:t xml:space="preserve">Exp contraceptive agents/ OR exp Contraceptive Devices/ OR exp Contraception/ </w:t>
            </w:r>
          </w:p>
          <w:p w:rsidR="006B1162" w:rsidRPr="00D537D7" w:rsidRDefault="006B1162" w:rsidP="006B1162">
            <w:pPr>
              <w:pStyle w:val="ListParagraph"/>
              <w:numPr>
                <w:ilvl w:val="0"/>
                <w:numId w:val="2"/>
              </w:numPr>
              <w:rPr>
                <w:rFonts w:ascii="Times New Roman" w:hAnsi="Times New Roman" w:cs="Times New Roman"/>
                <w:sz w:val="24"/>
                <w:szCs w:val="24"/>
              </w:rPr>
            </w:pPr>
            <w:r w:rsidRPr="00D537D7">
              <w:rPr>
                <w:rFonts w:ascii="Times New Roman" w:hAnsi="Times New Roman" w:cs="Times New Roman"/>
                <w:sz w:val="24"/>
                <w:szCs w:val="24"/>
              </w:rPr>
              <w:t>(Contraceptive* OR contraception* OR contracepting OR birth control OR (intrauterine ADJ5 device*) OR (intra-uterine ADJ5 device*) OR (intrauterine ADJ5 system*) OR (intra-uterine ADJ5 system*) OR iud OR iuds OR iucd OR iucds OR ius OR lng-iud OR (depo* ADJ5 medroxyprogesterone) OR depomedroxyprogesterone OR depot medroxy progesterone OR depo medroxy progesterone OR Depo-MPA OR Depo-Provera OR DMPA* OR NET-EN OR norethisterone enanthate OR ((levonorgestrel OR etonogestrel OR desogestrel) AND implant*) OR uniplant* OR jadelle OR implanon OR Norplant* OR norplant2 OR nexplanon OR mirena OR Paragard OR Nova T OR cyclofem OR lunelle OR mesigyna OR cyclo provera OR cycloprovera OR NuvaRing* OR Nuva Ring* OR orthoevra OR ortho evra).tw</w:t>
            </w:r>
          </w:p>
          <w:p w:rsidR="006B1162" w:rsidRPr="00D537D7" w:rsidRDefault="006B1162" w:rsidP="006B1162">
            <w:pPr>
              <w:pStyle w:val="ListParagraph"/>
              <w:numPr>
                <w:ilvl w:val="0"/>
                <w:numId w:val="2"/>
              </w:numPr>
              <w:rPr>
                <w:rFonts w:ascii="Times New Roman" w:hAnsi="Times New Roman" w:cs="Times New Roman"/>
                <w:sz w:val="24"/>
                <w:szCs w:val="24"/>
              </w:rPr>
            </w:pPr>
            <w:r w:rsidRPr="00D537D7">
              <w:rPr>
                <w:rFonts w:ascii="Times New Roman" w:hAnsi="Times New Roman" w:cs="Times New Roman"/>
                <w:sz w:val="24"/>
                <w:szCs w:val="24"/>
              </w:rPr>
              <w:t>1 OR 2</w:t>
            </w:r>
          </w:p>
          <w:p w:rsidR="006B1162" w:rsidRPr="00D537D7" w:rsidRDefault="006B1162" w:rsidP="006B1162">
            <w:pPr>
              <w:pStyle w:val="ListParagraph"/>
              <w:numPr>
                <w:ilvl w:val="0"/>
                <w:numId w:val="2"/>
              </w:numPr>
              <w:rPr>
                <w:rFonts w:ascii="Times New Roman" w:hAnsi="Times New Roman" w:cs="Times New Roman"/>
                <w:sz w:val="24"/>
                <w:szCs w:val="24"/>
              </w:rPr>
            </w:pPr>
            <w:r w:rsidRPr="00D537D7">
              <w:rPr>
                <w:rFonts w:ascii="Times New Roman" w:hAnsi="Times New Roman" w:cs="Times New Roman"/>
                <w:sz w:val="24"/>
                <w:szCs w:val="24"/>
              </w:rPr>
              <w:t xml:space="preserve">Exp Inflammatory Bowel Diseases/ </w:t>
            </w:r>
          </w:p>
          <w:p w:rsidR="006B1162" w:rsidRPr="00D537D7" w:rsidRDefault="006B1162" w:rsidP="006B1162">
            <w:pPr>
              <w:pStyle w:val="ListParagraph"/>
              <w:numPr>
                <w:ilvl w:val="0"/>
                <w:numId w:val="2"/>
              </w:numPr>
              <w:rPr>
                <w:rFonts w:ascii="Times New Roman" w:hAnsi="Times New Roman" w:cs="Times New Roman"/>
                <w:sz w:val="24"/>
                <w:szCs w:val="24"/>
              </w:rPr>
            </w:pPr>
            <w:r w:rsidRPr="00D537D7">
              <w:rPr>
                <w:rFonts w:ascii="Times New Roman" w:hAnsi="Times New Roman" w:cs="Times New Roman"/>
                <w:sz w:val="24"/>
                <w:szCs w:val="24"/>
              </w:rPr>
              <w:t>(inflammatory bowel disease* OR IBD OR (ulcerative ADJ2 colitis) OR (Crohn* ADJ2 disease)).tw</w:t>
            </w:r>
          </w:p>
          <w:p w:rsidR="006B1162" w:rsidRPr="00D537D7" w:rsidRDefault="006B1162" w:rsidP="006B1162">
            <w:pPr>
              <w:pStyle w:val="ListParagraph"/>
              <w:numPr>
                <w:ilvl w:val="0"/>
                <w:numId w:val="2"/>
              </w:numPr>
              <w:rPr>
                <w:rFonts w:ascii="Times New Roman" w:hAnsi="Times New Roman" w:cs="Times New Roman"/>
                <w:sz w:val="24"/>
                <w:szCs w:val="24"/>
              </w:rPr>
            </w:pPr>
            <w:r w:rsidRPr="00D537D7">
              <w:rPr>
                <w:rFonts w:ascii="Times New Roman" w:hAnsi="Times New Roman" w:cs="Times New Roman"/>
                <w:sz w:val="24"/>
                <w:szCs w:val="24"/>
              </w:rPr>
              <w:t>4 OR 5</w:t>
            </w:r>
          </w:p>
          <w:p w:rsidR="006B1162" w:rsidRPr="00D537D7" w:rsidRDefault="006B1162" w:rsidP="006B1162">
            <w:pPr>
              <w:pStyle w:val="ListParagraph"/>
              <w:numPr>
                <w:ilvl w:val="0"/>
                <w:numId w:val="2"/>
              </w:numPr>
              <w:rPr>
                <w:rFonts w:ascii="Times New Roman" w:hAnsi="Times New Roman" w:cs="Times New Roman"/>
                <w:sz w:val="24"/>
                <w:szCs w:val="24"/>
              </w:rPr>
            </w:pPr>
            <w:r w:rsidRPr="00D537D7">
              <w:rPr>
                <w:rFonts w:ascii="Times New Roman" w:hAnsi="Times New Roman" w:cs="Times New Roman"/>
                <w:sz w:val="24"/>
                <w:szCs w:val="24"/>
              </w:rPr>
              <w:t>3 AND 6</w:t>
            </w:r>
          </w:p>
          <w:p w:rsidR="006B1162" w:rsidRPr="00D537D7" w:rsidRDefault="006B1162" w:rsidP="00F83E81">
            <w:pPr>
              <w:rPr>
                <w:rFonts w:ascii="Times New Roman" w:hAnsi="Times New Roman" w:cs="Times New Roman"/>
                <w:sz w:val="24"/>
                <w:szCs w:val="24"/>
                <w:lang w:val="en-GB"/>
              </w:rPr>
            </w:pPr>
          </w:p>
        </w:tc>
      </w:tr>
      <w:tr w:rsidR="006B1162" w:rsidRPr="00D537D7" w:rsidTr="00F83E81">
        <w:trPr>
          <w:trHeight w:val="2076"/>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Embase</w:t>
            </w:r>
          </w:p>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(OVID)</w:t>
            </w:r>
          </w:p>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1974-</w:t>
            </w:r>
          </w:p>
        </w:tc>
        <w:tc>
          <w:tcPr>
            <w:tcW w:w="7599" w:type="dxa"/>
          </w:tcPr>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t xml:space="preserve">Exp contraceptive agent/ OR exp Contraceptive Device/ OR exp Contraception/ </w:t>
            </w:r>
          </w:p>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t>(Contraceptive* OR contraception* OR contracepting OR birth control OR (intrauterine ADJ5 device*) OR (intra-uterine ADJ5 device*) OR (intrauterine ADJ5 system*) OR (intra-uterine ADJ5 system*) OR iud OR iuds OR iucd OR iucds OR ius OR lng-iud OR (depo* ADJ5 medroxyprogesterone) OR depomedroxyprogesterone OR depot medroxy progesterone OR depo medroxy progesterone OR Depo-MPA OR Depo-Provera OR DMPA* OR NET-EN OR norethisterone enanthate OR ((levonorgestrel OR etonogestrel OR desogestrel) AND implant*) OR uniplant* OR jadelle OR implanon OR Norplant* OR norplant2 OR nexplanon OR mirena OR Paragard OR Nova T OR cyclofem OR lunelle OR mesigyna OR cyclo provera OR cycloprovera OR NuvaRing* OR Nuva Ring* OR orthoevra OR ortho evra).tw.</w:t>
            </w:r>
          </w:p>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t>1 OR 2</w:t>
            </w:r>
          </w:p>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t xml:space="preserve">Exp Inflammatory Bowel Disease/ </w:t>
            </w:r>
          </w:p>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t>(Inflammatory bowel disease* OR IBD OR (ulcerative ADJ2 colitis) OR (Crohn* ADJ2 disease)).tw.</w:t>
            </w:r>
          </w:p>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t>4 OR 5</w:t>
            </w:r>
          </w:p>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t>3 AND 6</w:t>
            </w:r>
          </w:p>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lastRenderedPageBreak/>
              <w:t>Limit 7 to conference abstract status</w:t>
            </w:r>
          </w:p>
          <w:p w:rsidR="006B1162" w:rsidRPr="00D537D7" w:rsidRDefault="006B1162" w:rsidP="006B1162">
            <w:pPr>
              <w:pStyle w:val="ListParagraph"/>
              <w:numPr>
                <w:ilvl w:val="0"/>
                <w:numId w:val="1"/>
              </w:numPr>
              <w:rPr>
                <w:rFonts w:ascii="Times New Roman" w:hAnsi="Times New Roman" w:cs="Times New Roman"/>
                <w:sz w:val="24"/>
                <w:szCs w:val="24"/>
              </w:rPr>
            </w:pPr>
            <w:r w:rsidRPr="00D537D7">
              <w:rPr>
                <w:rFonts w:ascii="Times New Roman" w:hAnsi="Times New Roman" w:cs="Times New Roman"/>
                <w:sz w:val="24"/>
                <w:szCs w:val="24"/>
              </w:rPr>
              <w:t>7 NOT 8</w:t>
            </w:r>
          </w:p>
        </w:tc>
      </w:tr>
      <w:tr w:rsidR="006B1162" w:rsidRPr="00D537D7" w:rsidTr="00F83E81">
        <w:trPr>
          <w:trHeight w:val="46"/>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lastRenderedPageBreak/>
              <w:t>Global Health</w:t>
            </w:r>
          </w:p>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(OVID)</w:t>
            </w:r>
          </w:p>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1806-</w:t>
            </w:r>
          </w:p>
          <w:p w:rsidR="006B1162" w:rsidRPr="00D537D7" w:rsidRDefault="006B1162" w:rsidP="00F83E81">
            <w:pPr>
              <w:rPr>
                <w:rFonts w:ascii="Times New Roman" w:eastAsia="Times New Roman" w:hAnsi="Times New Roman" w:cs="Times New Roman"/>
                <w:b/>
                <w:color w:val="000000"/>
                <w:sz w:val="24"/>
                <w:szCs w:val="24"/>
              </w:rPr>
            </w:pPr>
          </w:p>
        </w:tc>
        <w:tc>
          <w:tcPr>
            <w:tcW w:w="7599" w:type="dxa"/>
          </w:tcPr>
          <w:p w:rsidR="006B1162" w:rsidRPr="00D537D7" w:rsidRDefault="006B1162" w:rsidP="006B1162">
            <w:pPr>
              <w:pStyle w:val="ListParagraph"/>
              <w:numPr>
                <w:ilvl w:val="0"/>
                <w:numId w:val="3"/>
              </w:numPr>
              <w:rPr>
                <w:rFonts w:ascii="Times New Roman" w:hAnsi="Times New Roman" w:cs="Times New Roman"/>
                <w:sz w:val="24"/>
                <w:szCs w:val="24"/>
              </w:rPr>
            </w:pPr>
            <w:r w:rsidRPr="00D537D7">
              <w:rPr>
                <w:rFonts w:ascii="Times New Roman" w:hAnsi="Times New Roman" w:cs="Times New Roman"/>
                <w:sz w:val="24"/>
                <w:szCs w:val="24"/>
              </w:rPr>
              <w:t>Contraception/ OR contraceptives/ OR intrauterine devices/ OR injectable contraceptives/ OR oral contraceptives/</w:t>
            </w:r>
          </w:p>
          <w:p w:rsidR="006B1162" w:rsidRPr="00D537D7" w:rsidRDefault="006B1162" w:rsidP="006B1162">
            <w:pPr>
              <w:pStyle w:val="ListParagraph"/>
              <w:numPr>
                <w:ilvl w:val="0"/>
                <w:numId w:val="3"/>
              </w:numPr>
              <w:rPr>
                <w:rFonts w:ascii="Times New Roman" w:hAnsi="Times New Roman" w:cs="Times New Roman"/>
                <w:sz w:val="24"/>
                <w:szCs w:val="24"/>
              </w:rPr>
            </w:pPr>
            <w:r w:rsidRPr="00D537D7">
              <w:rPr>
                <w:rFonts w:ascii="Times New Roman" w:hAnsi="Times New Roman" w:cs="Times New Roman"/>
                <w:sz w:val="24"/>
                <w:szCs w:val="24"/>
              </w:rPr>
              <w:t>(Contraceptive* OR contraception* OR contracepting OR birth control OR (intrauterine ADJ5 device*) OR (intra-uterine ADJ5 device*) OR (intrauterine ADJ5 system*) OR (intra-uterine ADJ5 system*) OR iud OR iuds OR iucd OR iucds OR ius OR lng-iud OR (depo* ADJ5 medroxyprogesterone) OR depomedroxyprogesterone OR depot medroxy progesterone OR depo medroxy progesterone OR Depo-MPA OR Depo-Provera OR DMPA* OR NET-EN OR norethisterone enanthate OR ((levonorgestrel OR etonogestrel OR desogestrel) AND implant*) OR uniplant* OR jadelle OR implanon OR Norplant* OR norplant2 OR nexplanon OR mirena OR Paragard OR Nova T OR cyclofem OR lunelle OR mesigyna OR cyclo provera OR cycloprovera OR NuvaRing* OR Nuva Ring* OR orthoevra OR ortho evra).tw.</w:t>
            </w:r>
          </w:p>
          <w:p w:rsidR="006B1162" w:rsidRPr="00D537D7" w:rsidRDefault="006B1162" w:rsidP="006B1162">
            <w:pPr>
              <w:pStyle w:val="ListParagraph"/>
              <w:numPr>
                <w:ilvl w:val="0"/>
                <w:numId w:val="3"/>
              </w:numPr>
              <w:rPr>
                <w:rFonts w:ascii="Times New Roman" w:hAnsi="Times New Roman" w:cs="Times New Roman"/>
                <w:sz w:val="24"/>
                <w:szCs w:val="24"/>
              </w:rPr>
            </w:pPr>
            <w:r w:rsidRPr="00D537D7">
              <w:rPr>
                <w:rFonts w:ascii="Times New Roman" w:hAnsi="Times New Roman" w:cs="Times New Roman"/>
                <w:sz w:val="24"/>
                <w:szCs w:val="24"/>
              </w:rPr>
              <w:t>1 OR 2</w:t>
            </w:r>
          </w:p>
          <w:p w:rsidR="006B1162" w:rsidRPr="00D537D7" w:rsidRDefault="006B1162" w:rsidP="006B1162">
            <w:pPr>
              <w:pStyle w:val="ListParagraph"/>
              <w:numPr>
                <w:ilvl w:val="0"/>
                <w:numId w:val="3"/>
              </w:numPr>
              <w:rPr>
                <w:rFonts w:ascii="Times New Roman" w:hAnsi="Times New Roman" w:cs="Times New Roman"/>
                <w:sz w:val="24"/>
                <w:szCs w:val="24"/>
              </w:rPr>
            </w:pPr>
            <w:r w:rsidRPr="00D537D7">
              <w:rPr>
                <w:rFonts w:ascii="Times New Roman" w:hAnsi="Times New Roman" w:cs="Times New Roman"/>
                <w:sz w:val="24"/>
                <w:szCs w:val="24"/>
              </w:rPr>
              <w:t xml:space="preserve">Exp Inflammatory Bowel Diseases/ </w:t>
            </w:r>
          </w:p>
          <w:p w:rsidR="006B1162" w:rsidRPr="00D537D7" w:rsidRDefault="006B1162" w:rsidP="006B1162">
            <w:pPr>
              <w:pStyle w:val="ListParagraph"/>
              <w:numPr>
                <w:ilvl w:val="0"/>
                <w:numId w:val="3"/>
              </w:numPr>
              <w:rPr>
                <w:rFonts w:ascii="Times New Roman" w:hAnsi="Times New Roman" w:cs="Times New Roman"/>
                <w:sz w:val="24"/>
                <w:szCs w:val="24"/>
              </w:rPr>
            </w:pPr>
            <w:r w:rsidRPr="00D537D7">
              <w:rPr>
                <w:rFonts w:ascii="Times New Roman" w:hAnsi="Times New Roman" w:cs="Times New Roman"/>
                <w:sz w:val="24"/>
                <w:szCs w:val="24"/>
              </w:rPr>
              <w:t>(inflammatory bowel disease* OR IBD OR (ulcerative ADJ2 colitis) OR (Crohn* ADJ2 disease)).tw.</w:t>
            </w:r>
          </w:p>
          <w:p w:rsidR="006B1162" w:rsidRPr="00D537D7" w:rsidRDefault="006B1162" w:rsidP="006B1162">
            <w:pPr>
              <w:pStyle w:val="ListParagraph"/>
              <w:numPr>
                <w:ilvl w:val="0"/>
                <w:numId w:val="3"/>
              </w:numPr>
              <w:rPr>
                <w:rFonts w:ascii="Times New Roman" w:hAnsi="Times New Roman" w:cs="Times New Roman"/>
                <w:sz w:val="24"/>
                <w:szCs w:val="24"/>
              </w:rPr>
            </w:pPr>
            <w:r w:rsidRPr="00D537D7">
              <w:rPr>
                <w:rFonts w:ascii="Times New Roman" w:hAnsi="Times New Roman" w:cs="Times New Roman"/>
                <w:sz w:val="24"/>
                <w:szCs w:val="24"/>
              </w:rPr>
              <w:t>4 OR 5</w:t>
            </w:r>
          </w:p>
          <w:p w:rsidR="006B1162" w:rsidRPr="00D537D7" w:rsidRDefault="006B1162" w:rsidP="006B1162">
            <w:pPr>
              <w:pStyle w:val="ListParagraph"/>
              <w:numPr>
                <w:ilvl w:val="0"/>
                <w:numId w:val="3"/>
              </w:numPr>
              <w:rPr>
                <w:rFonts w:ascii="Times New Roman" w:hAnsi="Times New Roman" w:cs="Times New Roman"/>
                <w:sz w:val="24"/>
                <w:szCs w:val="24"/>
              </w:rPr>
            </w:pPr>
            <w:r w:rsidRPr="00D537D7">
              <w:rPr>
                <w:rFonts w:ascii="Times New Roman" w:hAnsi="Times New Roman" w:cs="Times New Roman"/>
                <w:sz w:val="24"/>
                <w:szCs w:val="24"/>
              </w:rPr>
              <w:t>3 AND 6</w:t>
            </w:r>
          </w:p>
          <w:p w:rsidR="006B1162" w:rsidRPr="00D537D7" w:rsidRDefault="006B1162" w:rsidP="00F83E81">
            <w:pPr>
              <w:pStyle w:val="Default"/>
              <w:rPr>
                <w:color w:val="0A0905"/>
              </w:rPr>
            </w:pPr>
          </w:p>
        </w:tc>
      </w:tr>
      <w:tr w:rsidR="006B1162" w:rsidRPr="00D537D7" w:rsidTr="00F83E81">
        <w:trPr>
          <w:trHeight w:val="800"/>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Cochrane Library</w:t>
            </w:r>
          </w:p>
          <w:p w:rsidR="006B1162" w:rsidRPr="00D537D7" w:rsidRDefault="006B1162" w:rsidP="00F83E81">
            <w:pPr>
              <w:rPr>
                <w:rFonts w:ascii="Times New Roman" w:eastAsia="Times New Roman" w:hAnsi="Times New Roman" w:cs="Times New Roman"/>
                <w:b/>
                <w:color w:val="000000"/>
                <w:sz w:val="24"/>
                <w:szCs w:val="24"/>
              </w:rPr>
            </w:pPr>
          </w:p>
        </w:tc>
        <w:tc>
          <w:tcPr>
            <w:tcW w:w="7599" w:type="dxa"/>
          </w:tcPr>
          <w:p w:rsidR="006B1162" w:rsidRPr="00D537D7" w:rsidRDefault="006B1162" w:rsidP="006B1162">
            <w:pPr>
              <w:pStyle w:val="ListParagraph"/>
              <w:numPr>
                <w:ilvl w:val="0"/>
                <w:numId w:val="4"/>
              </w:numPr>
              <w:rPr>
                <w:rFonts w:ascii="Times New Roman" w:hAnsi="Times New Roman" w:cs="Times New Roman"/>
                <w:sz w:val="24"/>
                <w:szCs w:val="24"/>
              </w:rPr>
            </w:pPr>
            <w:r w:rsidRPr="00D537D7">
              <w:rPr>
                <w:rFonts w:ascii="Times New Roman" w:hAnsi="Times New Roman" w:cs="Times New Roman"/>
                <w:sz w:val="24"/>
                <w:szCs w:val="24"/>
              </w:rPr>
              <w:t xml:space="preserve">[mh ^"contraceptive agents"] OR [mh ^"Contraceptive Devices"] OR [mh ^"Contraception"] </w:t>
            </w:r>
          </w:p>
          <w:p w:rsidR="006B1162" w:rsidRPr="00D537D7" w:rsidRDefault="006B1162" w:rsidP="006B1162">
            <w:pPr>
              <w:pStyle w:val="ListParagraph"/>
              <w:numPr>
                <w:ilvl w:val="0"/>
                <w:numId w:val="4"/>
              </w:numPr>
              <w:rPr>
                <w:rFonts w:ascii="Times New Roman" w:hAnsi="Times New Roman" w:cs="Times New Roman"/>
                <w:sz w:val="24"/>
                <w:szCs w:val="24"/>
              </w:rPr>
            </w:pPr>
            <w:r w:rsidRPr="00D537D7">
              <w:rPr>
                <w:rFonts w:ascii="Times New Roman" w:hAnsi="Times New Roman" w:cs="Times New Roman"/>
                <w:sz w:val="24"/>
                <w:szCs w:val="24"/>
              </w:rPr>
              <w:t>(Contraceptive* OR contraception* OR contracepting OR "birth control" OR (intrauterine NEAR/5 device*) OR (intra-uterine NEAR/5 device*) OR (intrauterine NEAR/5 system*) OR (intra-uterine NEAR/5 system*) OR iud OR iuds OR iucd OR iucds OR ius OR lng-iud OR (depo* NEAR/5 medroxyprogesterone) OR depomedroxyprogesterone OR "depot medroxy progesterone" OR "depo medroxy progesterone" OR Depo-MPA OR Depo-Provera OR DMPA* OR NET-EN OR "norethisterone enanthate" OR ((levonorgestrel OR etonogestrel OR desogestrel) AND implant*) OR uniplant* OR jadelle OR implanon OR Norplant* OR norplant2 OR nexplanon OR mirena OR Paragard OR "Nova T" OR cyclofem OR lunelle OR mesigyna OR "cyclo provera" OR cycloprovera OR NuvaRing* OR "Nuva Ring" OR orthoevra OR "ortho evra"):ti,ab,kw</w:t>
            </w:r>
          </w:p>
          <w:p w:rsidR="006B1162" w:rsidRPr="00D537D7" w:rsidRDefault="006B1162" w:rsidP="006B1162">
            <w:pPr>
              <w:pStyle w:val="ListParagraph"/>
              <w:numPr>
                <w:ilvl w:val="0"/>
                <w:numId w:val="4"/>
              </w:numPr>
              <w:rPr>
                <w:rFonts w:ascii="Times New Roman" w:hAnsi="Times New Roman" w:cs="Times New Roman"/>
                <w:sz w:val="24"/>
                <w:szCs w:val="24"/>
              </w:rPr>
            </w:pPr>
            <w:r w:rsidRPr="00D537D7">
              <w:rPr>
                <w:rFonts w:ascii="Times New Roman" w:hAnsi="Times New Roman" w:cs="Times New Roman"/>
                <w:sz w:val="24"/>
                <w:szCs w:val="24"/>
              </w:rPr>
              <w:t>#1 OR #2</w:t>
            </w:r>
          </w:p>
          <w:p w:rsidR="006B1162" w:rsidRPr="00D537D7" w:rsidRDefault="006B1162" w:rsidP="006B1162">
            <w:pPr>
              <w:pStyle w:val="ListParagraph"/>
              <w:numPr>
                <w:ilvl w:val="0"/>
                <w:numId w:val="4"/>
              </w:numPr>
              <w:rPr>
                <w:rFonts w:ascii="Times New Roman" w:hAnsi="Times New Roman" w:cs="Times New Roman"/>
                <w:sz w:val="24"/>
                <w:szCs w:val="24"/>
              </w:rPr>
            </w:pPr>
            <w:r w:rsidRPr="00D537D7">
              <w:rPr>
                <w:rFonts w:ascii="Times New Roman" w:hAnsi="Times New Roman" w:cs="Times New Roman"/>
                <w:sz w:val="24"/>
                <w:szCs w:val="24"/>
              </w:rPr>
              <w:t>[mh ^"Inflammatory Bowel Diseases"]</w:t>
            </w:r>
          </w:p>
          <w:p w:rsidR="006B1162" w:rsidRPr="00D537D7" w:rsidRDefault="006B1162" w:rsidP="006B1162">
            <w:pPr>
              <w:pStyle w:val="ListParagraph"/>
              <w:numPr>
                <w:ilvl w:val="0"/>
                <w:numId w:val="4"/>
              </w:numPr>
              <w:rPr>
                <w:rFonts w:ascii="Times New Roman" w:hAnsi="Times New Roman" w:cs="Times New Roman"/>
                <w:sz w:val="24"/>
                <w:szCs w:val="24"/>
              </w:rPr>
            </w:pPr>
            <w:r w:rsidRPr="00D537D7">
              <w:rPr>
                <w:rFonts w:ascii="Times New Roman" w:hAnsi="Times New Roman" w:cs="Times New Roman"/>
                <w:sz w:val="24"/>
                <w:szCs w:val="24"/>
              </w:rPr>
              <w:lastRenderedPageBreak/>
              <w:t>("inflammatory bowel disease" OR "inflammatory bowel diseases" OR IBD OR (ulcerative NEAR/2 colitis) OR (Crohn* NEAR/2 disease)):ti,ab,kw</w:t>
            </w:r>
          </w:p>
          <w:p w:rsidR="006B1162" w:rsidRPr="00D537D7" w:rsidRDefault="006B1162" w:rsidP="006B1162">
            <w:pPr>
              <w:pStyle w:val="ListParagraph"/>
              <w:numPr>
                <w:ilvl w:val="0"/>
                <w:numId w:val="4"/>
              </w:numPr>
              <w:rPr>
                <w:rFonts w:ascii="Times New Roman" w:hAnsi="Times New Roman" w:cs="Times New Roman"/>
                <w:sz w:val="24"/>
                <w:szCs w:val="24"/>
              </w:rPr>
            </w:pPr>
            <w:r w:rsidRPr="00D537D7">
              <w:rPr>
                <w:rFonts w:ascii="Times New Roman" w:hAnsi="Times New Roman" w:cs="Times New Roman"/>
                <w:sz w:val="24"/>
                <w:szCs w:val="24"/>
              </w:rPr>
              <w:t>#4 OR #5</w:t>
            </w:r>
          </w:p>
          <w:p w:rsidR="006B1162" w:rsidRPr="00D537D7" w:rsidRDefault="006B1162" w:rsidP="006B1162">
            <w:pPr>
              <w:pStyle w:val="ListParagraph"/>
              <w:numPr>
                <w:ilvl w:val="0"/>
                <w:numId w:val="4"/>
              </w:numPr>
              <w:rPr>
                <w:rFonts w:ascii="Times New Roman" w:hAnsi="Times New Roman" w:cs="Times New Roman"/>
                <w:sz w:val="24"/>
                <w:szCs w:val="24"/>
              </w:rPr>
            </w:pPr>
            <w:r w:rsidRPr="00D537D7">
              <w:rPr>
                <w:rFonts w:ascii="Times New Roman" w:hAnsi="Times New Roman" w:cs="Times New Roman"/>
                <w:sz w:val="24"/>
                <w:szCs w:val="24"/>
              </w:rPr>
              <w:t>#3 AND #6</w:t>
            </w:r>
          </w:p>
          <w:p w:rsidR="006B1162" w:rsidRPr="00D537D7" w:rsidRDefault="006B1162" w:rsidP="00F83E81">
            <w:pPr>
              <w:pStyle w:val="Default"/>
              <w:ind w:firstLine="50"/>
              <w:rPr>
                <w:color w:val="0A0905"/>
              </w:rPr>
            </w:pPr>
          </w:p>
        </w:tc>
      </w:tr>
      <w:tr w:rsidR="006B1162" w:rsidRPr="00D537D7" w:rsidTr="00F83E81">
        <w:trPr>
          <w:trHeight w:val="710"/>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lastRenderedPageBreak/>
              <w:t>CINAHL</w:t>
            </w:r>
          </w:p>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(EbscoHost)</w:t>
            </w:r>
          </w:p>
          <w:p w:rsidR="006B1162" w:rsidRPr="00D537D7" w:rsidRDefault="006B1162" w:rsidP="00F83E81">
            <w:pPr>
              <w:rPr>
                <w:rFonts w:ascii="Times New Roman" w:eastAsia="Times New Roman" w:hAnsi="Times New Roman" w:cs="Times New Roman"/>
                <w:b/>
                <w:color w:val="000000"/>
                <w:sz w:val="24"/>
                <w:szCs w:val="24"/>
              </w:rPr>
            </w:pPr>
          </w:p>
        </w:tc>
        <w:tc>
          <w:tcPr>
            <w:tcW w:w="7599" w:type="dxa"/>
          </w:tcPr>
          <w:p w:rsidR="006B1162" w:rsidRPr="00D537D7" w:rsidRDefault="006B1162" w:rsidP="00F83E81">
            <w:pPr>
              <w:rPr>
                <w:rFonts w:ascii="Times New Roman" w:hAnsi="Times New Roman" w:cs="Times New Roman"/>
                <w:sz w:val="24"/>
                <w:szCs w:val="24"/>
              </w:rPr>
            </w:pPr>
            <w:r w:rsidRPr="00D537D7">
              <w:rPr>
                <w:rFonts w:ascii="Times New Roman" w:hAnsi="Times New Roman" w:cs="Times New Roman"/>
                <w:sz w:val="24"/>
                <w:szCs w:val="24"/>
              </w:rPr>
              <w:t xml:space="preserve">(MH "contraceptive agents+") OR (MH "Contraceptive Devices+") OR (MH "Contraception+") </w:t>
            </w:r>
          </w:p>
          <w:p w:rsidR="006B1162" w:rsidRPr="00D537D7" w:rsidRDefault="006B1162" w:rsidP="00F83E81">
            <w:pPr>
              <w:rPr>
                <w:rFonts w:ascii="Times New Roman" w:hAnsi="Times New Roman" w:cs="Times New Roman"/>
                <w:sz w:val="24"/>
                <w:szCs w:val="24"/>
              </w:rPr>
            </w:pPr>
            <w:r w:rsidRPr="00D537D7">
              <w:rPr>
                <w:rFonts w:ascii="Times New Roman" w:hAnsi="Times New Roman" w:cs="Times New Roman"/>
                <w:sz w:val="24"/>
                <w:szCs w:val="24"/>
              </w:rPr>
              <w:t>(TX (Contraceptive* OR contraception* OR contracepting OR "birth control" OR (intrauterine N5 device*) OR (intra-uterine N5 device*) OR (intrauterine N5 system*) OR (intra-uterine N5 system*) OR iud OR iuds OR iucd OR iucds OR ius OR lng-iud OR (depo* N5 medroxyprogesterone) OR depomedroxyprogesterone OR "depot medroxy progesterone" OR "depo medroxy progesterone" OR Depo-MPA OR Depo-Provera OR DMPA* OR NET-EN OR "norethisterone enanthate" OR ((levonorgestrel OR etonogestrel OR desogestrel) AND implant*) OR uniplant* OR jadelle OR implanon OR Norplant* OR norplant2 OR nexplanon OR mirena OR Paragard OR "Nova T" OR cyclofem OR lunelle OR mesigyna OR "cyclo provera" OR cycloprovera OR NuvaRing* OR "Nuva Ring" OR orthoevra OR "ortho evra"))</w:t>
            </w:r>
          </w:p>
          <w:p w:rsidR="006B1162" w:rsidRPr="00D537D7" w:rsidRDefault="006B1162" w:rsidP="00F83E81">
            <w:pPr>
              <w:rPr>
                <w:rFonts w:ascii="Times New Roman" w:hAnsi="Times New Roman" w:cs="Times New Roman"/>
                <w:sz w:val="24"/>
                <w:szCs w:val="24"/>
              </w:rPr>
            </w:pPr>
            <w:r w:rsidRPr="00D537D7">
              <w:rPr>
                <w:rFonts w:ascii="Times New Roman" w:hAnsi="Times New Roman" w:cs="Times New Roman"/>
                <w:sz w:val="24"/>
                <w:szCs w:val="24"/>
              </w:rPr>
              <w:t>S1 OR S2</w:t>
            </w:r>
          </w:p>
          <w:p w:rsidR="006B1162" w:rsidRPr="00D537D7" w:rsidRDefault="006B1162" w:rsidP="00F83E81">
            <w:pPr>
              <w:rPr>
                <w:rFonts w:ascii="Times New Roman" w:hAnsi="Times New Roman" w:cs="Times New Roman"/>
                <w:sz w:val="24"/>
                <w:szCs w:val="24"/>
              </w:rPr>
            </w:pPr>
            <w:r w:rsidRPr="00D537D7">
              <w:rPr>
                <w:rFonts w:ascii="Times New Roman" w:hAnsi="Times New Roman" w:cs="Times New Roman"/>
                <w:sz w:val="24"/>
                <w:szCs w:val="24"/>
              </w:rPr>
              <w:t>(MH "Inflammatory Bowel Diseases+")</w:t>
            </w:r>
          </w:p>
          <w:p w:rsidR="006B1162" w:rsidRPr="00D537D7" w:rsidRDefault="006B1162" w:rsidP="00F83E81">
            <w:pPr>
              <w:rPr>
                <w:rFonts w:ascii="Times New Roman" w:hAnsi="Times New Roman" w:cs="Times New Roman"/>
                <w:sz w:val="24"/>
                <w:szCs w:val="24"/>
              </w:rPr>
            </w:pPr>
            <w:r w:rsidRPr="00D537D7">
              <w:rPr>
                <w:rFonts w:ascii="Times New Roman" w:hAnsi="Times New Roman" w:cs="Times New Roman"/>
                <w:sz w:val="24"/>
                <w:szCs w:val="24"/>
              </w:rPr>
              <w:t>(TX ("inflammatory bowel disease" OR "inflammatory bowel diseases" OR IBD OR (ulcerative N2 colitis) OR (Crohn* N2 disease)))</w:t>
            </w:r>
          </w:p>
          <w:p w:rsidR="006B1162" w:rsidRPr="00D537D7" w:rsidRDefault="006B1162" w:rsidP="00F83E81">
            <w:pPr>
              <w:rPr>
                <w:rFonts w:ascii="Times New Roman" w:hAnsi="Times New Roman" w:cs="Times New Roman"/>
                <w:sz w:val="24"/>
                <w:szCs w:val="24"/>
              </w:rPr>
            </w:pPr>
            <w:r w:rsidRPr="00D537D7">
              <w:rPr>
                <w:rFonts w:ascii="Times New Roman" w:hAnsi="Times New Roman" w:cs="Times New Roman"/>
                <w:sz w:val="24"/>
                <w:szCs w:val="24"/>
              </w:rPr>
              <w:t>S4 OR S5</w:t>
            </w:r>
          </w:p>
          <w:p w:rsidR="006B1162" w:rsidRPr="00D537D7" w:rsidRDefault="006B1162" w:rsidP="00F83E81">
            <w:pPr>
              <w:rPr>
                <w:rFonts w:ascii="Times New Roman" w:hAnsi="Times New Roman" w:cs="Times New Roman"/>
                <w:sz w:val="24"/>
                <w:szCs w:val="24"/>
              </w:rPr>
            </w:pPr>
            <w:r w:rsidRPr="00D537D7">
              <w:rPr>
                <w:rFonts w:ascii="Times New Roman" w:hAnsi="Times New Roman" w:cs="Times New Roman"/>
                <w:sz w:val="24"/>
                <w:szCs w:val="24"/>
              </w:rPr>
              <w:t>S3 AND S6</w:t>
            </w:r>
          </w:p>
          <w:p w:rsidR="006B1162" w:rsidRPr="00D537D7" w:rsidRDefault="006B1162" w:rsidP="00F83E81">
            <w:pPr>
              <w:spacing w:before="90"/>
              <w:rPr>
                <w:rFonts w:ascii="Times New Roman" w:hAnsi="Times New Roman" w:cs="Times New Roman"/>
                <w:color w:val="0A0905"/>
                <w:sz w:val="24"/>
                <w:szCs w:val="24"/>
              </w:rPr>
            </w:pPr>
          </w:p>
        </w:tc>
      </w:tr>
      <w:tr w:rsidR="006B1162" w:rsidRPr="00D537D7" w:rsidTr="00F83E81">
        <w:trPr>
          <w:trHeight w:val="924"/>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Scopus</w:t>
            </w:r>
          </w:p>
          <w:p w:rsidR="006B1162" w:rsidRPr="00D537D7" w:rsidRDefault="006B1162" w:rsidP="00F83E81">
            <w:pPr>
              <w:rPr>
                <w:rFonts w:ascii="Times New Roman" w:eastAsia="Times New Roman" w:hAnsi="Times New Roman" w:cs="Times New Roman"/>
                <w:b/>
                <w:color w:val="000000"/>
                <w:sz w:val="24"/>
                <w:szCs w:val="24"/>
              </w:rPr>
            </w:pPr>
          </w:p>
        </w:tc>
        <w:tc>
          <w:tcPr>
            <w:tcW w:w="7599" w:type="dxa"/>
          </w:tcPr>
          <w:p w:rsidR="006B1162" w:rsidRPr="00D537D7" w:rsidRDefault="006B1162" w:rsidP="00F83E81">
            <w:pPr>
              <w:pStyle w:val="Default"/>
              <w:rPr>
                <w:rStyle w:val="searchhistory-search-term"/>
                <w:color w:val="0A0905"/>
              </w:rPr>
            </w:pPr>
            <w:r w:rsidRPr="00D537D7">
              <w:t xml:space="preserve">TITLE-ABS-KEY(Contraceptive* OR contraception* OR contracepting OR "birth control" OR (intrauterine W/5 device*) OR (intra-uterine W/5 device*) OR (intrauterine W/5 system*) OR (intra-uterine W/5 system*) OR iud OR iuds OR iucd OR iucds OR ius OR lng-iud OR (depo* W/5 medroxyprogesterone) OR depomedroxyprogesterone OR "depot medroxy progesterone" OR "depo medroxy progesterone" OR Depo-MPA OR Depo-Provera OR DMPA* OR NET-EN OR "norethisterone enanthate" OR ((levonorgestrel OR etonogestrel OR desogestrel) AND implant*) OR uniplant* OR jadelle OR implanon OR Norplant* OR norplant2 OR nexplanon OR mirena OR Paragard OR "Nova T" OR cyclofem OR lunelle OR mesigyna OR "cyclo provera" OR cycloprovera OR NuvaRing* OR "Nuva Ring" OR orthoevra OR "ortho evra") </w:t>
            </w:r>
            <w:r w:rsidRPr="00D537D7">
              <w:rPr>
                <w:color w:val="0A0905"/>
              </w:rPr>
              <w:t xml:space="preserve">AND </w:t>
            </w:r>
            <w:r w:rsidRPr="00D537D7">
              <w:t xml:space="preserve">TITLE-ABS-KEY("inflammatory bowel disease" OR "inflammatory bowel diseases" OR IBD OR (ulcerative W/2 colitis) OR (Crohn* W/2 disease)) </w:t>
            </w:r>
            <w:r w:rsidRPr="00D537D7">
              <w:rPr>
                <w:color w:val="0A0905"/>
              </w:rPr>
              <w:t xml:space="preserve">AND NOT INDEX(medline) </w:t>
            </w:r>
          </w:p>
        </w:tc>
      </w:tr>
      <w:tr w:rsidR="006B1162" w:rsidRPr="00D537D7" w:rsidTr="00F83E81">
        <w:trPr>
          <w:trHeight w:val="924"/>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t>Clinicaltrials.gov</w:t>
            </w:r>
          </w:p>
        </w:tc>
        <w:tc>
          <w:tcPr>
            <w:tcW w:w="7599" w:type="dxa"/>
          </w:tcPr>
          <w:p w:rsidR="006B1162" w:rsidRPr="00D537D7" w:rsidRDefault="006B1162" w:rsidP="00F83E81">
            <w:pPr>
              <w:spacing w:before="90"/>
              <w:rPr>
                <w:rStyle w:val="searchhistory-search-term"/>
                <w:rFonts w:ascii="Times New Roman" w:hAnsi="Times New Roman" w:cs="Times New Roman"/>
                <w:color w:val="0A0905"/>
                <w:sz w:val="24"/>
                <w:szCs w:val="24"/>
              </w:rPr>
            </w:pPr>
            <w:r w:rsidRPr="00D537D7">
              <w:rPr>
                <w:rFonts w:ascii="Times New Roman" w:hAnsi="Times New Roman" w:cs="Times New Roman"/>
                <w:sz w:val="24"/>
                <w:szCs w:val="24"/>
              </w:rPr>
              <w:t>"inflammatory bowel disease" OR "inflammatory bowel diseases" OR IBD OR ulcerative colitis OR Crohn disease</w:t>
            </w:r>
            <w:r w:rsidRPr="00D537D7">
              <w:rPr>
                <w:rStyle w:val="searchhistory-search-term"/>
                <w:rFonts w:ascii="Times New Roman" w:hAnsi="Times New Roman" w:cs="Times New Roman"/>
                <w:color w:val="0A0905"/>
                <w:sz w:val="24"/>
                <w:szCs w:val="24"/>
              </w:rPr>
              <w:t xml:space="preserve"> </w:t>
            </w:r>
          </w:p>
          <w:p w:rsidR="006B1162" w:rsidRPr="00D537D7" w:rsidRDefault="006B1162" w:rsidP="00F83E81">
            <w:pPr>
              <w:spacing w:before="90"/>
              <w:rPr>
                <w:rStyle w:val="searchhistory-search-term"/>
                <w:rFonts w:ascii="Times New Roman" w:hAnsi="Times New Roman" w:cs="Times New Roman"/>
                <w:color w:val="0A0905"/>
                <w:sz w:val="24"/>
                <w:szCs w:val="24"/>
              </w:rPr>
            </w:pPr>
            <w:r w:rsidRPr="00D537D7">
              <w:rPr>
                <w:rStyle w:val="searchhistory-search-term"/>
                <w:rFonts w:ascii="Times New Roman" w:hAnsi="Times New Roman" w:cs="Times New Roman"/>
                <w:color w:val="0A0905"/>
                <w:sz w:val="24"/>
                <w:szCs w:val="24"/>
              </w:rPr>
              <w:t>AND</w:t>
            </w:r>
          </w:p>
          <w:p w:rsidR="006B1162" w:rsidRPr="00D537D7" w:rsidRDefault="006B1162" w:rsidP="00F83E81">
            <w:pPr>
              <w:spacing w:before="90"/>
              <w:rPr>
                <w:rStyle w:val="searchhistory-search-term"/>
                <w:rFonts w:ascii="Times New Roman" w:hAnsi="Times New Roman" w:cs="Times New Roman"/>
                <w:color w:val="0A0905"/>
                <w:sz w:val="24"/>
                <w:szCs w:val="24"/>
              </w:rPr>
            </w:pPr>
            <w:r w:rsidRPr="00D537D7">
              <w:rPr>
                <w:rStyle w:val="searchhistory-search-term"/>
                <w:rFonts w:ascii="Times New Roman" w:hAnsi="Times New Roman" w:cs="Times New Roman"/>
                <w:color w:val="0A0905"/>
                <w:sz w:val="24"/>
                <w:szCs w:val="24"/>
              </w:rPr>
              <w:lastRenderedPageBreak/>
              <w:t xml:space="preserve">Contraception OR contraceptive OR contracepting OR "birth control" </w:t>
            </w:r>
            <w:r w:rsidRPr="00D537D7">
              <w:rPr>
                <w:rFonts w:ascii="Times New Roman" w:hAnsi="Times New Roman" w:cs="Times New Roman"/>
                <w:sz w:val="24"/>
                <w:szCs w:val="24"/>
              </w:rPr>
              <w:t>OR depomedroxyprogesterone OR depot-medroxyprogesterone OR depo-medroxyprogesterone OR depo medroxy progesterone OR depot medroxy progesterone OR Depo-MPA OR Depo-Provera DMPA OR uniplant OR jadelle OR implanon OR norplant OR norplant2 OR nexplanon OR mirena OR Paragard OR "Nova T" OR cyclofem OR lunelle OR mesigyna OR cyclo provera OR cycloprovera OR NuvaRing OR "Nuva Ring" OR orthoevra OR "ortho evra"</w:t>
            </w:r>
          </w:p>
        </w:tc>
      </w:tr>
      <w:tr w:rsidR="006B1162" w:rsidRPr="00D537D7" w:rsidTr="00F83E81">
        <w:trPr>
          <w:trHeight w:val="924"/>
        </w:trPr>
        <w:tc>
          <w:tcPr>
            <w:tcW w:w="1576" w:type="dxa"/>
          </w:tcPr>
          <w:p w:rsidR="006B1162" w:rsidRPr="00D537D7" w:rsidRDefault="006B1162" w:rsidP="00F83E81">
            <w:pPr>
              <w:rPr>
                <w:rFonts w:ascii="Times New Roman" w:eastAsia="Times New Roman" w:hAnsi="Times New Roman" w:cs="Times New Roman"/>
                <w:b/>
                <w:color w:val="000000"/>
                <w:sz w:val="24"/>
                <w:szCs w:val="24"/>
              </w:rPr>
            </w:pPr>
            <w:r w:rsidRPr="00D537D7">
              <w:rPr>
                <w:rFonts w:ascii="Times New Roman" w:eastAsia="Times New Roman" w:hAnsi="Times New Roman" w:cs="Times New Roman"/>
                <w:b/>
                <w:color w:val="000000"/>
                <w:sz w:val="24"/>
                <w:szCs w:val="24"/>
              </w:rPr>
              <w:lastRenderedPageBreak/>
              <w:t>WHO ICTRP</w:t>
            </w:r>
          </w:p>
        </w:tc>
        <w:tc>
          <w:tcPr>
            <w:tcW w:w="7599" w:type="dxa"/>
          </w:tcPr>
          <w:p w:rsidR="006B1162" w:rsidRPr="00D537D7" w:rsidRDefault="006B1162" w:rsidP="00F83E81">
            <w:pPr>
              <w:spacing w:before="90"/>
              <w:rPr>
                <w:rStyle w:val="searchhistory-search-term"/>
                <w:rFonts w:ascii="Times New Roman" w:hAnsi="Times New Roman" w:cs="Times New Roman"/>
                <w:color w:val="0A0905"/>
                <w:sz w:val="24"/>
                <w:szCs w:val="24"/>
              </w:rPr>
            </w:pPr>
            <w:r w:rsidRPr="00D537D7">
              <w:rPr>
                <w:rFonts w:ascii="Times New Roman" w:hAnsi="Times New Roman" w:cs="Times New Roman"/>
                <w:sz w:val="24"/>
                <w:szCs w:val="24"/>
              </w:rPr>
              <w:t>"inflammatory bowel disease" OR "inflammatory bowel diseases" OR IBD OR ulcerative colitis OR Crohn disease</w:t>
            </w:r>
            <w:r w:rsidRPr="00D537D7">
              <w:rPr>
                <w:rStyle w:val="searchhistory-search-term"/>
                <w:rFonts w:ascii="Times New Roman" w:hAnsi="Times New Roman" w:cs="Times New Roman"/>
                <w:color w:val="0A0905"/>
                <w:sz w:val="24"/>
                <w:szCs w:val="24"/>
              </w:rPr>
              <w:t xml:space="preserve"> </w:t>
            </w:r>
          </w:p>
          <w:p w:rsidR="006B1162" w:rsidRPr="00D537D7" w:rsidRDefault="006B1162" w:rsidP="00F83E81">
            <w:pPr>
              <w:spacing w:before="90"/>
              <w:rPr>
                <w:rStyle w:val="searchhistory-search-term"/>
                <w:rFonts w:ascii="Times New Roman" w:hAnsi="Times New Roman" w:cs="Times New Roman"/>
                <w:color w:val="0A0905"/>
                <w:sz w:val="24"/>
                <w:szCs w:val="24"/>
              </w:rPr>
            </w:pPr>
            <w:r w:rsidRPr="00D537D7">
              <w:rPr>
                <w:rStyle w:val="searchhistory-search-term"/>
                <w:rFonts w:ascii="Times New Roman" w:hAnsi="Times New Roman" w:cs="Times New Roman"/>
                <w:color w:val="0A0905"/>
                <w:sz w:val="24"/>
                <w:szCs w:val="24"/>
              </w:rPr>
              <w:t>AND</w:t>
            </w:r>
          </w:p>
          <w:p w:rsidR="006B1162" w:rsidRPr="00D537D7" w:rsidRDefault="006B1162" w:rsidP="00F83E81">
            <w:pPr>
              <w:spacing w:before="90"/>
              <w:rPr>
                <w:rFonts w:ascii="Times New Roman" w:hAnsi="Times New Roman" w:cs="Times New Roman"/>
                <w:sz w:val="24"/>
                <w:szCs w:val="24"/>
              </w:rPr>
            </w:pPr>
            <w:r w:rsidRPr="00D537D7">
              <w:rPr>
                <w:rStyle w:val="searchhistory-search-term"/>
                <w:rFonts w:ascii="Times New Roman" w:hAnsi="Times New Roman" w:cs="Times New Roman"/>
                <w:color w:val="0A0905"/>
                <w:sz w:val="24"/>
                <w:szCs w:val="24"/>
              </w:rPr>
              <w:t xml:space="preserve">Contraception OR contraceptive OR contracepting OR "birth control" </w:t>
            </w:r>
            <w:r w:rsidRPr="00D537D7">
              <w:rPr>
                <w:rFonts w:ascii="Times New Roman" w:hAnsi="Times New Roman" w:cs="Times New Roman"/>
                <w:sz w:val="24"/>
                <w:szCs w:val="24"/>
              </w:rPr>
              <w:t>OR depomedroxyprogesterone OR depot-medroxyprogesterone OR depo-medroxyprogesterone OR depo medroxy progesterone OR depot medroxy progesterone OR Depo-MPA OR Depo-Provera DMPA OR uniplant OR jadelle OR implanon OR norplant OR norplant2 OR nexplanon OR mirena OR Paragard OR "Nova T" OR cyclofem OR lunelle OR mesigyna OR cyclo provera OR cycloprovera OR NuvaRing OR "Nuva Ring" OR orthoevra OR "ortho evra"</w:t>
            </w:r>
          </w:p>
        </w:tc>
      </w:tr>
    </w:tbl>
    <w:p w:rsidR="006B1162" w:rsidRDefault="006B1162" w:rsidP="006B1162">
      <w:pPr>
        <w:rPr>
          <w:rFonts w:ascii="Times New Roman" w:hAnsi="Times New Roman" w:cs="Times New Roman"/>
          <w:sz w:val="24"/>
          <w:szCs w:val="24"/>
        </w:rPr>
        <w:sectPr w:rsidR="006B1162" w:rsidSect="00797D20">
          <w:pgSz w:w="12240" w:h="15840"/>
          <w:pgMar w:top="1440" w:right="1440" w:bottom="1440" w:left="1440" w:header="720" w:footer="720" w:gutter="0"/>
          <w:cols w:space="720"/>
          <w:docGrid w:linePitch="360"/>
        </w:sectPr>
      </w:pPr>
    </w:p>
    <w:tbl>
      <w:tblPr>
        <w:tblStyle w:val="TableGrid"/>
        <w:tblW w:w="0" w:type="auto"/>
        <w:tblLayout w:type="fixed"/>
        <w:tblLook w:val="04A0" w:firstRow="1" w:lastRow="0" w:firstColumn="1" w:lastColumn="0" w:noHBand="0" w:noVBand="1"/>
      </w:tblPr>
      <w:tblGrid>
        <w:gridCol w:w="2700"/>
        <w:gridCol w:w="1275"/>
        <w:gridCol w:w="945"/>
        <w:gridCol w:w="1481"/>
        <w:gridCol w:w="1519"/>
        <w:gridCol w:w="1530"/>
        <w:gridCol w:w="3200"/>
        <w:gridCol w:w="1750"/>
      </w:tblGrid>
      <w:tr w:rsidR="006B1162" w:rsidRPr="00C37F73" w:rsidTr="00F83E81">
        <w:trPr>
          <w:tblHeader/>
        </w:trPr>
        <w:tc>
          <w:tcPr>
            <w:tcW w:w="14400" w:type="dxa"/>
            <w:gridSpan w:val="8"/>
            <w:tcBorders>
              <w:top w:val="nil"/>
              <w:left w:val="nil"/>
              <w:right w:val="nil"/>
            </w:tcBorders>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lastRenderedPageBreak/>
              <w:t>Supplementary</w:t>
            </w:r>
            <w:r>
              <w:rPr>
                <w:rFonts w:ascii="Times New Roman" w:hAnsi="Times New Roman" w:cs="Times New Roman"/>
                <w:b/>
                <w:bCs/>
                <w:sz w:val="20"/>
                <w:szCs w:val="20"/>
              </w:rPr>
              <w:t xml:space="preserve"> Material 2</w:t>
            </w:r>
            <w:r w:rsidRPr="00C37F73">
              <w:rPr>
                <w:rFonts w:ascii="Times New Roman" w:hAnsi="Times New Roman" w:cs="Times New Roman"/>
                <w:b/>
                <w:bCs/>
                <w:sz w:val="20"/>
                <w:szCs w:val="20"/>
              </w:rPr>
              <w:t xml:space="preserve">. </w:t>
            </w:r>
            <w:r>
              <w:rPr>
                <w:rFonts w:ascii="Times New Roman" w:hAnsi="Times New Roman" w:cs="Times New Roman"/>
                <w:b/>
                <w:bCs/>
                <w:sz w:val="20"/>
                <w:szCs w:val="20"/>
              </w:rPr>
              <w:t>GRADE table for i</w:t>
            </w:r>
            <w:r w:rsidRPr="00C37F73">
              <w:rPr>
                <w:rFonts w:ascii="Times New Roman" w:hAnsi="Times New Roman" w:cs="Times New Roman"/>
                <w:b/>
                <w:bCs/>
                <w:sz w:val="20"/>
                <w:szCs w:val="20"/>
              </w:rPr>
              <w:t>nflammatory bowel disease</w:t>
            </w:r>
            <w:r>
              <w:rPr>
                <w:rFonts w:ascii="Times New Roman" w:hAnsi="Times New Roman" w:cs="Times New Roman"/>
                <w:b/>
                <w:bCs/>
                <w:sz w:val="20"/>
                <w:szCs w:val="20"/>
              </w:rPr>
              <w:t xml:space="preserve"> and </w:t>
            </w:r>
            <w:r w:rsidRPr="00C37F73">
              <w:rPr>
                <w:rFonts w:ascii="Times New Roman" w:hAnsi="Times New Roman" w:cs="Times New Roman"/>
                <w:b/>
                <w:bCs/>
                <w:sz w:val="20"/>
                <w:szCs w:val="20"/>
              </w:rPr>
              <w:t>disease activity or relapse</w:t>
            </w:r>
          </w:p>
        </w:tc>
      </w:tr>
      <w:tr w:rsidR="006B1162" w:rsidRPr="00C37F73" w:rsidTr="00F83E81">
        <w:trPr>
          <w:tblHeader/>
        </w:trPr>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Outcome</w:t>
            </w:r>
          </w:p>
        </w:tc>
        <w:tc>
          <w:tcPr>
            <w:tcW w:w="1275"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No. of studies</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Study Design</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No. of patients: exposed</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No. of patients:</w:t>
            </w:r>
          </w:p>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Comparison</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Certainty of the evidence (GRADE)</w:t>
            </w:r>
            <w:r w:rsidRPr="00EF2CCC">
              <w:rPr>
                <w:rFonts w:ascii="Times New Roman" w:hAnsi="Times New Roman" w:cs="Times New Roman"/>
                <w:b/>
                <w:bCs/>
                <w:sz w:val="20"/>
                <w:szCs w:val="20"/>
                <w:vertAlign w:val="superscript"/>
              </w:rPr>
              <w:t>*</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Effect</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rPr>
              <w:t>Absolute event rates</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b/>
                <w:bCs/>
                <w:sz w:val="20"/>
                <w:szCs w:val="20"/>
                <w:u w:val="single"/>
              </w:rPr>
              <w:t>Ulcerative colitis</w:t>
            </w:r>
          </w:p>
        </w:tc>
        <w:tc>
          <w:tcPr>
            <w:tcW w:w="1275" w:type="dxa"/>
          </w:tcPr>
          <w:p w:rsidR="006B1162" w:rsidRPr="00C37F73" w:rsidRDefault="006B1162" w:rsidP="00F83E81">
            <w:pPr>
              <w:rPr>
                <w:rFonts w:ascii="Times New Roman" w:hAnsi="Times New Roman" w:cs="Times New Roman"/>
                <w:b/>
                <w:bCs/>
                <w:sz w:val="20"/>
                <w:szCs w:val="20"/>
              </w:rPr>
            </w:pPr>
          </w:p>
        </w:tc>
        <w:tc>
          <w:tcPr>
            <w:tcW w:w="945" w:type="dxa"/>
          </w:tcPr>
          <w:p w:rsidR="006B1162" w:rsidRPr="00C37F73" w:rsidRDefault="006B1162" w:rsidP="00F83E81">
            <w:pPr>
              <w:rPr>
                <w:rFonts w:ascii="Times New Roman" w:hAnsi="Times New Roman" w:cs="Times New Roman"/>
                <w:b/>
                <w:bCs/>
                <w:sz w:val="20"/>
                <w:szCs w:val="20"/>
              </w:rPr>
            </w:pPr>
          </w:p>
        </w:tc>
        <w:tc>
          <w:tcPr>
            <w:tcW w:w="1481" w:type="dxa"/>
          </w:tcPr>
          <w:p w:rsidR="006B1162" w:rsidRPr="00C37F73" w:rsidRDefault="006B1162" w:rsidP="00F83E81">
            <w:pPr>
              <w:rPr>
                <w:rFonts w:ascii="Times New Roman" w:hAnsi="Times New Roman" w:cs="Times New Roman"/>
                <w:b/>
                <w:bCs/>
                <w:sz w:val="20"/>
                <w:szCs w:val="20"/>
              </w:rPr>
            </w:pPr>
          </w:p>
        </w:tc>
        <w:tc>
          <w:tcPr>
            <w:tcW w:w="1519" w:type="dxa"/>
          </w:tcPr>
          <w:p w:rsidR="006B1162" w:rsidRPr="00C37F73" w:rsidRDefault="006B1162" w:rsidP="00F83E81">
            <w:pPr>
              <w:rPr>
                <w:rFonts w:ascii="Times New Roman" w:hAnsi="Times New Roman" w:cs="Times New Roman"/>
                <w:b/>
                <w:bCs/>
                <w:sz w:val="20"/>
                <w:szCs w:val="20"/>
              </w:rPr>
            </w:pPr>
          </w:p>
        </w:tc>
        <w:tc>
          <w:tcPr>
            <w:tcW w:w="1530" w:type="dxa"/>
          </w:tcPr>
          <w:p w:rsidR="006B1162" w:rsidRPr="00C37F73" w:rsidRDefault="006B1162" w:rsidP="00F83E81">
            <w:pPr>
              <w:rPr>
                <w:rFonts w:ascii="Times New Roman" w:hAnsi="Times New Roman" w:cs="Times New Roman"/>
                <w:b/>
                <w:bCs/>
                <w:sz w:val="20"/>
                <w:szCs w:val="20"/>
              </w:rPr>
            </w:pPr>
          </w:p>
        </w:tc>
        <w:tc>
          <w:tcPr>
            <w:tcW w:w="3200" w:type="dxa"/>
          </w:tcPr>
          <w:p w:rsidR="006B1162" w:rsidRPr="00C37F73" w:rsidRDefault="006B1162" w:rsidP="00F83E81">
            <w:pPr>
              <w:rPr>
                <w:rFonts w:ascii="Times New Roman" w:hAnsi="Times New Roman" w:cs="Times New Roman"/>
                <w:b/>
                <w:bCs/>
                <w:sz w:val="20"/>
                <w:szCs w:val="20"/>
              </w:rPr>
            </w:pPr>
          </w:p>
        </w:tc>
        <w:tc>
          <w:tcPr>
            <w:tcW w:w="1750" w:type="dxa"/>
          </w:tcPr>
          <w:p w:rsidR="006B1162" w:rsidRPr="00C37F73" w:rsidRDefault="006B1162" w:rsidP="00F83E81">
            <w:pPr>
              <w:rPr>
                <w:rFonts w:ascii="Times New Roman" w:hAnsi="Times New Roman" w:cs="Times New Roman"/>
                <w:b/>
                <w:bCs/>
                <w:sz w:val="20"/>
                <w:szCs w:val="20"/>
              </w:rPr>
            </w:pP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u w:val="single"/>
              </w:rPr>
            </w:pPr>
            <w:r w:rsidRPr="00C37F73">
              <w:rPr>
                <w:rFonts w:ascii="Times New Roman" w:hAnsi="Times New Roman" w:cs="Times New Roman"/>
                <w:b/>
                <w:bCs/>
                <w:i/>
                <w:iCs/>
                <w:sz w:val="20"/>
                <w:szCs w:val="20"/>
              </w:rPr>
              <w:t>Oral contraceptives</w:t>
            </w:r>
          </w:p>
        </w:tc>
        <w:tc>
          <w:tcPr>
            <w:tcW w:w="1275" w:type="dxa"/>
          </w:tcPr>
          <w:p w:rsidR="006B1162" w:rsidRPr="00C37F73" w:rsidRDefault="006B1162" w:rsidP="00F83E81">
            <w:pPr>
              <w:rPr>
                <w:rFonts w:ascii="Times New Roman" w:hAnsi="Times New Roman" w:cs="Times New Roman"/>
                <w:b/>
                <w:bCs/>
                <w:sz w:val="20"/>
                <w:szCs w:val="20"/>
              </w:rPr>
            </w:pPr>
          </w:p>
        </w:tc>
        <w:tc>
          <w:tcPr>
            <w:tcW w:w="945" w:type="dxa"/>
          </w:tcPr>
          <w:p w:rsidR="006B1162" w:rsidRPr="00C37F73" w:rsidRDefault="006B1162" w:rsidP="00F83E81">
            <w:pPr>
              <w:rPr>
                <w:rFonts w:ascii="Times New Roman" w:hAnsi="Times New Roman" w:cs="Times New Roman"/>
                <w:b/>
                <w:bCs/>
                <w:sz w:val="20"/>
                <w:szCs w:val="20"/>
              </w:rPr>
            </w:pPr>
          </w:p>
        </w:tc>
        <w:tc>
          <w:tcPr>
            <w:tcW w:w="1481" w:type="dxa"/>
          </w:tcPr>
          <w:p w:rsidR="006B1162" w:rsidRPr="00C37F73" w:rsidRDefault="006B1162" w:rsidP="00F83E81">
            <w:pPr>
              <w:rPr>
                <w:rFonts w:ascii="Times New Roman" w:hAnsi="Times New Roman" w:cs="Times New Roman"/>
                <w:b/>
                <w:bCs/>
                <w:sz w:val="20"/>
                <w:szCs w:val="20"/>
              </w:rPr>
            </w:pPr>
          </w:p>
        </w:tc>
        <w:tc>
          <w:tcPr>
            <w:tcW w:w="1519" w:type="dxa"/>
          </w:tcPr>
          <w:p w:rsidR="006B1162" w:rsidRPr="00C37F73" w:rsidRDefault="006B1162" w:rsidP="00F83E81">
            <w:pPr>
              <w:rPr>
                <w:rFonts w:ascii="Times New Roman" w:hAnsi="Times New Roman" w:cs="Times New Roman"/>
                <w:b/>
                <w:bCs/>
                <w:sz w:val="20"/>
                <w:szCs w:val="20"/>
              </w:rPr>
            </w:pPr>
          </w:p>
        </w:tc>
        <w:tc>
          <w:tcPr>
            <w:tcW w:w="1530" w:type="dxa"/>
          </w:tcPr>
          <w:p w:rsidR="006B1162" w:rsidRPr="00C37F73" w:rsidRDefault="006B1162" w:rsidP="00F83E81">
            <w:pPr>
              <w:rPr>
                <w:rFonts w:ascii="Times New Roman" w:hAnsi="Times New Roman" w:cs="Times New Roman"/>
                <w:b/>
                <w:bCs/>
                <w:sz w:val="20"/>
                <w:szCs w:val="20"/>
              </w:rPr>
            </w:pPr>
          </w:p>
        </w:tc>
        <w:tc>
          <w:tcPr>
            <w:tcW w:w="3200" w:type="dxa"/>
          </w:tcPr>
          <w:p w:rsidR="006B1162" w:rsidRPr="00C37F73" w:rsidRDefault="006B1162" w:rsidP="00F83E81">
            <w:pPr>
              <w:rPr>
                <w:rFonts w:ascii="Times New Roman" w:hAnsi="Times New Roman" w:cs="Times New Roman"/>
                <w:b/>
                <w:bCs/>
                <w:sz w:val="20"/>
                <w:szCs w:val="20"/>
              </w:rPr>
            </w:pPr>
          </w:p>
        </w:tc>
        <w:tc>
          <w:tcPr>
            <w:tcW w:w="1750" w:type="dxa"/>
          </w:tcPr>
          <w:p w:rsidR="006B1162" w:rsidRPr="00C37F73" w:rsidRDefault="006B1162" w:rsidP="00F83E81">
            <w:pPr>
              <w:rPr>
                <w:rFonts w:ascii="Times New Roman" w:hAnsi="Times New Roman" w:cs="Times New Roman"/>
                <w:b/>
                <w:bCs/>
                <w:sz w:val="20"/>
                <w:szCs w:val="20"/>
              </w:rPr>
            </w:pP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UC relapse (increase in symptoms leading to changes in medical treatment or surgery)</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Style w:val="normaltextrun"/>
                <w:rFonts w:ascii="Times New Roman" w:hAnsi="Times New Roman" w:cs="Times New Roman"/>
                <w:color w:val="000000"/>
                <w:sz w:val="20"/>
                <w:szCs w:val="20"/>
              </w:rPr>
              <w:t>Höie</w:t>
            </w:r>
            <w:r w:rsidRPr="00C37F73">
              <w:rPr>
                <w:rFonts w:ascii="Times New Roman" w:eastAsia="Times New Roman" w:hAnsi="Times New Roman" w:cs="Times New Roman"/>
                <w:color w:val="000000"/>
                <w:sz w:val="20"/>
                <w:szCs w:val="20"/>
              </w:rPr>
              <w:t xml:space="preserve"> 2007 </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74</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173</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a,b,c,d,e</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Current OC use vs never use: cHR=1.9, 95% CI=1.4, 2.7</w:t>
            </w:r>
            <w:r w:rsidRPr="00C37F73">
              <w:rPr>
                <w:rFonts w:ascii="Times New Roman" w:eastAsia="Times New Roman" w:hAnsi="Times New Roman" w:cs="Times New Roman"/>
                <w:sz w:val="20"/>
                <w:szCs w:val="20"/>
              </w:rPr>
              <w:br/>
              <w:t>Findings were no longer statistically significant in the multivariable model (numeric results not reported).</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Not reported</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Time to UC relapse</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2</w:t>
            </w:r>
          </w:p>
          <w:p w:rsidR="006B1162" w:rsidRPr="00C37F73" w:rsidRDefault="006B1162" w:rsidP="00F83E81">
            <w:pPr>
              <w:rPr>
                <w:rFonts w:ascii="Times New Roman" w:hAnsi="Times New Roman" w:cs="Times New Roman"/>
                <w:b/>
                <w:bCs/>
                <w:sz w:val="20"/>
                <w:szCs w:val="20"/>
              </w:rPr>
            </w:pPr>
            <w:r w:rsidRPr="00C37F73">
              <w:rPr>
                <w:rStyle w:val="normaltextrun"/>
                <w:rFonts w:ascii="Times New Roman" w:hAnsi="Times New Roman" w:cs="Times New Roman"/>
                <w:color w:val="000000"/>
                <w:sz w:val="20"/>
                <w:szCs w:val="20"/>
              </w:rPr>
              <w:t>Höie</w:t>
            </w:r>
            <w:r w:rsidRPr="00C37F73">
              <w:rPr>
                <w:rFonts w:ascii="Times New Roman" w:eastAsia="Times New Roman" w:hAnsi="Times New Roman" w:cs="Times New Roman"/>
                <w:color w:val="000000"/>
                <w:sz w:val="20"/>
                <w:szCs w:val="20"/>
              </w:rPr>
              <w:t xml:space="preserve"> 2007, Bitton 2001</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S1: 74</w:t>
            </w:r>
            <w:r w:rsidRPr="00C37F73">
              <w:rPr>
                <w:rFonts w:ascii="Times New Roman" w:eastAsia="Times New Roman" w:hAnsi="Times New Roman" w:cs="Times New Roman"/>
                <w:color w:val="000000"/>
                <w:sz w:val="20"/>
                <w:szCs w:val="20"/>
              </w:rPr>
              <w:br/>
              <w:t>S2: Not reported</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S1: 173</w:t>
            </w:r>
            <w:r w:rsidRPr="00C37F73">
              <w:rPr>
                <w:rFonts w:ascii="Times New Roman" w:eastAsia="Times New Roman" w:hAnsi="Times New Roman" w:cs="Times New Roman"/>
                <w:color w:val="000000"/>
                <w:sz w:val="20"/>
                <w:szCs w:val="20"/>
              </w:rPr>
              <w:br/>
              <w:t>S2: Not reported</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a,b,c,d,f,g,h</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S1: % with relapse (95% CI)</w:t>
            </w:r>
            <w:r w:rsidRPr="00C37F73">
              <w:rPr>
                <w:rFonts w:ascii="Times New Roman" w:eastAsia="Times New Roman" w:hAnsi="Times New Roman" w:cs="Times New Roman"/>
                <w:color w:val="000000"/>
                <w:sz w:val="20"/>
                <w:szCs w:val="20"/>
              </w:rPr>
              <w:br/>
              <w:t xml:space="preserve">Before 2 years </w:t>
            </w:r>
            <w:r w:rsidRPr="00C37F73">
              <w:rPr>
                <w:rFonts w:ascii="Times New Roman" w:eastAsia="Times New Roman" w:hAnsi="Times New Roman" w:cs="Times New Roman"/>
                <w:color w:val="000000"/>
                <w:sz w:val="20"/>
                <w:szCs w:val="20"/>
              </w:rPr>
              <w:br/>
              <w:t>OC users: 55% (48-61%)</w:t>
            </w:r>
            <w:r w:rsidRPr="00C37F73">
              <w:rPr>
                <w:rFonts w:ascii="Times New Roman" w:eastAsia="Times New Roman" w:hAnsi="Times New Roman" w:cs="Times New Roman"/>
                <w:color w:val="000000"/>
                <w:sz w:val="20"/>
                <w:szCs w:val="20"/>
              </w:rPr>
              <w:br/>
              <w:t>Never users: 36% (27-45%)</w:t>
            </w:r>
            <w:r w:rsidRPr="00C37F73">
              <w:rPr>
                <w:rFonts w:ascii="Times New Roman" w:eastAsia="Times New Roman" w:hAnsi="Times New Roman" w:cs="Times New Roman"/>
                <w:color w:val="000000"/>
                <w:sz w:val="20"/>
                <w:szCs w:val="20"/>
              </w:rPr>
              <w:br/>
              <w:t xml:space="preserve">Before 5 years </w:t>
            </w:r>
            <w:r w:rsidRPr="00C37F73">
              <w:rPr>
                <w:rFonts w:ascii="Times New Roman" w:eastAsia="Times New Roman" w:hAnsi="Times New Roman" w:cs="Times New Roman"/>
                <w:color w:val="000000"/>
                <w:sz w:val="20"/>
                <w:szCs w:val="20"/>
              </w:rPr>
              <w:br/>
              <w:t>OC users: 77% (67-86%)</w:t>
            </w:r>
            <w:r w:rsidRPr="00C37F73">
              <w:rPr>
                <w:rFonts w:ascii="Times New Roman" w:eastAsia="Times New Roman" w:hAnsi="Times New Roman" w:cs="Times New Roman"/>
                <w:color w:val="000000"/>
                <w:sz w:val="20"/>
                <w:szCs w:val="20"/>
              </w:rPr>
              <w:br/>
              <w:t>Never users: 51% (41-60%)</w:t>
            </w:r>
            <w:r w:rsidRPr="00C37F73">
              <w:rPr>
                <w:rFonts w:ascii="Times New Roman" w:eastAsia="Times New Roman" w:hAnsi="Times New Roman" w:cs="Times New Roman"/>
                <w:color w:val="000000"/>
                <w:sz w:val="20"/>
                <w:szCs w:val="20"/>
              </w:rPr>
              <w:br/>
              <w:t xml:space="preserve">Before 10 years </w:t>
            </w:r>
            <w:r w:rsidRPr="00C37F73">
              <w:rPr>
                <w:rFonts w:ascii="Times New Roman" w:eastAsia="Times New Roman" w:hAnsi="Times New Roman" w:cs="Times New Roman"/>
                <w:color w:val="000000"/>
                <w:sz w:val="20"/>
                <w:szCs w:val="20"/>
              </w:rPr>
              <w:br/>
              <w:t>OC users: 86% (79-94%)</w:t>
            </w:r>
            <w:r w:rsidRPr="00C37F73">
              <w:rPr>
                <w:rFonts w:ascii="Times New Roman" w:eastAsia="Times New Roman" w:hAnsi="Times New Roman" w:cs="Times New Roman"/>
                <w:color w:val="000000"/>
                <w:sz w:val="20"/>
                <w:szCs w:val="20"/>
              </w:rPr>
              <w:br/>
              <w:t>Never users: 59% (50-69%)</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S2: Current OC use vs never OC use: cHR=2.1, 95% CIs not reported, p-value &gt;0.05</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S1: see “Effect” column</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S2: Not reported</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Number of UC relapses during follow-up period</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Style w:val="normaltextrun"/>
                <w:rFonts w:ascii="Times New Roman" w:hAnsi="Times New Roman" w:cs="Times New Roman"/>
                <w:color w:val="000000"/>
                <w:sz w:val="20"/>
                <w:szCs w:val="20"/>
              </w:rPr>
              <w:t>Höie</w:t>
            </w:r>
            <w:r w:rsidRPr="00C37F73">
              <w:rPr>
                <w:rFonts w:ascii="Times New Roman" w:eastAsia="Times New Roman" w:hAnsi="Times New Roman" w:cs="Times New Roman"/>
                <w:color w:val="000000"/>
                <w:sz w:val="20"/>
                <w:szCs w:val="20"/>
              </w:rPr>
              <w:t xml:space="preserve"> 2007</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74</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173</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a,b,c,d,e,f</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Current OC use vs never use: cHR=1.5, 95% CI=1.2, 1.8</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Not reported</w:t>
            </w:r>
          </w:p>
          <w:p w:rsidR="006B1162" w:rsidRPr="00C37F73" w:rsidRDefault="006B1162" w:rsidP="00F83E81">
            <w:pPr>
              <w:rPr>
                <w:rFonts w:ascii="Times New Roman" w:hAnsi="Times New Roman" w:cs="Times New Roman"/>
                <w:sz w:val="20"/>
                <w:szCs w:val="20"/>
              </w:rPr>
            </w:pP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First UC-related surgery</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Khalili 2016a</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572</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2628</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d,e,f,g</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Current OC use vs never use: aHR=0.74, 95% CI=0.46, 1.18</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The risk of UC-related surgery did not appear to increase with longer duration of OC use (p-value for trend=0.28) or higher number of DDDs of OC use (p-value for trend=0.70)</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Incident rates per 100,000 person-years </w:t>
            </w:r>
            <w:r w:rsidRPr="00C37F73">
              <w:rPr>
                <w:rFonts w:ascii="Times New Roman" w:eastAsia="Times New Roman" w:hAnsi="Times New Roman" w:cs="Times New Roman"/>
                <w:color w:val="000000"/>
                <w:sz w:val="20"/>
                <w:szCs w:val="20"/>
              </w:rPr>
              <w:br/>
              <w:t>Current OC users: 495</w:t>
            </w:r>
            <w:r w:rsidRPr="00C37F73">
              <w:rPr>
                <w:rFonts w:ascii="Times New Roman" w:eastAsia="Times New Roman" w:hAnsi="Times New Roman" w:cs="Times New Roman"/>
                <w:color w:val="000000"/>
                <w:sz w:val="20"/>
                <w:szCs w:val="20"/>
              </w:rPr>
              <w:br/>
              <w:t>Never users: 527</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First prescription for oral steroids at least 90 days after start of follow-up</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Khalili 2016a</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572</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2628</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d,e,f,g</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Current OC vs never use: aHR=0.94, 95% CI=0.71, 1.26 </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The risk of receiving an oral steroid prescription did not increase with longer duration of OC use (p-value for trend=0.68) or with higher number of DDDs of OC use (p-value for trend=0.63)</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Incident rates per 100,000 person-years </w:t>
            </w:r>
            <w:r w:rsidRPr="00C37F73">
              <w:rPr>
                <w:rFonts w:ascii="Times New Roman" w:eastAsia="Times New Roman" w:hAnsi="Times New Roman" w:cs="Times New Roman"/>
                <w:color w:val="000000"/>
                <w:sz w:val="20"/>
                <w:szCs w:val="20"/>
              </w:rPr>
              <w:br/>
              <w:t>Current OC users: 1,039</w:t>
            </w:r>
            <w:r w:rsidRPr="00C37F73">
              <w:rPr>
                <w:rFonts w:ascii="Times New Roman" w:eastAsia="Times New Roman" w:hAnsi="Times New Roman" w:cs="Times New Roman"/>
                <w:color w:val="000000"/>
                <w:sz w:val="20"/>
                <w:szCs w:val="20"/>
              </w:rPr>
              <w:br/>
              <w:t>Never users: 1,347</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lastRenderedPageBreak/>
              <w:t>First prescription for anti-TNF at least 90 days after start of follow-up</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Khalili 2016a</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572</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2628</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d,e,f,g</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Current OC use vs never use: aHR=0.83, 95% CI=0.59, 1.18 </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The risk of receiving anti-TNF therapy did not increase with longer duration of OC use (p-value for trend=0.97) or with higher number of DDDs of OC use (p-value for trend=0.98)</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Not reported</w:t>
            </w:r>
          </w:p>
        </w:tc>
      </w:tr>
      <w:tr w:rsidR="006B1162" w:rsidRPr="00C37F73" w:rsidTr="00F83E81">
        <w:tc>
          <w:tcPr>
            <w:tcW w:w="2700"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hAnsi="Times New Roman" w:cs="Times New Roman"/>
                <w:b/>
                <w:bCs/>
                <w:sz w:val="20"/>
                <w:szCs w:val="20"/>
                <w:u w:val="single"/>
              </w:rPr>
              <w:t>Crohn’s disease</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p>
        </w:tc>
        <w:tc>
          <w:tcPr>
            <w:tcW w:w="945" w:type="dxa"/>
          </w:tcPr>
          <w:p w:rsidR="006B1162" w:rsidRPr="00C37F73" w:rsidRDefault="006B1162" w:rsidP="00F83E81">
            <w:pPr>
              <w:rPr>
                <w:rFonts w:ascii="Times New Roman" w:eastAsia="Times New Roman" w:hAnsi="Times New Roman" w:cs="Times New Roman"/>
                <w:color w:val="000000"/>
                <w:sz w:val="20"/>
                <w:szCs w:val="20"/>
              </w:rPr>
            </w:pPr>
          </w:p>
        </w:tc>
        <w:tc>
          <w:tcPr>
            <w:tcW w:w="1481" w:type="dxa"/>
          </w:tcPr>
          <w:p w:rsidR="006B1162" w:rsidRPr="00C37F73" w:rsidRDefault="006B1162" w:rsidP="00F83E81">
            <w:pPr>
              <w:rPr>
                <w:rFonts w:ascii="Times New Roman" w:eastAsia="Times New Roman" w:hAnsi="Times New Roman" w:cs="Times New Roman"/>
                <w:color w:val="000000"/>
                <w:sz w:val="20"/>
                <w:szCs w:val="20"/>
              </w:rPr>
            </w:pPr>
          </w:p>
        </w:tc>
        <w:tc>
          <w:tcPr>
            <w:tcW w:w="1519" w:type="dxa"/>
          </w:tcPr>
          <w:p w:rsidR="006B1162" w:rsidRPr="00C37F73" w:rsidRDefault="006B1162" w:rsidP="00F83E81">
            <w:pPr>
              <w:rPr>
                <w:rFonts w:ascii="Times New Roman" w:eastAsia="Times New Roman" w:hAnsi="Times New Roman" w:cs="Times New Roman"/>
                <w:color w:val="000000"/>
                <w:sz w:val="20"/>
                <w:szCs w:val="20"/>
              </w:rPr>
            </w:pPr>
          </w:p>
        </w:tc>
        <w:tc>
          <w:tcPr>
            <w:tcW w:w="1530" w:type="dxa"/>
          </w:tcPr>
          <w:p w:rsidR="006B1162" w:rsidRPr="00C37F73" w:rsidRDefault="006B1162" w:rsidP="00F83E81">
            <w:pPr>
              <w:rPr>
                <w:rFonts w:ascii="Times New Roman" w:hAnsi="Times New Roman" w:cs="Times New Roman"/>
                <w:sz w:val="20"/>
                <w:szCs w:val="20"/>
              </w:rPr>
            </w:pPr>
          </w:p>
        </w:tc>
        <w:tc>
          <w:tcPr>
            <w:tcW w:w="3200" w:type="dxa"/>
          </w:tcPr>
          <w:p w:rsidR="006B1162" w:rsidRPr="00C37F73" w:rsidRDefault="006B1162" w:rsidP="00F83E81">
            <w:pPr>
              <w:rPr>
                <w:rFonts w:ascii="Times New Roman" w:eastAsia="Times New Roman" w:hAnsi="Times New Roman" w:cs="Times New Roman"/>
                <w:color w:val="000000"/>
                <w:sz w:val="20"/>
                <w:szCs w:val="20"/>
              </w:rPr>
            </w:pPr>
          </w:p>
        </w:tc>
        <w:tc>
          <w:tcPr>
            <w:tcW w:w="1750" w:type="dxa"/>
          </w:tcPr>
          <w:p w:rsidR="006B1162" w:rsidRPr="00C37F73" w:rsidRDefault="006B1162" w:rsidP="00F83E81">
            <w:pPr>
              <w:rPr>
                <w:rFonts w:ascii="Times New Roman" w:eastAsia="Times New Roman" w:hAnsi="Times New Roman" w:cs="Times New Roman"/>
                <w:color w:val="000000"/>
                <w:sz w:val="20"/>
                <w:szCs w:val="20"/>
              </w:rPr>
            </w:pPr>
          </w:p>
        </w:tc>
      </w:tr>
      <w:tr w:rsidR="006B1162" w:rsidRPr="00C37F73" w:rsidTr="00F83E81">
        <w:tc>
          <w:tcPr>
            <w:tcW w:w="2700"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hAnsi="Times New Roman" w:cs="Times New Roman"/>
                <w:b/>
                <w:bCs/>
                <w:i/>
                <w:iCs/>
                <w:sz w:val="20"/>
                <w:szCs w:val="20"/>
              </w:rPr>
              <w:t>Oral contraceptives</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p>
        </w:tc>
        <w:tc>
          <w:tcPr>
            <w:tcW w:w="945" w:type="dxa"/>
          </w:tcPr>
          <w:p w:rsidR="006B1162" w:rsidRPr="00C37F73" w:rsidRDefault="006B1162" w:rsidP="00F83E81">
            <w:pPr>
              <w:rPr>
                <w:rFonts w:ascii="Times New Roman" w:eastAsia="Times New Roman" w:hAnsi="Times New Roman" w:cs="Times New Roman"/>
                <w:color w:val="000000"/>
                <w:sz w:val="20"/>
                <w:szCs w:val="20"/>
              </w:rPr>
            </w:pPr>
          </w:p>
        </w:tc>
        <w:tc>
          <w:tcPr>
            <w:tcW w:w="1481" w:type="dxa"/>
          </w:tcPr>
          <w:p w:rsidR="006B1162" w:rsidRPr="00C37F73" w:rsidRDefault="006B1162" w:rsidP="00F83E81">
            <w:pPr>
              <w:rPr>
                <w:rFonts w:ascii="Times New Roman" w:eastAsia="Times New Roman" w:hAnsi="Times New Roman" w:cs="Times New Roman"/>
                <w:color w:val="000000"/>
                <w:sz w:val="20"/>
                <w:szCs w:val="20"/>
              </w:rPr>
            </w:pPr>
          </w:p>
        </w:tc>
        <w:tc>
          <w:tcPr>
            <w:tcW w:w="1519" w:type="dxa"/>
          </w:tcPr>
          <w:p w:rsidR="006B1162" w:rsidRPr="00C37F73" w:rsidRDefault="006B1162" w:rsidP="00F83E81">
            <w:pPr>
              <w:rPr>
                <w:rFonts w:ascii="Times New Roman" w:eastAsia="Times New Roman" w:hAnsi="Times New Roman" w:cs="Times New Roman"/>
                <w:color w:val="000000"/>
                <w:sz w:val="20"/>
                <w:szCs w:val="20"/>
              </w:rPr>
            </w:pPr>
          </w:p>
        </w:tc>
        <w:tc>
          <w:tcPr>
            <w:tcW w:w="1530" w:type="dxa"/>
          </w:tcPr>
          <w:p w:rsidR="006B1162" w:rsidRPr="00C37F73" w:rsidRDefault="006B1162" w:rsidP="00F83E81">
            <w:pPr>
              <w:rPr>
                <w:rFonts w:ascii="Times New Roman" w:hAnsi="Times New Roman" w:cs="Times New Roman"/>
                <w:sz w:val="20"/>
                <w:szCs w:val="20"/>
              </w:rPr>
            </w:pPr>
          </w:p>
        </w:tc>
        <w:tc>
          <w:tcPr>
            <w:tcW w:w="3200" w:type="dxa"/>
          </w:tcPr>
          <w:p w:rsidR="006B1162" w:rsidRPr="00C37F73" w:rsidRDefault="006B1162" w:rsidP="00F83E81">
            <w:pPr>
              <w:rPr>
                <w:rFonts w:ascii="Times New Roman" w:eastAsia="Times New Roman" w:hAnsi="Times New Roman" w:cs="Times New Roman"/>
                <w:color w:val="000000"/>
                <w:sz w:val="20"/>
                <w:szCs w:val="20"/>
              </w:rPr>
            </w:pPr>
          </w:p>
        </w:tc>
        <w:tc>
          <w:tcPr>
            <w:tcW w:w="1750" w:type="dxa"/>
          </w:tcPr>
          <w:p w:rsidR="006B1162" w:rsidRPr="00C37F73" w:rsidRDefault="006B1162" w:rsidP="00F83E81">
            <w:pPr>
              <w:rPr>
                <w:rFonts w:ascii="Times New Roman" w:eastAsia="Times New Roman" w:hAnsi="Times New Roman" w:cs="Times New Roman"/>
                <w:color w:val="000000"/>
                <w:sz w:val="20"/>
                <w:szCs w:val="20"/>
              </w:rPr>
            </w:pP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CD relapse (increase of CDAI, development of new abscess or fistula, or need for corticosteroids or hospitalization)</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2</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Cosnes 1999, Timmer 1998</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162</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244</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a,c,d,f,g</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S1: OC use vs non-users: cHR=1.11, 95% CI=0.80, 1.55 </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S2: Current OC use vs never OC use: aHR=1.7, 95% CI=0.7, 3.4</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S1: CD relapse  </w:t>
            </w:r>
            <w:r w:rsidRPr="00C37F73">
              <w:rPr>
                <w:rFonts w:ascii="Times New Roman" w:eastAsia="Times New Roman" w:hAnsi="Times New Roman" w:cs="Times New Roman"/>
                <w:color w:val="000000"/>
                <w:sz w:val="20"/>
                <w:szCs w:val="20"/>
              </w:rPr>
              <w:br/>
              <w:t>OC use: 46%</w:t>
            </w:r>
            <w:r w:rsidRPr="00C37F73">
              <w:rPr>
                <w:rFonts w:ascii="Times New Roman" w:eastAsia="Times New Roman" w:hAnsi="Times New Roman" w:cs="Times New Roman"/>
                <w:color w:val="000000"/>
                <w:sz w:val="20"/>
                <w:szCs w:val="20"/>
              </w:rPr>
              <w:br/>
              <w:t>Non-use: 43%</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 xml:space="preserve">S2: CD relapse </w:t>
            </w:r>
            <w:r w:rsidRPr="00C37F73">
              <w:rPr>
                <w:rFonts w:ascii="Times New Roman" w:eastAsia="Times New Roman" w:hAnsi="Times New Roman" w:cs="Times New Roman"/>
                <w:color w:val="000000"/>
                <w:sz w:val="20"/>
                <w:szCs w:val="20"/>
              </w:rPr>
              <w:br/>
              <w:t>OC use: 43%</w:t>
            </w:r>
            <w:r w:rsidRPr="00C37F73">
              <w:rPr>
                <w:rFonts w:ascii="Times New Roman" w:eastAsia="Times New Roman" w:hAnsi="Times New Roman" w:cs="Times New Roman"/>
                <w:color w:val="000000"/>
                <w:sz w:val="20"/>
                <w:szCs w:val="20"/>
              </w:rPr>
              <w:br/>
              <w:t>Never use: 27%</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CD relapse (need for surgery)</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2</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Sicilia 2005, Sutherland 1992</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42</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81</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a,b,c,d,f,h,i,j</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S1: No statistically significant differences in CD relapse comparing OC use with non-use in bivariate analysis (data not shown). </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S2: OC use was not associated with CD relapse compared with non-use in multivariable Cox proportional hazard modeling (data not shown).</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S1: Not reported</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S2: CD relapse rates</w:t>
            </w:r>
            <w:r w:rsidRPr="00C37F73">
              <w:rPr>
                <w:rFonts w:ascii="Times New Roman" w:eastAsia="Times New Roman" w:hAnsi="Times New Roman" w:cs="Times New Roman"/>
                <w:color w:val="000000"/>
                <w:sz w:val="20"/>
                <w:szCs w:val="20"/>
              </w:rPr>
              <w:br/>
              <w:t>Overall  (p&gt;0.05):</w:t>
            </w:r>
            <w:r w:rsidRPr="00C37F73">
              <w:rPr>
                <w:rFonts w:ascii="Times New Roman" w:eastAsia="Times New Roman" w:hAnsi="Times New Roman" w:cs="Times New Roman"/>
                <w:color w:val="000000"/>
                <w:sz w:val="20"/>
                <w:szCs w:val="20"/>
              </w:rPr>
              <w:br/>
              <w:t>OC users 34%</w:t>
            </w:r>
            <w:r w:rsidRPr="00C37F73">
              <w:rPr>
                <w:rFonts w:ascii="Times New Roman" w:eastAsia="Times New Roman" w:hAnsi="Times New Roman" w:cs="Times New Roman"/>
                <w:color w:val="000000"/>
                <w:sz w:val="20"/>
                <w:szCs w:val="20"/>
              </w:rPr>
              <w:br/>
              <w:t xml:space="preserve">Non-users 53% </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5 years (p&gt;0.05):</w:t>
            </w:r>
            <w:r w:rsidRPr="00C37F73">
              <w:rPr>
                <w:rFonts w:ascii="Times New Roman" w:eastAsia="Times New Roman" w:hAnsi="Times New Roman" w:cs="Times New Roman"/>
                <w:color w:val="000000"/>
                <w:sz w:val="20"/>
                <w:szCs w:val="20"/>
              </w:rPr>
              <w:br/>
              <w:t>OC users 25% (95% CI=7, 43%)</w:t>
            </w:r>
            <w:r w:rsidRPr="00C37F73">
              <w:rPr>
                <w:rFonts w:ascii="Times New Roman" w:eastAsia="Times New Roman" w:hAnsi="Times New Roman" w:cs="Times New Roman"/>
                <w:color w:val="000000"/>
                <w:sz w:val="20"/>
                <w:szCs w:val="20"/>
              </w:rPr>
              <w:br/>
              <w:t xml:space="preserve">Non-users 28% (95% CI=7, 43%) </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10 years (p&gt;0.05):</w:t>
            </w:r>
            <w:r w:rsidRPr="00C37F73">
              <w:rPr>
                <w:rFonts w:ascii="Times New Roman" w:eastAsia="Times New Roman" w:hAnsi="Times New Roman" w:cs="Times New Roman"/>
                <w:color w:val="000000"/>
                <w:sz w:val="20"/>
                <w:szCs w:val="20"/>
              </w:rPr>
              <w:br/>
              <w:t xml:space="preserve">OC users 41% (95% CI=2, 80%) </w:t>
            </w:r>
            <w:r w:rsidRPr="00C37F73">
              <w:rPr>
                <w:rFonts w:ascii="Times New Roman" w:eastAsia="Times New Roman" w:hAnsi="Times New Roman" w:cs="Times New Roman"/>
                <w:color w:val="000000"/>
                <w:sz w:val="20"/>
                <w:szCs w:val="20"/>
              </w:rPr>
              <w:br/>
              <w:t>Non-users 64% (95% CI=41, 88%)</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Time to CD relapse</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2</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Cosnes 1999, Wright 1992</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185</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197</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a,b,c,d,f,g</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S1: Median time to relapse  </w:t>
            </w:r>
            <w:r w:rsidRPr="00C37F73">
              <w:rPr>
                <w:rFonts w:ascii="Times New Roman" w:eastAsia="Times New Roman" w:hAnsi="Times New Roman" w:cs="Times New Roman"/>
                <w:color w:val="000000"/>
                <w:sz w:val="20"/>
                <w:szCs w:val="20"/>
              </w:rPr>
              <w:br/>
              <w:t xml:space="preserve">OC users (484 days, SD=30 days) </w:t>
            </w:r>
            <w:r w:rsidRPr="00C37F73">
              <w:rPr>
                <w:rFonts w:ascii="Times New Roman" w:eastAsia="Times New Roman" w:hAnsi="Times New Roman" w:cs="Times New Roman"/>
                <w:color w:val="000000"/>
                <w:sz w:val="20"/>
                <w:szCs w:val="20"/>
              </w:rPr>
              <w:br/>
              <w:t>Non-users (504 days, SD=41 days)</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 xml:space="preserve">S2: Mean time to first relapse </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lastRenderedPageBreak/>
              <w:t>OC users: 24.2 months (SD=26.7)</w:t>
            </w:r>
            <w:r w:rsidRPr="00C37F73">
              <w:rPr>
                <w:rFonts w:ascii="Times New Roman" w:eastAsia="Times New Roman" w:hAnsi="Times New Roman" w:cs="Times New Roman"/>
                <w:color w:val="000000"/>
                <w:sz w:val="20"/>
                <w:szCs w:val="20"/>
              </w:rPr>
              <w:br/>
              <w:t>Non-users: 32.9 months (SD=38.0)</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lastRenderedPageBreak/>
              <w:t>S1: See “Effect” column</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S2: See “Effect” column</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Median CDAI during relapse</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Cosnes 1999</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134</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197</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c,d,e,f,h</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Median CDAI during relapse did not differ between OC users (246) and non-OC users (241)</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See “Effect” column</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First CD-related surgery</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Khalili 2016b</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28/12,382 person-months</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420/230,491 person-months</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d,e,f,g</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Current OC use vs never use: aHR=1.30, 95% CI=0.89, 1.92</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The risk of CD-related surgery increased with longer duration of OC use (p-value for trend=0.036) and higher number of DDDs of OC use (p-value for trend=0.016)</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 xml:space="preserve">The risk of CD-related surgery increased with longer duration of COC use (p=0.041) </w:t>
            </w:r>
            <w:r w:rsidRPr="00C37F73">
              <w:rPr>
                <w:rFonts w:ascii="Times New Roman" w:eastAsia="Times New Roman" w:hAnsi="Times New Roman" w:cs="Times New Roman"/>
                <w:color w:val="000000"/>
                <w:sz w:val="20"/>
                <w:szCs w:val="20"/>
              </w:rPr>
              <w:br/>
              <w:t>POP use (p&gt;0.50)</w:t>
            </w:r>
            <w:r w:rsidRPr="00C37F73">
              <w:rPr>
                <w:rFonts w:ascii="Times New Roman" w:eastAsia="Times New Roman" w:hAnsi="Times New Roman" w:cs="Times New Roman"/>
                <w:color w:val="000000"/>
                <w:sz w:val="20"/>
                <w:szCs w:val="20"/>
              </w:rPr>
              <w:br/>
              <w:t>For every 1 year of COC use, the risk of CD-related surgery increased by nearly 30% (aHR=1.29, 95% CI=1.05, 1.57).</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Incident rates per 100,000 person-months</w:t>
            </w:r>
            <w:r w:rsidRPr="00C37F73">
              <w:rPr>
                <w:rFonts w:ascii="Times New Roman" w:eastAsia="Times New Roman" w:hAnsi="Times New Roman" w:cs="Times New Roman"/>
                <w:color w:val="000000"/>
                <w:sz w:val="20"/>
                <w:szCs w:val="20"/>
              </w:rPr>
              <w:br/>
              <w:t>Current OC users: 22.6</w:t>
            </w:r>
            <w:r w:rsidRPr="00C37F73">
              <w:rPr>
                <w:rFonts w:ascii="Times New Roman" w:eastAsia="Times New Roman" w:hAnsi="Times New Roman" w:cs="Times New Roman"/>
                <w:color w:val="000000"/>
                <w:sz w:val="20"/>
                <w:szCs w:val="20"/>
              </w:rPr>
              <w:br/>
              <w:t>Never users: 18.2</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First prescription for oral steroids after CD diagnosis</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Khalili 2016b</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25/14,225 person-months</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405/268,059 person-months</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d,e,f,g</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xml:space="preserve">Current OC use vs non-use:  aHR=1.09, 95% CI=0.73, 1.64 </w:t>
            </w:r>
            <w:r w:rsidRPr="00C37F73">
              <w:rPr>
                <w:rFonts w:ascii="Times New Roman" w:eastAsia="Times New Roman" w:hAnsi="Times New Roman" w:cs="Times New Roman"/>
                <w:color w:val="000000"/>
                <w:sz w:val="20"/>
                <w:szCs w:val="20"/>
              </w:rPr>
              <w:br/>
            </w:r>
            <w:r w:rsidRPr="00C37F73">
              <w:rPr>
                <w:rFonts w:ascii="Times New Roman" w:eastAsia="Times New Roman" w:hAnsi="Times New Roman" w:cs="Times New Roman"/>
                <w:color w:val="000000"/>
                <w:sz w:val="20"/>
                <w:szCs w:val="20"/>
              </w:rPr>
              <w:br/>
              <w:t>The risk of receiving an oral steroid prescription did not increase with longer duration of OC use (p-value for trend=0.88) or with higher number of DDDs of OC use (p-value for trend=0.20)</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Incident rates per 100,000 person-months</w:t>
            </w:r>
            <w:r w:rsidRPr="00C37F73">
              <w:rPr>
                <w:rFonts w:ascii="Times New Roman" w:eastAsia="Times New Roman" w:hAnsi="Times New Roman" w:cs="Times New Roman"/>
                <w:color w:val="000000"/>
                <w:sz w:val="20"/>
                <w:szCs w:val="20"/>
              </w:rPr>
              <w:br/>
              <w:t>Current OC users: 17.6</w:t>
            </w:r>
            <w:r w:rsidRPr="00C37F73">
              <w:rPr>
                <w:rFonts w:ascii="Times New Roman" w:eastAsia="Times New Roman" w:hAnsi="Times New Roman" w:cs="Times New Roman"/>
                <w:color w:val="000000"/>
                <w:sz w:val="20"/>
                <w:szCs w:val="20"/>
              </w:rPr>
              <w:br/>
              <w:t>Never users: 15.1</w:t>
            </w:r>
          </w:p>
        </w:tc>
      </w:tr>
      <w:tr w:rsidR="006B1162" w:rsidRPr="00C37F73" w:rsidTr="00F83E81">
        <w:tc>
          <w:tcPr>
            <w:tcW w:w="2700"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hAnsi="Times New Roman" w:cs="Times New Roman"/>
                <w:b/>
                <w:bCs/>
                <w:i/>
                <w:iCs/>
                <w:sz w:val="20"/>
                <w:szCs w:val="20"/>
              </w:rPr>
              <w:t>Progestin-containing IUDs</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p>
        </w:tc>
        <w:tc>
          <w:tcPr>
            <w:tcW w:w="945" w:type="dxa"/>
          </w:tcPr>
          <w:p w:rsidR="006B1162" w:rsidRPr="00C37F73" w:rsidRDefault="006B1162" w:rsidP="00F83E81">
            <w:pPr>
              <w:rPr>
                <w:rFonts w:ascii="Times New Roman" w:eastAsia="Times New Roman" w:hAnsi="Times New Roman" w:cs="Times New Roman"/>
                <w:color w:val="000000"/>
                <w:sz w:val="20"/>
                <w:szCs w:val="20"/>
              </w:rPr>
            </w:pPr>
          </w:p>
        </w:tc>
        <w:tc>
          <w:tcPr>
            <w:tcW w:w="1481" w:type="dxa"/>
          </w:tcPr>
          <w:p w:rsidR="006B1162" w:rsidRPr="00C37F73" w:rsidRDefault="006B1162" w:rsidP="00F83E81">
            <w:pPr>
              <w:rPr>
                <w:rFonts w:ascii="Times New Roman" w:eastAsia="Times New Roman" w:hAnsi="Times New Roman" w:cs="Times New Roman"/>
                <w:color w:val="000000"/>
                <w:sz w:val="20"/>
                <w:szCs w:val="20"/>
              </w:rPr>
            </w:pPr>
          </w:p>
        </w:tc>
        <w:tc>
          <w:tcPr>
            <w:tcW w:w="1519" w:type="dxa"/>
          </w:tcPr>
          <w:p w:rsidR="006B1162" w:rsidRPr="00C37F73" w:rsidRDefault="006B1162" w:rsidP="00F83E81">
            <w:pPr>
              <w:rPr>
                <w:rFonts w:ascii="Times New Roman" w:eastAsia="Times New Roman" w:hAnsi="Times New Roman" w:cs="Times New Roman"/>
                <w:color w:val="000000"/>
                <w:sz w:val="20"/>
                <w:szCs w:val="20"/>
              </w:rPr>
            </w:pPr>
          </w:p>
        </w:tc>
        <w:tc>
          <w:tcPr>
            <w:tcW w:w="1530" w:type="dxa"/>
          </w:tcPr>
          <w:p w:rsidR="006B1162" w:rsidRPr="00C37F73" w:rsidRDefault="006B1162" w:rsidP="00F83E81">
            <w:pPr>
              <w:rPr>
                <w:rFonts w:ascii="Times New Roman" w:hAnsi="Times New Roman" w:cs="Times New Roman"/>
                <w:sz w:val="20"/>
                <w:szCs w:val="20"/>
              </w:rPr>
            </w:pPr>
          </w:p>
        </w:tc>
        <w:tc>
          <w:tcPr>
            <w:tcW w:w="3200" w:type="dxa"/>
          </w:tcPr>
          <w:p w:rsidR="006B1162" w:rsidRPr="00C37F73" w:rsidRDefault="006B1162" w:rsidP="00F83E81">
            <w:pPr>
              <w:rPr>
                <w:rFonts w:ascii="Times New Roman" w:eastAsia="Times New Roman" w:hAnsi="Times New Roman" w:cs="Times New Roman"/>
                <w:color w:val="000000"/>
                <w:sz w:val="20"/>
                <w:szCs w:val="20"/>
              </w:rPr>
            </w:pPr>
          </w:p>
        </w:tc>
        <w:tc>
          <w:tcPr>
            <w:tcW w:w="1750" w:type="dxa"/>
          </w:tcPr>
          <w:p w:rsidR="006B1162" w:rsidRPr="00C37F73" w:rsidRDefault="006B1162" w:rsidP="00F83E81">
            <w:pPr>
              <w:rPr>
                <w:rFonts w:ascii="Times New Roman" w:eastAsia="Times New Roman" w:hAnsi="Times New Roman" w:cs="Times New Roman"/>
                <w:color w:val="000000"/>
                <w:sz w:val="20"/>
                <w:szCs w:val="20"/>
              </w:rPr>
            </w:pP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First CD-related surgery</w:t>
            </w:r>
          </w:p>
        </w:tc>
        <w:tc>
          <w:tcPr>
            <w:tcW w:w="1275" w:type="dxa"/>
          </w:tcPr>
          <w:p w:rsidR="006B1162" w:rsidRPr="00C37F73" w:rsidRDefault="006B1162" w:rsidP="00F83E81">
            <w:pPr>
              <w:rPr>
                <w:rFonts w:ascii="Times New Roman" w:eastAsia="Times New Roman" w:hAnsi="Times New Roman" w:cs="Times New Roman"/>
                <w:sz w:val="20"/>
                <w:szCs w:val="20"/>
              </w:rPr>
            </w:pPr>
            <w:r w:rsidRPr="00C37F73">
              <w:rPr>
                <w:rFonts w:ascii="Times New Roman" w:eastAsia="Times New Roman" w:hAnsi="Times New Roman" w:cs="Times New Roman"/>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Khalili 2016b</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Not reported</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Not reported</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d,e,f,g,i</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Progestin-containing IUD use vs never use:  aHR=0.98, 95% CI=0.69, 1.40</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Not reported</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First prescription for oral steroids after CD diagnosis</w:t>
            </w:r>
          </w:p>
        </w:tc>
        <w:tc>
          <w:tcPr>
            <w:tcW w:w="1275" w:type="dxa"/>
          </w:tcPr>
          <w:p w:rsidR="006B1162" w:rsidRPr="00C37F73" w:rsidRDefault="006B1162" w:rsidP="00F83E81">
            <w:pPr>
              <w:rPr>
                <w:rFonts w:ascii="Times New Roman" w:eastAsia="Times New Roman" w:hAnsi="Times New Roman" w:cs="Times New Roman"/>
                <w:sz w:val="20"/>
                <w:szCs w:val="20"/>
              </w:rPr>
            </w:pPr>
            <w:r w:rsidRPr="00C37F73">
              <w:rPr>
                <w:rFonts w:ascii="Times New Roman" w:eastAsia="Times New Roman" w:hAnsi="Times New Roman" w:cs="Times New Roman"/>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Khalili 2016b</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Not reported</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Not reported</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d,e,f,g,i</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Progestin-containing IUD vs never use:  aHR=1.03, 95% CI=0.71, 1.60</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Not reported</w:t>
            </w:r>
          </w:p>
        </w:tc>
      </w:tr>
      <w:tr w:rsidR="006B1162" w:rsidRPr="00C37F73" w:rsidTr="00F83E81">
        <w:tc>
          <w:tcPr>
            <w:tcW w:w="2700" w:type="dxa"/>
          </w:tcPr>
          <w:p w:rsidR="006B1162" w:rsidRPr="00C37F73" w:rsidRDefault="006B1162" w:rsidP="00F83E81">
            <w:pPr>
              <w:rPr>
                <w:rFonts w:eastAsia="Times New Roman"/>
                <w:sz w:val="20"/>
                <w:szCs w:val="20"/>
              </w:rPr>
            </w:pPr>
            <w:r w:rsidRPr="00C37F73">
              <w:rPr>
                <w:rFonts w:ascii="Times New Roman" w:hAnsi="Times New Roman" w:cs="Times New Roman"/>
                <w:b/>
                <w:bCs/>
                <w:sz w:val="20"/>
                <w:szCs w:val="20"/>
                <w:u w:val="single"/>
              </w:rPr>
              <w:t>IBD (</w:t>
            </w:r>
            <w:r>
              <w:rPr>
                <w:b/>
                <w:bCs/>
                <w:sz w:val="20"/>
                <w:szCs w:val="20"/>
                <w:u w:val="single"/>
              </w:rPr>
              <w:t>UC and CD</w:t>
            </w:r>
            <w:r w:rsidRPr="00C37F73">
              <w:rPr>
                <w:rFonts w:ascii="Times New Roman" w:hAnsi="Times New Roman" w:cs="Times New Roman"/>
                <w:b/>
                <w:bCs/>
                <w:sz w:val="20"/>
                <w:szCs w:val="20"/>
                <w:u w:val="single"/>
              </w:rPr>
              <w:t xml:space="preserve"> combined)</w:t>
            </w:r>
          </w:p>
        </w:tc>
        <w:tc>
          <w:tcPr>
            <w:tcW w:w="1275" w:type="dxa"/>
          </w:tcPr>
          <w:p w:rsidR="006B1162" w:rsidRPr="00C37F73" w:rsidRDefault="006B1162" w:rsidP="00F83E81">
            <w:pPr>
              <w:rPr>
                <w:rFonts w:eastAsia="Times New Roman"/>
                <w:sz w:val="20"/>
                <w:szCs w:val="20"/>
              </w:rPr>
            </w:pPr>
          </w:p>
        </w:tc>
        <w:tc>
          <w:tcPr>
            <w:tcW w:w="945" w:type="dxa"/>
          </w:tcPr>
          <w:p w:rsidR="006B1162" w:rsidRPr="00C37F73" w:rsidRDefault="006B1162" w:rsidP="00F83E81">
            <w:pPr>
              <w:rPr>
                <w:rFonts w:eastAsia="Times New Roman"/>
                <w:sz w:val="20"/>
                <w:szCs w:val="20"/>
              </w:rPr>
            </w:pPr>
          </w:p>
        </w:tc>
        <w:tc>
          <w:tcPr>
            <w:tcW w:w="1481" w:type="dxa"/>
          </w:tcPr>
          <w:p w:rsidR="006B1162" w:rsidRPr="00C37F73" w:rsidRDefault="006B1162" w:rsidP="00F83E81">
            <w:pPr>
              <w:rPr>
                <w:rFonts w:eastAsia="Times New Roman"/>
                <w:sz w:val="20"/>
                <w:szCs w:val="20"/>
              </w:rPr>
            </w:pPr>
          </w:p>
        </w:tc>
        <w:tc>
          <w:tcPr>
            <w:tcW w:w="1519" w:type="dxa"/>
          </w:tcPr>
          <w:p w:rsidR="006B1162" w:rsidRPr="00C37F73" w:rsidRDefault="006B1162" w:rsidP="00F83E81">
            <w:pPr>
              <w:rPr>
                <w:rFonts w:eastAsia="Times New Roman"/>
                <w:sz w:val="20"/>
                <w:szCs w:val="20"/>
              </w:rPr>
            </w:pPr>
          </w:p>
        </w:tc>
        <w:tc>
          <w:tcPr>
            <w:tcW w:w="1530" w:type="dxa"/>
          </w:tcPr>
          <w:p w:rsidR="006B1162" w:rsidRPr="00C37F73" w:rsidRDefault="006B1162" w:rsidP="00F83E81">
            <w:pPr>
              <w:rPr>
                <w:rFonts w:ascii="Cambria Math" w:hAnsi="Cambria Math" w:cs="Cambria Math"/>
                <w:sz w:val="20"/>
                <w:szCs w:val="20"/>
              </w:rPr>
            </w:pPr>
          </w:p>
        </w:tc>
        <w:tc>
          <w:tcPr>
            <w:tcW w:w="3200" w:type="dxa"/>
          </w:tcPr>
          <w:p w:rsidR="006B1162" w:rsidRPr="00C37F73" w:rsidRDefault="006B1162" w:rsidP="00F83E81">
            <w:pPr>
              <w:rPr>
                <w:rFonts w:eastAsia="Times New Roman"/>
                <w:sz w:val="20"/>
                <w:szCs w:val="20"/>
              </w:rPr>
            </w:pPr>
          </w:p>
        </w:tc>
        <w:tc>
          <w:tcPr>
            <w:tcW w:w="1750" w:type="dxa"/>
          </w:tcPr>
          <w:p w:rsidR="006B1162" w:rsidRPr="00C37F73" w:rsidRDefault="006B1162" w:rsidP="00F83E81">
            <w:pPr>
              <w:rPr>
                <w:rFonts w:eastAsia="Times New Roman"/>
                <w:color w:val="000000"/>
                <w:sz w:val="20"/>
                <w:szCs w:val="20"/>
              </w:rPr>
            </w:pPr>
          </w:p>
        </w:tc>
      </w:tr>
      <w:tr w:rsidR="006B1162" w:rsidRPr="00C37F73" w:rsidTr="00F83E81">
        <w:tc>
          <w:tcPr>
            <w:tcW w:w="2700"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hAnsi="Times New Roman" w:cs="Times New Roman"/>
                <w:b/>
                <w:bCs/>
                <w:i/>
                <w:iCs/>
                <w:sz w:val="20"/>
                <w:szCs w:val="20"/>
              </w:rPr>
              <w:t>Hormonal contraceptives</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p>
        </w:tc>
        <w:tc>
          <w:tcPr>
            <w:tcW w:w="945" w:type="dxa"/>
          </w:tcPr>
          <w:p w:rsidR="006B1162" w:rsidRPr="00C37F73" w:rsidRDefault="006B1162" w:rsidP="00F83E81">
            <w:pPr>
              <w:rPr>
                <w:rFonts w:ascii="Times New Roman" w:eastAsia="Times New Roman" w:hAnsi="Times New Roman" w:cs="Times New Roman"/>
                <w:color w:val="000000"/>
                <w:sz w:val="20"/>
                <w:szCs w:val="20"/>
              </w:rPr>
            </w:pPr>
          </w:p>
        </w:tc>
        <w:tc>
          <w:tcPr>
            <w:tcW w:w="1481" w:type="dxa"/>
          </w:tcPr>
          <w:p w:rsidR="006B1162" w:rsidRPr="00C37F73" w:rsidRDefault="006B1162" w:rsidP="00F83E81">
            <w:pPr>
              <w:rPr>
                <w:rFonts w:ascii="Times New Roman" w:eastAsia="Times New Roman" w:hAnsi="Times New Roman" w:cs="Times New Roman"/>
                <w:color w:val="000000"/>
                <w:sz w:val="20"/>
                <w:szCs w:val="20"/>
              </w:rPr>
            </w:pPr>
          </w:p>
        </w:tc>
        <w:tc>
          <w:tcPr>
            <w:tcW w:w="1519" w:type="dxa"/>
          </w:tcPr>
          <w:p w:rsidR="006B1162" w:rsidRPr="00C37F73" w:rsidRDefault="006B1162" w:rsidP="00F83E81">
            <w:pPr>
              <w:rPr>
                <w:rFonts w:ascii="Times New Roman" w:eastAsia="Times New Roman" w:hAnsi="Times New Roman" w:cs="Times New Roman"/>
                <w:color w:val="000000"/>
                <w:sz w:val="20"/>
                <w:szCs w:val="20"/>
              </w:rPr>
            </w:pPr>
          </w:p>
        </w:tc>
        <w:tc>
          <w:tcPr>
            <w:tcW w:w="1530" w:type="dxa"/>
          </w:tcPr>
          <w:p w:rsidR="006B1162" w:rsidRPr="00C37F73" w:rsidRDefault="006B1162" w:rsidP="00F83E81">
            <w:pPr>
              <w:rPr>
                <w:rFonts w:ascii="Times New Roman" w:hAnsi="Times New Roman" w:cs="Times New Roman"/>
                <w:sz w:val="20"/>
                <w:szCs w:val="20"/>
              </w:rPr>
            </w:pPr>
          </w:p>
        </w:tc>
        <w:tc>
          <w:tcPr>
            <w:tcW w:w="3200" w:type="dxa"/>
          </w:tcPr>
          <w:p w:rsidR="006B1162" w:rsidRPr="00C37F73" w:rsidRDefault="006B1162" w:rsidP="00F83E81">
            <w:pPr>
              <w:rPr>
                <w:rFonts w:ascii="Times New Roman" w:eastAsia="Times New Roman" w:hAnsi="Times New Roman" w:cs="Times New Roman"/>
                <w:sz w:val="20"/>
                <w:szCs w:val="20"/>
              </w:rPr>
            </w:pPr>
          </w:p>
        </w:tc>
        <w:tc>
          <w:tcPr>
            <w:tcW w:w="1750" w:type="dxa"/>
          </w:tcPr>
          <w:p w:rsidR="006B1162" w:rsidRPr="00C37F73" w:rsidRDefault="006B1162" w:rsidP="00F83E81">
            <w:pPr>
              <w:rPr>
                <w:rFonts w:ascii="Times New Roman" w:eastAsia="Times New Roman" w:hAnsi="Times New Roman" w:cs="Times New Roman"/>
                <w:color w:val="000000"/>
                <w:sz w:val="20"/>
                <w:szCs w:val="20"/>
              </w:rPr>
            </w:pP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lastRenderedPageBreak/>
              <w:t>IBD symptoms</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Dolovich 2024</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17</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54</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c,e,g,i</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sz w:val="20"/>
                <w:szCs w:val="20"/>
              </w:rPr>
              <w:t>Hormonal contraceptive use vs no use</w:t>
            </w:r>
            <w:r w:rsidRPr="00C37F73">
              <w:rPr>
                <w:rFonts w:ascii="Times New Roman" w:eastAsia="Times New Roman" w:hAnsi="Times New Roman" w:cs="Times New Roman"/>
                <w:sz w:val="20"/>
                <w:szCs w:val="20"/>
              </w:rPr>
              <w:br/>
              <w:t>aOR=0.16, 95% CI=0.02, 0.90</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with IBD symptoms over 1 year</w:t>
            </w:r>
            <w:r w:rsidRPr="00C37F73">
              <w:rPr>
                <w:rFonts w:ascii="Times New Roman" w:eastAsia="Times New Roman" w:hAnsi="Times New Roman" w:cs="Times New Roman"/>
                <w:color w:val="000000"/>
                <w:sz w:val="20"/>
                <w:szCs w:val="20"/>
              </w:rPr>
              <w:br/>
              <w:t>HC use: 71%</w:t>
            </w:r>
            <w:r w:rsidRPr="00C37F73">
              <w:rPr>
                <w:rFonts w:ascii="Times New Roman" w:eastAsia="Times New Roman" w:hAnsi="Times New Roman" w:cs="Times New Roman"/>
                <w:color w:val="000000"/>
                <w:sz w:val="20"/>
                <w:szCs w:val="20"/>
              </w:rPr>
              <w:br/>
              <w:t>No HC use: 94%</w:t>
            </w:r>
          </w:p>
        </w:tc>
      </w:tr>
      <w:tr w:rsidR="006B1162" w:rsidRPr="00C37F73" w:rsidTr="00F83E81">
        <w:tc>
          <w:tcPr>
            <w:tcW w:w="27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Flares</w:t>
            </w:r>
          </w:p>
        </w:tc>
        <w:tc>
          <w:tcPr>
            <w:tcW w:w="1275" w:type="dxa"/>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Dolovich 2024</w:t>
            </w:r>
          </w:p>
        </w:tc>
        <w:tc>
          <w:tcPr>
            <w:tcW w:w="945"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17</w:t>
            </w:r>
          </w:p>
        </w:tc>
        <w:tc>
          <w:tcPr>
            <w:tcW w:w="1519"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54</w:t>
            </w:r>
          </w:p>
        </w:tc>
        <w:tc>
          <w:tcPr>
            <w:tcW w:w="1530" w:type="dxa"/>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c,e,g,i</w:t>
            </w:r>
          </w:p>
        </w:tc>
        <w:tc>
          <w:tcPr>
            <w:tcW w:w="320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Hormonal contraceptive use vs no use</w:t>
            </w:r>
            <w:r w:rsidRPr="00C37F73">
              <w:rPr>
                <w:rFonts w:ascii="Times New Roman" w:eastAsia="Times New Roman" w:hAnsi="Times New Roman" w:cs="Times New Roman"/>
                <w:color w:val="000000"/>
                <w:sz w:val="20"/>
                <w:szCs w:val="20"/>
              </w:rPr>
              <w:br/>
              <w:t>aOR=0.53, 95% CI=0.14, 1.93</w:t>
            </w:r>
          </w:p>
        </w:tc>
        <w:tc>
          <w:tcPr>
            <w:tcW w:w="1750" w:type="dxa"/>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with flare over 1 year</w:t>
            </w:r>
            <w:r w:rsidRPr="00C37F73">
              <w:rPr>
                <w:rFonts w:ascii="Times New Roman" w:eastAsia="Times New Roman" w:hAnsi="Times New Roman" w:cs="Times New Roman"/>
                <w:color w:val="000000"/>
                <w:sz w:val="20"/>
                <w:szCs w:val="20"/>
              </w:rPr>
              <w:br/>
              <w:t>HC use: 59%</w:t>
            </w:r>
            <w:r w:rsidRPr="00C37F73">
              <w:rPr>
                <w:rFonts w:ascii="Times New Roman" w:eastAsia="Times New Roman" w:hAnsi="Times New Roman" w:cs="Times New Roman"/>
                <w:color w:val="000000"/>
                <w:sz w:val="20"/>
                <w:szCs w:val="20"/>
              </w:rPr>
              <w:br/>
              <w:t>No HC use: 65%</w:t>
            </w:r>
          </w:p>
        </w:tc>
      </w:tr>
      <w:tr w:rsidR="006B1162" w:rsidRPr="00C37F73" w:rsidTr="00F83E81">
        <w:tc>
          <w:tcPr>
            <w:tcW w:w="2700" w:type="dxa"/>
            <w:tcBorders>
              <w:bottom w:val="single" w:sz="4" w:space="0" w:color="auto"/>
            </w:tcBorders>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Inflammation</w:t>
            </w:r>
          </w:p>
        </w:tc>
        <w:tc>
          <w:tcPr>
            <w:tcW w:w="1275" w:type="dxa"/>
            <w:tcBorders>
              <w:bottom w:val="single" w:sz="4" w:space="0" w:color="auto"/>
            </w:tcBorders>
          </w:tcPr>
          <w:p w:rsidR="006B1162" w:rsidRPr="00C37F73" w:rsidRDefault="006B1162" w:rsidP="00F83E81">
            <w:pPr>
              <w:rPr>
                <w:rFonts w:ascii="Times New Roman" w:eastAsia="Times New Roman" w:hAnsi="Times New Roman" w:cs="Times New Roman"/>
                <w:color w:val="000000"/>
                <w:sz w:val="20"/>
                <w:szCs w:val="20"/>
              </w:rPr>
            </w:pPr>
            <w:r w:rsidRPr="00C37F73">
              <w:rPr>
                <w:rFonts w:ascii="Times New Roman" w:eastAsia="Times New Roman" w:hAnsi="Times New Roman" w:cs="Times New Roman"/>
                <w:color w:val="000000"/>
                <w:sz w:val="20"/>
                <w:szCs w:val="20"/>
              </w:rPr>
              <w:t>1</w:t>
            </w:r>
          </w:p>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Dolovich 2024</w:t>
            </w:r>
          </w:p>
        </w:tc>
        <w:tc>
          <w:tcPr>
            <w:tcW w:w="945" w:type="dxa"/>
            <w:tcBorders>
              <w:bottom w:val="single" w:sz="4" w:space="0" w:color="auto"/>
            </w:tcBorders>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Cohort</w:t>
            </w:r>
          </w:p>
        </w:tc>
        <w:tc>
          <w:tcPr>
            <w:tcW w:w="1481" w:type="dxa"/>
            <w:tcBorders>
              <w:bottom w:val="single" w:sz="4" w:space="0" w:color="auto"/>
            </w:tcBorders>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17</w:t>
            </w:r>
          </w:p>
        </w:tc>
        <w:tc>
          <w:tcPr>
            <w:tcW w:w="1519" w:type="dxa"/>
            <w:tcBorders>
              <w:bottom w:val="single" w:sz="4" w:space="0" w:color="auto"/>
            </w:tcBorders>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54</w:t>
            </w:r>
          </w:p>
        </w:tc>
        <w:tc>
          <w:tcPr>
            <w:tcW w:w="1530" w:type="dxa"/>
            <w:tcBorders>
              <w:bottom w:val="single" w:sz="4" w:space="0" w:color="auto"/>
            </w:tcBorders>
          </w:tcPr>
          <w:p w:rsidR="006B1162" w:rsidRPr="00C37F73" w:rsidRDefault="006B1162" w:rsidP="00F83E81">
            <w:pPr>
              <w:rPr>
                <w:rFonts w:ascii="Times New Roman" w:hAnsi="Times New Roman" w:cs="Times New Roman"/>
                <w:b/>
                <w:bCs/>
                <w:sz w:val="20"/>
                <w:szCs w:val="20"/>
              </w:rPr>
            </w:pPr>
            <w:r w:rsidRPr="00C37F73">
              <w:rPr>
                <w:rFonts w:ascii="Times New Roman" w:hAnsi="Times New Roman" w:cs="Times New Roman"/>
                <w:sz w:val="20"/>
                <w:szCs w:val="20"/>
              </w:rPr>
              <w:t>Very low</w:t>
            </w:r>
            <w:r w:rsidRPr="00C37F73">
              <w:rPr>
                <w:rFonts w:ascii="Times New Roman" w:hAnsi="Times New Roman" w:cs="Times New Roman"/>
                <w:sz w:val="20"/>
                <w:szCs w:val="20"/>
                <w:vertAlign w:val="superscript"/>
              </w:rPr>
              <w:t>c,e,g,i</w:t>
            </w:r>
          </w:p>
        </w:tc>
        <w:tc>
          <w:tcPr>
            <w:tcW w:w="3200" w:type="dxa"/>
            <w:tcBorders>
              <w:bottom w:val="single" w:sz="4" w:space="0" w:color="auto"/>
            </w:tcBorders>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Hormonal contraceptive use vs no use</w:t>
            </w:r>
            <w:r w:rsidRPr="00C37F73">
              <w:rPr>
                <w:rFonts w:ascii="Times New Roman" w:eastAsia="Times New Roman" w:hAnsi="Times New Roman" w:cs="Times New Roman"/>
                <w:color w:val="000000"/>
                <w:sz w:val="20"/>
                <w:szCs w:val="20"/>
              </w:rPr>
              <w:br/>
              <w:t>aOR=5.71, 95% CI=1.23-43.63</w:t>
            </w:r>
          </w:p>
        </w:tc>
        <w:tc>
          <w:tcPr>
            <w:tcW w:w="1750" w:type="dxa"/>
            <w:tcBorders>
              <w:bottom w:val="single" w:sz="4" w:space="0" w:color="auto"/>
            </w:tcBorders>
          </w:tcPr>
          <w:p w:rsidR="006B1162" w:rsidRPr="00C37F73" w:rsidRDefault="006B1162" w:rsidP="00F83E81">
            <w:pPr>
              <w:rPr>
                <w:rFonts w:ascii="Times New Roman" w:hAnsi="Times New Roman" w:cs="Times New Roman"/>
                <w:b/>
                <w:bCs/>
                <w:sz w:val="20"/>
                <w:szCs w:val="20"/>
              </w:rPr>
            </w:pPr>
            <w:r w:rsidRPr="00C37F73">
              <w:rPr>
                <w:rFonts w:ascii="Times New Roman" w:eastAsia="Times New Roman" w:hAnsi="Times New Roman" w:cs="Times New Roman"/>
                <w:color w:val="000000"/>
                <w:sz w:val="20"/>
                <w:szCs w:val="20"/>
              </w:rPr>
              <w:t>% with inflammation over 1 year</w:t>
            </w:r>
            <w:r w:rsidRPr="00C37F73">
              <w:rPr>
                <w:rFonts w:ascii="Times New Roman" w:eastAsia="Times New Roman" w:hAnsi="Times New Roman" w:cs="Times New Roman"/>
                <w:color w:val="000000"/>
                <w:sz w:val="20"/>
                <w:szCs w:val="20"/>
              </w:rPr>
              <w:br/>
              <w:t>HC use: 88%</w:t>
            </w:r>
            <w:r w:rsidRPr="00C37F73">
              <w:rPr>
                <w:rFonts w:ascii="Times New Roman" w:eastAsia="Times New Roman" w:hAnsi="Times New Roman" w:cs="Times New Roman"/>
                <w:color w:val="000000"/>
                <w:sz w:val="20"/>
                <w:szCs w:val="20"/>
              </w:rPr>
              <w:br/>
              <w:t>No HC use: 63%</w:t>
            </w:r>
          </w:p>
        </w:tc>
      </w:tr>
      <w:tr w:rsidR="006B1162" w:rsidRPr="00C37F73" w:rsidTr="00F83E81">
        <w:tc>
          <w:tcPr>
            <w:tcW w:w="14400" w:type="dxa"/>
            <w:gridSpan w:val="8"/>
            <w:tcBorders>
              <w:left w:val="nil"/>
              <w:bottom w:val="nil"/>
              <w:right w:val="nil"/>
            </w:tcBorders>
          </w:tcPr>
          <w:p w:rsidR="006B1162" w:rsidRDefault="006B1162" w:rsidP="00F83E81">
            <w:pPr>
              <w:rPr>
                <w:rFonts w:ascii="Times New Roman" w:hAnsi="Times New Roman" w:cs="Times New Roman"/>
                <w:sz w:val="20"/>
                <w:szCs w:val="20"/>
              </w:rPr>
            </w:pPr>
            <w:r w:rsidRPr="00C37F73">
              <w:rPr>
                <w:rFonts w:ascii="Times New Roman" w:hAnsi="Times New Roman" w:cs="Times New Roman"/>
                <w:sz w:val="20"/>
                <w:szCs w:val="20"/>
              </w:rPr>
              <w:t>aHR, adjusted hazard ratio; cHR, crude hazard ratio; CD, Crohn's disease; CDAI, Crohn’s disease activity index; CI, confidence interval, COC, combined oral contraceptive pill;</w:t>
            </w:r>
            <w:r>
              <w:rPr>
                <w:rFonts w:ascii="Times New Roman" w:hAnsi="Times New Roman" w:cs="Times New Roman"/>
                <w:sz w:val="20"/>
                <w:szCs w:val="20"/>
              </w:rPr>
              <w:t xml:space="preserve"> GRADE, Grading of Recommendations Assessment, Development and Evaluation;</w:t>
            </w:r>
            <w:r w:rsidRPr="00C37F73">
              <w:rPr>
                <w:rFonts w:ascii="Times New Roman" w:hAnsi="Times New Roman" w:cs="Times New Roman"/>
                <w:sz w:val="20"/>
                <w:szCs w:val="20"/>
              </w:rPr>
              <w:t xml:space="preserve"> IUD, intrauterine device; OC, oral contraceptive; POPs, progestin-only pills;  S1, Study 1; S2, Study 2; SD, standard deviation; TNF, tumor necrosis factor; UC, Ulcerative colitis.</w:t>
            </w:r>
          </w:p>
          <w:p w:rsidR="006B1162" w:rsidRDefault="006B1162" w:rsidP="00F83E81">
            <w:pPr>
              <w:rPr>
                <w:rFonts w:ascii="Times New Roman" w:hAnsi="Times New Roman" w:cs="Times New Roman"/>
                <w:sz w:val="20"/>
                <w:szCs w:val="20"/>
              </w:rPr>
            </w:pPr>
          </w:p>
          <w:p w:rsidR="006B1162" w:rsidRDefault="006B1162" w:rsidP="00F83E81">
            <w:pPr>
              <w:rPr>
                <w:rFonts w:ascii="Times New Roman" w:hAnsi="Times New Roman" w:cs="Times New Roman"/>
                <w:sz w:val="20"/>
                <w:szCs w:val="20"/>
              </w:rPr>
            </w:pPr>
            <w:r w:rsidRPr="006535B2">
              <w:rPr>
                <w:rFonts w:ascii="Times New Roman" w:hAnsi="Times New Roman" w:cs="Times New Roman"/>
                <w:sz w:val="20"/>
                <w:szCs w:val="20"/>
                <w:vertAlign w:val="superscript"/>
              </w:rPr>
              <w:t>*</w:t>
            </w:r>
            <w:r w:rsidRPr="006535B2">
              <w:rPr>
                <w:rFonts w:ascii="Times New Roman" w:hAnsi="Times New Roman" w:cs="Times New Roman"/>
                <w:sz w:val="20"/>
                <w:szCs w:val="20"/>
              </w:rPr>
              <w:t xml:space="preserve">As part of GRADE, the following domains were assessed: risk of bias, inconsistency, imprecision, and indirectness. </w:t>
            </w:r>
          </w:p>
          <w:p w:rsidR="006B1162" w:rsidRPr="00C37F73" w:rsidRDefault="006B1162" w:rsidP="00F83E81">
            <w:pPr>
              <w:rPr>
                <w:rFonts w:ascii="Times New Roman" w:eastAsia="Times New Roman" w:hAnsi="Times New Roman" w:cs="Times New Roman"/>
                <w:sz w:val="20"/>
                <w:szCs w:val="20"/>
              </w:rPr>
            </w:pPr>
            <w:r w:rsidRPr="00C37F73">
              <w:rPr>
                <w:rFonts w:ascii="Times New Roman" w:hAnsi="Times New Roman" w:cs="Times New Roman"/>
                <w:sz w:val="20"/>
                <w:szCs w:val="20"/>
                <w:vertAlign w:val="superscript"/>
              </w:rPr>
              <w:t>a</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EC14B6">
              <w:rPr>
                <w:rFonts w:ascii="Times New Roman" w:eastAsia="Times New Roman" w:hAnsi="Times New Roman" w:cs="Times New Roman"/>
                <w:sz w:val="20"/>
                <w:szCs w:val="20"/>
              </w:rPr>
              <w:t>response rate &lt;80%</w:t>
            </w:r>
            <w:r>
              <w:rPr>
                <w:rFonts w:ascii="Times New Roman" w:eastAsia="Times New Roman" w:hAnsi="Times New Roman" w:cs="Times New Roman"/>
                <w:sz w:val="20"/>
                <w:szCs w:val="20"/>
              </w:rPr>
              <w:t>.</w:t>
            </w:r>
          </w:p>
          <w:p w:rsidR="006B1162" w:rsidRPr="00C37F73" w:rsidRDefault="006B1162" w:rsidP="00F83E81">
            <w:pPr>
              <w:rPr>
                <w:rFonts w:ascii="Times New Roman" w:eastAsia="Times New Roman" w:hAnsi="Times New Roman" w:cs="Times New Roman"/>
                <w:sz w:val="20"/>
                <w:szCs w:val="20"/>
              </w:rPr>
            </w:pPr>
            <w:r w:rsidRPr="00C37F73">
              <w:rPr>
                <w:rFonts w:ascii="Times New Roman" w:eastAsia="Times New Roman" w:hAnsi="Times New Roman" w:cs="Times New Roman"/>
                <w:sz w:val="20"/>
                <w:szCs w:val="20"/>
                <w:vertAlign w:val="superscript"/>
              </w:rPr>
              <w:t>b</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C37F73">
              <w:rPr>
                <w:rFonts w:ascii="Times New Roman" w:eastAsia="Times New Roman" w:hAnsi="Times New Roman" w:cs="Times New Roman"/>
                <w:sz w:val="20"/>
                <w:szCs w:val="20"/>
              </w:rPr>
              <w:t>high loss to follow-up (&gt;20%)</w:t>
            </w:r>
            <w:r>
              <w:rPr>
                <w:rFonts w:ascii="Times New Roman" w:eastAsia="Times New Roman" w:hAnsi="Times New Roman" w:cs="Times New Roman"/>
                <w:sz w:val="20"/>
                <w:szCs w:val="20"/>
              </w:rPr>
              <w:t>.</w:t>
            </w:r>
          </w:p>
          <w:p w:rsidR="006B1162" w:rsidRPr="00C37F73" w:rsidRDefault="006B1162" w:rsidP="00F83E81">
            <w:pPr>
              <w:rPr>
                <w:rFonts w:ascii="Times New Roman" w:eastAsia="Times New Roman" w:hAnsi="Times New Roman" w:cs="Times New Roman"/>
                <w:sz w:val="20"/>
                <w:szCs w:val="20"/>
              </w:rPr>
            </w:pPr>
            <w:r w:rsidRPr="00C37F73">
              <w:rPr>
                <w:rFonts w:ascii="Times New Roman" w:eastAsia="Times New Roman" w:hAnsi="Times New Roman" w:cs="Times New Roman"/>
                <w:sz w:val="20"/>
                <w:szCs w:val="20"/>
                <w:vertAlign w:val="superscript"/>
              </w:rPr>
              <w:t>c</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C37F73">
              <w:rPr>
                <w:rFonts w:ascii="Times New Roman" w:eastAsia="Times New Roman" w:hAnsi="Times New Roman" w:cs="Times New Roman"/>
                <w:sz w:val="20"/>
                <w:szCs w:val="20"/>
              </w:rPr>
              <w:t>unclear or inadequate assessment/definition of the exposure</w:t>
            </w:r>
            <w:r>
              <w:rPr>
                <w:rFonts w:ascii="Times New Roman" w:eastAsia="Times New Roman" w:hAnsi="Times New Roman" w:cs="Times New Roman"/>
                <w:sz w:val="20"/>
                <w:szCs w:val="20"/>
              </w:rPr>
              <w:t>.</w:t>
            </w:r>
          </w:p>
          <w:p w:rsidR="006B1162" w:rsidRPr="00C37F73" w:rsidRDefault="006B1162" w:rsidP="00F83E81">
            <w:pPr>
              <w:rPr>
                <w:rFonts w:ascii="Times New Roman" w:eastAsia="Times New Roman" w:hAnsi="Times New Roman" w:cs="Times New Roman"/>
                <w:sz w:val="20"/>
                <w:szCs w:val="20"/>
              </w:rPr>
            </w:pPr>
            <w:r w:rsidRPr="00C37F73">
              <w:rPr>
                <w:rFonts w:ascii="Times New Roman" w:eastAsia="Times New Roman" w:hAnsi="Times New Roman" w:cs="Times New Roman"/>
                <w:sz w:val="20"/>
                <w:szCs w:val="20"/>
                <w:vertAlign w:val="superscript"/>
              </w:rPr>
              <w:t>d</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C37F73">
              <w:rPr>
                <w:rFonts w:ascii="Times New Roman" w:eastAsia="Times New Roman" w:hAnsi="Times New Roman" w:cs="Times New Roman"/>
                <w:sz w:val="20"/>
                <w:szCs w:val="20"/>
              </w:rPr>
              <w:t>unclear or inadequate comparison group</w:t>
            </w:r>
            <w:r>
              <w:rPr>
                <w:rFonts w:ascii="Times New Roman" w:eastAsia="Times New Roman" w:hAnsi="Times New Roman" w:cs="Times New Roman"/>
                <w:sz w:val="20"/>
                <w:szCs w:val="20"/>
              </w:rPr>
              <w:t>.</w:t>
            </w:r>
          </w:p>
          <w:p w:rsidR="006B1162" w:rsidRPr="00C37F73" w:rsidRDefault="006B1162" w:rsidP="00F83E81">
            <w:pPr>
              <w:rPr>
                <w:rFonts w:ascii="Times New Roman" w:eastAsia="Times New Roman" w:hAnsi="Times New Roman" w:cs="Times New Roman"/>
                <w:sz w:val="20"/>
                <w:szCs w:val="20"/>
              </w:rPr>
            </w:pPr>
            <w:r w:rsidRPr="00C37F73">
              <w:rPr>
                <w:rFonts w:ascii="Times New Roman" w:eastAsia="Times New Roman" w:hAnsi="Times New Roman" w:cs="Times New Roman"/>
                <w:sz w:val="20"/>
                <w:szCs w:val="20"/>
                <w:vertAlign w:val="superscript"/>
              </w:rPr>
              <w:t>e</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inconsistency because of there is only 1 study and </w:t>
            </w:r>
            <w:r w:rsidRPr="00C37F73">
              <w:rPr>
                <w:rFonts w:ascii="Times New Roman" w:eastAsia="Times New Roman" w:hAnsi="Times New Roman" w:cs="Times New Roman"/>
                <w:sz w:val="20"/>
                <w:szCs w:val="20"/>
              </w:rPr>
              <w:t>inconsistency cannot be assessed</w:t>
            </w:r>
            <w:r>
              <w:rPr>
                <w:rFonts w:ascii="Times New Roman" w:eastAsia="Times New Roman" w:hAnsi="Times New Roman" w:cs="Times New Roman"/>
                <w:sz w:val="20"/>
                <w:szCs w:val="20"/>
              </w:rPr>
              <w:t>.</w:t>
            </w:r>
          </w:p>
          <w:p w:rsidR="006B1162" w:rsidRPr="00C37F73" w:rsidRDefault="006B1162" w:rsidP="00F83E81">
            <w:pPr>
              <w:rPr>
                <w:rFonts w:ascii="Times New Roman" w:hAnsi="Times New Roman" w:cs="Times New Roman"/>
                <w:sz w:val="20"/>
                <w:szCs w:val="20"/>
              </w:rPr>
            </w:pPr>
            <w:r w:rsidRPr="00C37F73">
              <w:rPr>
                <w:rFonts w:ascii="Times New Roman" w:hAnsi="Times New Roman" w:cs="Times New Roman"/>
                <w:sz w:val="20"/>
                <w:szCs w:val="20"/>
                <w:vertAlign w:val="superscript"/>
              </w:rPr>
              <w:t>f</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w:t>
            </w:r>
            <w:r w:rsidRPr="00C37F73">
              <w:rPr>
                <w:rFonts w:ascii="Times New Roman" w:hAnsi="Times New Roman" w:cs="Times New Roman"/>
                <w:sz w:val="20"/>
                <w:szCs w:val="20"/>
              </w:rPr>
              <w:t>crude estimates only</w:t>
            </w:r>
            <w:r>
              <w:rPr>
                <w:rFonts w:ascii="Times New Roman" w:hAnsi="Times New Roman" w:cs="Times New Roman"/>
                <w:sz w:val="20"/>
                <w:szCs w:val="20"/>
              </w:rPr>
              <w:t xml:space="preserve"> are reported</w:t>
            </w:r>
            <w:r w:rsidRPr="00C37F73">
              <w:rPr>
                <w:rFonts w:ascii="Times New Roman" w:hAnsi="Times New Roman" w:cs="Times New Roman"/>
                <w:sz w:val="20"/>
                <w:szCs w:val="20"/>
              </w:rPr>
              <w:t xml:space="preserve"> in at least 1 study or important confounders </w:t>
            </w:r>
            <w:r>
              <w:rPr>
                <w:rFonts w:ascii="Times New Roman" w:hAnsi="Times New Roman" w:cs="Times New Roman"/>
                <w:sz w:val="20"/>
                <w:szCs w:val="20"/>
              </w:rPr>
              <w:t xml:space="preserve">are </w:t>
            </w:r>
            <w:r w:rsidRPr="00C37F73">
              <w:rPr>
                <w:rFonts w:ascii="Times New Roman" w:hAnsi="Times New Roman" w:cs="Times New Roman"/>
                <w:sz w:val="20"/>
                <w:szCs w:val="20"/>
              </w:rPr>
              <w:t>not included in multivariable analysis</w:t>
            </w:r>
            <w:r>
              <w:rPr>
                <w:rFonts w:ascii="Times New Roman" w:hAnsi="Times New Roman" w:cs="Times New Roman"/>
                <w:sz w:val="20"/>
                <w:szCs w:val="20"/>
              </w:rPr>
              <w:t>.</w:t>
            </w:r>
          </w:p>
          <w:p w:rsidR="006B1162" w:rsidRPr="00C37F73" w:rsidRDefault="006B1162" w:rsidP="00F83E81">
            <w:pPr>
              <w:rPr>
                <w:rFonts w:ascii="Times New Roman" w:hAnsi="Times New Roman" w:cs="Times New Roman"/>
                <w:sz w:val="20"/>
                <w:szCs w:val="20"/>
              </w:rPr>
            </w:pPr>
            <w:r w:rsidRPr="00C37F73">
              <w:rPr>
                <w:rFonts w:ascii="Times New Roman" w:hAnsi="Times New Roman" w:cs="Times New Roman"/>
                <w:sz w:val="20"/>
                <w:szCs w:val="20"/>
                <w:vertAlign w:val="superscript"/>
              </w:rPr>
              <w:t>g</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imprecision because of </w:t>
            </w:r>
            <w:r w:rsidRPr="00C37F73">
              <w:rPr>
                <w:rFonts w:ascii="Times New Roman" w:hAnsi="Times New Roman" w:cs="Times New Roman"/>
                <w:sz w:val="20"/>
                <w:szCs w:val="20"/>
              </w:rPr>
              <w:t>wide CIs, some of which contain both beneficial and harmful effects, or wide other measures of precision</w:t>
            </w:r>
            <w:r>
              <w:rPr>
                <w:rFonts w:ascii="Times New Roman" w:hAnsi="Times New Roman" w:cs="Times New Roman"/>
                <w:sz w:val="20"/>
                <w:szCs w:val="20"/>
              </w:rPr>
              <w:t>.</w:t>
            </w:r>
          </w:p>
          <w:p w:rsidR="006B1162" w:rsidRPr="00C37F73" w:rsidRDefault="006B1162" w:rsidP="00F83E81">
            <w:pPr>
              <w:rPr>
                <w:rFonts w:ascii="Times New Roman" w:hAnsi="Times New Roman" w:cs="Times New Roman"/>
                <w:sz w:val="20"/>
                <w:szCs w:val="20"/>
              </w:rPr>
            </w:pPr>
            <w:r w:rsidRPr="00C37F73">
              <w:rPr>
                <w:rFonts w:ascii="Times New Roman" w:hAnsi="Times New Roman" w:cs="Times New Roman"/>
                <w:sz w:val="20"/>
                <w:szCs w:val="20"/>
                <w:vertAlign w:val="superscript"/>
              </w:rPr>
              <w:t>h</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imprecision because </w:t>
            </w:r>
            <w:r w:rsidRPr="00C37F73">
              <w:rPr>
                <w:rFonts w:ascii="Times New Roman" w:hAnsi="Times New Roman" w:cs="Times New Roman"/>
                <w:sz w:val="20"/>
                <w:szCs w:val="20"/>
              </w:rPr>
              <w:t xml:space="preserve">no CIs or other measures of precision </w:t>
            </w:r>
            <w:r>
              <w:rPr>
                <w:rFonts w:ascii="Times New Roman" w:hAnsi="Times New Roman" w:cs="Times New Roman"/>
                <w:sz w:val="20"/>
                <w:szCs w:val="20"/>
              </w:rPr>
              <w:t xml:space="preserve">are </w:t>
            </w:r>
            <w:r w:rsidRPr="00C37F73">
              <w:rPr>
                <w:rFonts w:ascii="Times New Roman" w:hAnsi="Times New Roman" w:cs="Times New Roman"/>
                <w:sz w:val="20"/>
                <w:szCs w:val="20"/>
              </w:rPr>
              <w:t>reported</w:t>
            </w:r>
            <w:r>
              <w:rPr>
                <w:rFonts w:ascii="Times New Roman" w:hAnsi="Times New Roman" w:cs="Times New Roman"/>
                <w:sz w:val="20"/>
                <w:szCs w:val="20"/>
              </w:rPr>
              <w:t>.</w:t>
            </w:r>
          </w:p>
          <w:p w:rsidR="006B1162" w:rsidRPr="00C37F73" w:rsidRDefault="006B1162" w:rsidP="00F83E81">
            <w:pPr>
              <w:rPr>
                <w:rFonts w:ascii="Times New Roman" w:hAnsi="Times New Roman" w:cs="Times New Roman"/>
                <w:sz w:val="20"/>
                <w:szCs w:val="20"/>
              </w:rPr>
            </w:pPr>
            <w:r w:rsidRPr="00C37F73">
              <w:rPr>
                <w:rFonts w:ascii="Times New Roman" w:hAnsi="Times New Roman" w:cs="Times New Roman"/>
                <w:sz w:val="20"/>
                <w:szCs w:val="20"/>
                <w:vertAlign w:val="superscript"/>
              </w:rPr>
              <w:t>i</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imprecision because </w:t>
            </w:r>
            <w:r w:rsidRPr="00C37F73">
              <w:rPr>
                <w:rFonts w:ascii="Times New Roman" w:hAnsi="Times New Roman" w:cs="Times New Roman"/>
                <w:sz w:val="20"/>
                <w:szCs w:val="20"/>
              </w:rPr>
              <w:t>small total sample size or sample size not reported</w:t>
            </w:r>
            <w:r>
              <w:rPr>
                <w:rFonts w:ascii="Times New Roman" w:hAnsi="Times New Roman" w:cs="Times New Roman"/>
                <w:sz w:val="20"/>
                <w:szCs w:val="20"/>
              </w:rPr>
              <w:t>.</w:t>
            </w:r>
          </w:p>
          <w:p w:rsidR="006B1162" w:rsidRPr="00FF1A85" w:rsidRDefault="006B1162" w:rsidP="00F83E81">
            <w:pPr>
              <w:rPr>
                <w:rFonts w:ascii="Times New Roman" w:hAnsi="Times New Roman" w:cs="Times New Roman"/>
                <w:sz w:val="20"/>
                <w:szCs w:val="20"/>
              </w:rPr>
            </w:pPr>
            <w:r w:rsidRPr="00C37F73">
              <w:rPr>
                <w:rFonts w:ascii="Times New Roman" w:hAnsi="Times New Roman" w:cs="Times New Roman"/>
                <w:sz w:val="20"/>
                <w:szCs w:val="20"/>
                <w:vertAlign w:val="superscript"/>
              </w:rPr>
              <w:t>j</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C37F73">
              <w:rPr>
                <w:rFonts w:ascii="Times New Roman" w:hAnsi="Times New Roman" w:cs="Times New Roman"/>
                <w:sz w:val="20"/>
                <w:szCs w:val="20"/>
              </w:rPr>
              <w:t>unequal follow-up periods for groups</w:t>
            </w:r>
            <w:r>
              <w:rPr>
                <w:rFonts w:ascii="Times New Roman" w:hAnsi="Times New Roman" w:cs="Times New Roman"/>
                <w:sz w:val="20"/>
                <w:szCs w:val="20"/>
              </w:rPr>
              <w:t>.</w:t>
            </w:r>
          </w:p>
        </w:tc>
      </w:tr>
    </w:tbl>
    <w:p w:rsidR="006B1162" w:rsidRDefault="006B1162" w:rsidP="006B1162"/>
    <w:p w:rsidR="006B1162" w:rsidRPr="00174F97" w:rsidRDefault="006B1162" w:rsidP="006B1162">
      <w:pPr>
        <w:rPr>
          <w:rFonts w:ascii="Times New Roman" w:hAnsi="Times New Roman" w:cs="Times New Roman"/>
          <w:b/>
          <w:bCs/>
          <w:sz w:val="20"/>
          <w:szCs w:val="20"/>
        </w:rPr>
      </w:pPr>
      <w:r w:rsidRPr="00174F97">
        <w:rPr>
          <w:rFonts w:ascii="Times New Roman" w:hAnsi="Times New Roman" w:cs="Times New Roman"/>
          <w:b/>
          <w:bCs/>
          <w:sz w:val="20"/>
          <w:szCs w:val="20"/>
        </w:rPr>
        <w:t>References</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Bitton A, Peppercorn MA, Antonioli DA, et al. Clinical, biological, and histologic parameters as predictors of relapse in ulcerative colitis. Gastroenterology 2001;120:13-20. </w:t>
      </w:r>
      <w:hyperlink r:id="rId5" w:tgtFrame="_blank" w:history="1">
        <w:r w:rsidRPr="00174F97">
          <w:rPr>
            <w:rStyle w:val="normaltextrun"/>
            <w:color w:val="0563C1"/>
            <w:sz w:val="20"/>
            <w:szCs w:val="20"/>
            <w:u w:val="single"/>
            <w:shd w:val="clear" w:color="auto" w:fill="E1E3E6"/>
          </w:rPr>
          <w:t>https://doi.org/10.1053/gast.2001.20912</w:t>
        </w:r>
      </w:hyperlink>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Cosnes J, Carbonnel F, Carrat F, Beaugerie L, Gendre JP. Oral contraceptive use and the clinical course of Crohn's disease: a prospective cohort study. Gut 1999;45:218-22. </w:t>
      </w:r>
      <w:hyperlink r:id="rId6" w:tgtFrame="_blank" w:history="1">
        <w:r w:rsidRPr="00174F97">
          <w:rPr>
            <w:rStyle w:val="normaltextrun"/>
            <w:color w:val="0563C1"/>
            <w:sz w:val="20"/>
            <w:szCs w:val="20"/>
            <w:u w:val="single"/>
            <w:shd w:val="clear" w:color="auto" w:fill="E1E3E6"/>
          </w:rPr>
          <w:t>https://doi.org/DOI</w:t>
        </w:r>
      </w:hyperlink>
      <w:r w:rsidRPr="00174F97">
        <w:rPr>
          <w:rStyle w:val="normaltextrun"/>
          <w:color w:val="000000"/>
          <w:sz w:val="20"/>
          <w:szCs w:val="20"/>
          <w:shd w:val="clear" w:color="auto" w:fill="E1E3E6"/>
        </w:rPr>
        <w:t xml:space="preserve"> 10.1136/gut.45.2.218</w:t>
      </w:r>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Höie O, Wolters F, Riis L, et al. Ulcerative Colitis: Patient Characteristics May Predict 10-Yr Disease Recurrence in a European-Wide Population-Based Cohort. The American Journal of Gastroenterology 2007;102:1692-701. </w:t>
      </w:r>
      <w:hyperlink r:id="rId7" w:tgtFrame="_blank" w:history="1">
        <w:r w:rsidRPr="00174F97">
          <w:rPr>
            <w:rStyle w:val="normaltextrun"/>
            <w:color w:val="0563C1"/>
            <w:sz w:val="20"/>
            <w:szCs w:val="20"/>
            <w:u w:val="single"/>
            <w:shd w:val="clear" w:color="auto" w:fill="E1E3E6"/>
          </w:rPr>
          <w:t>https://doi.org/10.1111/j.1572-0241.2007.01265.x</w:t>
        </w:r>
      </w:hyperlink>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Khalili H (a), Neovius M, Ekbom A, et al. Oral Contraceptive Use and Risk of Ulcerative Colitis Progression: A Nationwide Study. Am J Gastroenterol 2016;111:1614-20. </w:t>
      </w:r>
      <w:hyperlink r:id="rId8" w:tgtFrame="_blank" w:history="1">
        <w:r w:rsidRPr="00174F97">
          <w:rPr>
            <w:rStyle w:val="normaltextrun"/>
            <w:color w:val="0563C1"/>
            <w:sz w:val="20"/>
            <w:szCs w:val="20"/>
            <w:u w:val="single"/>
            <w:shd w:val="clear" w:color="auto" w:fill="E1E3E6"/>
          </w:rPr>
          <w:t>https://doi.org/10.1038/ajg.2016.464</w:t>
        </w:r>
      </w:hyperlink>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Khalili H (b), Granath F, Smedby KE, et al. Association Between Long-term Oral Contraceptive Use and Risk of Crohn's Disease Complications in a Nationwide Study. Gastroenterology 2016;150:1561-+. </w:t>
      </w:r>
      <w:hyperlink r:id="rId9" w:tgtFrame="_blank" w:history="1">
        <w:r w:rsidRPr="00174F97">
          <w:rPr>
            <w:rStyle w:val="normaltextrun"/>
            <w:color w:val="0563C1"/>
            <w:sz w:val="20"/>
            <w:szCs w:val="20"/>
            <w:u w:val="single"/>
            <w:shd w:val="clear" w:color="auto" w:fill="E1E3E6"/>
          </w:rPr>
          <w:t>https://doi.org/10.1053/j.gastro.2016.02.041</w:t>
        </w:r>
      </w:hyperlink>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lastRenderedPageBreak/>
        <w:t xml:space="preserve">Sicilia B, Vicente R, Arroyo MT, Arribas F, Gomollon F. [Surgery at follow-up in an incidence cohort of patients with Crohn's disease in Aragon (Spain): etiology, type of surgery and associated epidemiological factors]. Gastroenterol Hepatol 2005;28:105-9. </w:t>
      </w:r>
      <w:hyperlink r:id="rId10" w:tgtFrame="_blank" w:history="1">
        <w:r w:rsidRPr="00174F97">
          <w:rPr>
            <w:rStyle w:val="normaltextrun"/>
            <w:color w:val="0563C1"/>
            <w:sz w:val="20"/>
            <w:szCs w:val="20"/>
            <w:u w:val="single"/>
            <w:shd w:val="clear" w:color="auto" w:fill="E1E3E6"/>
          </w:rPr>
          <w:t>https://doi.org/10.1157/13072008</w:t>
        </w:r>
      </w:hyperlink>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Sutherland LR, Ramcharan S, Bryant H, Fick G. Effect of oral contraceptive use on reoperation following surgery for Crohn's disease. Dig Dis Sci 1992;37:1377-82. </w:t>
      </w:r>
      <w:hyperlink r:id="rId11" w:tgtFrame="_blank" w:history="1">
        <w:r w:rsidRPr="00174F97">
          <w:rPr>
            <w:rStyle w:val="normaltextrun"/>
            <w:color w:val="0563C1"/>
            <w:sz w:val="20"/>
            <w:szCs w:val="20"/>
            <w:u w:val="single"/>
            <w:shd w:val="clear" w:color="auto" w:fill="E1E3E6"/>
          </w:rPr>
          <w:t>https://doi.org/10.1007/BF01296007</w:t>
        </w:r>
      </w:hyperlink>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Timmer A, Sutherland LR, Martin F. Oral contraceptive use and smoking are risk factors for relapse in Crohn's disease. The Canadian Mesalamine for Remission of Crohn's Disease Study Group. Gastroenterology 1998;114:1143-50. </w:t>
      </w:r>
      <w:hyperlink r:id="rId12" w:tgtFrame="_blank" w:history="1">
        <w:r w:rsidRPr="00174F97">
          <w:rPr>
            <w:rStyle w:val="normaltextrun"/>
            <w:color w:val="0563C1"/>
            <w:sz w:val="20"/>
            <w:szCs w:val="20"/>
            <w:u w:val="single"/>
            <w:shd w:val="clear" w:color="auto" w:fill="E1E3E6"/>
          </w:rPr>
          <w:t>https://doi.org/10.1016/s0016-5085(98)70419-6</w:t>
        </w:r>
      </w:hyperlink>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Wright JP. Factors influencing first relapse in patients with Crohn's disease. J Clin Gastroenterol 1992;15:12-6. </w:t>
      </w:r>
      <w:hyperlink r:id="rId13" w:tgtFrame="_blank" w:history="1">
        <w:r w:rsidRPr="00174F97">
          <w:rPr>
            <w:rStyle w:val="normaltextrun"/>
            <w:color w:val="0563C1"/>
            <w:sz w:val="20"/>
            <w:szCs w:val="20"/>
            <w:u w:val="single"/>
            <w:shd w:val="clear" w:color="auto" w:fill="E1E3E6"/>
          </w:rPr>
          <w:t>https://doi.org/10.1097/00004836-199207000-00005</w:t>
        </w:r>
      </w:hyperlink>
      <w:r w:rsidRPr="00174F97">
        <w:rPr>
          <w:rStyle w:val="eop"/>
          <w:sz w:val="20"/>
          <w:szCs w:val="20"/>
        </w:rPr>
        <w:t> </w:t>
      </w:r>
    </w:p>
    <w:p w:rsidR="006B1162" w:rsidRPr="00174F97" w:rsidRDefault="006B1162" w:rsidP="006B1162">
      <w:pPr>
        <w:pStyle w:val="paragraph"/>
        <w:spacing w:before="0" w:beforeAutospacing="0" w:after="0" w:afterAutospacing="0"/>
        <w:ind w:left="720" w:hanging="720"/>
        <w:textAlignment w:val="baseline"/>
        <w:rPr>
          <w:sz w:val="20"/>
          <w:szCs w:val="20"/>
        </w:rPr>
      </w:pPr>
      <w:r w:rsidRPr="00174F97">
        <w:rPr>
          <w:rStyle w:val="normaltextrun"/>
          <w:color w:val="000000"/>
          <w:sz w:val="20"/>
          <w:szCs w:val="20"/>
          <w:shd w:val="clear" w:color="auto" w:fill="E1E3E6"/>
        </w:rPr>
        <w:t xml:space="preserve">Dolovich C, Shafer LA, Graff LA, et al. Hormonal Contraceptives Reduce Active Symptomatic Disease but May Increase Intestinal Inflammation in IBD. J Clin Gastroenterol 2024;58:271-6. </w:t>
      </w:r>
      <w:hyperlink r:id="rId14" w:tgtFrame="_blank" w:history="1">
        <w:r w:rsidRPr="00174F97">
          <w:rPr>
            <w:rStyle w:val="normaltextrun"/>
            <w:color w:val="0563C1"/>
            <w:sz w:val="20"/>
            <w:szCs w:val="20"/>
            <w:u w:val="single"/>
            <w:shd w:val="clear" w:color="auto" w:fill="E1E3E6"/>
          </w:rPr>
          <w:t>https://doi.org/10.1097/mcg.0000000000001846</w:t>
        </w:r>
      </w:hyperlink>
      <w:r w:rsidRPr="00174F97">
        <w:rPr>
          <w:rStyle w:val="eop"/>
          <w:sz w:val="20"/>
          <w:szCs w:val="20"/>
        </w:rPr>
        <w:t> </w:t>
      </w:r>
    </w:p>
    <w:p w:rsidR="006B1162" w:rsidRDefault="006B1162" w:rsidP="006B1162">
      <w:pPr>
        <w:rPr>
          <w:b/>
          <w:bCs/>
        </w:rPr>
        <w:sectPr w:rsidR="006B1162" w:rsidSect="00B13869">
          <w:footnotePr>
            <w:numFmt w:val="lowerLetter"/>
          </w:footnotePr>
          <w:endnotePr>
            <w:numFmt w:val="lowerLetter"/>
          </w:endnotePr>
          <w:pgSz w:w="15840" w:h="12240" w:orient="landscape" w:code="1"/>
          <w:pgMar w:top="720" w:right="720" w:bottom="720" w:left="720" w:header="720" w:footer="720" w:gutter="0"/>
          <w:cols w:space="720"/>
          <w:docGrid w:linePitch="360"/>
        </w:sectPr>
      </w:pPr>
    </w:p>
    <w:tbl>
      <w:tblPr>
        <w:tblStyle w:val="TableGrid"/>
        <w:tblW w:w="14490" w:type="dxa"/>
        <w:tblLayout w:type="fixed"/>
        <w:tblLook w:val="04A0" w:firstRow="1" w:lastRow="0" w:firstColumn="1" w:lastColumn="0" w:noHBand="0" w:noVBand="1"/>
      </w:tblPr>
      <w:tblGrid>
        <w:gridCol w:w="1890"/>
        <w:gridCol w:w="1440"/>
        <w:gridCol w:w="900"/>
        <w:gridCol w:w="1350"/>
        <w:gridCol w:w="1350"/>
        <w:gridCol w:w="1530"/>
        <w:gridCol w:w="4590"/>
        <w:gridCol w:w="1440"/>
      </w:tblGrid>
      <w:tr w:rsidR="006B1162" w:rsidRPr="00A16DBE" w:rsidTr="00F83E81">
        <w:trPr>
          <w:tblHeader/>
        </w:trPr>
        <w:tc>
          <w:tcPr>
            <w:tcW w:w="14490" w:type="dxa"/>
            <w:gridSpan w:val="8"/>
            <w:tcBorders>
              <w:top w:val="nil"/>
              <w:left w:val="nil"/>
              <w:right w:val="nil"/>
            </w:tcBorders>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lastRenderedPageBreak/>
              <w:t xml:space="preserve">Supplementary </w:t>
            </w:r>
            <w:r>
              <w:rPr>
                <w:rFonts w:ascii="Times New Roman" w:hAnsi="Times New Roman" w:cs="Times New Roman"/>
                <w:b/>
                <w:bCs/>
                <w:sz w:val="20"/>
                <w:szCs w:val="20"/>
              </w:rPr>
              <w:t>Material 3</w:t>
            </w:r>
            <w:r w:rsidRPr="00A16DBE">
              <w:rPr>
                <w:rFonts w:ascii="Times New Roman" w:hAnsi="Times New Roman" w:cs="Times New Roman"/>
                <w:b/>
                <w:bCs/>
                <w:sz w:val="20"/>
                <w:szCs w:val="20"/>
              </w:rPr>
              <w:t xml:space="preserve">. </w:t>
            </w:r>
            <w:r>
              <w:rPr>
                <w:rFonts w:ascii="Times New Roman" w:hAnsi="Times New Roman" w:cs="Times New Roman"/>
                <w:b/>
                <w:bCs/>
                <w:sz w:val="20"/>
                <w:szCs w:val="20"/>
              </w:rPr>
              <w:t>GRADE table for in</w:t>
            </w:r>
            <w:r w:rsidRPr="00A16DBE">
              <w:rPr>
                <w:rFonts w:ascii="Times New Roman" w:hAnsi="Times New Roman" w:cs="Times New Roman"/>
                <w:b/>
                <w:bCs/>
                <w:sz w:val="20"/>
                <w:szCs w:val="20"/>
              </w:rPr>
              <w:t>flammatory bowel disease</w:t>
            </w:r>
            <w:r>
              <w:rPr>
                <w:rFonts w:ascii="Times New Roman" w:hAnsi="Times New Roman" w:cs="Times New Roman"/>
                <w:b/>
                <w:bCs/>
                <w:sz w:val="20"/>
                <w:szCs w:val="20"/>
              </w:rPr>
              <w:t xml:space="preserve"> and </w:t>
            </w:r>
            <w:r w:rsidRPr="00A16DBE">
              <w:rPr>
                <w:rFonts w:ascii="Times New Roman" w:hAnsi="Times New Roman" w:cs="Times New Roman"/>
                <w:b/>
                <w:bCs/>
                <w:sz w:val="20"/>
                <w:szCs w:val="20"/>
              </w:rPr>
              <w:t>other adverse health outcomes</w:t>
            </w:r>
          </w:p>
        </w:tc>
      </w:tr>
      <w:tr w:rsidR="006B1162" w:rsidRPr="00A16DBE" w:rsidTr="00F83E81">
        <w:trPr>
          <w:tblHeader/>
        </w:trPr>
        <w:tc>
          <w:tcPr>
            <w:tcW w:w="189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Outcome</w:t>
            </w:r>
          </w:p>
        </w:tc>
        <w:tc>
          <w:tcPr>
            <w:tcW w:w="144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No. of studies</w:t>
            </w:r>
          </w:p>
        </w:tc>
        <w:tc>
          <w:tcPr>
            <w:tcW w:w="90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Study Design</w:t>
            </w:r>
          </w:p>
        </w:tc>
        <w:tc>
          <w:tcPr>
            <w:tcW w:w="135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No. of patients: exposed</w:t>
            </w:r>
          </w:p>
        </w:tc>
        <w:tc>
          <w:tcPr>
            <w:tcW w:w="135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No. of patients:</w:t>
            </w:r>
          </w:p>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Comparison</w:t>
            </w:r>
          </w:p>
        </w:tc>
        <w:tc>
          <w:tcPr>
            <w:tcW w:w="153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Certainty of the evidence (GRADE)</w:t>
            </w:r>
            <w:r w:rsidRPr="00D3789A">
              <w:rPr>
                <w:rFonts w:ascii="Times New Roman" w:hAnsi="Times New Roman" w:cs="Times New Roman"/>
                <w:b/>
                <w:bCs/>
                <w:sz w:val="20"/>
                <w:szCs w:val="20"/>
                <w:vertAlign w:val="superscript"/>
              </w:rPr>
              <w:t>*</w:t>
            </w:r>
          </w:p>
        </w:tc>
        <w:tc>
          <w:tcPr>
            <w:tcW w:w="459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Effect</w:t>
            </w:r>
          </w:p>
        </w:tc>
        <w:tc>
          <w:tcPr>
            <w:tcW w:w="144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rPr>
              <w:t>Absolute event rates</w:t>
            </w:r>
          </w:p>
        </w:tc>
      </w:tr>
      <w:tr w:rsidR="006B1162" w:rsidRPr="00A16DBE" w:rsidTr="00F83E81">
        <w:tc>
          <w:tcPr>
            <w:tcW w:w="189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b/>
                <w:bCs/>
                <w:sz w:val="20"/>
                <w:szCs w:val="20"/>
                <w:u w:val="single"/>
              </w:rPr>
              <w:t>IBD</w:t>
            </w:r>
          </w:p>
        </w:tc>
        <w:tc>
          <w:tcPr>
            <w:tcW w:w="1440" w:type="dxa"/>
          </w:tcPr>
          <w:p w:rsidR="006B1162" w:rsidRPr="00A16DBE" w:rsidRDefault="006B1162" w:rsidP="00F83E81">
            <w:pPr>
              <w:rPr>
                <w:rFonts w:ascii="Times New Roman" w:hAnsi="Times New Roman" w:cs="Times New Roman"/>
                <w:b/>
                <w:bCs/>
                <w:sz w:val="20"/>
                <w:szCs w:val="20"/>
              </w:rPr>
            </w:pPr>
          </w:p>
        </w:tc>
        <w:tc>
          <w:tcPr>
            <w:tcW w:w="900" w:type="dxa"/>
          </w:tcPr>
          <w:p w:rsidR="006B1162" w:rsidRPr="00A16DBE" w:rsidRDefault="006B1162" w:rsidP="00F83E81">
            <w:pPr>
              <w:rPr>
                <w:rFonts w:ascii="Times New Roman" w:hAnsi="Times New Roman" w:cs="Times New Roman"/>
                <w:b/>
                <w:bCs/>
                <w:sz w:val="20"/>
                <w:szCs w:val="20"/>
              </w:rPr>
            </w:pPr>
          </w:p>
        </w:tc>
        <w:tc>
          <w:tcPr>
            <w:tcW w:w="1350" w:type="dxa"/>
          </w:tcPr>
          <w:p w:rsidR="006B1162" w:rsidRPr="00A16DBE" w:rsidRDefault="006B1162" w:rsidP="00F83E81">
            <w:pPr>
              <w:rPr>
                <w:rFonts w:ascii="Times New Roman" w:hAnsi="Times New Roman" w:cs="Times New Roman"/>
                <w:b/>
                <w:bCs/>
                <w:sz w:val="20"/>
                <w:szCs w:val="20"/>
              </w:rPr>
            </w:pPr>
          </w:p>
        </w:tc>
        <w:tc>
          <w:tcPr>
            <w:tcW w:w="1350" w:type="dxa"/>
          </w:tcPr>
          <w:p w:rsidR="006B1162" w:rsidRPr="00A16DBE" w:rsidRDefault="006B1162" w:rsidP="00F83E81">
            <w:pPr>
              <w:rPr>
                <w:rFonts w:ascii="Times New Roman" w:hAnsi="Times New Roman" w:cs="Times New Roman"/>
                <w:b/>
                <w:bCs/>
                <w:sz w:val="20"/>
                <w:szCs w:val="20"/>
              </w:rPr>
            </w:pPr>
          </w:p>
        </w:tc>
        <w:tc>
          <w:tcPr>
            <w:tcW w:w="1530" w:type="dxa"/>
          </w:tcPr>
          <w:p w:rsidR="006B1162" w:rsidRPr="00A16DBE" w:rsidRDefault="006B1162" w:rsidP="00F83E81">
            <w:pPr>
              <w:rPr>
                <w:rFonts w:ascii="Times New Roman" w:hAnsi="Times New Roman" w:cs="Times New Roman"/>
                <w:b/>
                <w:bCs/>
                <w:sz w:val="20"/>
                <w:szCs w:val="20"/>
              </w:rPr>
            </w:pPr>
          </w:p>
        </w:tc>
        <w:tc>
          <w:tcPr>
            <w:tcW w:w="4590" w:type="dxa"/>
          </w:tcPr>
          <w:p w:rsidR="006B1162" w:rsidRPr="00A16DBE" w:rsidRDefault="006B1162" w:rsidP="00F83E81">
            <w:pPr>
              <w:rPr>
                <w:rFonts w:ascii="Times New Roman" w:hAnsi="Times New Roman" w:cs="Times New Roman"/>
                <w:b/>
                <w:bCs/>
                <w:sz w:val="20"/>
                <w:szCs w:val="20"/>
              </w:rPr>
            </w:pPr>
          </w:p>
        </w:tc>
        <w:tc>
          <w:tcPr>
            <w:tcW w:w="1440" w:type="dxa"/>
          </w:tcPr>
          <w:p w:rsidR="006B1162" w:rsidRPr="00A16DBE" w:rsidRDefault="006B1162" w:rsidP="00F83E81">
            <w:pPr>
              <w:rPr>
                <w:rFonts w:ascii="Times New Roman" w:hAnsi="Times New Roman" w:cs="Times New Roman"/>
                <w:b/>
                <w:bCs/>
                <w:sz w:val="20"/>
                <w:szCs w:val="20"/>
              </w:rPr>
            </w:pPr>
          </w:p>
        </w:tc>
      </w:tr>
      <w:tr w:rsidR="006B1162" w:rsidRPr="00A16DBE" w:rsidTr="00F83E81">
        <w:tc>
          <w:tcPr>
            <w:tcW w:w="1890" w:type="dxa"/>
          </w:tcPr>
          <w:p w:rsidR="006B1162" w:rsidRPr="00A16DBE" w:rsidRDefault="006B1162" w:rsidP="00F83E81">
            <w:pPr>
              <w:rPr>
                <w:rFonts w:ascii="Times New Roman" w:hAnsi="Times New Roman" w:cs="Times New Roman"/>
                <w:b/>
                <w:bCs/>
                <w:sz w:val="20"/>
                <w:szCs w:val="20"/>
                <w:u w:val="single"/>
              </w:rPr>
            </w:pPr>
            <w:r w:rsidRPr="00A16DBE">
              <w:rPr>
                <w:rFonts w:ascii="Times New Roman" w:hAnsi="Times New Roman" w:cs="Times New Roman"/>
                <w:b/>
                <w:bCs/>
                <w:i/>
                <w:iCs/>
                <w:sz w:val="20"/>
                <w:szCs w:val="20"/>
              </w:rPr>
              <w:t>Oral contraceptives</w:t>
            </w:r>
          </w:p>
        </w:tc>
        <w:tc>
          <w:tcPr>
            <w:tcW w:w="1440" w:type="dxa"/>
          </w:tcPr>
          <w:p w:rsidR="006B1162" w:rsidRPr="00A16DBE" w:rsidRDefault="006B1162" w:rsidP="00F83E81">
            <w:pPr>
              <w:rPr>
                <w:rFonts w:ascii="Times New Roman" w:hAnsi="Times New Roman" w:cs="Times New Roman"/>
                <w:b/>
                <w:bCs/>
                <w:sz w:val="20"/>
                <w:szCs w:val="20"/>
              </w:rPr>
            </w:pPr>
          </w:p>
        </w:tc>
        <w:tc>
          <w:tcPr>
            <w:tcW w:w="900" w:type="dxa"/>
          </w:tcPr>
          <w:p w:rsidR="006B1162" w:rsidRPr="00A16DBE" w:rsidRDefault="006B1162" w:rsidP="00F83E81">
            <w:pPr>
              <w:rPr>
                <w:rFonts w:ascii="Times New Roman" w:hAnsi="Times New Roman" w:cs="Times New Roman"/>
                <w:b/>
                <w:bCs/>
                <w:sz w:val="20"/>
                <w:szCs w:val="20"/>
              </w:rPr>
            </w:pPr>
          </w:p>
        </w:tc>
        <w:tc>
          <w:tcPr>
            <w:tcW w:w="1350" w:type="dxa"/>
          </w:tcPr>
          <w:p w:rsidR="006B1162" w:rsidRPr="00A16DBE" w:rsidRDefault="006B1162" w:rsidP="00F83E81">
            <w:pPr>
              <w:rPr>
                <w:rFonts w:ascii="Times New Roman" w:hAnsi="Times New Roman" w:cs="Times New Roman"/>
                <w:b/>
                <w:bCs/>
                <w:sz w:val="20"/>
                <w:szCs w:val="20"/>
              </w:rPr>
            </w:pPr>
          </w:p>
        </w:tc>
        <w:tc>
          <w:tcPr>
            <w:tcW w:w="1350" w:type="dxa"/>
          </w:tcPr>
          <w:p w:rsidR="006B1162" w:rsidRPr="00A16DBE" w:rsidRDefault="006B1162" w:rsidP="00F83E81">
            <w:pPr>
              <w:rPr>
                <w:rFonts w:ascii="Times New Roman" w:hAnsi="Times New Roman" w:cs="Times New Roman"/>
                <w:b/>
                <w:bCs/>
                <w:sz w:val="20"/>
                <w:szCs w:val="20"/>
              </w:rPr>
            </w:pPr>
          </w:p>
        </w:tc>
        <w:tc>
          <w:tcPr>
            <w:tcW w:w="1530" w:type="dxa"/>
          </w:tcPr>
          <w:p w:rsidR="006B1162" w:rsidRPr="00A16DBE" w:rsidRDefault="006B1162" w:rsidP="00F83E81">
            <w:pPr>
              <w:rPr>
                <w:rFonts w:ascii="Times New Roman" w:hAnsi="Times New Roman" w:cs="Times New Roman"/>
                <w:b/>
                <w:bCs/>
                <w:sz w:val="20"/>
                <w:szCs w:val="20"/>
              </w:rPr>
            </w:pPr>
          </w:p>
        </w:tc>
        <w:tc>
          <w:tcPr>
            <w:tcW w:w="4590" w:type="dxa"/>
          </w:tcPr>
          <w:p w:rsidR="006B1162" w:rsidRPr="00A16DBE" w:rsidRDefault="006B1162" w:rsidP="00F83E81">
            <w:pPr>
              <w:rPr>
                <w:rFonts w:ascii="Times New Roman" w:hAnsi="Times New Roman" w:cs="Times New Roman"/>
                <w:b/>
                <w:bCs/>
                <w:sz w:val="20"/>
                <w:szCs w:val="20"/>
              </w:rPr>
            </w:pPr>
          </w:p>
        </w:tc>
        <w:tc>
          <w:tcPr>
            <w:tcW w:w="1440" w:type="dxa"/>
          </w:tcPr>
          <w:p w:rsidR="006B1162" w:rsidRPr="00A16DBE" w:rsidRDefault="006B1162" w:rsidP="00F83E81">
            <w:pPr>
              <w:rPr>
                <w:rFonts w:ascii="Times New Roman" w:hAnsi="Times New Roman" w:cs="Times New Roman"/>
                <w:b/>
                <w:bCs/>
                <w:sz w:val="20"/>
                <w:szCs w:val="20"/>
              </w:rPr>
            </w:pPr>
          </w:p>
        </w:tc>
      </w:tr>
      <w:tr w:rsidR="006B1162" w:rsidRPr="00A16DBE" w:rsidTr="00F83E81">
        <w:tc>
          <w:tcPr>
            <w:tcW w:w="1890" w:type="dxa"/>
          </w:tcPr>
          <w:p w:rsidR="006B1162" w:rsidRPr="00A16DBE" w:rsidRDefault="006B1162" w:rsidP="00F83E81">
            <w:pPr>
              <w:rPr>
                <w:rFonts w:ascii="Times New Roman" w:hAnsi="Times New Roman" w:cs="Times New Roman"/>
                <w:b/>
                <w:bCs/>
                <w:sz w:val="20"/>
                <w:szCs w:val="20"/>
              </w:rPr>
            </w:pPr>
            <w:r w:rsidRPr="00A16DBE">
              <w:rPr>
                <w:rFonts w:ascii="Times New Roman" w:eastAsia="Times New Roman" w:hAnsi="Times New Roman" w:cs="Times New Roman"/>
                <w:sz w:val="20"/>
                <w:szCs w:val="20"/>
              </w:rPr>
              <w:t>VTE</w:t>
            </w:r>
          </w:p>
        </w:tc>
        <w:tc>
          <w:tcPr>
            <w:tcW w:w="1440" w:type="dxa"/>
          </w:tcPr>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rPr>
              <w:t>2</w:t>
            </w:r>
          </w:p>
          <w:p w:rsidR="006B1162" w:rsidRPr="00A16DBE" w:rsidRDefault="006B1162" w:rsidP="00F83E81">
            <w:pPr>
              <w:rPr>
                <w:rFonts w:ascii="Times New Roman" w:hAnsi="Times New Roman" w:cs="Times New Roman"/>
                <w:b/>
                <w:bCs/>
                <w:sz w:val="20"/>
                <w:szCs w:val="20"/>
              </w:rPr>
            </w:pPr>
            <w:r w:rsidRPr="00A16DBE">
              <w:rPr>
                <w:rFonts w:ascii="Times New Roman" w:eastAsia="Times New Roman" w:hAnsi="Times New Roman" w:cs="Times New Roman"/>
                <w:sz w:val="20"/>
                <w:szCs w:val="20"/>
              </w:rPr>
              <w:t>Andrade 2018, Lightner 2023</w:t>
            </w:r>
          </w:p>
        </w:tc>
        <w:tc>
          <w:tcPr>
            <w:tcW w:w="900" w:type="dxa"/>
          </w:tcPr>
          <w:p w:rsidR="006B1162" w:rsidRPr="00A16DBE" w:rsidRDefault="006B1162" w:rsidP="00F83E81">
            <w:pPr>
              <w:rPr>
                <w:rFonts w:ascii="Times New Roman" w:hAnsi="Times New Roman" w:cs="Times New Roman"/>
                <w:b/>
                <w:bCs/>
                <w:sz w:val="20"/>
                <w:szCs w:val="20"/>
              </w:rPr>
            </w:pPr>
            <w:r w:rsidRPr="00A16DBE">
              <w:rPr>
                <w:rFonts w:ascii="Times New Roman" w:eastAsia="Times New Roman" w:hAnsi="Times New Roman" w:cs="Times New Roman"/>
                <w:sz w:val="20"/>
                <w:szCs w:val="20"/>
              </w:rPr>
              <w:t>Cohort</w:t>
            </w:r>
          </w:p>
        </w:tc>
        <w:tc>
          <w:tcPr>
            <w:tcW w:w="1350" w:type="dxa"/>
          </w:tcPr>
          <w:p w:rsidR="006B1162" w:rsidRPr="00A16DBE" w:rsidRDefault="006B1162" w:rsidP="00F83E81">
            <w:pPr>
              <w:rPr>
                <w:rFonts w:ascii="Times New Roman" w:hAnsi="Times New Roman" w:cs="Times New Roman"/>
                <w:b/>
                <w:bCs/>
                <w:sz w:val="20"/>
                <w:szCs w:val="20"/>
              </w:rPr>
            </w:pPr>
            <w:r w:rsidRPr="00A16DBE">
              <w:rPr>
                <w:rFonts w:ascii="Times New Roman" w:eastAsia="Times New Roman" w:hAnsi="Times New Roman" w:cs="Times New Roman"/>
                <w:sz w:val="20"/>
                <w:szCs w:val="20"/>
              </w:rPr>
              <w:t>S1: Not reported (total sample 627)</w:t>
            </w:r>
            <w:r w:rsidRPr="00A16DBE">
              <w:rPr>
                <w:rFonts w:ascii="Times New Roman" w:eastAsia="Times New Roman" w:hAnsi="Times New Roman" w:cs="Times New Roman"/>
                <w:sz w:val="20"/>
                <w:szCs w:val="20"/>
              </w:rPr>
              <w:br/>
            </w:r>
            <w:r w:rsidRPr="00A16DBE">
              <w:rPr>
                <w:rFonts w:ascii="Times New Roman" w:eastAsia="Times New Roman" w:hAnsi="Times New Roman" w:cs="Times New Roman"/>
                <w:sz w:val="20"/>
                <w:szCs w:val="20"/>
              </w:rPr>
              <w:br/>
              <w:t>S2: 372</w:t>
            </w:r>
          </w:p>
        </w:tc>
        <w:tc>
          <w:tcPr>
            <w:tcW w:w="1350" w:type="dxa"/>
          </w:tcPr>
          <w:p w:rsidR="006B1162" w:rsidRPr="00A16DBE" w:rsidRDefault="006B1162" w:rsidP="00F83E81">
            <w:pPr>
              <w:rPr>
                <w:rFonts w:ascii="Times New Roman" w:hAnsi="Times New Roman" w:cs="Times New Roman"/>
                <w:b/>
                <w:bCs/>
                <w:sz w:val="20"/>
                <w:szCs w:val="20"/>
              </w:rPr>
            </w:pPr>
            <w:r w:rsidRPr="00A16DBE">
              <w:rPr>
                <w:rFonts w:ascii="Times New Roman" w:eastAsia="Times New Roman" w:hAnsi="Times New Roman" w:cs="Times New Roman"/>
                <w:sz w:val="20"/>
                <w:szCs w:val="20"/>
              </w:rPr>
              <w:t>S1: Not reported (total sample 627)</w:t>
            </w:r>
            <w:r w:rsidRPr="00A16DBE">
              <w:rPr>
                <w:rFonts w:ascii="Times New Roman" w:eastAsia="Times New Roman" w:hAnsi="Times New Roman" w:cs="Times New Roman"/>
                <w:sz w:val="20"/>
                <w:szCs w:val="20"/>
              </w:rPr>
              <w:br/>
            </w:r>
            <w:r w:rsidRPr="00A16DBE">
              <w:rPr>
                <w:rFonts w:ascii="Times New Roman" w:eastAsia="Times New Roman" w:hAnsi="Times New Roman" w:cs="Times New Roman"/>
                <w:sz w:val="20"/>
                <w:szCs w:val="20"/>
              </w:rPr>
              <w:br/>
              <w:t>S2: 16,179</w:t>
            </w:r>
          </w:p>
        </w:tc>
        <w:tc>
          <w:tcPr>
            <w:tcW w:w="1530" w:type="dxa"/>
          </w:tcPr>
          <w:p w:rsidR="006B1162" w:rsidRPr="00A16DBE" w:rsidRDefault="006B1162" w:rsidP="00F83E81">
            <w:pPr>
              <w:rPr>
                <w:rFonts w:ascii="Times New Roman" w:hAnsi="Times New Roman" w:cs="Times New Roman"/>
                <w:b/>
                <w:bCs/>
                <w:sz w:val="20"/>
                <w:szCs w:val="20"/>
              </w:rPr>
            </w:pPr>
            <w:r w:rsidRPr="00A16DBE">
              <w:rPr>
                <w:rFonts w:ascii="Times New Roman" w:hAnsi="Times New Roman" w:cs="Times New Roman"/>
                <w:sz w:val="20"/>
                <w:szCs w:val="20"/>
              </w:rPr>
              <w:t>Very low</w:t>
            </w:r>
            <w:r w:rsidRPr="00A16DBE">
              <w:rPr>
                <w:rFonts w:ascii="Times New Roman" w:hAnsi="Times New Roman" w:cs="Times New Roman"/>
                <w:sz w:val="20"/>
                <w:szCs w:val="20"/>
                <w:vertAlign w:val="superscript"/>
              </w:rPr>
              <w:t>a,b,c,d,e</w:t>
            </w:r>
          </w:p>
        </w:tc>
        <w:tc>
          <w:tcPr>
            <w:tcW w:w="4590" w:type="dxa"/>
          </w:tcPr>
          <w:p w:rsidR="006B1162" w:rsidRPr="00A16DBE" w:rsidRDefault="006B1162" w:rsidP="00F83E81">
            <w:pPr>
              <w:rPr>
                <w:rFonts w:ascii="Times New Roman" w:hAnsi="Times New Roman" w:cs="Times New Roman"/>
                <w:b/>
                <w:bCs/>
                <w:sz w:val="20"/>
                <w:szCs w:val="20"/>
              </w:rPr>
            </w:pPr>
            <w:r w:rsidRPr="00A16DBE">
              <w:rPr>
                <w:rFonts w:ascii="Times New Roman" w:eastAsia="Times New Roman" w:hAnsi="Times New Roman" w:cs="Times New Roman"/>
                <w:sz w:val="20"/>
                <w:szCs w:val="20"/>
              </w:rPr>
              <w:t xml:space="preserve">S1: </w:t>
            </w:r>
            <w:r w:rsidRPr="00A16DBE">
              <w:rPr>
                <w:rFonts w:ascii="Times New Roman" w:eastAsia="Times New Roman" w:hAnsi="Times New Roman" w:cs="Times New Roman"/>
                <w:sz w:val="20"/>
                <w:szCs w:val="20"/>
              </w:rPr>
              <w:br/>
              <w:t>OC and VTE: cOR=1.53, 95% CI=0.38-6.2</w:t>
            </w:r>
            <w:r w:rsidRPr="00A16DBE">
              <w:rPr>
                <w:rFonts w:ascii="Times New Roman" w:eastAsia="Times New Roman" w:hAnsi="Times New Roman" w:cs="Times New Roman"/>
                <w:sz w:val="20"/>
                <w:szCs w:val="20"/>
              </w:rPr>
              <w:br/>
              <w:t>UC: 0 VTEs in OC users (VTE in non-users not reported)</w:t>
            </w:r>
            <w:r w:rsidRPr="00A16DBE">
              <w:rPr>
                <w:rFonts w:ascii="Times New Roman" w:eastAsia="Times New Roman" w:hAnsi="Times New Roman" w:cs="Times New Roman"/>
                <w:sz w:val="20"/>
                <w:szCs w:val="20"/>
              </w:rPr>
              <w:br/>
            </w:r>
            <w:r w:rsidRPr="00A16DBE">
              <w:rPr>
                <w:rFonts w:ascii="Times New Roman" w:eastAsia="Times New Roman" w:hAnsi="Times New Roman" w:cs="Times New Roman"/>
                <w:sz w:val="20"/>
                <w:szCs w:val="20"/>
              </w:rPr>
              <w:br/>
              <w:t>S2: IBD</w:t>
            </w:r>
            <w:r w:rsidRPr="00A16DBE">
              <w:rPr>
                <w:rFonts w:ascii="Times New Roman" w:eastAsia="Times New Roman" w:hAnsi="Times New Roman" w:cs="Times New Roman"/>
                <w:sz w:val="20"/>
                <w:szCs w:val="20"/>
              </w:rPr>
              <w:br/>
              <w:t>DVT during 90 days since hospital admission for IBD: aOR=0.57, 95% CI=0.21, 1.53; p=0.26 for OC use vs non-use</w:t>
            </w:r>
            <w:r w:rsidRPr="00A16DBE">
              <w:rPr>
                <w:rFonts w:ascii="Times New Roman" w:eastAsia="Times New Roman" w:hAnsi="Times New Roman" w:cs="Times New Roman"/>
                <w:sz w:val="20"/>
                <w:szCs w:val="20"/>
              </w:rPr>
              <w:br/>
            </w:r>
            <w:r w:rsidRPr="00A16DBE">
              <w:rPr>
                <w:rFonts w:ascii="Times New Roman" w:eastAsia="Times New Roman" w:hAnsi="Times New Roman" w:cs="Times New Roman"/>
                <w:sz w:val="20"/>
                <w:szCs w:val="20"/>
              </w:rPr>
              <w:br/>
              <w:t>PE during 90 days since hospital admission for IBD: aOR=2.56, 95% CI=0.75, 8.75; p=0.14 for OC use vs non-use</w:t>
            </w:r>
          </w:p>
        </w:tc>
        <w:tc>
          <w:tcPr>
            <w:tcW w:w="1440" w:type="dxa"/>
          </w:tcPr>
          <w:p w:rsidR="006B1162" w:rsidRPr="00A16DBE" w:rsidRDefault="006B1162" w:rsidP="00F83E81">
            <w:pPr>
              <w:rPr>
                <w:rFonts w:ascii="Times New Roman" w:hAnsi="Times New Roman" w:cs="Times New Roman"/>
                <w:b/>
                <w:bCs/>
                <w:sz w:val="20"/>
                <w:szCs w:val="20"/>
              </w:rPr>
            </w:pPr>
            <w:r w:rsidRPr="00A16DBE">
              <w:rPr>
                <w:rFonts w:ascii="Times New Roman" w:eastAsia="Times New Roman" w:hAnsi="Times New Roman" w:cs="Times New Roman"/>
                <w:sz w:val="20"/>
                <w:szCs w:val="20"/>
              </w:rPr>
              <w:t>S1: Not reported</w:t>
            </w:r>
            <w:r w:rsidRPr="00A16DBE">
              <w:rPr>
                <w:rFonts w:ascii="Times New Roman" w:eastAsia="Times New Roman" w:hAnsi="Times New Roman" w:cs="Times New Roman"/>
                <w:sz w:val="20"/>
                <w:szCs w:val="20"/>
              </w:rPr>
              <w:br/>
              <w:t>S2: Not reported</w:t>
            </w:r>
          </w:p>
        </w:tc>
      </w:tr>
      <w:tr w:rsidR="006B1162" w:rsidRPr="00A16DBE" w:rsidTr="00F83E81">
        <w:tc>
          <w:tcPr>
            <w:tcW w:w="1890" w:type="dxa"/>
            <w:tcBorders>
              <w:bottom w:val="single" w:sz="4" w:space="0" w:color="auto"/>
            </w:tcBorders>
          </w:tcPr>
          <w:p w:rsidR="006B1162" w:rsidRPr="00A16DBE" w:rsidRDefault="006B1162" w:rsidP="00F83E81">
            <w:pPr>
              <w:rPr>
                <w:rFonts w:ascii="Times New Roman" w:eastAsia="Times New Roman" w:hAnsi="Times New Roman" w:cs="Times New Roman"/>
                <w:color w:val="000000"/>
                <w:sz w:val="20"/>
                <w:szCs w:val="20"/>
              </w:rPr>
            </w:pPr>
            <w:r w:rsidRPr="00A16DBE">
              <w:rPr>
                <w:rFonts w:ascii="Times New Roman" w:eastAsia="Times New Roman" w:hAnsi="Times New Roman" w:cs="Times New Roman"/>
                <w:sz w:val="20"/>
                <w:szCs w:val="20"/>
              </w:rPr>
              <w:t>Abnormal cervical smear results</w:t>
            </w:r>
          </w:p>
        </w:tc>
        <w:tc>
          <w:tcPr>
            <w:tcW w:w="1440" w:type="dxa"/>
            <w:tcBorders>
              <w:bottom w:val="single" w:sz="4" w:space="0" w:color="auto"/>
            </w:tcBorders>
          </w:tcPr>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rPr>
              <w:t>1</w:t>
            </w:r>
          </w:p>
          <w:p w:rsidR="006B1162" w:rsidRPr="00A16DBE" w:rsidRDefault="006B1162" w:rsidP="00F83E81">
            <w:pPr>
              <w:rPr>
                <w:rFonts w:ascii="Times New Roman" w:eastAsia="Times New Roman" w:hAnsi="Times New Roman" w:cs="Times New Roman"/>
                <w:color w:val="000000"/>
                <w:sz w:val="20"/>
                <w:szCs w:val="20"/>
              </w:rPr>
            </w:pPr>
            <w:r w:rsidRPr="00A16DBE">
              <w:rPr>
                <w:rFonts w:ascii="Times New Roman" w:eastAsia="Times New Roman" w:hAnsi="Times New Roman" w:cs="Times New Roman"/>
                <w:sz w:val="20"/>
                <w:szCs w:val="20"/>
              </w:rPr>
              <w:t>Lees 2009</w:t>
            </w:r>
          </w:p>
        </w:tc>
        <w:tc>
          <w:tcPr>
            <w:tcW w:w="900" w:type="dxa"/>
            <w:tcBorders>
              <w:bottom w:val="single" w:sz="4" w:space="0" w:color="auto"/>
            </w:tcBorders>
          </w:tcPr>
          <w:p w:rsidR="006B1162" w:rsidRPr="00A16DBE" w:rsidRDefault="006B1162" w:rsidP="00F83E81">
            <w:pPr>
              <w:rPr>
                <w:rFonts w:ascii="Times New Roman" w:eastAsia="Times New Roman" w:hAnsi="Times New Roman" w:cs="Times New Roman"/>
                <w:color w:val="000000"/>
                <w:sz w:val="20"/>
                <w:szCs w:val="20"/>
              </w:rPr>
            </w:pPr>
            <w:r w:rsidRPr="00A16DBE">
              <w:rPr>
                <w:rFonts w:ascii="Times New Roman" w:eastAsia="Times New Roman" w:hAnsi="Times New Roman" w:cs="Times New Roman"/>
                <w:sz w:val="20"/>
                <w:szCs w:val="20"/>
              </w:rPr>
              <w:t>Cohort</w:t>
            </w:r>
          </w:p>
        </w:tc>
        <w:tc>
          <w:tcPr>
            <w:tcW w:w="1350" w:type="dxa"/>
            <w:tcBorders>
              <w:bottom w:val="single" w:sz="4" w:space="0" w:color="auto"/>
            </w:tcBorders>
          </w:tcPr>
          <w:p w:rsidR="006B1162" w:rsidRPr="00A16DBE" w:rsidRDefault="006B1162" w:rsidP="00F83E81">
            <w:pPr>
              <w:rPr>
                <w:rFonts w:ascii="Times New Roman" w:eastAsia="Times New Roman" w:hAnsi="Times New Roman" w:cs="Times New Roman"/>
                <w:color w:val="000000"/>
                <w:sz w:val="20"/>
                <w:szCs w:val="20"/>
              </w:rPr>
            </w:pPr>
            <w:r w:rsidRPr="00A16DBE">
              <w:rPr>
                <w:rFonts w:ascii="Times New Roman" w:eastAsia="Times New Roman" w:hAnsi="Times New Roman" w:cs="Times New Roman"/>
                <w:sz w:val="20"/>
                <w:szCs w:val="20"/>
              </w:rPr>
              <w:t>77</w:t>
            </w:r>
          </w:p>
        </w:tc>
        <w:tc>
          <w:tcPr>
            <w:tcW w:w="1350" w:type="dxa"/>
            <w:tcBorders>
              <w:bottom w:val="single" w:sz="4" w:space="0" w:color="auto"/>
            </w:tcBorders>
          </w:tcPr>
          <w:p w:rsidR="006B1162" w:rsidRPr="00A16DBE" w:rsidRDefault="006B1162" w:rsidP="00F83E81">
            <w:pPr>
              <w:rPr>
                <w:rFonts w:ascii="Times New Roman" w:eastAsia="Times New Roman" w:hAnsi="Times New Roman" w:cs="Times New Roman"/>
                <w:color w:val="000000"/>
                <w:sz w:val="20"/>
                <w:szCs w:val="20"/>
              </w:rPr>
            </w:pPr>
            <w:r w:rsidRPr="00A16DBE">
              <w:rPr>
                <w:rFonts w:ascii="Times New Roman" w:eastAsia="Times New Roman" w:hAnsi="Times New Roman" w:cs="Times New Roman"/>
                <w:sz w:val="20"/>
                <w:szCs w:val="20"/>
              </w:rPr>
              <w:t>262</w:t>
            </w:r>
          </w:p>
        </w:tc>
        <w:tc>
          <w:tcPr>
            <w:tcW w:w="1530" w:type="dxa"/>
            <w:tcBorders>
              <w:bottom w:val="single" w:sz="4" w:space="0" w:color="auto"/>
            </w:tcBorders>
          </w:tcPr>
          <w:p w:rsidR="006B1162" w:rsidRPr="00A16DBE" w:rsidRDefault="006B1162" w:rsidP="00F83E81">
            <w:pPr>
              <w:rPr>
                <w:rFonts w:ascii="Times New Roman" w:hAnsi="Times New Roman" w:cs="Times New Roman"/>
                <w:sz w:val="20"/>
                <w:szCs w:val="20"/>
              </w:rPr>
            </w:pPr>
            <w:r w:rsidRPr="00A16DBE">
              <w:rPr>
                <w:rFonts w:ascii="Times New Roman" w:hAnsi="Times New Roman" w:cs="Times New Roman"/>
                <w:sz w:val="20"/>
                <w:szCs w:val="20"/>
              </w:rPr>
              <w:t>Very low</w:t>
            </w:r>
            <w:r w:rsidRPr="00A16DBE">
              <w:rPr>
                <w:rFonts w:ascii="Times New Roman" w:hAnsi="Times New Roman" w:cs="Times New Roman"/>
                <w:sz w:val="20"/>
                <w:szCs w:val="20"/>
                <w:vertAlign w:val="superscript"/>
              </w:rPr>
              <w:t>b,c,d,f,g,h</w:t>
            </w:r>
          </w:p>
        </w:tc>
        <w:tc>
          <w:tcPr>
            <w:tcW w:w="4590" w:type="dxa"/>
            <w:tcBorders>
              <w:bottom w:val="single" w:sz="4" w:space="0" w:color="auto"/>
            </w:tcBorders>
          </w:tcPr>
          <w:p w:rsidR="006B1162" w:rsidRPr="00A16DBE" w:rsidRDefault="006B1162" w:rsidP="00F83E81">
            <w:pPr>
              <w:rPr>
                <w:rFonts w:ascii="Times New Roman" w:eastAsia="Times New Roman" w:hAnsi="Times New Roman" w:cs="Times New Roman"/>
                <w:sz w:val="20"/>
                <w:szCs w:val="20"/>
                <w:u w:val="single"/>
              </w:rPr>
            </w:pPr>
            <w:r w:rsidRPr="00A16DBE">
              <w:rPr>
                <w:rFonts w:ascii="Times New Roman" w:eastAsia="Times New Roman" w:hAnsi="Times New Roman" w:cs="Times New Roman"/>
                <w:sz w:val="20"/>
                <w:szCs w:val="20"/>
              </w:rPr>
              <w:t>No statistically significant differences in abnormal cervical smear results in IBD patients by OC use.</w:t>
            </w:r>
            <w:r w:rsidRPr="00A16DBE">
              <w:rPr>
                <w:rFonts w:ascii="Times New Roman" w:eastAsia="Times New Roman" w:hAnsi="Times New Roman" w:cs="Times New Roman"/>
                <w:sz w:val="20"/>
                <w:szCs w:val="20"/>
              </w:rPr>
              <w:br/>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u w:val="single"/>
              </w:rPr>
              <w:t>Current OC use</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Normal: 66/77 (85.7%)</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Low-grade dysplasia: 4/77 (5.2%)</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High-grade dysplasia: 7/77 (9.1%)</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u w:val="single"/>
              </w:rPr>
              <w:t>Never OC use</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Normal: 38/47 (80.9%)</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Low-grade dysplasia: 8/47 (17.0%)</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High-grade dysplasia: 1/47 (2.1%)</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u w:val="single"/>
              </w:rPr>
              <w:t>Previous OC use</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Normal: 184/215 (85.6%)</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Low-grade dysplasia: 16/215 (7.4%)</w:t>
            </w:r>
          </w:p>
          <w:p w:rsidR="006B1162" w:rsidRPr="006E73D2" w:rsidRDefault="006B1162" w:rsidP="00F83E81">
            <w:pPr>
              <w:rPr>
                <w:rFonts w:ascii="Times New Roman" w:eastAsia="Times New Roman" w:hAnsi="Times New Roman" w:cs="Times New Roman"/>
                <w:sz w:val="20"/>
                <w:szCs w:val="20"/>
              </w:rPr>
            </w:pPr>
            <w:r w:rsidRPr="006E73D2">
              <w:rPr>
                <w:rFonts w:ascii="Times New Roman" w:eastAsia="Times New Roman" w:hAnsi="Times New Roman" w:cs="Times New Roman"/>
                <w:sz w:val="20"/>
                <w:szCs w:val="20"/>
              </w:rPr>
              <w:t>High-grade dysplasia: 15/215 (7.0%)</w:t>
            </w:r>
          </w:p>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rPr>
              <w:t>p=0.106</w:t>
            </w:r>
          </w:p>
        </w:tc>
        <w:tc>
          <w:tcPr>
            <w:tcW w:w="1440" w:type="dxa"/>
            <w:tcBorders>
              <w:bottom w:val="single" w:sz="4" w:space="0" w:color="auto"/>
            </w:tcBorders>
          </w:tcPr>
          <w:p w:rsidR="006B1162" w:rsidRPr="00A16DBE" w:rsidRDefault="006B1162" w:rsidP="00F83E81">
            <w:pPr>
              <w:rPr>
                <w:rFonts w:ascii="Times New Roman" w:eastAsia="Times New Roman" w:hAnsi="Times New Roman" w:cs="Times New Roman"/>
                <w:color w:val="000000"/>
                <w:sz w:val="20"/>
                <w:szCs w:val="20"/>
              </w:rPr>
            </w:pPr>
            <w:r w:rsidRPr="00A16DBE">
              <w:rPr>
                <w:rFonts w:ascii="Times New Roman" w:eastAsia="Times New Roman" w:hAnsi="Times New Roman" w:cs="Times New Roman"/>
                <w:sz w:val="20"/>
                <w:szCs w:val="20"/>
              </w:rPr>
              <w:t>See “Effect” column</w:t>
            </w:r>
          </w:p>
        </w:tc>
      </w:tr>
    </w:tbl>
    <w:p w:rsidR="006B1162" w:rsidRPr="00224123" w:rsidRDefault="006B1162" w:rsidP="006B1162">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0"/>
      </w:tblGrid>
      <w:tr w:rsidR="006B1162" w:rsidRPr="00A16DBE" w:rsidTr="00F83E81">
        <w:tc>
          <w:tcPr>
            <w:tcW w:w="14400" w:type="dxa"/>
          </w:tcPr>
          <w:p w:rsidR="006B1162" w:rsidRDefault="006B1162" w:rsidP="00F83E81">
            <w:pPr>
              <w:rPr>
                <w:rFonts w:ascii="Times New Roman" w:hAnsi="Times New Roman" w:cs="Times New Roman"/>
                <w:sz w:val="20"/>
                <w:szCs w:val="20"/>
              </w:rPr>
            </w:pPr>
            <w:r w:rsidRPr="00A16DBE">
              <w:rPr>
                <w:rFonts w:ascii="Times New Roman" w:hAnsi="Times New Roman" w:cs="Times New Roman"/>
                <w:sz w:val="20"/>
                <w:szCs w:val="20"/>
              </w:rPr>
              <w:t xml:space="preserve">aOR, adjusted odds ratio; cOR, crude odd ratio; CD, Crohn's disease; CI, confidence interval; DVT, deep vein thrombosis; </w:t>
            </w:r>
            <w:r>
              <w:rPr>
                <w:rFonts w:ascii="Times New Roman" w:hAnsi="Times New Roman" w:cs="Times New Roman"/>
                <w:sz w:val="20"/>
                <w:szCs w:val="20"/>
              </w:rPr>
              <w:t xml:space="preserve">GRADE, Grading of Recommendations Assessment, Development and Evaluation; </w:t>
            </w:r>
            <w:r w:rsidRPr="00A16DBE">
              <w:rPr>
                <w:rFonts w:ascii="Times New Roman" w:hAnsi="Times New Roman" w:cs="Times New Roman"/>
                <w:sz w:val="20"/>
                <w:szCs w:val="20"/>
              </w:rPr>
              <w:t>IBD, inflammatory bowel disease; OC, oral contraception; PE, pulmonary embolism; S1, Study 1; S2, Study 2; UC, ulcerative colitis; VTE, venous thromboembolism.</w:t>
            </w:r>
          </w:p>
          <w:p w:rsidR="006B1162" w:rsidRDefault="006B1162" w:rsidP="00F83E81">
            <w:pPr>
              <w:rPr>
                <w:rFonts w:ascii="Times New Roman" w:hAnsi="Times New Roman" w:cs="Times New Roman"/>
                <w:sz w:val="20"/>
                <w:szCs w:val="20"/>
              </w:rPr>
            </w:pPr>
          </w:p>
          <w:p w:rsidR="006B1162" w:rsidRDefault="006B1162" w:rsidP="00F83E81">
            <w:pPr>
              <w:rPr>
                <w:rFonts w:ascii="Times New Roman" w:hAnsi="Times New Roman" w:cs="Times New Roman"/>
                <w:sz w:val="20"/>
                <w:szCs w:val="20"/>
              </w:rPr>
            </w:pPr>
            <w:r w:rsidRPr="006535B2">
              <w:rPr>
                <w:rFonts w:ascii="Times New Roman" w:hAnsi="Times New Roman" w:cs="Times New Roman"/>
                <w:sz w:val="20"/>
                <w:szCs w:val="20"/>
                <w:vertAlign w:val="superscript"/>
              </w:rPr>
              <w:t>*</w:t>
            </w:r>
            <w:r w:rsidRPr="006535B2">
              <w:rPr>
                <w:rFonts w:ascii="Times New Roman" w:hAnsi="Times New Roman" w:cs="Times New Roman"/>
                <w:sz w:val="20"/>
                <w:szCs w:val="20"/>
              </w:rPr>
              <w:t xml:space="preserve">As part of GRADE, the following domains were assessed: risk of bias, inconsistency, imprecision, and indirectness. </w:t>
            </w:r>
          </w:p>
          <w:p w:rsidR="006B1162" w:rsidRPr="00A16DBE" w:rsidRDefault="006B1162" w:rsidP="00F83E81">
            <w:pPr>
              <w:rPr>
                <w:rFonts w:ascii="Times New Roman" w:eastAsia="Times New Roman" w:hAnsi="Times New Roman" w:cs="Times New Roman"/>
                <w:sz w:val="20"/>
                <w:szCs w:val="20"/>
              </w:rPr>
            </w:pPr>
            <w:r w:rsidRPr="00A16DBE">
              <w:rPr>
                <w:rFonts w:ascii="Times New Roman" w:hAnsi="Times New Roman" w:cs="Times New Roman"/>
                <w:sz w:val="20"/>
                <w:szCs w:val="20"/>
                <w:vertAlign w:val="superscript"/>
              </w:rPr>
              <w:t>a</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A16DBE">
              <w:rPr>
                <w:rFonts w:ascii="Times New Roman" w:eastAsia="Times New Roman" w:hAnsi="Times New Roman" w:cs="Times New Roman"/>
                <w:sz w:val="20"/>
                <w:szCs w:val="20"/>
              </w:rPr>
              <w:t>no information on response/recruitment rate</w:t>
            </w:r>
            <w:r>
              <w:rPr>
                <w:rFonts w:ascii="Times New Roman" w:eastAsia="Times New Roman" w:hAnsi="Times New Roman" w:cs="Times New Roman"/>
                <w:sz w:val="20"/>
                <w:szCs w:val="20"/>
              </w:rPr>
              <w:t>.</w:t>
            </w:r>
          </w:p>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vertAlign w:val="superscript"/>
              </w:rPr>
              <w:t>b</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A16DBE">
              <w:rPr>
                <w:rFonts w:ascii="Times New Roman" w:eastAsia="Times New Roman" w:hAnsi="Times New Roman" w:cs="Times New Roman"/>
                <w:sz w:val="20"/>
                <w:szCs w:val="20"/>
              </w:rPr>
              <w:t>no information on loss to follow-up</w:t>
            </w:r>
            <w:r>
              <w:rPr>
                <w:rFonts w:ascii="Times New Roman" w:eastAsia="Times New Roman" w:hAnsi="Times New Roman" w:cs="Times New Roman"/>
                <w:sz w:val="20"/>
                <w:szCs w:val="20"/>
              </w:rPr>
              <w:t>.</w:t>
            </w:r>
          </w:p>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vertAlign w:val="superscript"/>
              </w:rPr>
              <w:t>c</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A16DBE">
              <w:rPr>
                <w:rFonts w:ascii="Times New Roman" w:eastAsia="Times New Roman" w:hAnsi="Times New Roman" w:cs="Times New Roman"/>
                <w:sz w:val="20"/>
                <w:szCs w:val="20"/>
              </w:rPr>
              <w:t>unclear or inadequate assessment/definition of the exposure</w:t>
            </w:r>
            <w:r>
              <w:rPr>
                <w:rFonts w:ascii="Times New Roman" w:eastAsia="Times New Roman" w:hAnsi="Times New Roman" w:cs="Times New Roman"/>
                <w:sz w:val="20"/>
                <w:szCs w:val="20"/>
              </w:rPr>
              <w:t>.</w:t>
            </w:r>
          </w:p>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vertAlign w:val="superscript"/>
              </w:rPr>
              <w:t>d</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A16DBE">
              <w:rPr>
                <w:rFonts w:ascii="Times New Roman" w:eastAsia="Times New Roman" w:hAnsi="Times New Roman" w:cs="Times New Roman"/>
                <w:sz w:val="20"/>
                <w:szCs w:val="20"/>
              </w:rPr>
              <w:t>unclear or inadequate comparison group</w:t>
            </w:r>
            <w:r>
              <w:rPr>
                <w:rFonts w:ascii="Times New Roman" w:eastAsia="Times New Roman" w:hAnsi="Times New Roman" w:cs="Times New Roman"/>
                <w:sz w:val="20"/>
                <w:szCs w:val="20"/>
              </w:rPr>
              <w:t>.</w:t>
            </w:r>
            <w:bookmarkStart w:id="0" w:name="_GoBack"/>
            <w:bookmarkEnd w:id="0"/>
          </w:p>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vertAlign w:val="superscript"/>
              </w:rPr>
              <w:t>e</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imprecision because of </w:t>
            </w:r>
            <w:r w:rsidRPr="00A16DBE">
              <w:rPr>
                <w:rFonts w:ascii="Times New Roman" w:eastAsia="Times New Roman" w:hAnsi="Times New Roman" w:cs="Times New Roman"/>
                <w:sz w:val="20"/>
                <w:szCs w:val="20"/>
              </w:rPr>
              <w:t>wide CIs that contain both beneficial and harmful effects</w:t>
            </w:r>
            <w:r>
              <w:rPr>
                <w:rFonts w:ascii="Times New Roman" w:eastAsia="Times New Roman" w:hAnsi="Times New Roman" w:cs="Times New Roman"/>
                <w:sz w:val="20"/>
                <w:szCs w:val="20"/>
              </w:rPr>
              <w:t>.</w:t>
            </w:r>
          </w:p>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vertAlign w:val="superscript"/>
              </w:rPr>
              <w:t>f</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risk of bias because of </w:t>
            </w:r>
            <w:r w:rsidRPr="00A16DBE">
              <w:rPr>
                <w:rFonts w:ascii="Times New Roman" w:eastAsia="Times New Roman" w:hAnsi="Times New Roman" w:cs="Times New Roman"/>
                <w:sz w:val="20"/>
                <w:szCs w:val="20"/>
              </w:rPr>
              <w:t>low response rate</w:t>
            </w:r>
            <w:r>
              <w:rPr>
                <w:rFonts w:ascii="Times New Roman" w:eastAsia="Times New Roman" w:hAnsi="Times New Roman" w:cs="Times New Roman"/>
                <w:sz w:val="20"/>
                <w:szCs w:val="20"/>
              </w:rPr>
              <w:t>.</w:t>
            </w:r>
          </w:p>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vertAlign w:val="superscript"/>
              </w:rPr>
              <w:lastRenderedPageBreak/>
              <w:t>g</w:t>
            </w:r>
            <w:r w:rsidRPr="001E0988">
              <w:rPr>
                <w:rFonts w:ascii="Times New Roman" w:hAnsi="Times New Roman" w:cs="Times New Roman"/>
                <w:sz w:val="20"/>
                <w:szCs w:val="20"/>
              </w:rPr>
              <w:t>Dow</w:t>
            </w:r>
            <w:r>
              <w:rPr>
                <w:rFonts w:ascii="Times New Roman" w:hAnsi="Times New Roman" w:cs="Times New Roman"/>
                <w:sz w:val="20"/>
                <w:szCs w:val="20"/>
              </w:rPr>
              <w:t xml:space="preserve">ngraded for inconsistency because of there is only 1 study and </w:t>
            </w:r>
            <w:r w:rsidRPr="00C37F73">
              <w:rPr>
                <w:rFonts w:ascii="Times New Roman" w:eastAsia="Times New Roman" w:hAnsi="Times New Roman" w:cs="Times New Roman"/>
                <w:sz w:val="20"/>
                <w:szCs w:val="20"/>
              </w:rPr>
              <w:t>inconsistency cannot be assessed</w:t>
            </w:r>
            <w:r>
              <w:rPr>
                <w:rFonts w:ascii="Times New Roman" w:eastAsia="Times New Roman" w:hAnsi="Times New Roman" w:cs="Times New Roman"/>
                <w:sz w:val="20"/>
                <w:szCs w:val="20"/>
              </w:rPr>
              <w:t>.</w:t>
            </w:r>
          </w:p>
          <w:p w:rsidR="006B1162" w:rsidRPr="00A16DBE" w:rsidRDefault="006B1162" w:rsidP="00F83E81">
            <w:pPr>
              <w:rPr>
                <w:rFonts w:ascii="Times New Roman" w:eastAsia="Times New Roman" w:hAnsi="Times New Roman" w:cs="Times New Roman"/>
                <w:sz w:val="20"/>
                <w:szCs w:val="20"/>
              </w:rPr>
            </w:pPr>
            <w:r w:rsidRPr="00A16DBE">
              <w:rPr>
                <w:rFonts w:ascii="Times New Roman" w:eastAsia="Times New Roman" w:hAnsi="Times New Roman" w:cs="Times New Roman"/>
                <w:sz w:val="20"/>
                <w:szCs w:val="20"/>
                <w:vertAlign w:val="superscript"/>
              </w:rPr>
              <w:t>h</w:t>
            </w:r>
            <w:r>
              <w:rPr>
                <w:rFonts w:ascii="Times New Roman" w:eastAsia="Times New Roman" w:hAnsi="Times New Roman" w:cs="Times New Roman"/>
                <w:sz w:val="20"/>
                <w:szCs w:val="20"/>
              </w:rPr>
              <w:t xml:space="preserve">Downgraded for imprecision because no </w:t>
            </w:r>
            <w:r w:rsidRPr="00A16DBE">
              <w:rPr>
                <w:rFonts w:ascii="Times New Roman" w:eastAsia="Times New Roman" w:hAnsi="Times New Roman" w:cs="Times New Roman"/>
                <w:sz w:val="20"/>
                <w:szCs w:val="20"/>
              </w:rPr>
              <w:t xml:space="preserve">CIs or other measures of precision </w:t>
            </w:r>
            <w:r>
              <w:rPr>
                <w:rFonts w:ascii="Times New Roman" w:eastAsia="Times New Roman" w:hAnsi="Times New Roman" w:cs="Times New Roman"/>
                <w:sz w:val="20"/>
                <w:szCs w:val="20"/>
              </w:rPr>
              <w:t xml:space="preserve">are </w:t>
            </w:r>
            <w:r w:rsidRPr="00A16DBE">
              <w:rPr>
                <w:rFonts w:ascii="Times New Roman" w:eastAsia="Times New Roman" w:hAnsi="Times New Roman" w:cs="Times New Roman"/>
                <w:sz w:val="20"/>
                <w:szCs w:val="20"/>
              </w:rPr>
              <w:t>reported</w:t>
            </w:r>
            <w:r>
              <w:rPr>
                <w:rFonts w:ascii="Times New Roman" w:eastAsia="Times New Roman" w:hAnsi="Times New Roman" w:cs="Times New Roman"/>
                <w:sz w:val="20"/>
                <w:szCs w:val="20"/>
              </w:rPr>
              <w:t>.</w:t>
            </w:r>
          </w:p>
        </w:tc>
      </w:tr>
    </w:tbl>
    <w:p w:rsidR="006B1162" w:rsidRDefault="006B1162" w:rsidP="006B1162"/>
    <w:p w:rsidR="006B1162" w:rsidRPr="002549FE" w:rsidRDefault="006B1162" w:rsidP="006B1162">
      <w:pPr>
        <w:rPr>
          <w:rFonts w:ascii="Times New Roman" w:hAnsi="Times New Roman" w:cs="Times New Roman"/>
          <w:b/>
          <w:bCs/>
          <w:sz w:val="20"/>
          <w:szCs w:val="20"/>
        </w:rPr>
      </w:pPr>
      <w:r w:rsidRPr="002549FE">
        <w:rPr>
          <w:rFonts w:ascii="Times New Roman" w:hAnsi="Times New Roman" w:cs="Times New Roman"/>
          <w:b/>
          <w:bCs/>
          <w:sz w:val="20"/>
          <w:szCs w:val="20"/>
        </w:rPr>
        <w:t>References</w:t>
      </w:r>
    </w:p>
    <w:p w:rsidR="006B1162" w:rsidRPr="002549FE" w:rsidRDefault="006B1162" w:rsidP="006B1162">
      <w:pPr>
        <w:pStyle w:val="paragraph"/>
        <w:spacing w:before="0" w:beforeAutospacing="0" w:after="0" w:afterAutospacing="0"/>
        <w:ind w:left="720" w:hanging="720"/>
        <w:textAlignment w:val="baseline"/>
        <w:rPr>
          <w:sz w:val="20"/>
          <w:szCs w:val="20"/>
        </w:rPr>
      </w:pPr>
      <w:r w:rsidRPr="002549FE">
        <w:rPr>
          <w:rStyle w:val="eop"/>
          <w:sz w:val="20"/>
          <w:szCs w:val="20"/>
        </w:rPr>
        <w:t> </w:t>
      </w:r>
    </w:p>
    <w:p w:rsidR="006B1162" w:rsidRPr="00EB6E24" w:rsidRDefault="006B1162" w:rsidP="006B1162">
      <w:pPr>
        <w:pStyle w:val="paragraph"/>
        <w:spacing w:before="0" w:beforeAutospacing="0" w:after="0" w:afterAutospacing="0"/>
        <w:ind w:left="720" w:hanging="720"/>
        <w:textAlignment w:val="baseline"/>
        <w:rPr>
          <w:rStyle w:val="normaltextrun"/>
          <w:color w:val="0563C1"/>
          <w:sz w:val="20"/>
          <w:szCs w:val="20"/>
          <w:u w:val="single"/>
          <w:shd w:val="clear" w:color="auto" w:fill="E1E3E6"/>
        </w:rPr>
      </w:pPr>
      <w:r w:rsidRPr="00EB6E24">
        <w:rPr>
          <w:rStyle w:val="normaltextrun"/>
          <w:color w:val="000000"/>
          <w:sz w:val="20"/>
          <w:szCs w:val="20"/>
          <w:shd w:val="clear" w:color="auto" w:fill="E1E3E6"/>
        </w:rPr>
        <w:t xml:space="preserve">Andrade AR, Barros LL, Azevedo MFC, et al. Risk of thrombosis and mortality in inflammatory bowel disease. Clin Transl Gastroenterol 2018;9:142. </w:t>
      </w:r>
      <w:hyperlink r:id="rId15" w:tgtFrame="_blank" w:history="1">
        <w:r w:rsidRPr="00EB6E24">
          <w:rPr>
            <w:rStyle w:val="normaltextrun"/>
            <w:color w:val="0563C1"/>
            <w:sz w:val="20"/>
            <w:szCs w:val="20"/>
            <w:u w:val="single"/>
            <w:shd w:val="clear" w:color="auto" w:fill="E1E3E6"/>
          </w:rPr>
          <w:t>https://doi.org/10.1038/s41424-018-0013-8</w:t>
        </w:r>
      </w:hyperlink>
    </w:p>
    <w:p w:rsidR="006B1162" w:rsidRPr="00EB6E24" w:rsidRDefault="006B1162" w:rsidP="006B1162">
      <w:pPr>
        <w:pStyle w:val="paragraph"/>
        <w:spacing w:before="0" w:beforeAutospacing="0" w:after="0" w:afterAutospacing="0"/>
        <w:ind w:left="720" w:hanging="720"/>
        <w:textAlignment w:val="baseline"/>
        <w:rPr>
          <w:sz w:val="20"/>
          <w:szCs w:val="20"/>
        </w:rPr>
      </w:pPr>
      <w:r w:rsidRPr="00EB6E24">
        <w:rPr>
          <w:rStyle w:val="normaltextrun"/>
          <w:color w:val="000000"/>
          <w:sz w:val="20"/>
          <w:szCs w:val="20"/>
          <w:shd w:val="clear" w:color="auto" w:fill="E1E3E6"/>
        </w:rPr>
        <w:t xml:space="preserve">Lees CW, Critchley J, Chee N, et al. Lack of Association Between Cervical Dysplasia and IBD: A Large Case-Control Study. Inflamm Bowel Dis 2009;15:1621-9. </w:t>
      </w:r>
      <w:hyperlink r:id="rId16" w:tgtFrame="_blank" w:history="1">
        <w:r w:rsidRPr="00EB6E24">
          <w:rPr>
            <w:rStyle w:val="normaltextrun"/>
            <w:color w:val="0563C1"/>
            <w:sz w:val="20"/>
            <w:szCs w:val="20"/>
            <w:u w:val="single"/>
            <w:shd w:val="clear" w:color="auto" w:fill="E1E3E6"/>
          </w:rPr>
          <w:t>https://doi.org/10.1002/ibd.20959</w:t>
        </w:r>
      </w:hyperlink>
      <w:r w:rsidRPr="00EB6E24">
        <w:rPr>
          <w:rStyle w:val="eop"/>
          <w:sz w:val="20"/>
          <w:szCs w:val="20"/>
        </w:rPr>
        <w:t> </w:t>
      </w:r>
    </w:p>
    <w:p w:rsidR="006B1162" w:rsidRPr="00EB6E24" w:rsidRDefault="006B1162" w:rsidP="006B1162">
      <w:pPr>
        <w:pStyle w:val="paragraph"/>
        <w:spacing w:before="0" w:beforeAutospacing="0" w:after="0" w:afterAutospacing="0"/>
        <w:ind w:left="720" w:hanging="720"/>
        <w:textAlignment w:val="baseline"/>
        <w:rPr>
          <w:sz w:val="20"/>
          <w:szCs w:val="20"/>
        </w:rPr>
      </w:pPr>
      <w:r w:rsidRPr="00EB6E24">
        <w:rPr>
          <w:rStyle w:val="normaltextrun"/>
          <w:color w:val="000000"/>
          <w:sz w:val="20"/>
          <w:szCs w:val="20"/>
          <w:shd w:val="clear" w:color="auto" w:fill="E1E3E6"/>
        </w:rPr>
        <w:t xml:space="preserve">Lightner AL, Sklow B, Click B, et al. Venous Thromboembolism in Patients Admitted for IBD: An Enterprise-Wide Experience of 86,000 Hospital Encounters. Dis Colon Rectum 2023;66:410-8. </w:t>
      </w:r>
      <w:hyperlink r:id="rId17" w:tgtFrame="_blank" w:history="1">
        <w:r w:rsidRPr="00EB6E24">
          <w:rPr>
            <w:rStyle w:val="normaltextrun"/>
            <w:color w:val="0563C1"/>
            <w:sz w:val="20"/>
            <w:szCs w:val="20"/>
            <w:u w:val="single"/>
            <w:shd w:val="clear" w:color="auto" w:fill="E1E3E6"/>
          </w:rPr>
          <w:t>https://doi.org/10.1097/Dcr.0000000000002338</w:t>
        </w:r>
      </w:hyperlink>
      <w:r w:rsidRPr="00EB6E24">
        <w:rPr>
          <w:rStyle w:val="eop"/>
          <w:sz w:val="20"/>
          <w:szCs w:val="20"/>
        </w:rPr>
        <w:t> </w:t>
      </w:r>
    </w:p>
    <w:p w:rsidR="006B1162" w:rsidRDefault="006B1162" w:rsidP="006B1162">
      <w:pPr>
        <w:rPr>
          <w:b/>
          <w:bCs/>
        </w:rPr>
      </w:pPr>
    </w:p>
    <w:p w:rsidR="006B1162" w:rsidRPr="00D537D7" w:rsidRDefault="006B1162" w:rsidP="006B1162">
      <w:pPr>
        <w:rPr>
          <w:rFonts w:ascii="Times New Roman" w:hAnsi="Times New Roman" w:cs="Times New Roman"/>
          <w:sz w:val="24"/>
          <w:szCs w:val="24"/>
        </w:rPr>
      </w:pPr>
    </w:p>
    <w:p w:rsidR="00B5033C" w:rsidRDefault="00B5033C"/>
    <w:sectPr w:rsidR="00B5033C" w:rsidSect="00224123">
      <w:footnotePr>
        <w:numFmt w:val="lowerLetter"/>
      </w:footnotePr>
      <w:endnotePr>
        <w:numFmt w:val="lowerLetter"/>
      </w:endnotePr>
      <w:pgSz w:w="1584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94125"/>
    <w:multiLevelType w:val="hybridMultilevel"/>
    <w:tmpl w:val="BD76D1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8E878DD"/>
    <w:multiLevelType w:val="hybridMultilevel"/>
    <w:tmpl w:val="17EC17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865A6E"/>
    <w:multiLevelType w:val="hybridMultilevel"/>
    <w:tmpl w:val="E028E6E6"/>
    <w:lvl w:ilvl="0" w:tplc="005AB3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4EF3669"/>
    <w:multiLevelType w:val="hybridMultilevel"/>
    <w:tmpl w:val="0BA652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162"/>
    <w:rsid w:val="000C499A"/>
    <w:rsid w:val="006B1162"/>
    <w:rsid w:val="00B50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F4B33-1FF8-4BB7-91AA-A38CC8B90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1162"/>
    <w:pPr>
      <w:spacing w:after="0" w:line="240" w:lineRule="auto"/>
    </w:pPr>
    <w:rPr>
      <w:rFonts w:ascii="Calibri" w:hAnsi="Calibri" w:cs="Calibri"/>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1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1162"/>
    <w:pPr>
      <w:ind w:left="720"/>
      <w:contextualSpacing/>
    </w:pPr>
  </w:style>
  <w:style w:type="character" w:customStyle="1" w:styleId="normaltextrun">
    <w:name w:val="normaltextrun"/>
    <w:basedOn w:val="DefaultParagraphFont"/>
    <w:rsid w:val="006B1162"/>
  </w:style>
  <w:style w:type="paragraph" w:customStyle="1" w:styleId="Default">
    <w:name w:val="Default"/>
    <w:rsid w:val="006B116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earchhistory-search-term">
    <w:name w:val="searchhistory-search-term"/>
    <w:basedOn w:val="DefaultParagraphFont"/>
    <w:rsid w:val="006B1162"/>
  </w:style>
  <w:style w:type="paragraph" w:customStyle="1" w:styleId="paragraph">
    <w:name w:val="paragraph"/>
    <w:basedOn w:val="Normal"/>
    <w:rsid w:val="006B1162"/>
    <w:pPr>
      <w:spacing w:before="100" w:beforeAutospacing="1" w:after="100" w:afterAutospacing="1"/>
    </w:pPr>
    <w:rPr>
      <w:rFonts w:ascii="Times New Roman" w:eastAsia="Times New Roman" w:hAnsi="Times New Roman" w:cs="Times New Roman"/>
      <w:sz w:val="24"/>
      <w:szCs w:val="24"/>
      <w14:ligatures w14:val="none"/>
    </w:rPr>
  </w:style>
  <w:style w:type="character" w:customStyle="1" w:styleId="eop">
    <w:name w:val="eop"/>
    <w:basedOn w:val="DefaultParagraphFont"/>
    <w:rsid w:val="006B1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ajg.2016.464" TargetMode="External"/><Relationship Id="rId13" Type="http://schemas.openxmlformats.org/officeDocument/2006/relationships/hyperlink" Target="https://doi.org/10.1097/00004836-199207000-0000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11/j.1572-0241.2007.01265.x" TargetMode="External"/><Relationship Id="rId12" Type="http://schemas.openxmlformats.org/officeDocument/2006/relationships/hyperlink" Target="https://doi.org/10.1016/s0016-5085(98)70419-6" TargetMode="External"/><Relationship Id="rId17" Type="http://schemas.openxmlformats.org/officeDocument/2006/relationships/hyperlink" Target="https://doi.org/10.1097/Dcr.0000000000002338" TargetMode="External"/><Relationship Id="rId2" Type="http://schemas.openxmlformats.org/officeDocument/2006/relationships/styles" Target="styles.xml"/><Relationship Id="rId16" Type="http://schemas.openxmlformats.org/officeDocument/2006/relationships/hyperlink" Target="https://doi.org/10.1002/ibd.20959" TargetMode="External"/><Relationship Id="rId1" Type="http://schemas.openxmlformats.org/officeDocument/2006/relationships/numbering" Target="numbering.xml"/><Relationship Id="rId6" Type="http://schemas.openxmlformats.org/officeDocument/2006/relationships/hyperlink" Target="https://doi.org/DOI" TargetMode="External"/><Relationship Id="rId11" Type="http://schemas.openxmlformats.org/officeDocument/2006/relationships/hyperlink" Target="https://doi.org/10.1007/BF01296007" TargetMode="External"/><Relationship Id="rId5" Type="http://schemas.openxmlformats.org/officeDocument/2006/relationships/hyperlink" Target="https://doi.org/10.1053/gast.2001.20912" TargetMode="External"/><Relationship Id="rId15" Type="http://schemas.openxmlformats.org/officeDocument/2006/relationships/hyperlink" Target="https://doi.org/10.1038/s41424-018-0013-8" TargetMode="External"/><Relationship Id="rId10" Type="http://schemas.openxmlformats.org/officeDocument/2006/relationships/hyperlink" Target="https://doi.org/10.1157/1307200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53/j.gastro.2016.02.041" TargetMode="External"/><Relationship Id="rId14" Type="http://schemas.openxmlformats.org/officeDocument/2006/relationships/hyperlink" Target="https://doi.org/10.1097/mcg.00000000000018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3190</Words>
  <Characters>18189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Gautam Kumar Mandal</dc:creator>
  <cp:keywords/>
  <dc:description/>
  <cp:lastModifiedBy>Gautam Kumar Mandal</cp:lastModifiedBy>
  <cp:revision>1</cp:revision>
  <dcterms:created xsi:type="dcterms:W3CDTF">2025-07-18T15:21:00Z</dcterms:created>
  <dcterms:modified xsi:type="dcterms:W3CDTF">2025-07-18T15:21:00Z</dcterms:modified>
</cp:coreProperties>
</file>