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AA80E" w14:textId="55540CC0" w:rsidR="00FA4B7C" w:rsidRDefault="00FA4B7C" w:rsidP="00FA4B7C">
      <w:pPr>
        <w:pStyle w:val="Heading1"/>
      </w:pPr>
      <w:r>
        <w:t>Supplemental material</w:t>
      </w:r>
    </w:p>
    <w:p w14:paraId="1F93A45B" w14:textId="3503C73B" w:rsidR="00D96929" w:rsidRDefault="00D96929" w:rsidP="00D96929">
      <w:r w:rsidRPr="74C6B0DB">
        <w:rPr>
          <w:b/>
          <w:bCs/>
        </w:rPr>
        <w:t>Appendix 1.</w:t>
      </w:r>
      <w:r>
        <w:t xml:space="preserve"> Decision trees developed to study the cost-effectiveness of the </w:t>
      </w:r>
      <w:r w:rsidR="40B4BA12">
        <w:t>r</w:t>
      </w:r>
      <w:r>
        <w:t xml:space="preserve">everse </w:t>
      </w:r>
      <w:r w:rsidR="47B6FB61">
        <w:t xml:space="preserve">sequence </w:t>
      </w:r>
      <w:r>
        <w:t xml:space="preserve">syphilis screening algorithm </w:t>
      </w:r>
      <w:r w:rsidR="005D541E">
        <w:t xml:space="preserve">(panel A) </w:t>
      </w:r>
      <w:r>
        <w:t xml:space="preserve">compared to the </w:t>
      </w:r>
      <w:r w:rsidR="1E3D5B22">
        <w:t>t</w:t>
      </w:r>
      <w:r>
        <w:t xml:space="preserve">raditional </w:t>
      </w:r>
      <w:r w:rsidR="05654EE7">
        <w:t>algorithm</w:t>
      </w:r>
      <w:r>
        <w:t xml:space="preserve"> </w:t>
      </w:r>
      <w:r w:rsidR="005D541E">
        <w:t xml:space="preserve">(panel B) </w:t>
      </w:r>
      <w:r>
        <w:t xml:space="preserve">among </w:t>
      </w:r>
      <w:r w:rsidR="00CA7852">
        <w:t>pregnant women</w:t>
      </w:r>
      <w:r w:rsidR="004C2867">
        <w:t xml:space="preserve"> in prenatal care (PNC)</w:t>
      </w:r>
      <w:r>
        <w:t>.</w:t>
      </w:r>
    </w:p>
    <w:p w14:paraId="19AB253C" w14:textId="6CFEE4E4" w:rsidR="00566308" w:rsidRDefault="00566308" w:rsidP="00566308">
      <w:r>
        <w:t>(A) Traditional</w:t>
      </w:r>
      <w:r w:rsidR="00CB1B9E">
        <w:t xml:space="preserve"> algorithm</w:t>
      </w:r>
    </w:p>
    <w:p w14:paraId="55C03E25" w14:textId="6FBEBF70" w:rsidR="00566308" w:rsidRDefault="00775F76" w:rsidP="00566308">
      <w:r>
        <w:rPr>
          <w:noProof/>
        </w:rPr>
        <w:drawing>
          <wp:inline distT="0" distB="0" distL="0" distR="0" wp14:anchorId="28BCA43C" wp14:editId="5078AA68">
            <wp:extent cx="3686175" cy="3117248"/>
            <wp:effectExtent l="0" t="0" r="0" b="6985"/>
            <wp:docPr id="19786620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2854" cy="3139809"/>
                    </a:xfrm>
                    <a:prstGeom prst="rect">
                      <a:avLst/>
                    </a:prstGeom>
                    <a:noFill/>
                    <a:ln>
                      <a:noFill/>
                    </a:ln>
                  </pic:spPr>
                </pic:pic>
              </a:graphicData>
            </a:graphic>
          </wp:inline>
        </w:drawing>
      </w:r>
    </w:p>
    <w:p w14:paraId="4B1CF8FE" w14:textId="09A00374" w:rsidR="00566308" w:rsidRDefault="00566308" w:rsidP="00566308">
      <w:r>
        <w:t>(B) Reverse</w:t>
      </w:r>
      <w:r w:rsidR="00CB1B9E">
        <w:t xml:space="preserve"> sequence algorithm</w:t>
      </w:r>
    </w:p>
    <w:p w14:paraId="3189032A" w14:textId="1CA25F8D" w:rsidR="00566308" w:rsidRDefault="00775F76" w:rsidP="00566308">
      <w:r>
        <w:rPr>
          <w:noProof/>
        </w:rPr>
        <w:drawing>
          <wp:inline distT="0" distB="0" distL="0" distR="0" wp14:anchorId="62247B70" wp14:editId="48BE881D">
            <wp:extent cx="3743325" cy="3136462"/>
            <wp:effectExtent l="0" t="0" r="0" b="6985"/>
            <wp:docPr id="13991619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6669" cy="3139264"/>
                    </a:xfrm>
                    <a:prstGeom prst="rect">
                      <a:avLst/>
                    </a:prstGeom>
                    <a:noFill/>
                    <a:ln>
                      <a:noFill/>
                    </a:ln>
                  </pic:spPr>
                </pic:pic>
              </a:graphicData>
            </a:graphic>
          </wp:inline>
        </w:drawing>
      </w:r>
    </w:p>
    <w:p w14:paraId="2266FBB4" w14:textId="77777777" w:rsidR="005D541E" w:rsidRDefault="005D541E">
      <w:r>
        <w:br w:type="page"/>
      </w:r>
    </w:p>
    <w:p w14:paraId="4088DE0C" w14:textId="77777777" w:rsidR="00BE1F62" w:rsidRDefault="00BE1F62">
      <w:r w:rsidRPr="00EB4DC2">
        <w:rPr>
          <w:b/>
          <w:bCs/>
        </w:rPr>
        <w:lastRenderedPageBreak/>
        <w:t>Appendix 2</w:t>
      </w:r>
      <w:r>
        <w:rPr>
          <w:b/>
          <w:bCs/>
        </w:rPr>
        <w:t xml:space="preserve">. </w:t>
      </w:r>
      <w:r>
        <w:t>Estimation of treatment costs per person by syphilis stage and diagnosis.</w:t>
      </w:r>
    </w:p>
    <w:p w14:paraId="125CAE07" w14:textId="6A92143A" w:rsidR="001A56BC" w:rsidRDefault="009C6313" w:rsidP="00C64182">
      <w:r>
        <w:t xml:space="preserve">We extracted the cost </w:t>
      </w:r>
      <w:r w:rsidR="001A56BC">
        <w:t xml:space="preserve">(mean and confidence intervals) </w:t>
      </w:r>
      <w:r>
        <w:t>for all relevant syphilis treatment and associated sequelae from Chesson and Peterman</w:t>
      </w:r>
      <w:r w:rsidR="00BA4B20">
        <w:t>,</w:t>
      </w:r>
      <w:r>
        <w:t xml:space="preserve"> 2021</w:t>
      </w:r>
      <w:r>
        <w:fldChar w:fldCharType="begin"/>
      </w:r>
      <w:r w:rsidR="00697E7F">
        <w:instrText xml:space="preserve"> ADDIN ZOTERO_ITEM CSL_CITATION {"citationID":"FfcjoZLB","properties":{"formattedCitation":"\\super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fldChar w:fldCharType="separate"/>
      </w:r>
      <w:r w:rsidR="008879B0" w:rsidRPr="008879B0">
        <w:rPr>
          <w:rFonts w:ascii="Calibri" w:hAnsi="Calibri" w:cs="Calibri"/>
          <w:kern w:val="0"/>
          <w:szCs w:val="24"/>
          <w:vertAlign w:val="superscript"/>
        </w:rPr>
        <w:t>29</w:t>
      </w:r>
      <w:r>
        <w:fldChar w:fldCharType="end"/>
      </w:r>
      <w:r>
        <w:t xml:space="preserve"> and updated them from 2019 U</w:t>
      </w:r>
      <w:r w:rsidR="00552A1D">
        <w:t>.</w:t>
      </w:r>
      <w:r>
        <w:t>S</w:t>
      </w:r>
      <w:r w:rsidR="00552A1D">
        <w:t xml:space="preserve">. </w:t>
      </w:r>
      <w:r>
        <w:t>D</w:t>
      </w:r>
      <w:r w:rsidR="00552A1D">
        <w:t>ollars (USD)</w:t>
      </w:r>
      <w:r>
        <w:t xml:space="preserve"> to 2024 USD using the </w:t>
      </w:r>
      <w:r w:rsidR="004D67F5">
        <w:t>Personal Consumption Expenditures price index for Health Care</w:t>
      </w:r>
      <w:r>
        <w:t>.</w:t>
      </w:r>
      <w:r w:rsidR="000371A8">
        <w:fldChar w:fldCharType="begin"/>
      </w:r>
      <w:r w:rsidR="00697E7F">
        <w:instrText xml:space="preserve"> ADDIN ZOTERO_ITEM CSL_CITATION {"citationID":"lQSy8H6G","properties":{"formattedCitation":"\\super 12\\nosupersub{}","plainCitation":"12","noteIndex":0},"citationItems":[{"id":10714,"uris":["http://zotero.org/users/1992989/items/B6WI5IZ3"],"itemData":{"id":10714,"type":"dataset","title":"Table 2.3.4. Price Indexes for Personal Consumption Expenditures by Major Type of Product","URL":"https://apps.bea.gov/iTable/?reqid=19&amp;step=2&amp;isuri=1&amp;categories=survey&amp;_gl=1*1x07o8l*_ga*MTQ4MTA0MzYzOS4xNzMyNTQ0OTE5*_ga_J4698JNNFT*MTczMjY0MTgyOC40LjAuMTczMjY0MTgyOC42MC4wLjA.#eyJhcHBpZCI6MTksInN0ZXBzIjpbMSwyLDNdLCJkYXRhIjpbWyJjYXRlZ29yaWVzIiwiU3VydmV5Il0sWyJOSVBBX1RhYmxlX0xpc3QiLCI2NCJdXX0=","author":[{"literal":"U.S. Bureau of Economic Analysis"}],"accessed":{"date-parts":[["2024",11,26]]},"citation-key":"u.s.bureauofeconomicanalysisTable234Price"}}],"schema":"https://github.com/citation-style-language/schema/raw/master/csl-citation.json"} </w:instrText>
      </w:r>
      <w:r w:rsidR="000371A8">
        <w:fldChar w:fldCharType="separate"/>
      </w:r>
      <w:r w:rsidR="009869A0" w:rsidRPr="009869A0">
        <w:rPr>
          <w:rFonts w:ascii="Calibri" w:hAnsi="Calibri" w:cs="Calibri"/>
          <w:kern w:val="0"/>
          <w:vertAlign w:val="superscript"/>
        </w:rPr>
        <w:t>12</w:t>
      </w:r>
      <w:r w:rsidR="000371A8">
        <w:fldChar w:fldCharType="end"/>
      </w:r>
      <w:r w:rsidR="000371A8">
        <w:t xml:space="preserve"> </w:t>
      </w:r>
      <w:r w:rsidR="00C64182">
        <w:t xml:space="preserve">We also updated the costs per </w:t>
      </w:r>
      <w:r w:rsidR="004D67F5">
        <w:t xml:space="preserve">dose </w:t>
      </w:r>
      <w:r w:rsidR="00C64182">
        <w:t xml:space="preserve">of </w:t>
      </w:r>
      <w:r w:rsidR="00AD7CCE">
        <w:t>benzathine</w:t>
      </w:r>
      <w:r w:rsidR="00C64182">
        <w:t xml:space="preserve"> penicillin G </w:t>
      </w:r>
      <w:r w:rsidR="004D67F5">
        <w:t xml:space="preserve">2.4 million units, </w:t>
      </w:r>
      <w:r w:rsidR="00C64182">
        <w:t>based on the Federal Supply Schedule</w:t>
      </w:r>
      <w:r w:rsidR="004D67F5">
        <w:t xml:space="preserve"> to $568.2 per shot</w:t>
      </w:r>
      <w:r w:rsidR="001A56BC">
        <w:t>.</w:t>
      </w:r>
      <w:r w:rsidR="00C64182">
        <w:fldChar w:fldCharType="begin"/>
      </w:r>
      <w:r w:rsidR="00697E7F">
        <w:instrText xml:space="preserve"> ADDIN ZOTERO_ITEM CSL_CITATION {"citationID":"VMmpAa2e","properties":{"formattedCitation":"\\super 30\\nosupersub{}","plainCitation":"30","noteIndex":0},"citationItems":[{"id":10719,"uris":["http://zotero.org/users/1992989/items/AHNYXWHM"],"itemData":{"id":10719,"type":"webpage","abstract":"Apply for and manage the VA benefits and services you’ve earned as a Veteran, Servicemember, or family member—like health care, disability, education, and more.","genre":"General Information","language":"en","note":"Accepted: 20241119","title":"Federal supply schedule - pharmaceutical prices","URL":"https://www.va.gov/opal/nac/fss/pharmPrices.asp","author":[{"literal":"United States Department of Veterans Affairs."}],"accessed":{"date-parts":[["2024",11,20]]},"citation-key":"unitedstatesdepartmentofveteransaffairs.FederalSupplySchedule"}}],"schema":"https://github.com/citation-style-language/schema/raw/master/csl-citation.json"} </w:instrText>
      </w:r>
      <w:r w:rsidR="00C64182">
        <w:fldChar w:fldCharType="separate"/>
      </w:r>
      <w:r w:rsidR="009869A0" w:rsidRPr="009869A0">
        <w:rPr>
          <w:rFonts w:ascii="Calibri" w:hAnsi="Calibri" w:cs="Calibri"/>
          <w:kern w:val="0"/>
          <w:vertAlign w:val="superscript"/>
        </w:rPr>
        <w:t>30</w:t>
      </w:r>
      <w:r w:rsidR="00C64182">
        <w:fldChar w:fldCharType="end"/>
      </w:r>
      <w:r w:rsidR="00C64182">
        <w:t xml:space="preserve"> Since some of the treatment costs will occur in the future, particularly those associated with sequelae due to </w:t>
      </w:r>
      <w:r w:rsidR="008806CD">
        <w:t>lack of</w:t>
      </w:r>
      <w:r w:rsidR="00C64182">
        <w:t xml:space="preserve"> detection and treatment, we discounted the costs to bring to present value</w:t>
      </w:r>
      <w:r w:rsidR="001A56BC">
        <w:t xml:space="preserve"> at a 3% annual rate</w:t>
      </w:r>
      <w:r w:rsidR="00C64182">
        <w:t xml:space="preserve">. We followed Chesson and Peterman assumption and did not discount treatment for </w:t>
      </w:r>
      <w:r w:rsidR="008806CD">
        <w:t>primary</w:t>
      </w:r>
      <w:r w:rsidR="00C64182">
        <w:t xml:space="preserve">, </w:t>
      </w:r>
      <w:r w:rsidR="008806CD">
        <w:t>secondary</w:t>
      </w:r>
      <w:r w:rsidR="00C64182">
        <w:t xml:space="preserve">, or </w:t>
      </w:r>
      <w:r w:rsidR="008806CD">
        <w:t>early syphilis (assuming these</w:t>
      </w:r>
      <w:r w:rsidR="00C64182">
        <w:t xml:space="preserve"> occur</w:t>
      </w:r>
      <w:r w:rsidR="008806CD">
        <w:t xml:space="preserve"> within one year); further, we discounted treatment for</w:t>
      </w:r>
      <w:r w:rsidR="001A56BC">
        <w:t xml:space="preserve"> </w:t>
      </w:r>
      <w:r w:rsidR="00C64182">
        <w:t xml:space="preserve">unknown duration and late syphilis  as well as </w:t>
      </w:r>
      <w:r w:rsidR="001A56BC">
        <w:t xml:space="preserve">early neurosyphilis and ocular syphilis for one year, and all </w:t>
      </w:r>
      <w:r w:rsidR="008806CD">
        <w:t xml:space="preserve">long-term </w:t>
      </w:r>
      <w:r w:rsidR="001A56BC">
        <w:t xml:space="preserve">sequelae costs </w:t>
      </w:r>
      <w:r w:rsidR="008806CD">
        <w:t xml:space="preserve">for </w:t>
      </w:r>
      <w:r w:rsidR="001A56BC">
        <w:t>30 years.</w:t>
      </w:r>
      <w:r w:rsidR="001A56BC">
        <w:fldChar w:fldCharType="begin"/>
      </w:r>
      <w:r w:rsidR="00697E7F">
        <w:instrText xml:space="preserve"> ADDIN ZOTERO_ITEM CSL_CITATION {"citationID":"QKqN7tRw","properties":{"formattedCitation":"\\super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rsidR="001A56BC">
        <w:fldChar w:fldCharType="separate"/>
      </w:r>
      <w:r w:rsidR="008879B0" w:rsidRPr="008879B0">
        <w:rPr>
          <w:rFonts w:ascii="Calibri" w:hAnsi="Calibri" w:cs="Calibri"/>
          <w:kern w:val="0"/>
          <w:szCs w:val="24"/>
          <w:vertAlign w:val="superscript"/>
        </w:rPr>
        <w:t>29</w:t>
      </w:r>
      <w:r w:rsidR="001A56BC">
        <w:fldChar w:fldCharType="end"/>
      </w:r>
      <w:r w:rsidR="00E70545">
        <w:t xml:space="preserve"> Table A shows the updated costs per outcome.</w:t>
      </w:r>
    </w:p>
    <w:p w14:paraId="501C6A2D" w14:textId="6F2B30C8" w:rsidR="001A56BC" w:rsidRPr="00AD7CCE" w:rsidRDefault="001A56BC" w:rsidP="00C64182">
      <w:r>
        <w:rPr>
          <w:b/>
          <w:bCs/>
        </w:rPr>
        <w:t xml:space="preserve"> </w:t>
      </w:r>
      <w:r w:rsidR="00AD7CCE">
        <w:rPr>
          <w:b/>
          <w:bCs/>
        </w:rPr>
        <w:t xml:space="preserve">Table A. </w:t>
      </w:r>
      <w:r w:rsidR="00AD7CCE">
        <w:t xml:space="preserve">Costs of syphilis treatment per outcome. </w:t>
      </w:r>
    </w:p>
    <w:tbl>
      <w:tblPr>
        <w:tblStyle w:val="PlainTable1"/>
        <w:tblW w:w="8275" w:type="dxa"/>
        <w:jc w:val="center"/>
        <w:tblLook w:val="04A0" w:firstRow="1" w:lastRow="0" w:firstColumn="1" w:lastColumn="0" w:noHBand="0" w:noVBand="1"/>
      </w:tblPr>
      <w:tblGrid>
        <w:gridCol w:w="3505"/>
        <w:gridCol w:w="1440"/>
        <w:gridCol w:w="1620"/>
        <w:gridCol w:w="1710"/>
      </w:tblGrid>
      <w:tr w:rsidR="001A56BC" w:rsidRPr="00AD7CCE" w14:paraId="7AF55E4D" w14:textId="77777777" w:rsidTr="007259C3">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6D2227E5" w14:textId="4D4C4184" w:rsidR="001A56BC" w:rsidRPr="00AD7CCE" w:rsidRDefault="001A56BC" w:rsidP="00AD7CCE">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Outcome</w:t>
            </w:r>
          </w:p>
        </w:tc>
        <w:tc>
          <w:tcPr>
            <w:tcW w:w="1440" w:type="dxa"/>
            <w:noWrap/>
            <w:vAlign w:val="center"/>
            <w:hideMark/>
          </w:tcPr>
          <w:p w14:paraId="52617D71" w14:textId="61C660B8" w:rsidR="001A56BC" w:rsidRPr="00AD7CCE" w:rsidRDefault="001A56BC" w:rsidP="00AD7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Base value</w:t>
            </w:r>
            <w:r w:rsidR="00552A1D">
              <w:rPr>
                <w:rFonts w:ascii="Calibri" w:eastAsia="Times New Roman" w:hAnsi="Calibri" w:cs="Calibri"/>
                <w:color w:val="000000"/>
                <w:kern w:val="0"/>
                <w:sz w:val="20"/>
                <w:szCs w:val="20"/>
                <w14:ligatures w14:val="none"/>
              </w:rPr>
              <w:t xml:space="preserve"> ($)</w:t>
            </w:r>
          </w:p>
        </w:tc>
        <w:tc>
          <w:tcPr>
            <w:tcW w:w="1620" w:type="dxa"/>
            <w:noWrap/>
            <w:vAlign w:val="center"/>
            <w:hideMark/>
          </w:tcPr>
          <w:p w14:paraId="01163EA2" w14:textId="6878FBC3" w:rsidR="001A56BC" w:rsidRPr="00AD7CCE" w:rsidRDefault="001A56BC" w:rsidP="00AD7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Lower bound</w:t>
            </w:r>
            <w:r w:rsidR="00552A1D">
              <w:rPr>
                <w:rFonts w:ascii="Calibri" w:eastAsia="Times New Roman" w:hAnsi="Calibri" w:cs="Calibri"/>
                <w:color w:val="000000"/>
                <w:kern w:val="0"/>
                <w:sz w:val="20"/>
                <w:szCs w:val="20"/>
                <w14:ligatures w14:val="none"/>
              </w:rPr>
              <w:t xml:space="preserve"> ($)</w:t>
            </w:r>
          </w:p>
        </w:tc>
        <w:tc>
          <w:tcPr>
            <w:tcW w:w="1710" w:type="dxa"/>
            <w:noWrap/>
            <w:vAlign w:val="center"/>
            <w:hideMark/>
          </w:tcPr>
          <w:p w14:paraId="4D6D7384" w14:textId="72FC32D1" w:rsidR="001A56BC" w:rsidRPr="00AD7CCE" w:rsidRDefault="001A56BC" w:rsidP="00AD7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Upper bound</w:t>
            </w:r>
            <w:r w:rsidR="00552A1D">
              <w:rPr>
                <w:rFonts w:ascii="Calibri" w:eastAsia="Times New Roman" w:hAnsi="Calibri" w:cs="Calibri"/>
                <w:color w:val="000000"/>
                <w:kern w:val="0"/>
                <w:sz w:val="20"/>
                <w:szCs w:val="20"/>
                <w14:ligatures w14:val="none"/>
              </w:rPr>
              <w:t xml:space="preserve"> ($)</w:t>
            </w:r>
          </w:p>
        </w:tc>
      </w:tr>
      <w:tr w:rsidR="00552A1D" w:rsidRPr="00AD7CCE" w14:paraId="11FD7DC6" w14:textId="77777777" w:rsidTr="007259C3">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322FA2FD" w14:textId="5B7CEE06" w:rsidR="00552A1D" w:rsidRPr="00AD7CCE" w:rsidRDefault="00552A1D" w:rsidP="00552A1D">
            <w:pPr>
              <w:rPr>
                <w:rFonts w:ascii="Calibri" w:eastAsia="Times New Roman" w:hAnsi="Calibri" w:cs="Calibri"/>
                <w:color w:val="000000"/>
                <w:kern w:val="0"/>
                <w:sz w:val="20"/>
                <w:szCs w:val="20"/>
                <w14:ligatures w14:val="none"/>
              </w:rPr>
            </w:pPr>
            <w:bookmarkStart w:id="0" w:name="_Hlk183036833"/>
            <w:r w:rsidRPr="00AD7CCE">
              <w:rPr>
                <w:rFonts w:ascii="Calibri" w:eastAsia="Times New Roman" w:hAnsi="Calibri" w:cs="Calibri"/>
                <w:color w:val="000000"/>
                <w:kern w:val="0"/>
                <w:sz w:val="20"/>
                <w:szCs w:val="20"/>
                <w14:ligatures w14:val="none"/>
              </w:rPr>
              <w:t>P</w:t>
            </w:r>
            <w:r>
              <w:rPr>
                <w:rFonts w:ascii="Calibri" w:eastAsia="Times New Roman" w:hAnsi="Calibri" w:cs="Calibri"/>
                <w:color w:val="000000"/>
                <w:kern w:val="0"/>
                <w:sz w:val="20"/>
                <w:szCs w:val="20"/>
                <w14:ligatures w14:val="none"/>
              </w:rPr>
              <w:t>rimary and secondary</w:t>
            </w:r>
            <w:r w:rsidRPr="00AD7CCE">
              <w:rPr>
                <w:rFonts w:ascii="Calibri" w:eastAsia="Times New Roman" w:hAnsi="Calibri" w:cs="Calibri"/>
                <w:color w:val="000000"/>
                <w:kern w:val="0"/>
                <w:sz w:val="20"/>
                <w:szCs w:val="20"/>
                <w14:ligatures w14:val="none"/>
              </w:rPr>
              <w:t xml:space="preserve"> syphilis or early non-</w:t>
            </w:r>
            <w:r>
              <w:rPr>
                <w:rFonts w:ascii="Calibri" w:eastAsia="Times New Roman" w:hAnsi="Calibri" w:cs="Calibri"/>
                <w:color w:val="000000"/>
                <w:kern w:val="0"/>
                <w:sz w:val="20"/>
                <w:szCs w:val="20"/>
                <w14:ligatures w14:val="none"/>
              </w:rPr>
              <w:t>primary non-secondary</w:t>
            </w:r>
            <w:r w:rsidRPr="00AD7CCE">
              <w:rPr>
                <w:rFonts w:ascii="Calibri" w:eastAsia="Times New Roman" w:hAnsi="Calibri" w:cs="Calibri"/>
                <w:color w:val="000000"/>
                <w:kern w:val="0"/>
                <w:sz w:val="20"/>
                <w:szCs w:val="20"/>
                <w14:ligatures w14:val="none"/>
              </w:rPr>
              <w:t xml:space="preserve"> syphilis</w:t>
            </w:r>
            <w:bookmarkEnd w:id="0"/>
          </w:p>
        </w:tc>
        <w:tc>
          <w:tcPr>
            <w:tcW w:w="1440" w:type="dxa"/>
            <w:noWrap/>
            <w:vAlign w:val="center"/>
            <w:hideMark/>
          </w:tcPr>
          <w:p w14:paraId="688C96DB" w14:textId="62C44753"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986</w:t>
            </w:r>
          </w:p>
        </w:tc>
        <w:tc>
          <w:tcPr>
            <w:tcW w:w="1620" w:type="dxa"/>
            <w:noWrap/>
            <w:vAlign w:val="center"/>
            <w:hideMark/>
          </w:tcPr>
          <w:p w14:paraId="74842C51" w14:textId="1EF1319E"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599</w:t>
            </w:r>
          </w:p>
        </w:tc>
        <w:tc>
          <w:tcPr>
            <w:tcW w:w="1710" w:type="dxa"/>
            <w:noWrap/>
            <w:vAlign w:val="center"/>
            <w:hideMark/>
          </w:tcPr>
          <w:p w14:paraId="0DA51AB0" w14:textId="2609348B"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1,497</w:t>
            </w:r>
          </w:p>
        </w:tc>
      </w:tr>
      <w:tr w:rsidR="00552A1D" w:rsidRPr="00AD7CCE" w14:paraId="7257A7AE" w14:textId="77777777" w:rsidTr="007259C3">
        <w:trPr>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44CED25F" w14:textId="01915E20" w:rsidR="00552A1D" w:rsidRPr="00AD7CCE" w:rsidRDefault="00552A1D" w:rsidP="00552A1D">
            <w:pPr>
              <w:rPr>
                <w:rFonts w:ascii="Calibri" w:eastAsia="Times New Roman" w:hAnsi="Calibri" w:cs="Calibri"/>
                <w:color w:val="000000"/>
                <w:kern w:val="0"/>
                <w:sz w:val="20"/>
                <w:szCs w:val="20"/>
                <w14:ligatures w14:val="none"/>
              </w:rPr>
            </w:pPr>
            <w:bookmarkStart w:id="1" w:name="_Hlk183036880"/>
            <w:r w:rsidRPr="00AD7CCE">
              <w:rPr>
                <w:rFonts w:ascii="Calibri" w:eastAsia="Times New Roman" w:hAnsi="Calibri" w:cs="Calibri"/>
                <w:color w:val="000000"/>
                <w:kern w:val="0"/>
                <w:sz w:val="20"/>
                <w:szCs w:val="20"/>
                <w14:ligatures w14:val="none"/>
              </w:rPr>
              <w:t>Unknown duration or late syphilis</w:t>
            </w:r>
            <w:bookmarkEnd w:id="1"/>
          </w:p>
        </w:tc>
        <w:tc>
          <w:tcPr>
            <w:tcW w:w="1440" w:type="dxa"/>
            <w:noWrap/>
            <w:vAlign w:val="center"/>
            <w:hideMark/>
          </w:tcPr>
          <w:p w14:paraId="4D695E41" w14:textId="0B59300E"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2,503</w:t>
            </w:r>
          </w:p>
        </w:tc>
        <w:tc>
          <w:tcPr>
            <w:tcW w:w="1620" w:type="dxa"/>
            <w:noWrap/>
            <w:vAlign w:val="center"/>
            <w:hideMark/>
          </w:tcPr>
          <w:p w14:paraId="5E51B1FD" w14:textId="779550DD"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1,766</w:t>
            </w:r>
          </w:p>
        </w:tc>
        <w:tc>
          <w:tcPr>
            <w:tcW w:w="1710" w:type="dxa"/>
            <w:noWrap/>
            <w:vAlign w:val="center"/>
            <w:hideMark/>
          </w:tcPr>
          <w:p w14:paraId="7F261099" w14:textId="364C2EF0"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3,915</w:t>
            </w:r>
          </w:p>
        </w:tc>
      </w:tr>
      <w:tr w:rsidR="00552A1D" w:rsidRPr="00AD7CCE" w14:paraId="45097AE4" w14:textId="77777777" w:rsidTr="007259C3">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27C89FD8" w14:textId="14D788A3"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Early neurosyphilis and ocular syphilis</w:t>
            </w:r>
          </w:p>
        </w:tc>
        <w:tc>
          <w:tcPr>
            <w:tcW w:w="1440" w:type="dxa"/>
            <w:noWrap/>
            <w:vAlign w:val="center"/>
            <w:hideMark/>
          </w:tcPr>
          <w:p w14:paraId="56A8EF05" w14:textId="23B18262"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8,717</w:t>
            </w:r>
          </w:p>
        </w:tc>
        <w:tc>
          <w:tcPr>
            <w:tcW w:w="1620" w:type="dxa"/>
            <w:noWrap/>
            <w:vAlign w:val="center"/>
            <w:hideMark/>
          </w:tcPr>
          <w:p w14:paraId="29E66C95" w14:textId="6BE3B13B"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2,428</w:t>
            </w:r>
          </w:p>
        </w:tc>
        <w:tc>
          <w:tcPr>
            <w:tcW w:w="1710" w:type="dxa"/>
            <w:noWrap/>
            <w:vAlign w:val="center"/>
            <w:hideMark/>
          </w:tcPr>
          <w:p w14:paraId="07E05AD6" w14:textId="19131727"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23,173</w:t>
            </w:r>
          </w:p>
        </w:tc>
      </w:tr>
      <w:tr w:rsidR="00552A1D" w:rsidRPr="00AD7CCE" w14:paraId="564F4243" w14:textId="77777777" w:rsidTr="007259C3">
        <w:trPr>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17BC4AAE" w14:textId="0EEFB3B7"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Late benign syphilis</w:t>
            </w:r>
          </w:p>
        </w:tc>
        <w:tc>
          <w:tcPr>
            <w:tcW w:w="1440" w:type="dxa"/>
            <w:noWrap/>
            <w:vAlign w:val="center"/>
            <w:hideMark/>
          </w:tcPr>
          <w:p w14:paraId="2D89C47D" w14:textId="0C6BEA3E"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1,405</w:t>
            </w:r>
          </w:p>
        </w:tc>
        <w:tc>
          <w:tcPr>
            <w:tcW w:w="1620" w:type="dxa"/>
            <w:noWrap/>
            <w:vAlign w:val="center"/>
            <w:hideMark/>
          </w:tcPr>
          <w:p w14:paraId="1943A9A2" w14:textId="23061368"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843</w:t>
            </w:r>
          </w:p>
        </w:tc>
        <w:tc>
          <w:tcPr>
            <w:tcW w:w="1710" w:type="dxa"/>
            <w:noWrap/>
            <w:vAlign w:val="center"/>
            <w:hideMark/>
          </w:tcPr>
          <w:p w14:paraId="53CF647F" w14:textId="3B23502D"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2,154</w:t>
            </w:r>
          </w:p>
        </w:tc>
      </w:tr>
      <w:tr w:rsidR="00552A1D" w:rsidRPr="00AD7CCE" w14:paraId="7BC3621A" w14:textId="77777777" w:rsidTr="007259C3">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39ADF449" w14:textId="33B86E48"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Cardiovascular syphilis</w:t>
            </w:r>
          </w:p>
        </w:tc>
        <w:tc>
          <w:tcPr>
            <w:tcW w:w="1440" w:type="dxa"/>
            <w:noWrap/>
            <w:vAlign w:val="center"/>
            <w:hideMark/>
          </w:tcPr>
          <w:p w14:paraId="6181563B" w14:textId="54C7AE8E"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16,436</w:t>
            </w:r>
          </w:p>
        </w:tc>
        <w:tc>
          <w:tcPr>
            <w:tcW w:w="1620" w:type="dxa"/>
            <w:noWrap/>
            <w:vAlign w:val="center"/>
            <w:hideMark/>
          </w:tcPr>
          <w:p w14:paraId="39D5FABD" w14:textId="0B80601F"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2,950</w:t>
            </w:r>
          </w:p>
        </w:tc>
        <w:tc>
          <w:tcPr>
            <w:tcW w:w="1710" w:type="dxa"/>
            <w:noWrap/>
            <w:vAlign w:val="center"/>
            <w:hideMark/>
          </w:tcPr>
          <w:p w14:paraId="6100EE50" w14:textId="56F43344"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51,226</w:t>
            </w:r>
          </w:p>
        </w:tc>
      </w:tr>
      <w:tr w:rsidR="00552A1D" w:rsidRPr="00AD7CCE" w14:paraId="55FE1196" w14:textId="77777777" w:rsidTr="007259C3">
        <w:trPr>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119786FE" w14:textId="7036A364"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Tabes dorsalis</w:t>
            </w:r>
          </w:p>
        </w:tc>
        <w:tc>
          <w:tcPr>
            <w:tcW w:w="1440" w:type="dxa"/>
            <w:noWrap/>
            <w:vAlign w:val="center"/>
            <w:hideMark/>
          </w:tcPr>
          <w:p w14:paraId="7D228860" w14:textId="715FA5C5"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19,058</w:t>
            </w:r>
          </w:p>
        </w:tc>
        <w:tc>
          <w:tcPr>
            <w:tcW w:w="1620" w:type="dxa"/>
            <w:noWrap/>
            <w:vAlign w:val="center"/>
            <w:hideMark/>
          </w:tcPr>
          <w:p w14:paraId="30D6BD5E" w14:textId="7D67703F"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5,525</w:t>
            </w:r>
          </w:p>
        </w:tc>
        <w:tc>
          <w:tcPr>
            <w:tcW w:w="1710" w:type="dxa"/>
            <w:noWrap/>
            <w:vAlign w:val="center"/>
            <w:hideMark/>
          </w:tcPr>
          <w:p w14:paraId="392B879B" w14:textId="044A207E"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45,514</w:t>
            </w:r>
          </w:p>
        </w:tc>
      </w:tr>
      <w:tr w:rsidR="00552A1D" w:rsidRPr="00AD7CCE" w14:paraId="3A0844FD" w14:textId="77777777" w:rsidTr="007259C3">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0EF57DE3" w14:textId="3940059E"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Meningovascular syphilis</w:t>
            </w:r>
          </w:p>
        </w:tc>
        <w:tc>
          <w:tcPr>
            <w:tcW w:w="1440" w:type="dxa"/>
            <w:noWrap/>
            <w:vAlign w:val="center"/>
            <w:hideMark/>
          </w:tcPr>
          <w:p w14:paraId="7AEB317F" w14:textId="2ACD4223"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36,711</w:t>
            </w:r>
          </w:p>
        </w:tc>
        <w:tc>
          <w:tcPr>
            <w:tcW w:w="1620" w:type="dxa"/>
            <w:noWrap/>
            <w:vAlign w:val="center"/>
            <w:hideMark/>
          </w:tcPr>
          <w:p w14:paraId="2BD6D2A5" w14:textId="1F6F13AE"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7,960</w:t>
            </w:r>
          </w:p>
        </w:tc>
        <w:tc>
          <w:tcPr>
            <w:tcW w:w="1710" w:type="dxa"/>
            <w:noWrap/>
            <w:vAlign w:val="center"/>
            <w:hideMark/>
          </w:tcPr>
          <w:p w14:paraId="6B5BC101" w14:textId="0352C152" w:rsidR="00552A1D" w:rsidRPr="00552A1D"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186,925</w:t>
            </w:r>
          </w:p>
        </w:tc>
      </w:tr>
      <w:tr w:rsidR="00552A1D" w:rsidRPr="00AD7CCE" w14:paraId="530A8413" w14:textId="77777777" w:rsidTr="007259C3">
        <w:trPr>
          <w:trHeight w:val="290"/>
          <w:jc w:val="center"/>
        </w:trPr>
        <w:tc>
          <w:tcPr>
            <w:cnfStyle w:val="001000000000" w:firstRow="0" w:lastRow="0" w:firstColumn="1" w:lastColumn="0" w:oddVBand="0" w:evenVBand="0" w:oddHBand="0" w:evenHBand="0" w:firstRowFirstColumn="0" w:firstRowLastColumn="0" w:lastRowFirstColumn="0" w:lastRowLastColumn="0"/>
            <w:tcW w:w="3505" w:type="dxa"/>
            <w:noWrap/>
            <w:vAlign w:val="center"/>
            <w:hideMark/>
          </w:tcPr>
          <w:p w14:paraId="6A4B810A" w14:textId="62A8F94C" w:rsidR="00552A1D" w:rsidRPr="00AD7CCE" w:rsidRDefault="00552A1D" w:rsidP="00552A1D">
            <w:pPr>
              <w:rPr>
                <w:rFonts w:ascii="Calibri" w:eastAsia="Times New Roman" w:hAnsi="Calibri" w:cs="Calibri"/>
                <w:color w:val="000000"/>
                <w:kern w:val="0"/>
                <w:sz w:val="20"/>
                <w:szCs w:val="20"/>
                <w14:ligatures w14:val="none"/>
              </w:rPr>
            </w:pPr>
            <w:r w:rsidRPr="00AD7CCE">
              <w:rPr>
                <w:rFonts w:ascii="Calibri" w:eastAsia="Times New Roman" w:hAnsi="Calibri" w:cs="Calibri"/>
                <w:color w:val="000000"/>
                <w:kern w:val="0"/>
                <w:sz w:val="20"/>
                <w:szCs w:val="20"/>
                <w14:ligatures w14:val="none"/>
              </w:rPr>
              <w:t>General paresis</w:t>
            </w:r>
          </w:p>
        </w:tc>
        <w:tc>
          <w:tcPr>
            <w:tcW w:w="1440" w:type="dxa"/>
            <w:noWrap/>
            <w:vAlign w:val="center"/>
            <w:hideMark/>
          </w:tcPr>
          <w:p w14:paraId="6DA24262" w14:textId="18CF28BB"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61,575</w:t>
            </w:r>
          </w:p>
        </w:tc>
        <w:tc>
          <w:tcPr>
            <w:tcW w:w="1620" w:type="dxa"/>
            <w:noWrap/>
            <w:vAlign w:val="center"/>
            <w:hideMark/>
          </w:tcPr>
          <w:p w14:paraId="04D99D12" w14:textId="5E5A3B6A"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14:ligatures w14:val="none"/>
              </w:rPr>
            </w:pPr>
            <w:r w:rsidRPr="007259C3">
              <w:rPr>
                <w:rFonts w:ascii="Calibri" w:hAnsi="Calibri" w:cs="Calibri"/>
                <w:color w:val="000000"/>
                <w:sz w:val="20"/>
                <w:szCs w:val="20"/>
              </w:rPr>
              <w:t>15,452</w:t>
            </w:r>
          </w:p>
        </w:tc>
        <w:tc>
          <w:tcPr>
            <w:tcW w:w="1710" w:type="dxa"/>
            <w:noWrap/>
            <w:vAlign w:val="center"/>
            <w:hideMark/>
          </w:tcPr>
          <w:p w14:paraId="2B6B6B92" w14:textId="46A64C2A" w:rsidR="00552A1D" w:rsidRPr="00552A1D"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kern w:val="0"/>
                <w:sz w:val="20"/>
                <w:szCs w:val="20"/>
                <w14:ligatures w14:val="none"/>
              </w:rPr>
            </w:pPr>
            <w:r w:rsidRPr="007259C3">
              <w:rPr>
                <w:rFonts w:ascii="Calibri" w:hAnsi="Calibri" w:cs="Calibri"/>
                <w:color w:val="000000"/>
                <w:sz w:val="20"/>
                <w:szCs w:val="20"/>
              </w:rPr>
              <w:t>135,839</w:t>
            </w:r>
          </w:p>
        </w:tc>
      </w:tr>
    </w:tbl>
    <w:p w14:paraId="63E3AEA3" w14:textId="29E6F316" w:rsidR="00AD7CCE" w:rsidRDefault="001A56BC" w:rsidP="00C64182">
      <w:pPr>
        <w:rPr>
          <w:i/>
          <w:iCs/>
          <w:sz w:val="20"/>
          <w:szCs w:val="20"/>
        </w:rPr>
      </w:pPr>
      <w:r w:rsidRPr="00AD7CCE">
        <w:rPr>
          <w:i/>
          <w:iCs/>
          <w:sz w:val="20"/>
          <w:szCs w:val="20"/>
        </w:rPr>
        <w:t xml:space="preserve"> </w:t>
      </w:r>
      <w:r w:rsidR="00AD7CCE" w:rsidRPr="00AD7CCE">
        <w:rPr>
          <w:i/>
          <w:iCs/>
          <w:sz w:val="20"/>
          <w:szCs w:val="20"/>
        </w:rPr>
        <w:t>Source: Up</w:t>
      </w:r>
      <w:r w:rsidR="00AD7CCE">
        <w:rPr>
          <w:i/>
          <w:iCs/>
          <w:sz w:val="20"/>
          <w:szCs w:val="20"/>
        </w:rPr>
        <w:t>d</w:t>
      </w:r>
      <w:r w:rsidR="00AD7CCE" w:rsidRPr="00AD7CCE">
        <w:rPr>
          <w:i/>
          <w:iCs/>
          <w:sz w:val="20"/>
          <w:szCs w:val="20"/>
        </w:rPr>
        <w:t>ated to 2024 U</w:t>
      </w:r>
      <w:r w:rsidR="008806CD">
        <w:rPr>
          <w:i/>
          <w:iCs/>
          <w:sz w:val="20"/>
          <w:szCs w:val="20"/>
        </w:rPr>
        <w:t>.</w:t>
      </w:r>
      <w:r w:rsidR="00AD7CCE" w:rsidRPr="00AD7CCE">
        <w:rPr>
          <w:i/>
          <w:iCs/>
          <w:sz w:val="20"/>
          <w:szCs w:val="20"/>
        </w:rPr>
        <w:t>S</w:t>
      </w:r>
      <w:r w:rsidR="008806CD">
        <w:rPr>
          <w:i/>
          <w:iCs/>
          <w:sz w:val="20"/>
          <w:szCs w:val="20"/>
        </w:rPr>
        <w:t xml:space="preserve">. </w:t>
      </w:r>
      <w:r w:rsidR="00AD7CCE" w:rsidRPr="00AD7CCE">
        <w:rPr>
          <w:i/>
          <w:iCs/>
          <w:sz w:val="20"/>
          <w:szCs w:val="20"/>
        </w:rPr>
        <w:t>D</w:t>
      </w:r>
      <w:r w:rsidR="008806CD">
        <w:rPr>
          <w:i/>
          <w:iCs/>
          <w:sz w:val="20"/>
          <w:szCs w:val="20"/>
        </w:rPr>
        <w:t>ollars</w:t>
      </w:r>
      <w:r w:rsidR="00AD7CCE" w:rsidRPr="00AD7CCE">
        <w:rPr>
          <w:i/>
          <w:iCs/>
          <w:sz w:val="20"/>
          <w:szCs w:val="20"/>
        </w:rPr>
        <w:t xml:space="preserve"> from Chesson and Peterman 2021.</w:t>
      </w:r>
      <w:r w:rsidR="00AD7CCE" w:rsidRPr="009B0238">
        <w:rPr>
          <w:i/>
          <w:iCs/>
          <w:sz w:val="20"/>
          <w:szCs w:val="20"/>
          <w:vertAlign w:val="superscript"/>
        </w:rPr>
        <w:fldChar w:fldCharType="begin"/>
      </w:r>
      <w:r w:rsidR="00697E7F">
        <w:rPr>
          <w:i/>
          <w:iCs/>
          <w:sz w:val="20"/>
          <w:szCs w:val="20"/>
          <w:vertAlign w:val="superscript"/>
        </w:rPr>
        <w:instrText xml:space="preserve"> ADDIN ZOTERO_ITEM CSL_CITATION {"citationID":"oNaNOpHf","properties":{"formattedCitation":"\\super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rsidR="00AD7CCE" w:rsidRPr="009B0238">
        <w:rPr>
          <w:i/>
          <w:iCs/>
          <w:sz w:val="20"/>
          <w:szCs w:val="20"/>
          <w:vertAlign w:val="superscript"/>
        </w:rPr>
        <w:fldChar w:fldCharType="separate"/>
      </w:r>
      <w:r w:rsidR="008879B0" w:rsidRPr="008879B0">
        <w:rPr>
          <w:rFonts w:ascii="Calibri" w:hAnsi="Calibri" w:cs="Calibri"/>
          <w:kern w:val="0"/>
          <w:sz w:val="20"/>
          <w:szCs w:val="24"/>
          <w:vertAlign w:val="superscript"/>
        </w:rPr>
        <w:t>29</w:t>
      </w:r>
      <w:r w:rsidR="00AD7CCE" w:rsidRPr="009B0238">
        <w:rPr>
          <w:i/>
          <w:iCs/>
          <w:sz w:val="20"/>
          <w:szCs w:val="20"/>
          <w:vertAlign w:val="superscript"/>
        </w:rPr>
        <w:fldChar w:fldCharType="end"/>
      </w:r>
    </w:p>
    <w:p w14:paraId="454CA273" w14:textId="7E7608A9" w:rsidR="00572F7C" w:rsidRDefault="00572F7C" w:rsidP="00572F7C">
      <w:r>
        <w:t>Among those diagnosed with a syphilis infection, 3.2% (95%CI 0.4, 7.8%)</w:t>
      </w:r>
      <w:r>
        <w:fldChar w:fldCharType="begin"/>
      </w:r>
      <w:r w:rsidR="00697E7F">
        <w:instrText xml:space="preserve"> ADDIN ZOTERO_ITEM CSL_CITATION {"citationID":"M7tclVcp","properties":{"formattedCitation":"\\super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fldChar w:fldCharType="separate"/>
      </w:r>
      <w:r w:rsidR="008879B0" w:rsidRPr="008879B0">
        <w:rPr>
          <w:rFonts w:ascii="Calibri" w:hAnsi="Calibri" w:cs="Calibri"/>
          <w:kern w:val="0"/>
          <w:szCs w:val="24"/>
          <w:vertAlign w:val="superscript"/>
        </w:rPr>
        <w:t>29</w:t>
      </w:r>
      <w:r>
        <w:fldChar w:fldCharType="end"/>
      </w:r>
      <w:r>
        <w:t xml:space="preserve"> will develop early neurosyphilis or ocular syphilis. We used this probability in combination with the costs estimates from Table A to </w:t>
      </w:r>
      <w:r w:rsidRPr="00AD7CCE">
        <w:t xml:space="preserve"> </w:t>
      </w:r>
      <w:r>
        <w:t xml:space="preserve">estimate the base value and confidence interval of the treatment of </w:t>
      </w:r>
      <w:r w:rsidRPr="00572F7C">
        <w:t xml:space="preserve">Primary and Secondary syphilis or early non-Primary nor Secondary syphilis </w:t>
      </w:r>
      <w:r>
        <w:t>in $</w:t>
      </w:r>
      <w:r w:rsidR="00552A1D">
        <w:t>986</w:t>
      </w:r>
      <w:r>
        <w:t xml:space="preserve"> (95%CI </w:t>
      </w:r>
      <w:r w:rsidR="00552A1D">
        <w:t>599</w:t>
      </w:r>
      <w:r>
        <w:t xml:space="preserve">, </w:t>
      </w:r>
      <w:r w:rsidR="00552A1D">
        <w:t>1,497</w:t>
      </w:r>
      <w:r>
        <w:t xml:space="preserve">) and of </w:t>
      </w:r>
      <w:r w:rsidRPr="00572F7C">
        <w:t>Unknown duration or late syphilis</w:t>
      </w:r>
      <w:r>
        <w:t xml:space="preserve"> in $2,</w:t>
      </w:r>
      <w:r w:rsidR="00552A1D">
        <w:t>503</w:t>
      </w:r>
      <w:r>
        <w:t xml:space="preserve"> (95%CI 1,7</w:t>
      </w:r>
      <w:r w:rsidR="00552A1D">
        <w:t>66</w:t>
      </w:r>
      <w:r>
        <w:t xml:space="preserve">, </w:t>
      </w:r>
      <w:r w:rsidR="00552A1D">
        <w:t>3,915</w:t>
      </w:r>
      <w:r>
        <w:t>).</w:t>
      </w:r>
    </w:p>
    <w:p w14:paraId="7E12E9F8" w14:textId="08CCB581" w:rsidR="00E70545" w:rsidRDefault="0055119D" w:rsidP="00572F7C">
      <w:r>
        <w:t>For the estimation of the sequelae costs of thos</w:t>
      </w:r>
      <w:r w:rsidR="00885801">
        <w:t>e</w:t>
      </w:r>
      <w:r>
        <w:t xml:space="preserve"> who remain untreated</w:t>
      </w:r>
      <w:r w:rsidR="00BA4B20">
        <w:t>, and following the lifetime perspective described by Chesson and Peterman, 2021,</w:t>
      </w:r>
      <w:r w:rsidR="00BA4B20">
        <w:fldChar w:fldCharType="begin"/>
      </w:r>
      <w:r w:rsidR="00697E7F">
        <w:instrText xml:space="preserve"> ADDIN ZOTERO_ITEM CSL_CITATION {"citationID":"ny8PxsIV","properties":{"formattedCitation":"\\super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rsidR="00BA4B20">
        <w:fldChar w:fldCharType="separate"/>
      </w:r>
      <w:r w:rsidR="008879B0" w:rsidRPr="008879B0">
        <w:rPr>
          <w:rFonts w:ascii="Calibri" w:hAnsi="Calibri" w:cs="Calibri"/>
          <w:kern w:val="0"/>
          <w:szCs w:val="24"/>
          <w:vertAlign w:val="superscript"/>
        </w:rPr>
        <w:t>29</w:t>
      </w:r>
      <w:r w:rsidR="00BA4B20">
        <w:fldChar w:fldCharType="end"/>
      </w:r>
      <w:r>
        <w:t xml:space="preserve"> we need to account for the probability of </w:t>
      </w:r>
      <w:r w:rsidR="00BA4B20">
        <w:t>all possible outcomes, including getting treated for syphilis but not reported as such, being treated inadvertently (at no additional costs related to the syphilitic infection), and remaining untreated and alive for 30 years which leads to several possible sequelae. Among those treated for syphilis but not reported, we assumed that 63% would be Primary and Secondary infections.</w:t>
      </w:r>
      <w:r w:rsidR="00E70545">
        <w:t xml:space="preserve"> Table B shows the probabilities per outcome and the associated costs.</w:t>
      </w:r>
    </w:p>
    <w:p w14:paraId="3BF23B10" w14:textId="77777777" w:rsidR="00E70545" w:rsidRDefault="00E70545" w:rsidP="00572F7C">
      <w:pPr>
        <w:rPr>
          <w:b/>
          <w:bCs/>
        </w:rPr>
        <w:sectPr w:rsidR="00E70545" w:rsidSect="00176A47">
          <w:footerReference w:type="even" r:id="rId10"/>
          <w:footerReference w:type="default" r:id="rId11"/>
          <w:pgSz w:w="12240" w:h="15840"/>
          <w:pgMar w:top="1440" w:right="1440" w:bottom="1440" w:left="1440" w:header="720" w:footer="720" w:gutter="0"/>
          <w:lnNumType w:countBy="1" w:restart="continuous"/>
          <w:cols w:space="720"/>
          <w:docGrid w:linePitch="360"/>
        </w:sectPr>
      </w:pPr>
    </w:p>
    <w:p w14:paraId="09BF0E03" w14:textId="4DE7C644" w:rsidR="00572F7C" w:rsidRDefault="00E70545" w:rsidP="00572F7C">
      <w:r w:rsidRPr="00E70545">
        <w:rPr>
          <w:b/>
          <w:bCs/>
        </w:rPr>
        <w:lastRenderedPageBreak/>
        <w:t>Table B.</w:t>
      </w:r>
      <w:r>
        <w:t xml:space="preserve"> Probabilities and costs per outcome among people with syphilis but not detected during screening.</w:t>
      </w:r>
    </w:p>
    <w:tbl>
      <w:tblPr>
        <w:tblStyle w:val="PlainTable1"/>
        <w:tblW w:w="12950" w:type="dxa"/>
        <w:tblLook w:val="04A0" w:firstRow="1" w:lastRow="0" w:firstColumn="1" w:lastColumn="0" w:noHBand="0" w:noVBand="1"/>
      </w:tblPr>
      <w:tblGrid>
        <w:gridCol w:w="3334"/>
        <w:gridCol w:w="1072"/>
        <w:gridCol w:w="1073"/>
        <w:gridCol w:w="1302"/>
        <w:gridCol w:w="1202"/>
        <w:gridCol w:w="1331"/>
        <w:gridCol w:w="1212"/>
        <w:gridCol w:w="1212"/>
        <w:gridCol w:w="1212"/>
      </w:tblGrid>
      <w:tr w:rsidR="00552A1D" w:rsidRPr="00552A1D" w14:paraId="1F8A5DCA" w14:textId="77777777" w:rsidTr="00552A1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6CEDA064" w14:textId="208A567C" w:rsidR="00E70545" w:rsidRPr="007259C3" w:rsidRDefault="00E70545" w:rsidP="00E70545">
            <w:pPr>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Outcome</w:t>
            </w:r>
          </w:p>
        </w:tc>
        <w:tc>
          <w:tcPr>
            <w:tcW w:w="1072" w:type="dxa"/>
            <w:noWrap/>
            <w:vAlign w:val="center"/>
            <w:hideMark/>
          </w:tcPr>
          <w:p w14:paraId="732F20E0" w14:textId="2CF48615"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Probability</w:t>
            </w:r>
          </w:p>
        </w:tc>
        <w:tc>
          <w:tcPr>
            <w:tcW w:w="1073" w:type="dxa"/>
            <w:noWrap/>
            <w:vAlign w:val="center"/>
            <w:hideMark/>
          </w:tcPr>
          <w:p w14:paraId="720D17A6" w14:textId="76248E04"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Adjusted* probability</w:t>
            </w:r>
          </w:p>
        </w:tc>
        <w:tc>
          <w:tcPr>
            <w:tcW w:w="1302" w:type="dxa"/>
            <w:noWrap/>
            <w:vAlign w:val="center"/>
            <w:hideMark/>
          </w:tcPr>
          <w:p w14:paraId="7B513941" w14:textId="307CD21C"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Mean cost ($)</w:t>
            </w:r>
          </w:p>
        </w:tc>
        <w:tc>
          <w:tcPr>
            <w:tcW w:w="1202" w:type="dxa"/>
            <w:noWrap/>
            <w:vAlign w:val="center"/>
            <w:hideMark/>
          </w:tcPr>
          <w:p w14:paraId="760E7FDA" w14:textId="6EB041BC"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Lower bound ($)</w:t>
            </w:r>
          </w:p>
        </w:tc>
        <w:tc>
          <w:tcPr>
            <w:tcW w:w="1331" w:type="dxa"/>
            <w:noWrap/>
            <w:vAlign w:val="center"/>
            <w:hideMark/>
          </w:tcPr>
          <w:p w14:paraId="254BB72C" w14:textId="349C5B71"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Upper bound ($)</w:t>
            </w:r>
          </w:p>
        </w:tc>
        <w:tc>
          <w:tcPr>
            <w:tcW w:w="1212" w:type="dxa"/>
            <w:noWrap/>
            <w:vAlign w:val="center"/>
            <w:hideMark/>
          </w:tcPr>
          <w:p w14:paraId="64BED8E4" w14:textId="11765ECB"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Contribution – Mean ($)</w:t>
            </w:r>
          </w:p>
        </w:tc>
        <w:tc>
          <w:tcPr>
            <w:tcW w:w="1212" w:type="dxa"/>
            <w:noWrap/>
            <w:vAlign w:val="center"/>
            <w:hideMark/>
          </w:tcPr>
          <w:p w14:paraId="08938EBB" w14:textId="6ED9B2CC"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Contribution – Lower ($)</w:t>
            </w:r>
          </w:p>
        </w:tc>
        <w:tc>
          <w:tcPr>
            <w:tcW w:w="1212" w:type="dxa"/>
            <w:noWrap/>
            <w:vAlign w:val="center"/>
            <w:hideMark/>
          </w:tcPr>
          <w:p w14:paraId="1FD73EA1" w14:textId="30AD3F9C" w:rsidR="00E70545" w:rsidRPr="007259C3" w:rsidRDefault="00E70545" w:rsidP="00E7054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Contribution – Upper ($)</w:t>
            </w:r>
          </w:p>
        </w:tc>
      </w:tr>
      <w:tr w:rsidR="00552A1D" w:rsidRPr="00552A1D" w14:paraId="707D938D" w14:textId="77777777" w:rsidTr="00552A1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1A3CC3CF"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Treated for syphilis but not reported as a case</w:t>
            </w:r>
          </w:p>
        </w:tc>
        <w:tc>
          <w:tcPr>
            <w:tcW w:w="1072" w:type="dxa"/>
            <w:noWrap/>
            <w:vAlign w:val="center"/>
            <w:hideMark/>
          </w:tcPr>
          <w:p w14:paraId="2830A33C"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0.725</w:t>
            </w:r>
          </w:p>
        </w:tc>
        <w:tc>
          <w:tcPr>
            <w:tcW w:w="1073" w:type="dxa"/>
            <w:noWrap/>
            <w:vAlign w:val="center"/>
            <w:hideMark/>
          </w:tcPr>
          <w:p w14:paraId="6CF2EFC3"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72.5%</w:t>
            </w:r>
          </w:p>
        </w:tc>
        <w:tc>
          <w:tcPr>
            <w:tcW w:w="1302" w:type="dxa"/>
            <w:noWrap/>
            <w:vAlign w:val="center"/>
            <w:hideMark/>
          </w:tcPr>
          <w:p w14:paraId="3EE50A2B" w14:textId="4FADF7A4"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1,8</w:t>
            </w:r>
            <w:r>
              <w:rPr>
                <w:rFonts w:asciiTheme="majorHAnsi" w:eastAsia="Times New Roman" w:hAnsiTheme="majorHAnsi" w:cstheme="majorHAnsi"/>
                <w:color w:val="000000"/>
                <w:kern w:val="0"/>
                <w:sz w:val="18"/>
                <w:szCs w:val="18"/>
                <w14:ligatures w14:val="none"/>
              </w:rPr>
              <w:t>26</w:t>
            </w:r>
          </w:p>
        </w:tc>
        <w:tc>
          <w:tcPr>
            <w:tcW w:w="1202" w:type="dxa"/>
            <w:noWrap/>
            <w:vAlign w:val="center"/>
            <w:hideMark/>
          </w:tcPr>
          <w:p w14:paraId="73C3F70C" w14:textId="60023FB8"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1,040</w:t>
            </w:r>
          </w:p>
        </w:tc>
        <w:tc>
          <w:tcPr>
            <w:tcW w:w="1331" w:type="dxa"/>
            <w:noWrap/>
            <w:vAlign w:val="center"/>
            <w:hideMark/>
          </w:tcPr>
          <w:p w14:paraId="3FE988FC" w14:textId="51535A52"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4,199</w:t>
            </w:r>
          </w:p>
        </w:tc>
        <w:tc>
          <w:tcPr>
            <w:tcW w:w="1212" w:type="dxa"/>
            <w:noWrap/>
            <w:vAlign w:val="center"/>
            <w:hideMark/>
          </w:tcPr>
          <w:p w14:paraId="7D390EAC" w14:textId="05BCEBE3"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1,324</w:t>
            </w:r>
          </w:p>
        </w:tc>
        <w:tc>
          <w:tcPr>
            <w:tcW w:w="1212" w:type="dxa"/>
            <w:noWrap/>
            <w:vAlign w:val="center"/>
            <w:hideMark/>
          </w:tcPr>
          <w:p w14:paraId="10F4E89A" w14:textId="3BB20CC0"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754</w:t>
            </w:r>
          </w:p>
        </w:tc>
        <w:tc>
          <w:tcPr>
            <w:tcW w:w="1212" w:type="dxa"/>
            <w:noWrap/>
            <w:vAlign w:val="center"/>
            <w:hideMark/>
          </w:tcPr>
          <w:p w14:paraId="1E8C2933" w14:textId="389FFED0"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3,044</w:t>
            </w:r>
          </w:p>
        </w:tc>
      </w:tr>
      <w:tr w:rsidR="00552A1D" w:rsidRPr="00552A1D" w14:paraId="728628F5" w14:textId="77777777" w:rsidTr="00552A1D">
        <w:trPr>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0561AF10"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Treated inadvertently, or unrelated death within 30 years, or both</w:t>
            </w:r>
          </w:p>
        </w:tc>
        <w:tc>
          <w:tcPr>
            <w:tcW w:w="1072" w:type="dxa"/>
            <w:noWrap/>
            <w:vAlign w:val="center"/>
            <w:hideMark/>
          </w:tcPr>
          <w:p w14:paraId="0F85AE77"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0.242</w:t>
            </w:r>
          </w:p>
        </w:tc>
        <w:tc>
          <w:tcPr>
            <w:tcW w:w="1073" w:type="dxa"/>
            <w:noWrap/>
            <w:vAlign w:val="center"/>
            <w:hideMark/>
          </w:tcPr>
          <w:p w14:paraId="1682D7CD"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24.2%</w:t>
            </w:r>
          </w:p>
        </w:tc>
        <w:tc>
          <w:tcPr>
            <w:tcW w:w="1302" w:type="dxa"/>
            <w:noWrap/>
            <w:vAlign w:val="center"/>
            <w:hideMark/>
          </w:tcPr>
          <w:p w14:paraId="349D9021" w14:textId="6CFF3BF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1202" w:type="dxa"/>
            <w:noWrap/>
            <w:vAlign w:val="center"/>
            <w:hideMark/>
          </w:tcPr>
          <w:p w14:paraId="1BAF0A1C" w14:textId="16AC5ABC"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1331" w:type="dxa"/>
            <w:noWrap/>
            <w:vAlign w:val="center"/>
            <w:hideMark/>
          </w:tcPr>
          <w:p w14:paraId="25239446" w14:textId="6D219644"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1212" w:type="dxa"/>
            <w:noWrap/>
            <w:vAlign w:val="center"/>
            <w:hideMark/>
          </w:tcPr>
          <w:p w14:paraId="60FC172F" w14:textId="3C8EA2D8"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1212" w:type="dxa"/>
            <w:noWrap/>
            <w:vAlign w:val="center"/>
            <w:hideMark/>
          </w:tcPr>
          <w:p w14:paraId="42124EC9" w14:textId="470A00ED"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1212" w:type="dxa"/>
            <w:noWrap/>
            <w:vAlign w:val="center"/>
            <w:hideMark/>
          </w:tcPr>
          <w:p w14:paraId="53655BF8" w14:textId="65D2505F"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r>
      <w:tr w:rsidR="00552A1D" w:rsidRPr="00552A1D" w14:paraId="3FDBB295" w14:textId="77777777" w:rsidTr="007259C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FDE467A"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Latent syphilis, no adverse outcomes, no costs incurred</w:t>
            </w:r>
          </w:p>
        </w:tc>
        <w:tc>
          <w:tcPr>
            <w:tcW w:w="0" w:type="dxa"/>
            <w:noWrap/>
            <w:vAlign w:val="center"/>
            <w:hideMark/>
          </w:tcPr>
          <w:p w14:paraId="2D427962"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0.68</w:t>
            </w:r>
          </w:p>
        </w:tc>
        <w:tc>
          <w:tcPr>
            <w:tcW w:w="0" w:type="dxa"/>
            <w:noWrap/>
            <w:vAlign w:val="center"/>
            <w:hideMark/>
          </w:tcPr>
          <w:p w14:paraId="6A376DE1"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2.2%</w:t>
            </w:r>
          </w:p>
        </w:tc>
        <w:tc>
          <w:tcPr>
            <w:tcW w:w="0" w:type="dxa"/>
            <w:noWrap/>
            <w:vAlign w:val="center"/>
            <w:hideMark/>
          </w:tcPr>
          <w:p w14:paraId="6B7F434D" w14:textId="50624944"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0" w:type="dxa"/>
            <w:noWrap/>
            <w:vAlign w:val="center"/>
            <w:hideMark/>
          </w:tcPr>
          <w:p w14:paraId="0C45D6C3" w14:textId="65A1A019"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0" w:type="dxa"/>
            <w:noWrap/>
            <w:vAlign w:val="center"/>
            <w:hideMark/>
          </w:tcPr>
          <w:p w14:paraId="6E4CBEFE" w14:textId="0487DC9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0" w:type="dxa"/>
            <w:noWrap/>
            <w:vAlign w:val="center"/>
            <w:hideMark/>
          </w:tcPr>
          <w:p w14:paraId="11481368" w14:textId="6B2649D8"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0" w:type="dxa"/>
            <w:noWrap/>
            <w:vAlign w:val="center"/>
            <w:hideMark/>
          </w:tcPr>
          <w:p w14:paraId="151D3D73" w14:textId="36EBDE21"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c>
          <w:tcPr>
            <w:tcW w:w="0" w:type="dxa"/>
            <w:noWrap/>
            <w:vAlign w:val="center"/>
            <w:hideMark/>
          </w:tcPr>
          <w:p w14:paraId="1DCB0EE4" w14:textId="11B558CE"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0</w:t>
            </w:r>
          </w:p>
        </w:tc>
      </w:tr>
      <w:tr w:rsidR="00552A1D" w:rsidRPr="00552A1D" w14:paraId="1A2302F6" w14:textId="77777777" w:rsidTr="00552A1D">
        <w:trPr>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304FE094"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Treated for late benign syphilis</w:t>
            </w:r>
          </w:p>
        </w:tc>
        <w:tc>
          <w:tcPr>
            <w:tcW w:w="1072" w:type="dxa"/>
            <w:noWrap/>
            <w:vAlign w:val="center"/>
            <w:hideMark/>
          </w:tcPr>
          <w:p w14:paraId="03675387"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0.16</w:t>
            </w:r>
          </w:p>
        </w:tc>
        <w:tc>
          <w:tcPr>
            <w:tcW w:w="1073" w:type="dxa"/>
            <w:noWrap/>
            <w:vAlign w:val="center"/>
            <w:hideMark/>
          </w:tcPr>
          <w:p w14:paraId="2DFC19A4"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0.5%</w:t>
            </w:r>
          </w:p>
        </w:tc>
        <w:tc>
          <w:tcPr>
            <w:tcW w:w="1302" w:type="dxa"/>
            <w:noWrap/>
            <w:vAlign w:val="center"/>
            <w:hideMark/>
          </w:tcPr>
          <w:p w14:paraId="3B7079E0" w14:textId="751C8EE1"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1,405</w:t>
            </w:r>
          </w:p>
        </w:tc>
        <w:tc>
          <w:tcPr>
            <w:tcW w:w="1202" w:type="dxa"/>
            <w:noWrap/>
            <w:vAlign w:val="center"/>
            <w:hideMark/>
          </w:tcPr>
          <w:p w14:paraId="65006349" w14:textId="63A248D8"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843</w:t>
            </w:r>
          </w:p>
        </w:tc>
        <w:tc>
          <w:tcPr>
            <w:tcW w:w="1331" w:type="dxa"/>
            <w:noWrap/>
            <w:vAlign w:val="center"/>
            <w:hideMark/>
          </w:tcPr>
          <w:p w14:paraId="5AEDCA59" w14:textId="63D1711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2,154</w:t>
            </w:r>
          </w:p>
        </w:tc>
        <w:tc>
          <w:tcPr>
            <w:tcW w:w="1212" w:type="dxa"/>
            <w:noWrap/>
            <w:vAlign w:val="center"/>
            <w:hideMark/>
          </w:tcPr>
          <w:p w14:paraId="6F78A892" w14:textId="74EC6B66"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7</w:t>
            </w:r>
          </w:p>
        </w:tc>
        <w:tc>
          <w:tcPr>
            <w:tcW w:w="1212" w:type="dxa"/>
            <w:noWrap/>
            <w:vAlign w:val="center"/>
            <w:hideMark/>
          </w:tcPr>
          <w:p w14:paraId="02E7ECFE" w14:textId="2CE12569"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w:t>
            </w:r>
          </w:p>
        </w:tc>
        <w:tc>
          <w:tcPr>
            <w:tcW w:w="1212" w:type="dxa"/>
            <w:noWrap/>
            <w:vAlign w:val="center"/>
            <w:hideMark/>
          </w:tcPr>
          <w:p w14:paraId="167B7ACF" w14:textId="546502A3"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11</w:t>
            </w:r>
          </w:p>
        </w:tc>
      </w:tr>
      <w:tr w:rsidR="00552A1D" w:rsidRPr="00552A1D" w14:paraId="57EF05FE" w14:textId="77777777" w:rsidTr="007259C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3564D8"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Treated for cardiovascular syphilis</w:t>
            </w:r>
          </w:p>
        </w:tc>
        <w:tc>
          <w:tcPr>
            <w:tcW w:w="0" w:type="dxa"/>
            <w:noWrap/>
            <w:vAlign w:val="center"/>
            <w:hideMark/>
          </w:tcPr>
          <w:p w14:paraId="376A8544"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0.09</w:t>
            </w:r>
          </w:p>
        </w:tc>
        <w:tc>
          <w:tcPr>
            <w:tcW w:w="0" w:type="dxa"/>
            <w:noWrap/>
            <w:vAlign w:val="center"/>
            <w:hideMark/>
          </w:tcPr>
          <w:p w14:paraId="0C875088"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0.3%</w:t>
            </w:r>
          </w:p>
        </w:tc>
        <w:tc>
          <w:tcPr>
            <w:tcW w:w="0" w:type="dxa"/>
            <w:noWrap/>
            <w:vAlign w:val="center"/>
            <w:hideMark/>
          </w:tcPr>
          <w:p w14:paraId="3E29282E" w14:textId="42230AB8"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16,436</w:t>
            </w:r>
          </w:p>
        </w:tc>
        <w:tc>
          <w:tcPr>
            <w:tcW w:w="0" w:type="dxa"/>
            <w:noWrap/>
            <w:vAlign w:val="center"/>
            <w:hideMark/>
          </w:tcPr>
          <w:p w14:paraId="4BF73E15" w14:textId="555F1713"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2,950</w:t>
            </w:r>
          </w:p>
        </w:tc>
        <w:tc>
          <w:tcPr>
            <w:tcW w:w="0" w:type="dxa"/>
            <w:noWrap/>
            <w:vAlign w:val="center"/>
            <w:hideMark/>
          </w:tcPr>
          <w:p w14:paraId="67158F82" w14:textId="3C0512C3"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51,226</w:t>
            </w:r>
          </w:p>
        </w:tc>
        <w:tc>
          <w:tcPr>
            <w:tcW w:w="0" w:type="dxa"/>
            <w:noWrap/>
            <w:vAlign w:val="center"/>
            <w:hideMark/>
          </w:tcPr>
          <w:p w14:paraId="412F4CF0" w14:textId="29AD9B08"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49</w:t>
            </w:r>
          </w:p>
        </w:tc>
        <w:tc>
          <w:tcPr>
            <w:tcW w:w="0" w:type="dxa"/>
            <w:noWrap/>
            <w:vAlign w:val="center"/>
            <w:hideMark/>
          </w:tcPr>
          <w:p w14:paraId="4EA75D71" w14:textId="042153BB"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9</w:t>
            </w:r>
          </w:p>
        </w:tc>
        <w:tc>
          <w:tcPr>
            <w:tcW w:w="0" w:type="dxa"/>
            <w:noWrap/>
            <w:vAlign w:val="center"/>
            <w:hideMark/>
          </w:tcPr>
          <w:p w14:paraId="05B8921E" w14:textId="0D95EDE6"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152</w:t>
            </w:r>
          </w:p>
        </w:tc>
      </w:tr>
      <w:tr w:rsidR="00552A1D" w:rsidRPr="00552A1D" w14:paraId="5BFE4941" w14:textId="77777777" w:rsidTr="00552A1D">
        <w:trPr>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2F63AA90"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Treated for tabes dorsalis</w:t>
            </w:r>
          </w:p>
        </w:tc>
        <w:tc>
          <w:tcPr>
            <w:tcW w:w="1072" w:type="dxa"/>
            <w:noWrap/>
            <w:vAlign w:val="center"/>
            <w:hideMark/>
          </w:tcPr>
          <w:p w14:paraId="1D9325AA"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0.02</w:t>
            </w:r>
          </w:p>
        </w:tc>
        <w:tc>
          <w:tcPr>
            <w:tcW w:w="1073" w:type="dxa"/>
            <w:noWrap/>
            <w:vAlign w:val="center"/>
            <w:hideMark/>
          </w:tcPr>
          <w:p w14:paraId="3118ABF2"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0.1%</w:t>
            </w:r>
          </w:p>
        </w:tc>
        <w:tc>
          <w:tcPr>
            <w:tcW w:w="1302" w:type="dxa"/>
            <w:noWrap/>
            <w:vAlign w:val="center"/>
            <w:hideMark/>
          </w:tcPr>
          <w:p w14:paraId="1A893DCE" w14:textId="4BD4568A"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19,058</w:t>
            </w:r>
          </w:p>
        </w:tc>
        <w:tc>
          <w:tcPr>
            <w:tcW w:w="1202" w:type="dxa"/>
            <w:noWrap/>
            <w:vAlign w:val="center"/>
            <w:hideMark/>
          </w:tcPr>
          <w:p w14:paraId="1E14C7FA" w14:textId="2C08B8A3"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5,525</w:t>
            </w:r>
          </w:p>
        </w:tc>
        <w:tc>
          <w:tcPr>
            <w:tcW w:w="1331" w:type="dxa"/>
            <w:noWrap/>
            <w:vAlign w:val="center"/>
            <w:hideMark/>
          </w:tcPr>
          <w:p w14:paraId="1E4887E1" w14:textId="65A00A26"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45,514</w:t>
            </w:r>
          </w:p>
        </w:tc>
        <w:tc>
          <w:tcPr>
            <w:tcW w:w="1212" w:type="dxa"/>
            <w:noWrap/>
            <w:vAlign w:val="center"/>
            <w:hideMark/>
          </w:tcPr>
          <w:p w14:paraId="5F919635" w14:textId="47B231D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13</w:t>
            </w:r>
          </w:p>
        </w:tc>
        <w:tc>
          <w:tcPr>
            <w:tcW w:w="1212" w:type="dxa"/>
            <w:noWrap/>
            <w:vAlign w:val="center"/>
            <w:hideMark/>
          </w:tcPr>
          <w:p w14:paraId="6F3C566D" w14:textId="1A2EDD60"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w:t>
            </w:r>
          </w:p>
        </w:tc>
        <w:tc>
          <w:tcPr>
            <w:tcW w:w="1212" w:type="dxa"/>
            <w:noWrap/>
            <w:vAlign w:val="center"/>
            <w:hideMark/>
          </w:tcPr>
          <w:p w14:paraId="78CC985E" w14:textId="12EF5E4E"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30</w:t>
            </w:r>
          </w:p>
        </w:tc>
      </w:tr>
      <w:tr w:rsidR="00552A1D" w:rsidRPr="00552A1D" w14:paraId="7056F2AE" w14:textId="77777777" w:rsidTr="007259C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54D2D3C"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Treated for meningovascular syphilis</w:t>
            </w:r>
          </w:p>
        </w:tc>
        <w:tc>
          <w:tcPr>
            <w:tcW w:w="0" w:type="dxa"/>
            <w:noWrap/>
            <w:vAlign w:val="center"/>
            <w:hideMark/>
          </w:tcPr>
          <w:p w14:paraId="3CCD42D8"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0.03</w:t>
            </w:r>
          </w:p>
        </w:tc>
        <w:tc>
          <w:tcPr>
            <w:tcW w:w="0" w:type="dxa"/>
            <w:noWrap/>
            <w:vAlign w:val="center"/>
            <w:hideMark/>
          </w:tcPr>
          <w:p w14:paraId="298A2F76"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0.1%</w:t>
            </w:r>
          </w:p>
        </w:tc>
        <w:tc>
          <w:tcPr>
            <w:tcW w:w="0" w:type="dxa"/>
            <w:noWrap/>
            <w:vAlign w:val="center"/>
            <w:hideMark/>
          </w:tcPr>
          <w:p w14:paraId="354B9749" w14:textId="0401932F"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36,711</w:t>
            </w:r>
          </w:p>
        </w:tc>
        <w:tc>
          <w:tcPr>
            <w:tcW w:w="0" w:type="dxa"/>
            <w:noWrap/>
            <w:vAlign w:val="center"/>
            <w:hideMark/>
          </w:tcPr>
          <w:p w14:paraId="2FF7A80F" w14:textId="4B781211"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7,960</w:t>
            </w:r>
          </w:p>
        </w:tc>
        <w:tc>
          <w:tcPr>
            <w:tcW w:w="0" w:type="dxa"/>
            <w:noWrap/>
            <w:vAlign w:val="center"/>
            <w:hideMark/>
          </w:tcPr>
          <w:p w14:paraId="4AF70770" w14:textId="585A0585"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186,925</w:t>
            </w:r>
          </w:p>
        </w:tc>
        <w:tc>
          <w:tcPr>
            <w:tcW w:w="0" w:type="dxa"/>
            <w:noWrap/>
            <w:vAlign w:val="center"/>
            <w:hideMark/>
          </w:tcPr>
          <w:p w14:paraId="01E5322D" w14:textId="10929603"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36</w:t>
            </w:r>
          </w:p>
        </w:tc>
        <w:tc>
          <w:tcPr>
            <w:tcW w:w="0" w:type="dxa"/>
            <w:noWrap/>
            <w:vAlign w:val="center"/>
            <w:hideMark/>
          </w:tcPr>
          <w:p w14:paraId="50C29DB2" w14:textId="6291AAA2"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8</w:t>
            </w:r>
          </w:p>
        </w:tc>
        <w:tc>
          <w:tcPr>
            <w:tcW w:w="0" w:type="dxa"/>
            <w:noWrap/>
            <w:vAlign w:val="center"/>
            <w:hideMark/>
          </w:tcPr>
          <w:p w14:paraId="55289C18" w14:textId="094BF5E0"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185</w:t>
            </w:r>
          </w:p>
        </w:tc>
      </w:tr>
      <w:tr w:rsidR="00552A1D" w:rsidRPr="00552A1D" w14:paraId="5FDCAE7D" w14:textId="77777777" w:rsidTr="00552A1D">
        <w:trPr>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1C866C17" w14:textId="77777777" w:rsidR="00552A1D" w:rsidRPr="007259C3" w:rsidRDefault="00552A1D" w:rsidP="00552A1D">
            <w:pPr>
              <w:rPr>
                <w:rFonts w:asciiTheme="majorHAnsi" w:eastAsia="Times New Roman" w:hAnsiTheme="majorHAnsi" w:cstheme="majorHAnsi"/>
                <w:b w:val="0"/>
                <w:bCs w:val="0"/>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Alive and still infected after 30+ years: Treated for general paresis</w:t>
            </w:r>
          </w:p>
        </w:tc>
        <w:tc>
          <w:tcPr>
            <w:tcW w:w="1072" w:type="dxa"/>
            <w:noWrap/>
            <w:vAlign w:val="center"/>
            <w:hideMark/>
          </w:tcPr>
          <w:p w14:paraId="6BED6F9E"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0.02</w:t>
            </w:r>
          </w:p>
        </w:tc>
        <w:tc>
          <w:tcPr>
            <w:tcW w:w="1073" w:type="dxa"/>
            <w:noWrap/>
            <w:vAlign w:val="center"/>
            <w:hideMark/>
          </w:tcPr>
          <w:p w14:paraId="0EDFE242" w14:textId="7777777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0.1%</w:t>
            </w:r>
          </w:p>
        </w:tc>
        <w:tc>
          <w:tcPr>
            <w:tcW w:w="1302" w:type="dxa"/>
            <w:noWrap/>
            <w:vAlign w:val="center"/>
            <w:hideMark/>
          </w:tcPr>
          <w:p w14:paraId="3DF7BA25" w14:textId="422450DE"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61,575</w:t>
            </w:r>
          </w:p>
        </w:tc>
        <w:tc>
          <w:tcPr>
            <w:tcW w:w="1202" w:type="dxa"/>
            <w:noWrap/>
            <w:vAlign w:val="center"/>
            <w:hideMark/>
          </w:tcPr>
          <w:p w14:paraId="63ACF1CF" w14:textId="063F1ADC"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15,452</w:t>
            </w:r>
          </w:p>
        </w:tc>
        <w:tc>
          <w:tcPr>
            <w:tcW w:w="1331" w:type="dxa"/>
            <w:noWrap/>
            <w:vAlign w:val="center"/>
            <w:hideMark/>
          </w:tcPr>
          <w:p w14:paraId="7CC58044" w14:textId="3DF624F7"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135,839</w:t>
            </w:r>
          </w:p>
        </w:tc>
        <w:tc>
          <w:tcPr>
            <w:tcW w:w="1212" w:type="dxa"/>
            <w:noWrap/>
            <w:vAlign w:val="center"/>
            <w:hideMark/>
          </w:tcPr>
          <w:p w14:paraId="3FD6AA63" w14:textId="26F4F6AB"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41</w:t>
            </w:r>
          </w:p>
        </w:tc>
        <w:tc>
          <w:tcPr>
            <w:tcW w:w="1212" w:type="dxa"/>
            <w:noWrap/>
            <w:vAlign w:val="center"/>
            <w:hideMark/>
          </w:tcPr>
          <w:p w14:paraId="29537135" w14:textId="1EA7B6EB"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10</w:t>
            </w:r>
          </w:p>
        </w:tc>
        <w:tc>
          <w:tcPr>
            <w:tcW w:w="1212" w:type="dxa"/>
            <w:noWrap/>
            <w:vAlign w:val="center"/>
            <w:hideMark/>
          </w:tcPr>
          <w:p w14:paraId="012ABE8C" w14:textId="23212313" w:rsidR="00552A1D" w:rsidRPr="007259C3" w:rsidRDefault="00552A1D" w:rsidP="00552A1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90</w:t>
            </w:r>
          </w:p>
        </w:tc>
      </w:tr>
      <w:tr w:rsidR="00552A1D" w:rsidRPr="00552A1D" w14:paraId="0A3DD2BF" w14:textId="77777777" w:rsidTr="00552A1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34" w:type="dxa"/>
            <w:noWrap/>
            <w:vAlign w:val="center"/>
            <w:hideMark/>
          </w:tcPr>
          <w:p w14:paraId="301EE301" w14:textId="77777777" w:rsidR="00552A1D" w:rsidRPr="007259C3" w:rsidRDefault="00552A1D" w:rsidP="00552A1D">
            <w:pPr>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Total</w:t>
            </w:r>
          </w:p>
        </w:tc>
        <w:tc>
          <w:tcPr>
            <w:tcW w:w="1072" w:type="dxa"/>
            <w:noWrap/>
            <w:vAlign w:val="center"/>
            <w:hideMark/>
          </w:tcPr>
          <w:p w14:paraId="2BF76A64"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p>
        </w:tc>
        <w:tc>
          <w:tcPr>
            <w:tcW w:w="1073" w:type="dxa"/>
            <w:noWrap/>
            <w:vAlign w:val="center"/>
            <w:hideMark/>
          </w:tcPr>
          <w:p w14:paraId="4DB94DAD"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eastAsia="Times New Roman" w:hAnsiTheme="majorHAnsi" w:cstheme="majorHAnsi"/>
                <w:color w:val="000000"/>
                <w:kern w:val="0"/>
                <w:sz w:val="18"/>
                <w:szCs w:val="18"/>
                <w14:ligatures w14:val="none"/>
              </w:rPr>
              <w:t>100.0%</w:t>
            </w:r>
          </w:p>
        </w:tc>
        <w:tc>
          <w:tcPr>
            <w:tcW w:w="1302" w:type="dxa"/>
            <w:noWrap/>
            <w:vAlign w:val="center"/>
            <w:hideMark/>
          </w:tcPr>
          <w:p w14:paraId="58E5CD66"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p>
        </w:tc>
        <w:tc>
          <w:tcPr>
            <w:tcW w:w="1202" w:type="dxa"/>
            <w:noWrap/>
            <w:vAlign w:val="center"/>
            <w:hideMark/>
          </w:tcPr>
          <w:p w14:paraId="03059CF2"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p>
        </w:tc>
        <w:tc>
          <w:tcPr>
            <w:tcW w:w="1331" w:type="dxa"/>
            <w:noWrap/>
            <w:vAlign w:val="center"/>
            <w:hideMark/>
          </w:tcPr>
          <w:p w14:paraId="0962B00E" w14:textId="77777777"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p>
        </w:tc>
        <w:tc>
          <w:tcPr>
            <w:tcW w:w="1212" w:type="dxa"/>
            <w:noWrap/>
            <w:vAlign w:val="center"/>
            <w:hideMark/>
          </w:tcPr>
          <w:p w14:paraId="2A08CF26" w14:textId="494B513D"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1,470</w:t>
            </w:r>
          </w:p>
        </w:tc>
        <w:tc>
          <w:tcPr>
            <w:tcW w:w="1212" w:type="dxa"/>
            <w:noWrap/>
            <w:vAlign w:val="center"/>
            <w:hideMark/>
          </w:tcPr>
          <w:p w14:paraId="2EFFA8E8" w14:textId="697879FC"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789</w:t>
            </w:r>
          </w:p>
        </w:tc>
        <w:tc>
          <w:tcPr>
            <w:tcW w:w="1212" w:type="dxa"/>
            <w:noWrap/>
            <w:vAlign w:val="center"/>
            <w:hideMark/>
          </w:tcPr>
          <w:p w14:paraId="20FF9B25" w14:textId="4DEC96CE" w:rsidR="00552A1D" w:rsidRPr="007259C3" w:rsidRDefault="00552A1D" w:rsidP="00552A1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14:ligatures w14:val="none"/>
              </w:rPr>
            </w:pPr>
            <w:r w:rsidRPr="007259C3">
              <w:rPr>
                <w:rFonts w:asciiTheme="majorHAnsi" w:hAnsiTheme="majorHAnsi" w:cstheme="majorHAnsi"/>
                <w:color w:val="000000"/>
                <w:sz w:val="18"/>
                <w:szCs w:val="18"/>
              </w:rPr>
              <w:t>3,513</w:t>
            </w:r>
          </w:p>
        </w:tc>
      </w:tr>
    </w:tbl>
    <w:p w14:paraId="427F4347" w14:textId="1401B1DD" w:rsidR="00E70545" w:rsidRPr="004D67F5" w:rsidRDefault="00E70545" w:rsidP="00E70545">
      <w:pPr>
        <w:spacing w:after="0"/>
        <w:rPr>
          <w:i/>
          <w:iCs/>
          <w:sz w:val="20"/>
          <w:szCs w:val="20"/>
        </w:rPr>
      </w:pPr>
      <w:r w:rsidRPr="00AD7CCE">
        <w:rPr>
          <w:i/>
          <w:iCs/>
          <w:sz w:val="20"/>
          <w:szCs w:val="20"/>
        </w:rPr>
        <w:t xml:space="preserve">Source: </w:t>
      </w:r>
      <w:r w:rsidR="004D67F5">
        <w:rPr>
          <w:i/>
          <w:iCs/>
          <w:sz w:val="20"/>
          <w:szCs w:val="20"/>
        </w:rPr>
        <w:t xml:space="preserve">Based on </w:t>
      </w:r>
      <w:r w:rsidRPr="00AD7CCE">
        <w:rPr>
          <w:i/>
          <w:iCs/>
          <w:sz w:val="20"/>
          <w:szCs w:val="20"/>
        </w:rPr>
        <w:t>Chesson and Peterman 2021.</w:t>
      </w:r>
      <w:r w:rsidRPr="009B0238">
        <w:rPr>
          <w:i/>
          <w:iCs/>
          <w:sz w:val="20"/>
          <w:szCs w:val="20"/>
          <w:vertAlign w:val="superscript"/>
        </w:rPr>
        <w:fldChar w:fldCharType="begin"/>
      </w:r>
      <w:r w:rsidR="00697E7F">
        <w:rPr>
          <w:i/>
          <w:iCs/>
          <w:sz w:val="20"/>
          <w:szCs w:val="20"/>
          <w:vertAlign w:val="superscript"/>
        </w:rPr>
        <w:instrText xml:space="preserve"> ADDIN ZOTERO_ITEM CSL_CITATION {"citationID":"nqRMinIh","properties":{"formattedCitation":"\\super 29\\nosupersub{}","plainCitation":"29","noteIndex":0},"citationItems":[{"id":8503,"uris":["http://zotero.org/users/1992989/items/DS7MPIES"],"itemData":{"id":8503,"type":"article-journal","abstract":"Background \n        The purpose of this study was to estimate the cost of syphilis in the United States, in terms of the average lifetime direct medical cost per infection.\n        Methods \n        We used a decision tree model of the natural history of syphilis. The model allowed for numerous possible outcomes of infection, including treatment for syphilis at various stages, inadvertent treatment, and late syphilis outcomes in those who are alive and still infected 30 years after acquisition. Future costs were discounted at 3% annually. Model inputs, such as the cost and probability of each outcome, were based on published sources. The probabilities we applied yielded outcomes consistent with reported cases of syphilis by stage from national surveillance data and number of deaths due to late syphilis from national mortality data.\n        Results \n        The estimated, discounted lifetime cost per infection was $1190 under base case assumptions (2019 dollars). Treatment costs associated with late syphilis outcomes, such as cardiovascular syphilis, accounted for only $26 of the average lifetime cost per infection. Results were most sensitive to assumptions regarding the treatment cost per case of unknown duration or late syphilis. In the probabilistic sensitivity analyses, the 2.5th and 97.5th percentiles of the 10,000 simulations of the lifetime cost per infection were $729 and $1884, respectively.\n        Conclusions \n        Our estimate of the lifetime cost per infection is about 50% higher than in a previous study, a difference due in large part to our higher cost assumptions for benzathine penicillin G.","container-title":"Sexually Transmitted Diseases","DOI":"10.1097/OLQ.0000000000001353","ISSN":"0148-5717","issue":"4","language":"en-US","page":"253–259","source":"journals.lww.com","title":"The Estimated Lifetime Medical Cost of Syphilis in the United States","volume":"48","author":[{"family":"Chesson","given":"Harrell W."},{"family":"Peterman","given":"Thomas A."}],"issued":{"date-parts":[["2021",4]]},"citation-key":"chessonEstimatedLifetimeMedical2021"}}],"schema":"https://github.com/citation-style-language/schema/raw/master/csl-citation.json"} </w:instrText>
      </w:r>
      <w:r w:rsidRPr="009B0238">
        <w:rPr>
          <w:i/>
          <w:iCs/>
          <w:sz w:val="20"/>
          <w:szCs w:val="20"/>
          <w:vertAlign w:val="superscript"/>
        </w:rPr>
        <w:fldChar w:fldCharType="separate"/>
      </w:r>
      <w:r w:rsidR="008879B0" w:rsidRPr="008879B0">
        <w:rPr>
          <w:rFonts w:ascii="Calibri" w:hAnsi="Calibri" w:cs="Calibri"/>
          <w:kern w:val="0"/>
          <w:sz w:val="20"/>
          <w:szCs w:val="24"/>
          <w:vertAlign w:val="superscript"/>
        </w:rPr>
        <w:t>29</w:t>
      </w:r>
      <w:r w:rsidRPr="009B0238">
        <w:rPr>
          <w:i/>
          <w:iCs/>
          <w:sz w:val="20"/>
          <w:szCs w:val="20"/>
          <w:vertAlign w:val="superscript"/>
        </w:rPr>
        <w:fldChar w:fldCharType="end"/>
      </w:r>
      <w:r w:rsidR="004D67F5">
        <w:rPr>
          <w:i/>
          <w:iCs/>
          <w:sz w:val="20"/>
          <w:szCs w:val="20"/>
        </w:rPr>
        <w:t>Treatment costs Treatment costs u</w:t>
      </w:r>
      <w:r w:rsidR="004D67F5" w:rsidRPr="00AD7CCE">
        <w:rPr>
          <w:i/>
          <w:iCs/>
          <w:sz w:val="20"/>
          <w:szCs w:val="20"/>
        </w:rPr>
        <w:t>p</w:t>
      </w:r>
      <w:r w:rsidR="004D67F5">
        <w:rPr>
          <w:i/>
          <w:iCs/>
          <w:sz w:val="20"/>
          <w:szCs w:val="20"/>
        </w:rPr>
        <w:t>d</w:t>
      </w:r>
      <w:r w:rsidR="004D67F5" w:rsidRPr="00AD7CCE">
        <w:rPr>
          <w:i/>
          <w:iCs/>
          <w:sz w:val="20"/>
          <w:szCs w:val="20"/>
        </w:rPr>
        <w:t>ated to 2024 U</w:t>
      </w:r>
      <w:r w:rsidR="004D67F5">
        <w:rPr>
          <w:i/>
          <w:iCs/>
          <w:sz w:val="20"/>
          <w:szCs w:val="20"/>
        </w:rPr>
        <w:t>.</w:t>
      </w:r>
      <w:r w:rsidR="004D67F5" w:rsidRPr="00AD7CCE">
        <w:rPr>
          <w:i/>
          <w:iCs/>
          <w:sz w:val="20"/>
          <w:szCs w:val="20"/>
        </w:rPr>
        <w:t>S</w:t>
      </w:r>
      <w:r w:rsidR="004D67F5">
        <w:rPr>
          <w:i/>
          <w:iCs/>
          <w:sz w:val="20"/>
          <w:szCs w:val="20"/>
        </w:rPr>
        <w:t xml:space="preserve">. </w:t>
      </w:r>
      <w:r w:rsidR="004D67F5" w:rsidRPr="00AD7CCE">
        <w:rPr>
          <w:i/>
          <w:iCs/>
          <w:sz w:val="20"/>
          <w:szCs w:val="20"/>
        </w:rPr>
        <w:t>D</w:t>
      </w:r>
      <w:r w:rsidR="004D67F5">
        <w:rPr>
          <w:i/>
          <w:iCs/>
          <w:sz w:val="20"/>
          <w:szCs w:val="20"/>
        </w:rPr>
        <w:t>olars</w:t>
      </w:r>
      <w:r w:rsidR="004D67F5" w:rsidRPr="00AD7CCE">
        <w:rPr>
          <w:i/>
          <w:iCs/>
          <w:sz w:val="20"/>
          <w:szCs w:val="20"/>
        </w:rPr>
        <w:t xml:space="preserve"> </w:t>
      </w:r>
      <w:r w:rsidR="004D67F5">
        <w:rPr>
          <w:i/>
          <w:iCs/>
          <w:sz w:val="20"/>
          <w:szCs w:val="20"/>
        </w:rPr>
        <w:t>and costs per dose of benzathine penicillin G 2.4 million units to updated to $568.</w:t>
      </w:r>
      <w:r w:rsidR="004D67F5">
        <w:rPr>
          <w:i/>
          <w:iCs/>
          <w:sz w:val="20"/>
          <w:szCs w:val="20"/>
        </w:rPr>
        <w:fldChar w:fldCharType="begin"/>
      </w:r>
      <w:r w:rsidR="00697E7F">
        <w:rPr>
          <w:i/>
          <w:iCs/>
          <w:sz w:val="20"/>
          <w:szCs w:val="20"/>
        </w:rPr>
        <w:instrText xml:space="preserve"> ADDIN ZOTERO_ITEM CSL_CITATION {"citationID":"62R9AWYU","properties":{"formattedCitation":"\\super 12,30\\nosupersub{}","plainCitation":"12,30","noteIndex":0},"citationItems":[{"id":10719,"uris":["http://zotero.org/users/1992989/items/AHNYXWHM"],"itemData":{"id":10719,"type":"webpage","abstract":"Apply for and manage the VA benefits and services you’ve earned as a Veteran, Servicemember, or family member—like health care, disability, education, and more.","genre":"General Information","language":"en","note":"Accepted: 20241119","title":"Federal supply schedule - pharmaceutical prices","URL":"https://www.va.gov/opal/nac/fss/pharmPrices.asp","author":[{"literal":"United States Department of Veterans Affairs."}],"accessed":{"date-parts":[["2024",11,20]]},"citation-key":"unitedstatesdepartmentofveteransaffairs.FederalSupplySchedule"}},{"id":10714,"uris":["http://zotero.org/users/1992989/items/B6WI5IZ3"],"itemData":{"id":10714,"type":"dataset","title":"Table 2.3.4. Price Indexes for Personal Consumption Expenditures by Major Type of Product","URL":"https://apps.bea.gov/iTable/?reqid=19&amp;step=2&amp;isuri=1&amp;categories=survey&amp;_gl=1*1x07o8l*_ga*MTQ4MTA0MzYzOS4xNzMyNTQ0OTE5*_ga_J4698JNNFT*MTczMjY0MTgyOC40LjAuMTczMjY0MTgyOC42MC4wLjA.#eyJhcHBpZCI6MTksInN0ZXBzIjpbMSwyLDNdLCJkYXRhIjpbWyJjYXRlZ29yaWVzIiwiU3VydmV5Il0sWyJOSVBBX1RhYmxlX0xpc3QiLCI2NCJdXX0=","author":[{"literal":"U.S. Bureau of Economic Analysis"}],"accessed":{"date-parts":[["2024",11,26]]},"citation-key":"u.s.bureauofeconomicanalysisTable234Price"}}],"schema":"https://github.com/citation-style-language/schema/raw/master/csl-citation.json"} </w:instrText>
      </w:r>
      <w:r w:rsidR="004D67F5">
        <w:rPr>
          <w:i/>
          <w:iCs/>
          <w:sz w:val="20"/>
          <w:szCs w:val="20"/>
        </w:rPr>
        <w:fldChar w:fldCharType="separate"/>
      </w:r>
      <w:r w:rsidR="009869A0" w:rsidRPr="009869A0">
        <w:rPr>
          <w:rFonts w:ascii="Calibri" w:hAnsi="Calibri" w:cs="Calibri"/>
          <w:kern w:val="0"/>
          <w:sz w:val="20"/>
          <w:vertAlign w:val="superscript"/>
        </w:rPr>
        <w:t>12,30</w:t>
      </w:r>
      <w:r w:rsidR="004D67F5">
        <w:rPr>
          <w:i/>
          <w:iCs/>
          <w:sz w:val="20"/>
          <w:szCs w:val="20"/>
        </w:rPr>
        <w:fldChar w:fldCharType="end"/>
      </w:r>
    </w:p>
    <w:p w14:paraId="6F0E3716" w14:textId="77777777" w:rsidR="00E70545" w:rsidRDefault="00E70545" w:rsidP="00E70545">
      <w:pPr>
        <w:spacing w:after="0"/>
        <w:rPr>
          <w:i/>
          <w:iCs/>
          <w:sz w:val="18"/>
          <w:szCs w:val="18"/>
        </w:rPr>
      </w:pPr>
      <w:r w:rsidRPr="00E70545">
        <w:rPr>
          <w:i/>
          <w:iCs/>
          <w:sz w:val="18"/>
          <w:szCs w:val="18"/>
        </w:rPr>
        <w:t>*Adjusted by the probability of being alive and infected after 30+ years of in</w:t>
      </w:r>
      <w:r>
        <w:rPr>
          <w:i/>
          <w:iCs/>
          <w:sz w:val="18"/>
          <w:szCs w:val="18"/>
        </w:rPr>
        <w:t>i</w:t>
      </w:r>
      <w:r w:rsidRPr="00E70545">
        <w:rPr>
          <w:i/>
          <w:iCs/>
          <w:sz w:val="18"/>
          <w:szCs w:val="18"/>
        </w:rPr>
        <w:t>tial infection, 3.3%</w:t>
      </w:r>
      <w:r>
        <w:rPr>
          <w:i/>
          <w:iCs/>
          <w:sz w:val="18"/>
          <w:szCs w:val="18"/>
        </w:rPr>
        <w:t>.</w:t>
      </w:r>
    </w:p>
    <w:p w14:paraId="7C823687" w14:textId="2ACDF026" w:rsidR="00E70545" w:rsidRDefault="00E70545" w:rsidP="00DE21B3">
      <w:pPr>
        <w:rPr>
          <w:i/>
          <w:iCs/>
          <w:sz w:val="18"/>
          <w:szCs w:val="18"/>
        </w:rPr>
      </w:pPr>
      <w:r>
        <w:rPr>
          <w:i/>
          <w:iCs/>
          <w:sz w:val="18"/>
          <w:szCs w:val="18"/>
        </w:rPr>
        <w:t>Mean costs, Lower bound, and upper bound, correspond to the costs updated to 2024 U</w:t>
      </w:r>
      <w:r w:rsidR="00552A1D">
        <w:rPr>
          <w:i/>
          <w:iCs/>
          <w:sz w:val="18"/>
          <w:szCs w:val="18"/>
        </w:rPr>
        <w:t>.</w:t>
      </w:r>
      <w:r>
        <w:rPr>
          <w:i/>
          <w:iCs/>
          <w:sz w:val="18"/>
          <w:szCs w:val="18"/>
        </w:rPr>
        <w:t>S</w:t>
      </w:r>
      <w:r w:rsidR="00552A1D">
        <w:rPr>
          <w:i/>
          <w:iCs/>
          <w:sz w:val="18"/>
          <w:szCs w:val="18"/>
        </w:rPr>
        <w:t xml:space="preserve">. </w:t>
      </w:r>
      <w:r>
        <w:rPr>
          <w:i/>
          <w:iCs/>
          <w:sz w:val="18"/>
          <w:szCs w:val="18"/>
        </w:rPr>
        <w:t>D</w:t>
      </w:r>
      <w:r w:rsidR="00552A1D">
        <w:rPr>
          <w:i/>
          <w:iCs/>
          <w:sz w:val="18"/>
          <w:szCs w:val="18"/>
        </w:rPr>
        <w:t>ollars</w:t>
      </w:r>
      <w:r>
        <w:rPr>
          <w:i/>
          <w:iCs/>
          <w:sz w:val="18"/>
          <w:szCs w:val="18"/>
        </w:rPr>
        <w:t xml:space="preserve"> and discounted (Table A).</w:t>
      </w:r>
    </w:p>
    <w:p w14:paraId="19FC41F6" w14:textId="18A196FE" w:rsidR="00E70545" w:rsidRDefault="009B0238" w:rsidP="00DE21B3">
      <w:r>
        <w:t>We estimated the costs of untreated in $1,</w:t>
      </w:r>
      <w:r w:rsidR="004D67F5">
        <w:t>470</w:t>
      </w:r>
      <w:r>
        <w:t xml:space="preserve"> (95%CI 7</w:t>
      </w:r>
      <w:r w:rsidR="004D67F5">
        <w:t>89</w:t>
      </w:r>
      <w:r>
        <w:t>, 3,</w:t>
      </w:r>
      <w:r w:rsidR="004D67F5">
        <w:t>513</w:t>
      </w:r>
      <w:r>
        <w:t>) per infection.</w:t>
      </w:r>
    </w:p>
    <w:p w14:paraId="588235A1" w14:textId="175F6A57" w:rsidR="00E70545" w:rsidRPr="00E70545" w:rsidRDefault="00E70545" w:rsidP="00DE21B3">
      <w:pPr>
        <w:sectPr w:rsidR="00E70545" w:rsidRPr="00E70545" w:rsidSect="00E70545">
          <w:pgSz w:w="15840" w:h="12240" w:orient="landscape"/>
          <w:pgMar w:top="1440" w:right="1440" w:bottom="1440" w:left="1440" w:header="720" w:footer="720" w:gutter="0"/>
          <w:lnNumType w:countBy="1" w:restart="continuous"/>
          <w:cols w:space="720"/>
          <w:docGrid w:linePitch="360"/>
        </w:sectPr>
      </w:pPr>
    </w:p>
    <w:p w14:paraId="26E76CAB" w14:textId="55F72373" w:rsidR="00DE21B3" w:rsidRPr="008D69F8" w:rsidRDefault="00DE21B3" w:rsidP="00DE21B3">
      <w:r w:rsidRPr="00EB4DC2">
        <w:rPr>
          <w:b/>
          <w:bCs/>
        </w:rPr>
        <w:lastRenderedPageBreak/>
        <w:t xml:space="preserve">Appendix </w:t>
      </w:r>
      <w:r w:rsidR="00BE1F62">
        <w:rPr>
          <w:b/>
          <w:bCs/>
        </w:rPr>
        <w:t>3</w:t>
      </w:r>
      <w:r>
        <w:rPr>
          <w:b/>
          <w:bCs/>
        </w:rPr>
        <w:t xml:space="preserve">. </w:t>
      </w:r>
      <w:r>
        <w:t>Economic burden of performing contact tracing on all identified syphilis cases, by population.</w:t>
      </w:r>
    </w:p>
    <w:p w14:paraId="1740A94D" w14:textId="14B9FF63" w:rsidR="00DE21B3" w:rsidRDefault="00DE21B3" w:rsidP="00DE21B3">
      <w:r>
        <w:t xml:space="preserve">Using the baseline results we calculated the monetary resources </w:t>
      </w:r>
      <w:r w:rsidRPr="007119B0">
        <w:t xml:space="preserve">required for </w:t>
      </w:r>
      <w:r>
        <w:t xml:space="preserve">contact tracing </w:t>
      </w:r>
      <w:r w:rsidRPr="007119B0">
        <w:t>of</w:t>
      </w:r>
      <w:r>
        <w:t xml:space="preserve"> all identified positive cases, </w:t>
      </w:r>
      <w:r w:rsidRPr="007119B0">
        <w:t>which is a key activity</w:t>
      </w:r>
      <w:r>
        <w:t xml:space="preserve"> performed by disease intervention specialists (DIS) </w:t>
      </w:r>
      <w:r w:rsidRPr="007119B0">
        <w:t>in</w:t>
      </w:r>
      <w:r>
        <w:t xml:space="preserve"> public health departments.</w:t>
      </w:r>
      <w:r>
        <w:fldChar w:fldCharType="begin"/>
      </w:r>
      <w:r w:rsidR="00697E7F">
        <w:instrText xml:space="preserve"> ADDIN ZOTERO_ITEM CSL_CITATION {"citationID":"vTyp7aaE","properties":{"formattedCitation":"\\super 31\\nosupersub{}","plainCitation":"31","noteIndex":0},"citationItems":[{"id":9996,"uris":["http://zotero.org/users/1992989/items/VWHLY6YZ"],"itemData":{"id":9996,"type":"article-journal","abstract":"Background\nPartner services have been a mainstay of public health sexually transmitted disease (STD) prevention programs for decades. The principal goals are to interrupt transmission and reduce STD morbidity and sequelae. In this paper, we review current literature with the goal of informing STD prevention programs.\n\nMethods\nWe searched the literature for systematic reviews. We found nine reviews published between 2005 and 2014 (covering 108 studies). The reviews varied by study inclusion criteria (e.g., study methods, geographic location, infections). We abstracted major conclusions and recommendations from the reviews.\n\nResults\nConclusions and recommendations were divided into patient referral interventions and provider referral interventions. For patient referral, there was evidence supporting the use of expedited partner therapy and interactive counseling, but not purely didactic instruction. Provider referral through Disease Intervention Specialists was efficacious and particularly well-supported for HIV. For other studies, modeling data and testing outcomes showed that partner notification in general reached high-prevalence populations. Reviews also suggested more focus on using technology and population-level implementation strategies. However, partner services may not be the most efficient means to reach infected persons.\n\nConclusions\nPartner services programs constitute a large proportion of program STD prevention activities. Value is maximized by balancing a portfolio of patient and provider referral interventions and by blending partner notification interventions with other STD prevention interventions in overall partner services program structure. STD prevention needs program-level research and development to generate this portfolio.","container-title":"Sexually transmitted diseases","DOI":"10.1097/OLQ.0000000000000328","ISSN":"0148-5717","issue":"0 0 1","journalAbbreviation":"Sex Transm Dis","note":"PMID: 26779688\nPMCID: PMC4717997","page":"S53-S62","source":"PubMed Central","title":"Partner Services in STD Prevention Programs: A Review","title-short":"Partner Services in STD Prevention Programs","volume":"43","author":[{"family":"Hogben","given":"Matthew"},{"family":"Collins","given":"Dayne"},{"family":"Hoots","given":"Brooke"},{"family":"O’Connor","given":"Kevin"}],"issued":{"date-parts":[["2016",2]]},"citation-key":"hogbenPartnerServicesSTD2016"}}],"schema":"https://github.com/citation-style-language/schema/raw/master/csl-citation.json"} </w:instrText>
      </w:r>
      <w:r>
        <w:fldChar w:fldCharType="separate"/>
      </w:r>
      <w:r w:rsidR="009869A0" w:rsidRPr="009869A0">
        <w:rPr>
          <w:rFonts w:ascii="Calibri" w:hAnsi="Calibri" w:cs="Calibri"/>
          <w:kern w:val="0"/>
          <w:vertAlign w:val="superscript"/>
        </w:rPr>
        <w:t>31</w:t>
      </w:r>
      <w:r>
        <w:fldChar w:fldCharType="end"/>
      </w:r>
      <w:r>
        <w:t xml:space="preserve"> For this analysis we</w:t>
      </w:r>
      <w:r w:rsidRPr="00C53746">
        <w:t xml:space="preserve"> </w:t>
      </w:r>
      <w:r w:rsidRPr="007119B0">
        <w:t>made certain assumptions:</w:t>
      </w:r>
      <w:r>
        <w:t xml:space="preserve"> 95% </w:t>
      </w:r>
      <w:r w:rsidR="00CB1B9E">
        <w:t xml:space="preserve">of </w:t>
      </w:r>
      <w:r w:rsidR="00CA7852">
        <w:t>pregnant women</w:t>
      </w:r>
      <w:r>
        <w:t xml:space="preserve"> will be willing to be interviewed,</w:t>
      </w:r>
      <w:r>
        <w:fldChar w:fldCharType="begin"/>
      </w:r>
      <w:r w:rsidR="00697E7F">
        <w:instrText xml:space="preserve"> ADDIN ZOTERO_ITEM CSL_CITATION {"citationID":"OLj48Zrd","properties":{"formattedCitation":"\\super 32\\nosupersub{}","plainCitation":"32","noteIndex":0},"citationItems":[{"id":9995,"uris":["http://zotero.org/users/1992989/items/3I6WX8HU"],"itemData":{"id":9995,"type":"article-journal","container-title":"Public Health Reports","DOI":"10.1177/0033354918813549","ISSN":"0033-3549","issue":"1","journalAbbreviation":"Public Health Rep","note":"PMID: 30500306\nPMCID: PMC6304721","page":"11-16","source":"PubMed Central","title":"The Changing Role of Disease Intervention Specialists in Modern Public Health Programs","volume":"134","author":[{"family":"Cope","given":"Anna B."},{"family":"Mobley","given":"Victoria L."},{"family":"Samoff","given":"Erika"},{"family":"O’Connor","given":"Kevin"},{"family":"Peterman","given":"Thomas A."}],"issued":{"date-parts":[["2018",11,30]]},"citation-key":"copeChangingRoleDisease2018"}}],"schema":"https://github.com/citation-style-language/schema/raw/master/csl-citation.json"} </w:instrText>
      </w:r>
      <w:r>
        <w:fldChar w:fldCharType="separate"/>
      </w:r>
      <w:r w:rsidR="009869A0" w:rsidRPr="009869A0">
        <w:rPr>
          <w:rFonts w:ascii="Calibri" w:hAnsi="Calibri" w:cs="Calibri"/>
          <w:kern w:val="0"/>
          <w:vertAlign w:val="superscript"/>
        </w:rPr>
        <w:t>32</w:t>
      </w:r>
      <w:r>
        <w:fldChar w:fldCharType="end"/>
      </w:r>
      <w:r>
        <w:t xml:space="preserve"> each case provided an average of 1.1 named contacts,</w:t>
      </w:r>
      <w:r>
        <w:fldChar w:fldCharType="begin"/>
      </w:r>
      <w:r w:rsidR="00697E7F">
        <w:instrText xml:space="preserve"> ADDIN ZOTERO_ITEM CSL_CITATION {"citationID":"IPWGkgy1","properties":{"formattedCitation":"\\super 33\\nosupersub{}","plainCitation":"33","noteIndex":0},"citationItems":[{"id":10068,"uris":["http://zotero.org/users/1992989/items/IH6GNKZT"],"itemData":{"id":10068,"type":"article-journal","abstract":"Background\nThe relative effectiveness of in-person versus telephone interviews for HIV/STD partner services (PS) is uncertain.\n\nMethods\nWe compared outcomes of in-person versus telephone PS interviews for early syphilis (ES) and newly diagnosed HIV in King County, Washington from 2010-2014. We used multivariable Poisson regression to evaluate indices (number of partners per original patient (OP)) for partners named, notified, tested, diagnosed, and treated (ES only). Analyses controlled for OP age, gender, race/ethnicity, sexual orientation, time to interview, place of diagnosis, and staff performing interviews.\n\nResults\nFor ES, 682 and 646 OPs underwent in-person and telephone interviews, respectively. In-person syphilis PS were associated with higher indices of partners named (in-person index [IPI]=3.43, telephone index [TI]=2.06, aRR=1.68 [95% CI=1.55-1.82]), notified (IPI=1.70, TI=1.13, aRR=1.39 [1.24-1.56]), tested (IPI=1.15, TI=0.72, aRR=1.34 [1.16-1.54]), and empirically treated (IPI=1.03, TI=0.74, aRR=1.19 [1.03-1.37]) but no difference in infected partners treated (IPI=0.28, TI=0.24, aRR=0.93 [0.72-1.21]). For HIV, 358 and 489 OPs underwent in-person and telephone interviews, respectively. In-person HIV PS were associated with higher indices of partners named (IPI=1.87, TI=1.28, aRR=1.38 [1.18-1.62]), notified (IPI=1.38, TI=0.92, aRR=1.24 [1.03-1.50]), and newly diagnosed with HIV (IPI=0.10, TI=0.05, aRR=2.17 [1.04-4.50]) but no difference in partners tested (IPI=0.61, TI=0.48, aRR=1.15 [0.88-1.52]).\n\nConclusions\nAlthough in-person syphilis PS were associated with some increased PS indices, they did not increase the treatment of infected partners. In contrast, in-person HIV PS resulted in increased HIV case finding. These data support prioritizing in-person PS for HIV and suggest that in-person PS for syphilis may not have major public health benefit.","container-title":"Sexually transmitted diseases","DOI":"10.1097/OLQ.0000000000000583","ISSN":"0148-5717","issue":"4","journalAbbreviation":"Sex Transm Dis","note":"PMID: 28282653\nPMCID: PMC5347458","page":"249-254","source":"PubMed Central","title":"Comparison of In-Person Versus Telephone Interviews for Early Syphilis and HIV Partner Services in King County, Washington (2010-2014)","volume":"44","author":[{"family":"Heumann","given":"Christine L."},{"family":"Katz","given":"David A."},{"family":"Dombrowski","given":"Julia C."},{"family":"Bennett","given":"Amy B."},{"family":"Manhart","given":"Lisa E."},{"family":"Golden","given":"Matthew R."}],"issued":{"date-parts":[["2017",4]]},"citation-key":"heumannComparisonInPersonTelephone2017"}}],"schema":"https://github.com/citation-style-language/schema/raw/master/csl-citation.json"} </w:instrText>
      </w:r>
      <w:r>
        <w:fldChar w:fldCharType="separate"/>
      </w:r>
      <w:r w:rsidR="009869A0" w:rsidRPr="009869A0">
        <w:rPr>
          <w:rFonts w:ascii="Calibri" w:hAnsi="Calibri" w:cs="Calibri"/>
          <w:kern w:val="0"/>
          <w:vertAlign w:val="superscript"/>
        </w:rPr>
        <w:t>33</w:t>
      </w:r>
      <w:r>
        <w:fldChar w:fldCharType="end"/>
      </w:r>
      <w:r>
        <w:t xml:space="preserve"> and the average time spent with each interviewee is </w:t>
      </w:r>
      <w:r w:rsidRPr="00FF2CFD">
        <w:t>1.5 hours</w:t>
      </w:r>
      <w:r w:rsidRPr="007119B0">
        <w:t>.</w:t>
      </w:r>
      <w:r>
        <w:fldChar w:fldCharType="begin"/>
      </w:r>
      <w:r w:rsidR="00697E7F">
        <w:instrText xml:space="preserve"> ADDIN ZOTERO_ITEM CSL_CITATION {"citationID":"BgpsoqYK","properties":{"formattedCitation":"\\super 34\\nosupersub{}","plainCitation":"34","noteIndex":0},"citationItems":[{"id":10066,"uris":["http://zotero.org/users/1992989/items/BJ26WUD3"],"itemData":{"id":10066,"type":"article-journal","abstract":"Cost assessment of partner services for STDs found high variability in\nactivities and costs across Washington State health jurisdictions. HIV\nprevention and treatment interventions had minimal impact on program costs.","container-title":"Sexually transmitted diseases","DOI":"10.1097/OLQ.0000000000001010","ISSN":"0148-5717","issue":"8","journalAbbreviation":"Sex Transm Dis","note":"PMID: 31295215\nPMCID: PMC6636340","page":"493-501","source":"PubMed Central","title":"STD Partner Services Costs, other Resources, and Strategies across Jurisdictions to Address Unique Epidemic Characteristics and Increased Incidence","volume":"46","author":[{"family":"Silverman","given":"Rachel A."},{"family":"Katz","given":"David A."},{"family":"Levin","given":"Carol"},{"family":"Bell","given":"Teal R."},{"family":"Spellman","given":"Dawn"},{"family":"St. John","given":"Lisa"},{"family":"Rodriguez","given":"Evelyn Manley"},{"family":"Golden","given":"Matthew R."},{"family":"Barnabas","given":"Ruanne V."}],"issued":{"date-parts":[["2019",8]]},"citation-key":"silvermanSTDPartnerServices2019"}}],"schema":"https://github.com/citation-style-language/schema/raw/master/csl-citation.json"} </w:instrText>
      </w:r>
      <w:r>
        <w:fldChar w:fldCharType="separate"/>
      </w:r>
      <w:r w:rsidR="009869A0" w:rsidRPr="009869A0">
        <w:rPr>
          <w:rFonts w:ascii="Calibri" w:hAnsi="Calibri" w:cs="Calibri"/>
          <w:kern w:val="0"/>
          <w:vertAlign w:val="superscript"/>
        </w:rPr>
        <w:t>34</w:t>
      </w:r>
      <w:r>
        <w:fldChar w:fldCharType="end"/>
      </w:r>
      <w:r w:rsidRPr="0042779C">
        <w:t xml:space="preserve"> </w:t>
      </w:r>
      <w:r>
        <w:t xml:space="preserve">From these </w:t>
      </w:r>
      <w:r w:rsidRPr="007119B0">
        <w:t xml:space="preserve">assumptions </w:t>
      </w:r>
      <w:r>
        <w:t xml:space="preserve">we calculated the average time a DIS </w:t>
      </w:r>
      <w:r w:rsidRPr="007119B0">
        <w:t>would</w:t>
      </w:r>
      <w:r>
        <w:t xml:space="preserve"> spend conducting contact tracing per cas</w:t>
      </w:r>
      <w:r w:rsidRPr="0059077B">
        <w:t>e</w:t>
      </w:r>
      <w:r>
        <w:t xml:space="preserve"> and converted into monetary values using the national average annual DIS salary</w:t>
      </w:r>
      <w:r w:rsidR="005340AD">
        <w:t xml:space="preserve"> and monetary benefits (e.g., tips and cash bonus), $</w:t>
      </w:r>
      <w:r>
        <w:t>51,188</w:t>
      </w:r>
      <w:r w:rsidRPr="007119B0">
        <w:t>.</w:t>
      </w:r>
      <w:r>
        <w:fldChar w:fldCharType="begin"/>
      </w:r>
      <w:r w:rsidR="00697E7F">
        <w:instrText xml:space="preserve"> ADDIN ZOTERO_ITEM CSL_CITATION {"citationID":"2GAEQDH9","properties":{"formattedCitation":"\\super 35\\nosupersub{}","plainCitation":"35","noteIndex":0},"citationItems":[{"id":10001,"uris":["http://zotero.org/users/1992989/items/TTV8AE7M"],"itemData":{"id":10001,"type":"webpage","title":"Disease Intervention Specialist Salary","URL":"https://www.erieri.com/salary/job/disease-intervention-specialist/united-states","author":[{"literal":"Economic Research Institute"}],"accessed":{"date-parts":[["2024",5,28]]},"citation-key":"economicresearchinstituteDiseaseInterventionSpecialist"}}],"schema":"https://github.com/citation-style-language/schema/raw/master/csl-citation.json"} </w:instrText>
      </w:r>
      <w:r>
        <w:fldChar w:fldCharType="separate"/>
      </w:r>
      <w:r w:rsidR="009869A0" w:rsidRPr="009869A0">
        <w:rPr>
          <w:rFonts w:ascii="Calibri" w:hAnsi="Calibri" w:cs="Calibri"/>
          <w:kern w:val="0"/>
          <w:vertAlign w:val="superscript"/>
        </w:rPr>
        <w:t>35</w:t>
      </w:r>
      <w:r>
        <w:fldChar w:fldCharType="end"/>
      </w:r>
      <w:r>
        <w:t xml:space="preserve"> Thus</w:t>
      </w:r>
      <w:r w:rsidRPr="007119B0">
        <w:t xml:space="preserve">, we determined </w:t>
      </w:r>
      <w:r>
        <w:t xml:space="preserve">the resources needed for each algorithm and population group, </w:t>
      </w:r>
      <w:r w:rsidRPr="007119B0">
        <w:t>categorizing them i</w:t>
      </w:r>
      <w:r w:rsidRPr="0042779C">
        <w:t>nto</w:t>
      </w:r>
      <w:r>
        <w:t xml:space="preserve"> true positive and false positive cases.</w:t>
      </w:r>
    </w:p>
    <w:p w14:paraId="26ABA5E6" w14:textId="68E83D4D" w:rsidR="00DE21B3" w:rsidRDefault="00DE21B3" w:rsidP="00DE21B3">
      <w:r>
        <w:t xml:space="preserve">We found that following </w:t>
      </w:r>
      <w:r w:rsidR="231B7D0E">
        <w:t xml:space="preserve">up </w:t>
      </w:r>
      <w:r>
        <w:t>case</w:t>
      </w:r>
      <w:r w:rsidR="79C7D0BE">
        <w:t>s</w:t>
      </w:r>
      <w:r>
        <w:t xml:space="preserve"> identifi</w:t>
      </w:r>
      <w:r w:rsidR="0466AC63">
        <w:t>ed</w:t>
      </w:r>
      <w:r>
        <w:t xml:space="preserve"> by the reverse sequence algorithm would </w:t>
      </w:r>
      <w:r w:rsidR="22E5E1F4">
        <w:t>cost</w:t>
      </w:r>
      <w:r>
        <w:t xml:space="preserve"> twice as much compared to the traditional algorithm</w:t>
      </w:r>
      <w:r w:rsidR="00CB1B9E">
        <w:t xml:space="preserve">, </w:t>
      </w:r>
      <w:r>
        <w:t xml:space="preserve">$47,094 vs. $26,247 (Figure A). However, when considering contact tracing of true positive cases only, there were minimal differences </w:t>
      </w:r>
      <w:r w:rsidR="00CB1B9E">
        <w:t xml:space="preserve">across </w:t>
      </w:r>
      <w:r>
        <w:t>algorithms. The significant disparity lies in resources allocated for follow-up with false positive cases, where there was a two-fold difference. Therefore, implementing the reverse sequence algorithm led to a much less efficient use of DIS resources.</w:t>
      </w:r>
    </w:p>
    <w:p w14:paraId="22082181" w14:textId="77777777" w:rsidR="00DE21B3" w:rsidRDefault="00DE21B3" w:rsidP="00DE21B3">
      <w:r w:rsidRPr="00EB4DC2">
        <w:rPr>
          <w:b/>
          <w:bCs/>
        </w:rPr>
        <w:t>Figure A.</w:t>
      </w:r>
      <w:r>
        <w:t xml:space="preserve"> Resources needed for disease intervention specialists (DIS) to conduct contact-tracing activities based on the number of positive cases identified by each of the syphilis screening algorithms.</w:t>
      </w:r>
    </w:p>
    <w:p w14:paraId="2CFA0724" w14:textId="3084AB3C" w:rsidR="00DE21B3" w:rsidRDefault="00CB1B9E" w:rsidP="00DE21B3">
      <w:pPr>
        <w:pStyle w:val="NormalWeb"/>
        <w:jc w:val="center"/>
      </w:pPr>
      <w:r>
        <w:rPr>
          <w:noProof/>
        </w:rPr>
        <w:drawing>
          <wp:inline distT="0" distB="0" distL="0" distR="0" wp14:anchorId="45E46F45" wp14:editId="22300213">
            <wp:extent cx="3863340" cy="3863340"/>
            <wp:effectExtent l="0" t="0" r="3810" b="3810"/>
            <wp:docPr id="1614221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3340" cy="3863340"/>
                    </a:xfrm>
                    <a:prstGeom prst="rect">
                      <a:avLst/>
                    </a:prstGeom>
                    <a:noFill/>
                    <a:ln>
                      <a:noFill/>
                    </a:ln>
                  </pic:spPr>
                </pic:pic>
              </a:graphicData>
            </a:graphic>
          </wp:inline>
        </w:drawing>
      </w:r>
    </w:p>
    <w:p w14:paraId="2EE60DE2" w14:textId="71F12784" w:rsidR="004A0B2B" w:rsidRPr="004A0B2B" w:rsidRDefault="00DE21B3">
      <w:r w:rsidRPr="00D96929">
        <w:rPr>
          <w:i/>
          <w:iCs/>
          <w:sz w:val="20"/>
          <w:szCs w:val="20"/>
        </w:rPr>
        <w:t>Costs are expressed in  2024 U</w:t>
      </w:r>
      <w:r w:rsidR="008806CD">
        <w:rPr>
          <w:i/>
          <w:iCs/>
          <w:sz w:val="20"/>
          <w:szCs w:val="20"/>
        </w:rPr>
        <w:t>.</w:t>
      </w:r>
      <w:r w:rsidRPr="00D96929">
        <w:rPr>
          <w:i/>
          <w:iCs/>
          <w:sz w:val="20"/>
          <w:szCs w:val="20"/>
        </w:rPr>
        <w:t>S</w:t>
      </w:r>
      <w:r w:rsidR="008806CD">
        <w:rPr>
          <w:i/>
          <w:iCs/>
          <w:sz w:val="20"/>
          <w:szCs w:val="20"/>
        </w:rPr>
        <w:t>.</w:t>
      </w:r>
      <w:r w:rsidR="00DE6555">
        <w:rPr>
          <w:i/>
          <w:iCs/>
          <w:sz w:val="20"/>
          <w:szCs w:val="20"/>
        </w:rPr>
        <w:t xml:space="preserve"> </w:t>
      </w:r>
      <w:r w:rsidRPr="00D96929">
        <w:rPr>
          <w:i/>
          <w:iCs/>
          <w:sz w:val="20"/>
          <w:szCs w:val="20"/>
        </w:rPr>
        <w:t>D</w:t>
      </w:r>
      <w:r w:rsidR="008806CD">
        <w:rPr>
          <w:i/>
          <w:iCs/>
          <w:sz w:val="20"/>
          <w:szCs w:val="20"/>
        </w:rPr>
        <w:t>ollars</w:t>
      </w:r>
      <w:r w:rsidRPr="00D96929">
        <w:rPr>
          <w:i/>
          <w:iCs/>
          <w:sz w:val="20"/>
          <w:szCs w:val="20"/>
        </w:rPr>
        <w:t>.</w:t>
      </w:r>
      <w:r w:rsidR="00541525">
        <w:rPr>
          <w:i/>
          <w:iCs/>
          <w:sz w:val="20"/>
          <w:szCs w:val="20"/>
        </w:rPr>
        <w:t xml:space="preserve"> Values are </w:t>
      </w:r>
      <w:r w:rsidR="00CD284A">
        <w:rPr>
          <w:i/>
          <w:iCs/>
          <w:sz w:val="20"/>
          <w:szCs w:val="20"/>
        </w:rPr>
        <w:t xml:space="preserve">rounded </w:t>
      </w:r>
      <w:r w:rsidR="00541525">
        <w:rPr>
          <w:i/>
          <w:iCs/>
          <w:sz w:val="20"/>
          <w:szCs w:val="20"/>
        </w:rPr>
        <w:t xml:space="preserve"> to the nearest integer.</w:t>
      </w:r>
    </w:p>
    <w:p w14:paraId="5517D32A" w14:textId="1F9FBAA9" w:rsidR="00DE21B3" w:rsidRPr="00976930" w:rsidRDefault="00DE21B3" w:rsidP="00DE21B3">
      <w:pPr>
        <w:rPr>
          <w:kern w:val="0"/>
          <w14:ligatures w14:val="none"/>
        </w:rPr>
      </w:pPr>
      <w:r w:rsidRPr="00EB4DC2">
        <w:rPr>
          <w:b/>
          <w:bCs/>
        </w:rPr>
        <w:lastRenderedPageBreak/>
        <w:t xml:space="preserve">Appendix </w:t>
      </w:r>
      <w:r w:rsidR="009C6313">
        <w:rPr>
          <w:b/>
          <w:bCs/>
        </w:rPr>
        <w:t>4</w:t>
      </w:r>
      <w:r>
        <w:rPr>
          <w:b/>
          <w:bCs/>
        </w:rPr>
        <w:t xml:space="preserve">. </w:t>
      </w:r>
      <w:r w:rsidRPr="00976930">
        <w:t>Threshold analysis on the RPR test costs</w:t>
      </w:r>
      <w:r w:rsidR="000A4756" w:rsidRPr="000A4756">
        <w:t xml:space="preserve"> to further </w:t>
      </w:r>
      <w:r w:rsidR="000A4756" w:rsidRPr="000A4756">
        <w:rPr>
          <w:kern w:val="0"/>
          <w14:ligatures w14:val="none"/>
        </w:rPr>
        <w:t>investigate the potential of the reverse sequence algorithm to be cost-effective.</w:t>
      </w:r>
    </w:p>
    <w:p w14:paraId="05BFCE2B" w14:textId="77777777" w:rsidR="00B55089" w:rsidRDefault="00B55089" w:rsidP="00DE21B3"/>
    <w:p w14:paraId="2A782831" w14:textId="1D0FE48E" w:rsidR="00CB1B9E" w:rsidRDefault="00DE21B3" w:rsidP="00DE21B3">
      <w:r>
        <w:t xml:space="preserve">We performed a threshold analysis to determine the minimum rapid plasma regain (RPR) test cost required for the reverse sequence algorithm to be considered cost-effective. This analysis helps identify the level at which the reverse sequence algorithm becomes favorable compared to the traditional algorithm. </w:t>
      </w:r>
    </w:p>
    <w:p w14:paraId="0E0CDC96" w14:textId="6571FC7D" w:rsidR="00DE21B3" w:rsidRDefault="00DE21B3" w:rsidP="00DE21B3">
      <w:r>
        <w:t>We found that a cost of $</w:t>
      </w:r>
      <w:r w:rsidR="0082692C">
        <w:t xml:space="preserve">60 </w:t>
      </w:r>
      <w:r w:rsidR="626B2826">
        <w:t xml:space="preserve">per test </w:t>
      </w:r>
      <w:r>
        <w:t xml:space="preserve">would generate the necessary conditions for the reverse sequence algorithm to be cost-effective compared to the traditional algorithm. </w:t>
      </w:r>
      <w:r w:rsidR="00676C7A">
        <w:t xml:space="preserve">This </w:t>
      </w:r>
      <w:r>
        <w:t xml:space="preserve">cost </w:t>
      </w:r>
      <w:r w:rsidR="00676C7A">
        <w:t xml:space="preserve">is </w:t>
      </w:r>
      <w:r>
        <w:t>many times higher than the base cost of $6 per RPR test (Table 1).</w:t>
      </w:r>
    </w:p>
    <w:p w14:paraId="4DC6A130" w14:textId="77777777" w:rsidR="00676C7A" w:rsidRDefault="00676C7A">
      <w:pPr>
        <w:rPr>
          <w:b/>
          <w:bCs/>
        </w:rPr>
      </w:pPr>
      <w:r>
        <w:rPr>
          <w:b/>
          <w:bCs/>
        </w:rPr>
        <w:br w:type="page"/>
      </w:r>
    </w:p>
    <w:p w14:paraId="1BBCC6B5" w14:textId="1FD56FE4" w:rsidR="00531821" w:rsidRPr="00976930" w:rsidRDefault="00531821" w:rsidP="00531821">
      <w:r w:rsidRPr="00531821">
        <w:rPr>
          <w:b/>
          <w:bCs/>
        </w:rPr>
        <w:lastRenderedPageBreak/>
        <w:t xml:space="preserve">Appendix 5. </w:t>
      </w:r>
      <w:r w:rsidRPr="00976930">
        <w:t xml:space="preserve">Results of the probabilistic sensitivity analysis (PSA) comparing the Reverse </w:t>
      </w:r>
      <w:r>
        <w:t>s</w:t>
      </w:r>
      <w:r w:rsidRPr="00976930">
        <w:t xml:space="preserve">equence and Traditional </w:t>
      </w:r>
      <w:r>
        <w:t xml:space="preserve">algorithms for </w:t>
      </w:r>
      <w:r w:rsidRPr="00976930">
        <w:t xml:space="preserve">syphilis screening </w:t>
      </w:r>
      <w:r w:rsidR="00160615">
        <w:t xml:space="preserve">and </w:t>
      </w:r>
      <w:r w:rsidRPr="00976930">
        <w:t>congenital syphilis prevention among pregnant women receiving prenatal care (PNC). The figure displays 1,000 simulations of the incremental differences in quality-adjusted life years (QALYs) (x-axis) and costs (y-axis).</w:t>
      </w:r>
    </w:p>
    <w:p w14:paraId="3C80D322" w14:textId="1EFF04BB" w:rsidR="00531821" w:rsidRPr="00531821" w:rsidRDefault="00531821" w:rsidP="00531821">
      <w:r w:rsidRPr="00976930">
        <w:t xml:space="preserve">All points fall in the northeast (first) quadrant, indicating that the Reverse </w:t>
      </w:r>
      <w:r w:rsidR="00160615">
        <w:t>s</w:t>
      </w:r>
      <w:r w:rsidRPr="00976930">
        <w:t xml:space="preserve">equence algorithm is both more costly and more effective than the Traditional algorithm. The red line denotes a $50,000 per QALY gained cost-effectiveness threshold, used </w:t>
      </w:r>
      <w:r w:rsidR="00160615">
        <w:t xml:space="preserve">in this study </w:t>
      </w:r>
      <w:r w:rsidRPr="00976930">
        <w:t>for illustrative purposes. In 979 of 1,000 simulations (9</w:t>
      </w:r>
      <w:r w:rsidR="00160615">
        <w:t>8</w:t>
      </w:r>
      <w:r w:rsidRPr="00976930">
        <w:t xml:space="preserve">%), the Reverse </w:t>
      </w:r>
      <w:r w:rsidR="00160615">
        <w:t>s</w:t>
      </w:r>
      <w:r w:rsidRPr="00976930">
        <w:t>equence yielded an incremental cost-effectiveness ratio (ICER) exceeding this threshold (i.e., plotted above the red line), suggesting it would not be considered cost-effective under this benchmark in most scenarios.</w:t>
      </w:r>
    </w:p>
    <w:p w14:paraId="0FEE1C84" w14:textId="5133A209" w:rsidR="00531821" w:rsidRPr="00976930" w:rsidRDefault="00531821">
      <w:r>
        <w:rPr>
          <w:noProof/>
        </w:rPr>
        <w:drawing>
          <wp:inline distT="0" distB="0" distL="0" distR="0" wp14:anchorId="6E184A06" wp14:editId="763FD671">
            <wp:extent cx="5374888" cy="5374888"/>
            <wp:effectExtent l="0" t="0" r="0" b="0"/>
            <wp:docPr id="1271708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75824" cy="5375824"/>
                    </a:xfrm>
                    <a:prstGeom prst="rect">
                      <a:avLst/>
                    </a:prstGeom>
                    <a:noFill/>
                    <a:ln>
                      <a:noFill/>
                    </a:ln>
                  </pic:spPr>
                </pic:pic>
              </a:graphicData>
            </a:graphic>
          </wp:inline>
        </w:drawing>
      </w:r>
      <w:r>
        <w:t xml:space="preserve"> </w:t>
      </w:r>
      <w:r>
        <w:rPr>
          <w:b/>
          <w:bCs/>
        </w:rPr>
        <w:br w:type="page"/>
      </w:r>
    </w:p>
    <w:p w14:paraId="7775BED8" w14:textId="7F0F4E56" w:rsidR="004E3F8D" w:rsidRDefault="00D96929" w:rsidP="004A0B2B">
      <w:r w:rsidRPr="74C6B0DB">
        <w:rPr>
          <w:b/>
          <w:bCs/>
        </w:rPr>
        <w:lastRenderedPageBreak/>
        <w:t xml:space="preserve">Appendix </w:t>
      </w:r>
      <w:r w:rsidR="00531821">
        <w:rPr>
          <w:b/>
          <w:bCs/>
        </w:rPr>
        <w:t>6</w:t>
      </w:r>
      <w:r w:rsidRPr="74C6B0DB">
        <w:rPr>
          <w:b/>
          <w:bCs/>
        </w:rPr>
        <w:t>.</w:t>
      </w:r>
      <w:r>
        <w:t xml:space="preserve"> Treatment costs accrued by the </w:t>
      </w:r>
      <w:r w:rsidR="1793C164">
        <w:t>r</w:t>
      </w:r>
      <w:r>
        <w:t xml:space="preserve">everse </w:t>
      </w:r>
      <w:r w:rsidR="78D274E6">
        <w:t xml:space="preserve">sequence </w:t>
      </w:r>
      <w:r>
        <w:t xml:space="preserve">and </w:t>
      </w:r>
      <w:r w:rsidR="7F35A828">
        <w:t>t</w:t>
      </w:r>
      <w:r>
        <w:t xml:space="preserve">raditional algorithms for syphilis screening, broken down into stages of infection and false positive cases, among </w:t>
      </w:r>
      <w:r w:rsidR="00CA7852">
        <w:t>pregnant women</w:t>
      </w:r>
      <w:r w:rsidR="004C1BB8">
        <w:t xml:space="preserve"> in prenatal care (PNC)</w:t>
      </w:r>
      <w:r>
        <w:t>.</w:t>
      </w:r>
    </w:p>
    <w:p w14:paraId="16F43863" w14:textId="093D3195" w:rsidR="0082692C" w:rsidRDefault="000D107F" w:rsidP="004A0B2B">
      <w:pPr>
        <w:rPr>
          <w:noProof/>
        </w:rPr>
      </w:pPr>
      <w:r>
        <w:rPr>
          <w:noProof/>
        </w:rPr>
        <w:lastRenderedPageBreak/>
        <w:drawing>
          <wp:inline distT="0" distB="0" distL="0" distR="0" wp14:anchorId="18B406F8" wp14:editId="3545F18D">
            <wp:extent cx="5539740" cy="5539740"/>
            <wp:effectExtent l="0" t="0" r="3810" b="3810"/>
            <wp:docPr id="391063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9740" cy="5539740"/>
                    </a:xfrm>
                    <a:prstGeom prst="rect">
                      <a:avLst/>
                    </a:prstGeom>
                    <a:noFill/>
                    <a:ln>
                      <a:noFill/>
                    </a:ln>
                  </pic:spPr>
                </pic:pic>
              </a:graphicData>
            </a:graphic>
          </wp:inline>
        </w:drawing>
      </w:r>
    </w:p>
    <w:p w14:paraId="0050906C" w14:textId="77777777" w:rsidR="00D96929" w:rsidRPr="00D96929" w:rsidRDefault="00D96929" w:rsidP="00D96929">
      <w:pPr>
        <w:rPr>
          <w:i/>
          <w:iCs/>
          <w:sz w:val="20"/>
          <w:szCs w:val="20"/>
        </w:rPr>
      </w:pPr>
      <w:r w:rsidRPr="00D96929">
        <w:rPr>
          <w:i/>
          <w:iCs/>
          <w:sz w:val="20"/>
          <w:szCs w:val="20"/>
        </w:rPr>
        <w:t>Labels shown for the two main categories in each bar, treatment costs for false positive and late latent cases.</w:t>
      </w:r>
    </w:p>
    <w:p w14:paraId="435F374E" w14:textId="7ED9453D" w:rsidR="00D96929" w:rsidRDefault="00D96929" w:rsidP="00D96929">
      <w:pPr>
        <w:rPr>
          <w:i/>
          <w:iCs/>
          <w:sz w:val="20"/>
          <w:szCs w:val="20"/>
        </w:rPr>
      </w:pPr>
      <w:r w:rsidRPr="00D96929">
        <w:rPr>
          <w:i/>
          <w:iCs/>
          <w:sz w:val="20"/>
          <w:szCs w:val="20"/>
        </w:rPr>
        <w:t>Costs are expressed in 2024 U</w:t>
      </w:r>
      <w:r w:rsidR="0082692C">
        <w:rPr>
          <w:i/>
          <w:iCs/>
          <w:sz w:val="20"/>
          <w:szCs w:val="20"/>
        </w:rPr>
        <w:t>.</w:t>
      </w:r>
      <w:r w:rsidRPr="00D96929">
        <w:rPr>
          <w:i/>
          <w:iCs/>
          <w:sz w:val="20"/>
          <w:szCs w:val="20"/>
        </w:rPr>
        <w:t>S</w:t>
      </w:r>
      <w:r w:rsidR="0082692C">
        <w:rPr>
          <w:i/>
          <w:iCs/>
          <w:sz w:val="20"/>
          <w:szCs w:val="20"/>
        </w:rPr>
        <w:t xml:space="preserve">. </w:t>
      </w:r>
      <w:r w:rsidRPr="00D96929">
        <w:rPr>
          <w:i/>
          <w:iCs/>
          <w:sz w:val="20"/>
          <w:szCs w:val="20"/>
        </w:rPr>
        <w:t>D</w:t>
      </w:r>
      <w:r w:rsidR="0082692C">
        <w:rPr>
          <w:i/>
          <w:iCs/>
          <w:sz w:val="20"/>
          <w:szCs w:val="20"/>
        </w:rPr>
        <w:t>ollars</w:t>
      </w:r>
      <w:r w:rsidRPr="00D96929">
        <w:rPr>
          <w:i/>
          <w:iCs/>
          <w:sz w:val="20"/>
          <w:szCs w:val="20"/>
        </w:rPr>
        <w:t>.</w:t>
      </w:r>
    </w:p>
    <w:p w14:paraId="3DA5E84B" w14:textId="026C4157" w:rsidR="00D96929" w:rsidRPr="008B3ACD" w:rsidRDefault="00D96929" w:rsidP="00D96929">
      <w:pPr>
        <w:rPr>
          <w:b/>
          <w:bCs/>
        </w:rPr>
      </w:pPr>
      <w:r>
        <w:rPr>
          <w:i/>
          <w:iCs/>
          <w:sz w:val="20"/>
          <w:szCs w:val="20"/>
        </w:rPr>
        <w:br w:type="page"/>
      </w:r>
      <w:r w:rsidRPr="74C6B0DB">
        <w:rPr>
          <w:b/>
          <w:bCs/>
        </w:rPr>
        <w:lastRenderedPageBreak/>
        <w:t xml:space="preserve">Appendix </w:t>
      </w:r>
      <w:r w:rsidR="00531821">
        <w:rPr>
          <w:b/>
          <w:bCs/>
        </w:rPr>
        <w:t>7</w:t>
      </w:r>
      <w:r w:rsidRPr="74C6B0DB">
        <w:rPr>
          <w:b/>
          <w:bCs/>
        </w:rPr>
        <w:t>.</w:t>
      </w:r>
      <w:r>
        <w:t xml:space="preserve"> Univariate sensitivity analysis for the extended range of the prevalence of syphilis (from 0% to 100%) for the cost-effectiveness of the </w:t>
      </w:r>
      <w:r w:rsidR="1B758620">
        <w:t>r</w:t>
      </w:r>
      <w:r>
        <w:t xml:space="preserve">everse </w:t>
      </w:r>
      <w:r w:rsidR="13BF1260">
        <w:t xml:space="preserve">sequence </w:t>
      </w:r>
      <w:r>
        <w:t xml:space="preserve">algorithm for syphilis screening compared to the </w:t>
      </w:r>
      <w:r w:rsidR="374FCDBB">
        <w:t>t</w:t>
      </w:r>
      <w:r>
        <w:t xml:space="preserve">raditional algorithm among </w:t>
      </w:r>
      <w:r w:rsidR="00CA7852">
        <w:t>pregnant women</w:t>
      </w:r>
      <w:r w:rsidR="00295235">
        <w:t xml:space="preserve"> undergoing prenatal care (PNC)</w:t>
      </w:r>
      <w:r>
        <w:t>.</w:t>
      </w:r>
    </w:p>
    <w:p w14:paraId="3F762BB5" w14:textId="70422540" w:rsidR="00AF11C9" w:rsidRDefault="0082692C" w:rsidP="007259C3">
      <w:pPr>
        <w:pStyle w:val="NormalWeb"/>
        <w:jc w:val="center"/>
      </w:pPr>
      <w:r>
        <w:rPr>
          <w:noProof/>
        </w:rPr>
        <w:drawing>
          <wp:inline distT="0" distB="0" distL="0" distR="0" wp14:anchorId="0DF4AAC2" wp14:editId="592C554B">
            <wp:extent cx="5791200" cy="2895600"/>
            <wp:effectExtent l="0" t="0" r="0" b="0"/>
            <wp:docPr id="21100405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50000"/>
                    <a:stretch/>
                  </pic:blipFill>
                  <pic:spPr bwMode="auto">
                    <a:xfrm>
                      <a:off x="0" y="0"/>
                      <a:ext cx="5791200"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033AC501" w14:textId="29877A1B" w:rsidR="00AF11C9" w:rsidRDefault="00B55089" w:rsidP="00AF11C9">
      <w:pPr>
        <w:rPr>
          <w:i/>
          <w:iCs/>
          <w:sz w:val="20"/>
          <w:szCs w:val="20"/>
        </w:rPr>
      </w:pPr>
      <w:r>
        <w:rPr>
          <w:i/>
          <w:iCs/>
          <w:sz w:val="20"/>
          <w:szCs w:val="20"/>
        </w:rPr>
        <w:t>T</w:t>
      </w:r>
      <w:r w:rsidR="00AF11C9">
        <w:rPr>
          <w:i/>
          <w:iCs/>
          <w:sz w:val="20"/>
          <w:szCs w:val="20"/>
        </w:rPr>
        <w:t>he dot</w:t>
      </w:r>
      <w:r w:rsidR="008B3ACD">
        <w:rPr>
          <w:i/>
          <w:iCs/>
          <w:sz w:val="20"/>
          <w:szCs w:val="20"/>
        </w:rPr>
        <w:t>s</w:t>
      </w:r>
      <w:r w:rsidR="00AF11C9">
        <w:rPr>
          <w:i/>
          <w:iCs/>
          <w:sz w:val="20"/>
          <w:szCs w:val="20"/>
        </w:rPr>
        <w:t xml:space="preserve"> represent the base </w:t>
      </w:r>
      <w:r w:rsidR="00F1547E">
        <w:rPr>
          <w:i/>
          <w:iCs/>
          <w:sz w:val="20"/>
          <w:szCs w:val="20"/>
        </w:rPr>
        <w:t>values</w:t>
      </w:r>
      <w:r w:rsidR="008B3ACD">
        <w:rPr>
          <w:i/>
          <w:iCs/>
          <w:sz w:val="20"/>
          <w:szCs w:val="20"/>
        </w:rPr>
        <w:t xml:space="preserve"> (mean and 95% confidence intervals),</w:t>
      </w:r>
      <w:r w:rsidR="006E775A">
        <w:rPr>
          <w:i/>
          <w:iCs/>
          <w:sz w:val="20"/>
          <w:szCs w:val="20"/>
        </w:rPr>
        <w:t xml:space="preserve"> and the side dots represent the feasible uncertainty range for the Prevalence parameter</w:t>
      </w:r>
      <w:r w:rsidR="00295235">
        <w:rPr>
          <w:i/>
          <w:iCs/>
          <w:sz w:val="20"/>
          <w:szCs w:val="20"/>
        </w:rPr>
        <w:t xml:space="preserve"> among </w:t>
      </w:r>
      <w:r w:rsidR="00CA7852">
        <w:rPr>
          <w:i/>
          <w:iCs/>
          <w:sz w:val="20"/>
          <w:szCs w:val="20"/>
        </w:rPr>
        <w:t>pregnant women</w:t>
      </w:r>
      <w:r w:rsidR="00295235">
        <w:rPr>
          <w:i/>
          <w:iCs/>
          <w:sz w:val="20"/>
          <w:szCs w:val="20"/>
        </w:rPr>
        <w:t xml:space="preserve"> </w:t>
      </w:r>
      <w:r w:rsidR="008B3ACD">
        <w:rPr>
          <w:i/>
          <w:iCs/>
          <w:sz w:val="20"/>
          <w:szCs w:val="20"/>
        </w:rPr>
        <w:t>in prenatal care (PNC)</w:t>
      </w:r>
      <w:r w:rsidR="00AF11C9" w:rsidRPr="00D96929">
        <w:rPr>
          <w:i/>
          <w:iCs/>
          <w:sz w:val="20"/>
          <w:szCs w:val="20"/>
        </w:rPr>
        <w:t>.</w:t>
      </w:r>
    </w:p>
    <w:p w14:paraId="26C7CB6E" w14:textId="67C3DB7C" w:rsidR="00D96929" w:rsidRDefault="008B3ACD">
      <w:r>
        <w:rPr>
          <w:i/>
          <w:iCs/>
          <w:sz w:val="20"/>
          <w:szCs w:val="20"/>
        </w:rPr>
        <w:t xml:space="preserve">We found that a prevalence </w:t>
      </w:r>
      <w:r w:rsidR="004E3F8D">
        <w:rPr>
          <w:i/>
          <w:iCs/>
          <w:sz w:val="20"/>
          <w:szCs w:val="20"/>
        </w:rPr>
        <w:t xml:space="preserve">of syphilis </w:t>
      </w:r>
      <w:r>
        <w:rPr>
          <w:i/>
          <w:iCs/>
          <w:sz w:val="20"/>
          <w:szCs w:val="20"/>
        </w:rPr>
        <w:t xml:space="preserve">of </w:t>
      </w:r>
      <w:r w:rsidR="004E3F8D">
        <w:rPr>
          <w:i/>
          <w:iCs/>
          <w:sz w:val="20"/>
          <w:szCs w:val="20"/>
        </w:rPr>
        <w:t>9</w:t>
      </w:r>
      <w:r>
        <w:rPr>
          <w:i/>
          <w:iCs/>
          <w:sz w:val="20"/>
          <w:szCs w:val="20"/>
        </w:rPr>
        <w:t xml:space="preserve">% or higher among </w:t>
      </w:r>
      <w:r w:rsidR="00CA7852">
        <w:rPr>
          <w:i/>
          <w:iCs/>
          <w:sz w:val="20"/>
          <w:szCs w:val="20"/>
        </w:rPr>
        <w:t>pregnant women</w:t>
      </w:r>
      <w:r>
        <w:rPr>
          <w:i/>
          <w:iCs/>
          <w:sz w:val="20"/>
          <w:szCs w:val="20"/>
        </w:rPr>
        <w:t xml:space="preserve"> would make the reverse </w:t>
      </w:r>
      <w:r w:rsidR="004E3F8D">
        <w:rPr>
          <w:i/>
          <w:iCs/>
          <w:sz w:val="20"/>
          <w:szCs w:val="20"/>
        </w:rPr>
        <w:t>sequence</w:t>
      </w:r>
      <w:r>
        <w:rPr>
          <w:i/>
          <w:iCs/>
          <w:sz w:val="20"/>
          <w:szCs w:val="20"/>
        </w:rPr>
        <w:t xml:space="preserve"> cost-effective compared to the traditional algorithm.</w:t>
      </w:r>
      <w:r w:rsidR="004E3F8D">
        <w:rPr>
          <w:i/>
          <w:iCs/>
          <w:sz w:val="20"/>
          <w:szCs w:val="20"/>
        </w:rPr>
        <w:t xml:space="preserve"> In addition, at a prevalence of </w:t>
      </w:r>
      <w:r w:rsidR="0082692C">
        <w:rPr>
          <w:i/>
          <w:iCs/>
          <w:sz w:val="20"/>
          <w:szCs w:val="20"/>
        </w:rPr>
        <w:t>81</w:t>
      </w:r>
      <w:r w:rsidR="004E3F8D">
        <w:rPr>
          <w:i/>
          <w:iCs/>
          <w:sz w:val="20"/>
          <w:szCs w:val="20"/>
        </w:rPr>
        <w:t>% or higher, the reverse sequence is cheaper and more effective, i.e., cost-saving, than the traditional algorithm.</w:t>
      </w:r>
      <w:r w:rsidR="00D96929">
        <w:br w:type="page"/>
      </w:r>
    </w:p>
    <w:p w14:paraId="5A7C9A23" w14:textId="7D9D9003" w:rsidR="00D96929" w:rsidRDefault="00D96929" w:rsidP="00D96929">
      <w:r w:rsidRPr="74C6B0DB">
        <w:rPr>
          <w:b/>
          <w:bCs/>
        </w:rPr>
        <w:lastRenderedPageBreak/>
        <w:t xml:space="preserve">Appendix </w:t>
      </w:r>
      <w:r w:rsidR="00531821">
        <w:rPr>
          <w:b/>
          <w:bCs/>
        </w:rPr>
        <w:t>8</w:t>
      </w:r>
      <w:r w:rsidRPr="74C6B0DB">
        <w:rPr>
          <w:b/>
          <w:bCs/>
        </w:rPr>
        <w:t xml:space="preserve">. </w:t>
      </w:r>
      <w:r>
        <w:t xml:space="preserve">Classification trees to identify under which parameters’ values the </w:t>
      </w:r>
      <w:r w:rsidR="267C5DAC">
        <w:t>r</w:t>
      </w:r>
      <w:r>
        <w:t>everse</w:t>
      </w:r>
      <w:r w:rsidR="77ED6ABC">
        <w:t xml:space="preserve"> sequence</w:t>
      </w:r>
      <w:r>
        <w:t xml:space="preserve"> algorithm for syphilis screening is cost-effective compared to the </w:t>
      </w:r>
      <w:r w:rsidR="7035839D">
        <w:t>t</w:t>
      </w:r>
      <w:r>
        <w:t xml:space="preserve">raditional </w:t>
      </w:r>
      <w:r w:rsidR="2A515A04">
        <w:t xml:space="preserve">algorithm </w:t>
      </w:r>
      <w:r>
        <w:t xml:space="preserve">among </w:t>
      </w:r>
      <w:r w:rsidR="00CA7852">
        <w:t>pregnant women</w:t>
      </w:r>
      <w:r w:rsidR="0000746F">
        <w:t xml:space="preserve"> undergoing prenatal care (PNC)</w:t>
      </w:r>
      <w:r>
        <w:t>. Parameters included in the analysis were selected for having important variation across settings and being highly influential over the incremental cost-effectiveness ratio. The parameters were varied beyond the feasible uncertainty bounds to study a broader parameters space.</w:t>
      </w:r>
    </w:p>
    <w:p w14:paraId="3FBA96AC" w14:textId="42A14137" w:rsidR="00F43AF8" w:rsidRPr="00D96929" w:rsidRDefault="00DC627D" w:rsidP="00091D6A">
      <w:pPr>
        <w:rPr>
          <w:i/>
          <w:iCs/>
          <w:sz w:val="20"/>
          <w:szCs w:val="20"/>
        </w:rPr>
      </w:pPr>
      <w:r>
        <w:rPr>
          <w:noProof/>
        </w:rPr>
        <w:drawing>
          <wp:inline distT="0" distB="0" distL="0" distR="0" wp14:anchorId="45F2CA54" wp14:editId="085FBA64">
            <wp:extent cx="6569415" cy="4924425"/>
            <wp:effectExtent l="0" t="0" r="3175" b="0"/>
            <wp:docPr id="5074824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6979" cy="4930095"/>
                    </a:xfrm>
                    <a:prstGeom prst="rect">
                      <a:avLst/>
                    </a:prstGeom>
                    <a:noFill/>
                    <a:ln>
                      <a:noFill/>
                    </a:ln>
                  </pic:spPr>
                </pic:pic>
              </a:graphicData>
            </a:graphic>
          </wp:inline>
        </w:drawing>
      </w:r>
    </w:p>
    <w:sectPr w:rsidR="00F43AF8" w:rsidRPr="00D96929" w:rsidSect="00176A4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2C8E7" w14:textId="77777777" w:rsidR="001D1D18" w:rsidRDefault="001D1D18" w:rsidP="00495128">
      <w:pPr>
        <w:spacing w:after="0" w:line="240" w:lineRule="auto"/>
      </w:pPr>
      <w:r>
        <w:separator/>
      </w:r>
    </w:p>
  </w:endnote>
  <w:endnote w:type="continuationSeparator" w:id="0">
    <w:p w14:paraId="3F5DABFE" w14:textId="77777777" w:rsidR="001D1D18" w:rsidRDefault="001D1D18" w:rsidP="00495128">
      <w:pPr>
        <w:spacing w:after="0" w:line="240" w:lineRule="auto"/>
      </w:pPr>
      <w:r>
        <w:continuationSeparator/>
      </w:r>
    </w:p>
  </w:endnote>
  <w:endnote w:type="continuationNotice" w:id="1">
    <w:p w14:paraId="07EB5127" w14:textId="77777777" w:rsidR="001D1D18" w:rsidRDefault="001D1D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8565510"/>
      <w:docPartObj>
        <w:docPartGallery w:val="Page Numbers (Bottom of Page)"/>
        <w:docPartUnique/>
      </w:docPartObj>
    </w:sdtPr>
    <w:sdtContent>
      <w:p w14:paraId="64D038E5" w14:textId="43CB4A19" w:rsidR="00495128" w:rsidRDefault="00495128" w:rsidP="00A32D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15489">
          <w:rPr>
            <w:rStyle w:val="PageNumber"/>
            <w:noProof/>
          </w:rPr>
          <w:t>1</w:t>
        </w:r>
        <w:r>
          <w:rPr>
            <w:rStyle w:val="PageNumber"/>
          </w:rPr>
          <w:fldChar w:fldCharType="end"/>
        </w:r>
      </w:p>
    </w:sdtContent>
  </w:sdt>
  <w:p w14:paraId="28DDECC0" w14:textId="77777777" w:rsidR="00495128" w:rsidRDefault="00495128" w:rsidP="004951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4108579"/>
      <w:docPartObj>
        <w:docPartGallery w:val="Page Numbers (Bottom of Page)"/>
        <w:docPartUnique/>
      </w:docPartObj>
    </w:sdtPr>
    <w:sdtContent>
      <w:p w14:paraId="24718A66" w14:textId="767D1598" w:rsidR="00495128" w:rsidRDefault="00495128" w:rsidP="00A32D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82227B" w14:textId="77777777" w:rsidR="00495128" w:rsidRDefault="00495128" w:rsidP="004951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EA167" w14:textId="77777777" w:rsidR="001D1D18" w:rsidRDefault="001D1D18" w:rsidP="00495128">
      <w:pPr>
        <w:spacing w:after="0" w:line="240" w:lineRule="auto"/>
      </w:pPr>
      <w:r>
        <w:separator/>
      </w:r>
    </w:p>
  </w:footnote>
  <w:footnote w:type="continuationSeparator" w:id="0">
    <w:p w14:paraId="13A58394" w14:textId="77777777" w:rsidR="001D1D18" w:rsidRDefault="001D1D18" w:rsidP="00495128">
      <w:pPr>
        <w:spacing w:after="0" w:line="240" w:lineRule="auto"/>
      </w:pPr>
      <w:r>
        <w:continuationSeparator/>
      </w:r>
    </w:p>
  </w:footnote>
  <w:footnote w:type="continuationNotice" w:id="1">
    <w:p w14:paraId="01D25D2E" w14:textId="77777777" w:rsidR="001D1D18" w:rsidRDefault="001D1D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A58A9"/>
    <w:multiLevelType w:val="hybridMultilevel"/>
    <w:tmpl w:val="CC44E018"/>
    <w:lvl w:ilvl="0" w:tplc="E9063D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477FF0"/>
    <w:multiLevelType w:val="hybridMultilevel"/>
    <w:tmpl w:val="906E3358"/>
    <w:lvl w:ilvl="0" w:tplc="E21C07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3600590">
    <w:abstractNumId w:val="0"/>
  </w:num>
  <w:num w:numId="2" w16cid:durableId="91790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031"/>
    <w:rsid w:val="000007F2"/>
    <w:rsid w:val="000021D4"/>
    <w:rsid w:val="00002FED"/>
    <w:rsid w:val="000037C9"/>
    <w:rsid w:val="00004470"/>
    <w:rsid w:val="00005EFD"/>
    <w:rsid w:val="00006BAE"/>
    <w:rsid w:val="00006BEE"/>
    <w:rsid w:val="0000746F"/>
    <w:rsid w:val="00007A13"/>
    <w:rsid w:val="00007CBD"/>
    <w:rsid w:val="00007EBD"/>
    <w:rsid w:val="000103EE"/>
    <w:rsid w:val="0001209E"/>
    <w:rsid w:val="0001289F"/>
    <w:rsid w:val="00013057"/>
    <w:rsid w:val="000148EA"/>
    <w:rsid w:val="00014E9B"/>
    <w:rsid w:val="00015489"/>
    <w:rsid w:val="000159CF"/>
    <w:rsid w:val="00015AA4"/>
    <w:rsid w:val="00015BFA"/>
    <w:rsid w:val="00015CF0"/>
    <w:rsid w:val="00016377"/>
    <w:rsid w:val="00016515"/>
    <w:rsid w:val="00016CE0"/>
    <w:rsid w:val="000177CA"/>
    <w:rsid w:val="000217C6"/>
    <w:rsid w:val="00022C3A"/>
    <w:rsid w:val="000231A5"/>
    <w:rsid w:val="0002338C"/>
    <w:rsid w:val="00024254"/>
    <w:rsid w:val="00024585"/>
    <w:rsid w:val="0002567D"/>
    <w:rsid w:val="00025900"/>
    <w:rsid w:val="0002728B"/>
    <w:rsid w:val="00030B72"/>
    <w:rsid w:val="00031A36"/>
    <w:rsid w:val="00031EF7"/>
    <w:rsid w:val="00033C57"/>
    <w:rsid w:val="00035FB7"/>
    <w:rsid w:val="0003610F"/>
    <w:rsid w:val="000366FC"/>
    <w:rsid w:val="00036A56"/>
    <w:rsid w:val="0003704A"/>
    <w:rsid w:val="00037050"/>
    <w:rsid w:val="000371A8"/>
    <w:rsid w:val="00037AFC"/>
    <w:rsid w:val="00037CA4"/>
    <w:rsid w:val="00040627"/>
    <w:rsid w:val="000412AC"/>
    <w:rsid w:val="000418EC"/>
    <w:rsid w:val="00042D80"/>
    <w:rsid w:val="0004380A"/>
    <w:rsid w:val="00043E90"/>
    <w:rsid w:val="00044186"/>
    <w:rsid w:val="00044DF0"/>
    <w:rsid w:val="00047E0C"/>
    <w:rsid w:val="00050CBB"/>
    <w:rsid w:val="00052916"/>
    <w:rsid w:val="00052956"/>
    <w:rsid w:val="00052AF4"/>
    <w:rsid w:val="000543F3"/>
    <w:rsid w:val="000546B8"/>
    <w:rsid w:val="00055DCC"/>
    <w:rsid w:val="0005642D"/>
    <w:rsid w:val="00056CC8"/>
    <w:rsid w:val="0006095E"/>
    <w:rsid w:val="00060C6E"/>
    <w:rsid w:val="00060F09"/>
    <w:rsid w:val="00061A11"/>
    <w:rsid w:val="00062A30"/>
    <w:rsid w:val="00062D7F"/>
    <w:rsid w:val="00062DA3"/>
    <w:rsid w:val="00062F41"/>
    <w:rsid w:val="00062FEA"/>
    <w:rsid w:val="000655CD"/>
    <w:rsid w:val="00067E2B"/>
    <w:rsid w:val="00070EED"/>
    <w:rsid w:val="00070FF6"/>
    <w:rsid w:val="000710F1"/>
    <w:rsid w:val="000714CB"/>
    <w:rsid w:val="00072431"/>
    <w:rsid w:val="00072BAF"/>
    <w:rsid w:val="000731F6"/>
    <w:rsid w:val="00074A40"/>
    <w:rsid w:val="00074DCF"/>
    <w:rsid w:val="00075F31"/>
    <w:rsid w:val="0007607B"/>
    <w:rsid w:val="00076252"/>
    <w:rsid w:val="00077CD8"/>
    <w:rsid w:val="00077CE2"/>
    <w:rsid w:val="00080797"/>
    <w:rsid w:val="00080DEA"/>
    <w:rsid w:val="00083395"/>
    <w:rsid w:val="00084226"/>
    <w:rsid w:val="0008474F"/>
    <w:rsid w:val="000855EB"/>
    <w:rsid w:val="00085A4D"/>
    <w:rsid w:val="00085CCF"/>
    <w:rsid w:val="000860FD"/>
    <w:rsid w:val="00086882"/>
    <w:rsid w:val="000868D9"/>
    <w:rsid w:val="00086D80"/>
    <w:rsid w:val="00090B17"/>
    <w:rsid w:val="00090B8D"/>
    <w:rsid w:val="00090E74"/>
    <w:rsid w:val="00091D6A"/>
    <w:rsid w:val="00091D76"/>
    <w:rsid w:val="0009209D"/>
    <w:rsid w:val="0009272D"/>
    <w:rsid w:val="0009310F"/>
    <w:rsid w:val="0009315D"/>
    <w:rsid w:val="00093621"/>
    <w:rsid w:val="000936F5"/>
    <w:rsid w:val="000937FE"/>
    <w:rsid w:val="000941EA"/>
    <w:rsid w:val="000956F2"/>
    <w:rsid w:val="00096C22"/>
    <w:rsid w:val="00096D13"/>
    <w:rsid w:val="00097462"/>
    <w:rsid w:val="00097D34"/>
    <w:rsid w:val="000A05DC"/>
    <w:rsid w:val="000A077A"/>
    <w:rsid w:val="000A22E4"/>
    <w:rsid w:val="000A2739"/>
    <w:rsid w:val="000A294C"/>
    <w:rsid w:val="000A2E47"/>
    <w:rsid w:val="000A309D"/>
    <w:rsid w:val="000A4756"/>
    <w:rsid w:val="000A49E7"/>
    <w:rsid w:val="000A4C01"/>
    <w:rsid w:val="000A4F2E"/>
    <w:rsid w:val="000A4FF1"/>
    <w:rsid w:val="000A5017"/>
    <w:rsid w:val="000A5791"/>
    <w:rsid w:val="000A5873"/>
    <w:rsid w:val="000A5FBD"/>
    <w:rsid w:val="000A664C"/>
    <w:rsid w:val="000A673F"/>
    <w:rsid w:val="000A7BD3"/>
    <w:rsid w:val="000B1706"/>
    <w:rsid w:val="000B1CB8"/>
    <w:rsid w:val="000B3510"/>
    <w:rsid w:val="000B3A1C"/>
    <w:rsid w:val="000B4DF5"/>
    <w:rsid w:val="000B4FFC"/>
    <w:rsid w:val="000B626F"/>
    <w:rsid w:val="000B6648"/>
    <w:rsid w:val="000B6D00"/>
    <w:rsid w:val="000C083E"/>
    <w:rsid w:val="000C109F"/>
    <w:rsid w:val="000C13C6"/>
    <w:rsid w:val="000C17D8"/>
    <w:rsid w:val="000C1C24"/>
    <w:rsid w:val="000C2F38"/>
    <w:rsid w:val="000C3023"/>
    <w:rsid w:val="000C49D6"/>
    <w:rsid w:val="000C4FBE"/>
    <w:rsid w:val="000C51E1"/>
    <w:rsid w:val="000C56D6"/>
    <w:rsid w:val="000C620D"/>
    <w:rsid w:val="000C6548"/>
    <w:rsid w:val="000C6BB8"/>
    <w:rsid w:val="000C78BF"/>
    <w:rsid w:val="000C7C07"/>
    <w:rsid w:val="000D0E98"/>
    <w:rsid w:val="000D107F"/>
    <w:rsid w:val="000D114D"/>
    <w:rsid w:val="000D1555"/>
    <w:rsid w:val="000D1D89"/>
    <w:rsid w:val="000D263D"/>
    <w:rsid w:val="000D2895"/>
    <w:rsid w:val="000D44C8"/>
    <w:rsid w:val="000D6E00"/>
    <w:rsid w:val="000D6EFA"/>
    <w:rsid w:val="000D70B9"/>
    <w:rsid w:val="000D7B1C"/>
    <w:rsid w:val="000E07F4"/>
    <w:rsid w:val="000E0EEF"/>
    <w:rsid w:val="000E1BFE"/>
    <w:rsid w:val="000E21BA"/>
    <w:rsid w:val="000E24A1"/>
    <w:rsid w:val="000E64F7"/>
    <w:rsid w:val="000E6661"/>
    <w:rsid w:val="000E752B"/>
    <w:rsid w:val="000F1DE4"/>
    <w:rsid w:val="000F1DF5"/>
    <w:rsid w:val="000F28D0"/>
    <w:rsid w:val="000F2A34"/>
    <w:rsid w:val="000F3111"/>
    <w:rsid w:val="000F4254"/>
    <w:rsid w:val="000F4EB2"/>
    <w:rsid w:val="000F5376"/>
    <w:rsid w:val="000F5C59"/>
    <w:rsid w:val="000F63B6"/>
    <w:rsid w:val="000F6DF9"/>
    <w:rsid w:val="000F7815"/>
    <w:rsid w:val="000F79A9"/>
    <w:rsid w:val="00100621"/>
    <w:rsid w:val="00100A16"/>
    <w:rsid w:val="00100DF4"/>
    <w:rsid w:val="00100E63"/>
    <w:rsid w:val="001010ED"/>
    <w:rsid w:val="001015D9"/>
    <w:rsid w:val="00101C00"/>
    <w:rsid w:val="001028AA"/>
    <w:rsid w:val="001030D9"/>
    <w:rsid w:val="0010418D"/>
    <w:rsid w:val="00104A1F"/>
    <w:rsid w:val="0010684D"/>
    <w:rsid w:val="00110BD2"/>
    <w:rsid w:val="00111BDE"/>
    <w:rsid w:val="00111D2F"/>
    <w:rsid w:val="00112C40"/>
    <w:rsid w:val="00112DD5"/>
    <w:rsid w:val="00113259"/>
    <w:rsid w:val="0011451A"/>
    <w:rsid w:val="001147A6"/>
    <w:rsid w:val="001148B1"/>
    <w:rsid w:val="00114FFA"/>
    <w:rsid w:val="0011544B"/>
    <w:rsid w:val="00115CC2"/>
    <w:rsid w:val="00116C6B"/>
    <w:rsid w:val="00116DE2"/>
    <w:rsid w:val="00117BE5"/>
    <w:rsid w:val="001203D3"/>
    <w:rsid w:val="0012096A"/>
    <w:rsid w:val="00120D6D"/>
    <w:rsid w:val="00120DED"/>
    <w:rsid w:val="00121311"/>
    <w:rsid w:val="00122FFC"/>
    <w:rsid w:val="00123ACE"/>
    <w:rsid w:val="00124A21"/>
    <w:rsid w:val="00124AEA"/>
    <w:rsid w:val="00125151"/>
    <w:rsid w:val="00126AE9"/>
    <w:rsid w:val="00126F85"/>
    <w:rsid w:val="00130244"/>
    <w:rsid w:val="001307B4"/>
    <w:rsid w:val="001312F5"/>
    <w:rsid w:val="001323C9"/>
    <w:rsid w:val="00133E3B"/>
    <w:rsid w:val="00134F44"/>
    <w:rsid w:val="001378C5"/>
    <w:rsid w:val="001421F2"/>
    <w:rsid w:val="00142246"/>
    <w:rsid w:val="001424AA"/>
    <w:rsid w:val="00143ACE"/>
    <w:rsid w:val="00144463"/>
    <w:rsid w:val="001450FB"/>
    <w:rsid w:val="001477BC"/>
    <w:rsid w:val="0015071F"/>
    <w:rsid w:val="00150C0E"/>
    <w:rsid w:val="00150D94"/>
    <w:rsid w:val="0015225E"/>
    <w:rsid w:val="0015258C"/>
    <w:rsid w:val="00152592"/>
    <w:rsid w:val="00152AEB"/>
    <w:rsid w:val="00153CF4"/>
    <w:rsid w:val="0015407F"/>
    <w:rsid w:val="00154CB6"/>
    <w:rsid w:val="00154E48"/>
    <w:rsid w:val="00154EBD"/>
    <w:rsid w:val="0015660C"/>
    <w:rsid w:val="001569D2"/>
    <w:rsid w:val="00160615"/>
    <w:rsid w:val="00160831"/>
    <w:rsid w:val="0016177B"/>
    <w:rsid w:val="001618FA"/>
    <w:rsid w:val="00161B5F"/>
    <w:rsid w:val="00161BD3"/>
    <w:rsid w:val="00161ECA"/>
    <w:rsid w:val="001635A8"/>
    <w:rsid w:val="001645F8"/>
    <w:rsid w:val="00164900"/>
    <w:rsid w:val="00164EC1"/>
    <w:rsid w:val="0016555C"/>
    <w:rsid w:val="00166036"/>
    <w:rsid w:val="001670AC"/>
    <w:rsid w:val="00167C1E"/>
    <w:rsid w:val="00170AD6"/>
    <w:rsid w:val="00170E3D"/>
    <w:rsid w:val="00171448"/>
    <w:rsid w:val="00175AF8"/>
    <w:rsid w:val="00175D69"/>
    <w:rsid w:val="00175E4F"/>
    <w:rsid w:val="0017628A"/>
    <w:rsid w:val="00176A47"/>
    <w:rsid w:val="00177328"/>
    <w:rsid w:val="001774ED"/>
    <w:rsid w:val="00177AC1"/>
    <w:rsid w:val="00180F83"/>
    <w:rsid w:val="00181657"/>
    <w:rsid w:val="001823D0"/>
    <w:rsid w:val="001824B7"/>
    <w:rsid w:val="001833ED"/>
    <w:rsid w:val="00184224"/>
    <w:rsid w:val="001845C4"/>
    <w:rsid w:val="001862B1"/>
    <w:rsid w:val="00186A37"/>
    <w:rsid w:val="00190AC3"/>
    <w:rsid w:val="001923B8"/>
    <w:rsid w:val="00193A1E"/>
    <w:rsid w:val="0019411A"/>
    <w:rsid w:val="00194D33"/>
    <w:rsid w:val="00195BFE"/>
    <w:rsid w:val="001962A9"/>
    <w:rsid w:val="0019693B"/>
    <w:rsid w:val="00197399"/>
    <w:rsid w:val="001975B3"/>
    <w:rsid w:val="001A00E9"/>
    <w:rsid w:val="001A0B3A"/>
    <w:rsid w:val="001A0D27"/>
    <w:rsid w:val="001A1309"/>
    <w:rsid w:val="001A13E0"/>
    <w:rsid w:val="001A141F"/>
    <w:rsid w:val="001A2155"/>
    <w:rsid w:val="001A2262"/>
    <w:rsid w:val="001A415E"/>
    <w:rsid w:val="001A427C"/>
    <w:rsid w:val="001A5619"/>
    <w:rsid w:val="001A56BC"/>
    <w:rsid w:val="001A597C"/>
    <w:rsid w:val="001A5FB4"/>
    <w:rsid w:val="001A665D"/>
    <w:rsid w:val="001A6BB3"/>
    <w:rsid w:val="001A6D5E"/>
    <w:rsid w:val="001A6E76"/>
    <w:rsid w:val="001A6F5C"/>
    <w:rsid w:val="001A7FEE"/>
    <w:rsid w:val="001B09E5"/>
    <w:rsid w:val="001B15FD"/>
    <w:rsid w:val="001B1A81"/>
    <w:rsid w:val="001B303E"/>
    <w:rsid w:val="001B354A"/>
    <w:rsid w:val="001B4AE4"/>
    <w:rsid w:val="001B4B88"/>
    <w:rsid w:val="001B4F89"/>
    <w:rsid w:val="001B5498"/>
    <w:rsid w:val="001B63A6"/>
    <w:rsid w:val="001B655F"/>
    <w:rsid w:val="001B7B95"/>
    <w:rsid w:val="001C038D"/>
    <w:rsid w:val="001C0879"/>
    <w:rsid w:val="001C1C40"/>
    <w:rsid w:val="001C22B7"/>
    <w:rsid w:val="001C2553"/>
    <w:rsid w:val="001C3049"/>
    <w:rsid w:val="001C3F8D"/>
    <w:rsid w:val="001C4F37"/>
    <w:rsid w:val="001C51DB"/>
    <w:rsid w:val="001C57C0"/>
    <w:rsid w:val="001C5CAB"/>
    <w:rsid w:val="001C5DA5"/>
    <w:rsid w:val="001C66FD"/>
    <w:rsid w:val="001C6BFB"/>
    <w:rsid w:val="001C7EAE"/>
    <w:rsid w:val="001D0290"/>
    <w:rsid w:val="001D15FE"/>
    <w:rsid w:val="001D1D18"/>
    <w:rsid w:val="001D2F96"/>
    <w:rsid w:val="001D347B"/>
    <w:rsid w:val="001D3C05"/>
    <w:rsid w:val="001D5A91"/>
    <w:rsid w:val="001E0A4D"/>
    <w:rsid w:val="001E0C29"/>
    <w:rsid w:val="001E12D8"/>
    <w:rsid w:val="001E151C"/>
    <w:rsid w:val="001E1B82"/>
    <w:rsid w:val="001E25BE"/>
    <w:rsid w:val="001E2EF3"/>
    <w:rsid w:val="001E3509"/>
    <w:rsid w:val="001E3838"/>
    <w:rsid w:val="001E3C4C"/>
    <w:rsid w:val="001E4A7C"/>
    <w:rsid w:val="001E534E"/>
    <w:rsid w:val="001E5737"/>
    <w:rsid w:val="001E5BA4"/>
    <w:rsid w:val="001E65BD"/>
    <w:rsid w:val="001F1358"/>
    <w:rsid w:val="001F1BDE"/>
    <w:rsid w:val="001F24D0"/>
    <w:rsid w:val="001F27EA"/>
    <w:rsid w:val="001F2EBA"/>
    <w:rsid w:val="001F2F26"/>
    <w:rsid w:val="001F3240"/>
    <w:rsid w:val="001F38B7"/>
    <w:rsid w:val="001F5400"/>
    <w:rsid w:val="001F62DF"/>
    <w:rsid w:val="001F64FF"/>
    <w:rsid w:val="001F6CCE"/>
    <w:rsid w:val="001F7AE8"/>
    <w:rsid w:val="002008B8"/>
    <w:rsid w:val="00200A82"/>
    <w:rsid w:val="00201A31"/>
    <w:rsid w:val="002021B6"/>
    <w:rsid w:val="00202A0B"/>
    <w:rsid w:val="00203683"/>
    <w:rsid w:val="0020402D"/>
    <w:rsid w:val="00204312"/>
    <w:rsid w:val="00204657"/>
    <w:rsid w:val="00204777"/>
    <w:rsid w:val="00204ABF"/>
    <w:rsid w:val="00204B5A"/>
    <w:rsid w:val="00204F10"/>
    <w:rsid w:val="00205064"/>
    <w:rsid w:val="002054A9"/>
    <w:rsid w:val="00205A53"/>
    <w:rsid w:val="00206239"/>
    <w:rsid w:val="00207592"/>
    <w:rsid w:val="00207A07"/>
    <w:rsid w:val="00207FCA"/>
    <w:rsid w:val="002102DC"/>
    <w:rsid w:val="00210AC9"/>
    <w:rsid w:val="00210EF3"/>
    <w:rsid w:val="00212433"/>
    <w:rsid w:val="002126E1"/>
    <w:rsid w:val="00212CD3"/>
    <w:rsid w:val="00213E44"/>
    <w:rsid w:val="00215031"/>
    <w:rsid w:val="0021553D"/>
    <w:rsid w:val="00215A1A"/>
    <w:rsid w:val="002164F4"/>
    <w:rsid w:val="00216C58"/>
    <w:rsid w:val="0022088A"/>
    <w:rsid w:val="00221622"/>
    <w:rsid w:val="002221A2"/>
    <w:rsid w:val="00222690"/>
    <w:rsid w:val="002228F3"/>
    <w:rsid w:val="002230C2"/>
    <w:rsid w:val="00223824"/>
    <w:rsid w:val="00223B1C"/>
    <w:rsid w:val="00224386"/>
    <w:rsid w:val="00224751"/>
    <w:rsid w:val="002248E6"/>
    <w:rsid w:val="00224A97"/>
    <w:rsid w:val="002253DE"/>
    <w:rsid w:val="00225E84"/>
    <w:rsid w:val="00226284"/>
    <w:rsid w:val="00227CE4"/>
    <w:rsid w:val="00230541"/>
    <w:rsid w:val="00230891"/>
    <w:rsid w:val="00230C0B"/>
    <w:rsid w:val="00231485"/>
    <w:rsid w:val="00231727"/>
    <w:rsid w:val="00231CFC"/>
    <w:rsid w:val="00231EF5"/>
    <w:rsid w:val="002325AC"/>
    <w:rsid w:val="00232765"/>
    <w:rsid w:val="00232A41"/>
    <w:rsid w:val="00232D64"/>
    <w:rsid w:val="00234E27"/>
    <w:rsid w:val="00234E2B"/>
    <w:rsid w:val="00234F28"/>
    <w:rsid w:val="002352BC"/>
    <w:rsid w:val="002352F9"/>
    <w:rsid w:val="00235A83"/>
    <w:rsid w:val="00235BE5"/>
    <w:rsid w:val="0023670B"/>
    <w:rsid w:val="00236785"/>
    <w:rsid w:val="00236AE3"/>
    <w:rsid w:val="00236CA7"/>
    <w:rsid w:val="00237AA4"/>
    <w:rsid w:val="00237E4F"/>
    <w:rsid w:val="002403A7"/>
    <w:rsid w:val="002406BD"/>
    <w:rsid w:val="00240A66"/>
    <w:rsid w:val="00241AAC"/>
    <w:rsid w:val="00241FAC"/>
    <w:rsid w:val="00242D9A"/>
    <w:rsid w:val="00243AB0"/>
    <w:rsid w:val="00245E5A"/>
    <w:rsid w:val="00246BDE"/>
    <w:rsid w:val="0024792C"/>
    <w:rsid w:val="002501B8"/>
    <w:rsid w:val="00250CED"/>
    <w:rsid w:val="00251456"/>
    <w:rsid w:val="00251589"/>
    <w:rsid w:val="00251EBA"/>
    <w:rsid w:val="00252EA4"/>
    <w:rsid w:val="00253107"/>
    <w:rsid w:val="002531BE"/>
    <w:rsid w:val="0025325C"/>
    <w:rsid w:val="002537BA"/>
    <w:rsid w:val="00255EF5"/>
    <w:rsid w:val="00256045"/>
    <w:rsid w:val="00256538"/>
    <w:rsid w:val="00256C1A"/>
    <w:rsid w:val="0025787B"/>
    <w:rsid w:val="00257B5E"/>
    <w:rsid w:val="00257E8C"/>
    <w:rsid w:val="00261DC3"/>
    <w:rsid w:val="00262D6A"/>
    <w:rsid w:val="002632CE"/>
    <w:rsid w:val="0026341E"/>
    <w:rsid w:val="002634C6"/>
    <w:rsid w:val="00263E24"/>
    <w:rsid w:val="00264590"/>
    <w:rsid w:val="002649A5"/>
    <w:rsid w:val="00264F4C"/>
    <w:rsid w:val="00266574"/>
    <w:rsid w:val="00266825"/>
    <w:rsid w:val="002675CD"/>
    <w:rsid w:val="00267E80"/>
    <w:rsid w:val="002700D9"/>
    <w:rsid w:val="00271AFB"/>
    <w:rsid w:val="00271F76"/>
    <w:rsid w:val="00273480"/>
    <w:rsid w:val="00275FDC"/>
    <w:rsid w:val="002760B0"/>
    <w:rsid w:val="002761FE"/>
    <w:rsid w:val="002771F5"/>
    <w:rsid w:val="00277645"/>
    <w:rsid w:val="00277842"/>
    <w:rsid w:val="00280893"/>
    <w:rsid w:val="0028203E"/>
    <w:rsid w:val="0028260F"/>
    <w:rsid w:val="0028323A"/>
    <w:rsid w:val="00283544"/>
    <w:rsid w:val="00283847"/>
    <w:rsid w:val="00285410"/>
    <w:rsid w:val="002854D7"/>
    <w:rsid w:val="0028571C"/>
    <w:rsid w:val="00286020"/>
    <w:rsid w:val="00286181"/>
    <w:rsid w:val="0028637B"/>
    <w:rsid w:val="0028733A"/>
    <w:rsid w:val="00287451"/>
    <w:rsid w:val="00290566"/>
    <w:rsid w:val="00290D20"/>
    <w:rsid w:val="00292600"/>
    <w:rsid w:val="00293118"/>
    <w:rsid w:val="0029426C"/>
    <w:rsid w:val="00295235"/>
    <w:rsid w:val="00295806"/>
    <w:rsid w:val="00295A0F"/>
    <w:rsid w:val="00297BA3"/>
    <w:rsid w:val="002A05FF"/>
    <w:rsid w:val="002A08C2"/>
    <w:rsid w:val="002A0DAC"/>
    <w:rsid w:val="002A1946"/>
    <w:rsid w:val="002A1B3F"/>
    <w:rsid w:val="002A1C75"/>
    <w:rsid w:val="002A2232"/>
    <w:rsid w:val="002A3399"/>
    <w:rsid w:val="002A3630"/>
    <w:rsid w:val="002A3F60"/>
    <w:rsid w:val="002A458D"/>
    <w:rsid w:val="002A4BAF"/>
    <w:rsid w:val="002A52B5"/>
    <w:rsid w:val="002A5BAC"/>
    <w:rsid w:val="002A646A"/>
    <w:rsid w:val="002A7052"/>
    <w:rsid w:val="002B0211"/>
    <w:rsid w:val="002B05BA"/>
    <w:rsid w:val="002B099E"/>
    <w:rsid w:val="002B1DFC"/>
    <w:rsid w:val="002B2490"/>
    <w:rsid w:val="002B2608"/>
    <w:rsid w:val="002B3C4C"/>
    <w:rsid w:val="002B4562"/>
    <w:rsid w:val="002B45C0"/>
    <w:rsid w:val="002B7544"/>
    <w:rsid w:val="002B7E56"/>
    <w:rsid w:val="002C04A7"/>
    <w:rsid w:val="002C0944"/>
    <w:rsid w:val="002C09D1"/>
    <w:rsid w:val="002C1A67"/>
    <w:rsid w:val="002C1AE8"/>
    <w:rsid w:val="002C359A"/>
    <w:rsid w:val="002C695C"/>
    <w:rsid w:val="002C6B58"/>
    <w:rsid w:val="002C7127"/>
    <w:rsid w:val="002C734D"/>
    <w:rsid w:val="002C7AAF"/>
    <w:rsid w:val="002D023A"/>
    <w:rsid w:val="002D1267"/>
    <w:rsid w:val="002D1F16"/>
    <w:rsid w:val="002D233E"/>
    <w:rsid w:val="002D28E9"/>
    <w:rsid w:val="002D2CFD"/>
    <w:rsid w:val="002D41A6"/>
    <w:rsid w:val="002D5257"/>
    <w:rsid w:val="002D5427"/>
    <w:rsid w:val="002D55C1"/>
    <w:rsid w:val="002D5C81"/>
    <w:rsid w:val="002D6449"/>
    <w:rsid w:val="002D67DA"/>
    <w:rsid w:val="002D69E3"/>
    <w:rsid w:val="002D6B9E"/>
    <w:rsid w:val="002D71E1"/>
    <w:rsid w:val="002D740F"/>
    <w:rsid w:val="002E02FA"/>
    <w:rsid w:val="002E1264"/>
    <w:rsid w:val="002E18CC"/>
    <w:rsid w:val="002E1A77"/>
    <w:rsid w:val="002E3292"/>
    <w:rsid w:val="002E3781"/>
    <w:rsid w:val="002E3D02"/>
    <w:rsid w:val="002E4C3E"/>
    <w:rsid w:val="002E4D01"/>
    <w:rsid w:val="002E4D1E"/>
    <w:rsid w:val="002E505F"/>
    <w:rsid w:val="002E5F4D"/>
    <w:rsid w:val="002E6097"/>
    <w:rsid w:val="002E6779"/>
    <w:rsid w:val="002E6C07"/>
    <w:rsid w:val="002E6E05"/>
    <w:rsid w:val="002E6E74"/>
    <w:rsid w:val="002E72B7"/>
    <w:rsid w:val="002E742A"/>
    <w:rsid w:val="002E7AEA"/>
    <w:rsid w:val="002F10D6"/>
    <w:rsid w:val="002F1F04"/>
    <w:rsid w:val="002F2056"/>
    <w:rsid w:val="002F2B32"/>
    <w:rsid w:val="002F3682"/>
    <w:rsid w:val="002F4DAD"/>
    <w:rsid w:val="002F5789"/>
    <w:rsid w:val="002F6642"/>
    <w:rsid w:val="002F68DF"/>
    <w:rsid w:val="002F73FB"/>
    <w:rsid w:val="002F76D2"/>
    <w:rsid w:val="002F7781"/>
    <w:rsid w:val="002F7CFC"/>
    <w:rsid w:val="0030029C"/>
    <w:rsid w:val="00300460"/>
    <w:rsid w:val="00300744"/>
    <w:rsid w:val="00300F25"/>
    <w:rsid w:val="00302BD0"/>
    <w:rsid w:val="00302F7F"/>
    <w:rsid w:val="003031A0"/>
    <w:rsid w:val="003036EF"/>
    <w:rsid w:val="00304D5D"/>
    <w:rsid w:val="003054A3"/>
    <w:rsid w:val="00305728"/>
    <w:rsid w:val="00305A4C"/>
    <w:rsid w:val="00305A76"/>
    <w:rsid w:val="00305E5B"/>
    <w:rsid w:val="003072A1"/>
    <w:rsid w:val="0030783D"/>
    <w:rsid w:val="0031006A"/>
    <w:rsid w:val="0031037D"/>
    <w:rsid w:val="003107A4"/>
    <w:rsid w:val="003107A6"/>
    <w:rsid w:val="00310C71"/>
    <w:rsid w:val="00310F01"/>
    <w:rsid w:val="00311332"/>
    <w:rsid w:val="00311439"/>
    <w:rsid w:val="003124D3"/>
    <w:rsid w:val="003128FF"/>
    <w:rsid w:val="00312994"/>
    <w:rsid w:val="00313171"/>
    <w:rsid w:val="00313F97"/>
    <w:rsid w:val="00322DB9"/>
    <w:rsid w:val="00324A05"/>
    <w:rsid w:val="00325EE5"/>
    <w:rsid w:val="0032626A"/>
    <w:rsid w:val="00326CCA"/>
    <w:rsid w:val="00327CEF"/>
    <w:rsid w:val="00331481"/>
    <w:rsid w:val="0033170C"/>
    <w:rsid w:val="003339BB"/>
    <w:rsid w:val="00333BC1"/>
    <w:rsid w:val="00334096"/>
    <w:rsid w:val="003343EB"/>
    <w:rsid w:val="00334970"/>
    <w:rsid w:val="00334BAD"/>
    <w:rsid w:val="00336248"/>
    <w:rsid w:val="00337043"/>
    <w:rsid w:val="003372E2"/>
    <w:rsid w:val="00340F14"/>
    <w:rsid w:val="003411D3"/>
    <w:rsid w:val="0034170E"/>
    <w:rsid w:val="00342201"/>
    <w:rsid w:val="00342392"/>
    <w:rsid w:val="00342446"/>
    <w:rsid w:val="00342FA0"/>
    <w:rsid w:val="00345728"/>
    <w:rsid w:val="00346375"/>
    <w:rsid w:val="003463FB"/>
    <w:rsid w:val="00346660"/>
    <w:rsid w:val="003466CC"/>
    <w:rsid w:val="00346DC4"/>
    <w:rsid w:val="00350229"/>
    <w:rsid w:val="0035069C"/>
    <w:rsid w:val="003533DB"/>
    <w:rsid w:val="003541BD"/>
    <w:rsid w:val="003548A5"/>
    <w:rsid w:val="00355B7B"/>
    <w:rsid w:val="0035791B"/>
    <w:rsid w:val="00357B85"/>
    <w:rsid w:val="00360E14"/>
    <w:rsid w:val="003612BF"/>
    <w:rsid w:val="003612FA"/>
    <w:rsid w:val="00361371"/>
    <w:rsid w:val="00361E4F"/>
    <w:rsid w:val="00362DFB"/>
    <w:rsid w:val="00362F03"/>
    <w:rsid w:val="003630CD"/>
    <w:rsid w:val="003636DC"/>
    <w:rsid w:val="00364862"/>
    <w:rsid w:val="00364CB2"/>
    <w:rsid w:val="0036532B"/>
    <w:rsid w:val="00365DBF"/>
    <w:rsid w:val="00365FB9"/>
    <w:rsid w:val="003665D5"/>
    <w:rsid w:val="00366D0D"/>
    <w:rsid w:val="00366E87"/>
    <w:rsid w:val="00367C3A"/>
    <w:rsid w:val="0037025B"/>
    <w:rsid w:val="00370DC6"/>
    <w:rsid w:val="00370F96"/>
    <w:rsid w:val="0037119E"/>
    <w:rsid w:val="003714D2"/>
    <w:rsid w:val="00372099"/>
    <w:rsid w:val="003720FB"/>
    <w:rsid w:val="00372EEB"/>
    <w:rsid w:val="003730B3"/>
    <w:rsid w:val="00373AA2"/>
    <w:rsid w:val="003744F2"/>
    <w:rsid w:val="0037482D"/>
    <w:rsid w:val="00375270"/>
    <w:rsid w:val="00376014"/>
    <w:rsid w:val="00376087"/>
    <w:rsid w:val="00376208"/>
    <w:rsid w:val="003766CC"/>
    <w:rsid w:val="00376A76"/>
    <w:rsid w:val="003772C4"/>
    <w:rsid w:val="003775C4"/>
    <w:rsid w:val="00377C88"/>
    <w:rsid w:val="003810EF"/>
    <w:rsid w:val="00381259"/>
    <w:rsid w:val="00382384"/>
    <w:rsid w:val="00382479"/>
    <w:rsid w:val="003825A6"/>
    <w:rsid w:val="00382A9A"/>
    <w:rsid w:val="00383253"/>
    <w:rsid w:val="00383463"/>
    <w:rsid w:val="00384550"/>
    <w:rsid w:val="00385658"/>
    <w:rsid w:val="0038605E"/>
    <w:rsid w:val="003868D3"/>
    <w:rsid w:val="00386DBD"/>
    <w:rsid w:val="00387465"/>
    <w:rsid w:val="003879DC"/>
    <w:rsid w:val="00391706"/>
    <w:rsid w:val="00391DD0"/>
    <w:rsid w:val="00394830"/>
    <w:rsid w:val="003960FD"/>
    <w:rsid w:val="003962C4"/>
    <w:rsid w:val="00396839"/>
    <w:rsid w:val="0039715E"/>
    <w:rsid w:val="003974F6"/>
    <w:rsid w:val="003A161B"/>
    <w:rsid w:val="003A17AD"/>
    <w:rsid w:val="003A28F7"/>
    <w:rsid w:val="003A32F5"/>
    <w:rsid w:val="003A3B47"/>
    <w:rsid w:val="003A3F84"/>
    <w:rsid w:val="003A4496"/>
    <w:rsid w:val="003A4C31"/>
    <w:rsid w:val="003A4F8E"/>
    <w:rsid w:val="003A5CB5"/>
    <w:rsid w:val="003A5E66"/>
    <w:rsid w:val="003A710C"/>
    <w:rsid w:val="003B0C3A"/>
    <w:rsid w:val="003B157C"/>
    <w:rsid w:val="003B167B"/>
    <w:rsid w:val="003B1CFD"/>
    <w:rsid w:val="003B2A98"/>
    <w:rsid w:val="003B2E31"/>
    <w:rsid w:val="003B45FF"/>
    <w:rsid w:val="003B5767"/>
    <w:rsid w:val="003B579E"/>
    <w:rsid w:val="003B5A92"/>
    <w:rsid w:val="003B6AC6"/>
    <w:rsid w:val="003B6C80"/>
    <w:rsid w:val="003B76A2"/>
    <w:rsid w:val="003C0648"/>
    <w:rsid w:val="003C0DA6"/>
    <w:rsid w:val="003C15C3"/>
    <w:rsid w:val="003C1B3D"/>
    <w:rsid w:val="003C20DA"/>
    <w:rsid w:val="003C214E"/>
    <w:rsid w:val="003C4162"/>
    <w:rsid w:val="003C4205"/>
    <w:rsid w:val="003C4EDB"/>
    <w:rsid w:val="003C505E"/>
    <w:rsid w:val="003C7397"/>
    <w:rsid w:val="003C7AE2"/>
    <w:rsid w:val="003D25B8"/>
    <w:rsid w:val="003D2BCD"/>
    <w:rsid w:val="003D38E2"/>
    <w:rsid w:val="003D3CC7"/>
    <w:rsid w:val="003D3CEA"/>
    <w:rsid w:val="003D3F62"/>
    <w:rsid w:val="003D40A4"/>
    <w:rsid w:val="003D473D"/>
    <w:rsid w:val="003D4FA3"/>
    <w:rsid w:val="003D57AF"/>
    <w:rsid w:val="003D5822"/>
    <w:rsid w:val="003D5F17"/>
    <w:rsid w:val="003D68B4"/>
    <w:rsid w:val="003E071B"/>
    <w:rsid w:val="003E1047"/>
    <w:rsid w:val="003E17EB"/>
    <w:rsid w:val="003E221F"/>
    <w:rsid w:val="003E2A4D"/>
    <w:rsid w:val="003E2C98"/>
    <w:rsid w:val="003E30F1"/>
    <w:rsid w:val="003E3FB9"/>
    <w:rsid w:val="003E427F"/>
    <w:rsid w:val="003E5441"/>
    <w:rsid w:val="003E681C"/>
    <w:rsid w:val="003E6F43"/>
    <w:rsid w:val="003E79CB"/>
    <w:rsid w:val="003E7AB5"/>
    <w:rsid w:val="003E7C07"/>
    <w:rsid w:val="003F0347"/>
    <w:rsid w:val="003F045D"/>
    <w:rsid w:val="003F14FB"/>
    <w:rsid w:val="003F308A"/>
    <w:rsid w:val="003F3118"/>
    <w:rsid w:val="003F3AC1"/>
    <w:rsid w:val="003F3B55"/>
    <w:rsid w:val="003F3DE1"/>
    <w:rsid w:val="003F41F7"/>
    <w:rsid w:val="003F5398"/>
    <w:rsid w:val="003F5934"/>
    <w:rsid w:val="003F62D7"/>
    <w:rsid w:val="003F653A"/>
    <w:rsid w:val="003F66D6"/>
    <w:rsid w:val="003F6709"/>
    <w:rsid w:val="003F6747"/>
    <w:rsid w:val="003F6756"/>
    <w:rsid w:val="003F6D6B"/>
    <w:rsid w:val="003F72C7"/>
    <w:rsid w:val="003F7313"/>
    <w:rsid w:val="003F735E"/>
    <w:rsid w:val="003F792D"/>
    <w:rsid w:val="003F7D77"/>
    <w:rsid w:val="0040001B"/>
    <w:rsid w:val="00400596"/>
    <w:rsid w:val="00400655"/>
    <w:rsid w:val="0040140A"/>
    <w:rsid w:val="00401EA1"/>
    <w:rsid w:val="00402078"/>
    <w:rsid w:val="004024B4"/>
    <w:rsid w:val="00402E02"/>
    <w:rsid w:val="00402F5B"/>
    <w:rsid w:val="00403938"/>
    <w:rsid w:val="00403DF0"/>
    <w:rsid w:val="00404E2E"/>
    <w:rsid w:val="00404E5F"/>
    <w:rsid w:val="00405303"/>
    <w:rsid w:val="00405CFC"/>
    <w:rsid w:val="00405D96"/>
    <w:rsid w:val="00405DE3"/>
    <w:rsid w:val="00405E80"/>
    <w:rsid w:val="00406091"/>
    <w:rsid w:val="00406414"/>
    <w:rsid w:val="00406F44"/>
    <w:rsid w:val="004100DF"/>
    <w:rsid w:val="00410108"/>
    <w:rsid w:val="00412105"/>
    <w:rsid w:val="004124F5"/>
    <w:rsid w:val="0041269B"/>
    <w:rsid w:val="00412E4C"/>
    <w:rsid w:val="00413C9B"/>
    <w:rsid w:val="0041427E"/>
    <w:rsid w:val="0041561E"/>
    <w:rsid w:val="004157B7"/>
    <w:rsid w:val="00415BF4"/>
    <w:rsid w:val="00415E40"/>
    <w:rsid w:val="0041658A"/>
    <w:rsid w:val="00416B65"/>
    <w:rsid w:val="00417234"/>
    <w:rsid w:val="00420DFB"/>
    <w:rsid w:val="00421A95"/>
    <w:rsid w:val="004225D0"/>
    <w:rsid w:val="00422BEA"/>
    <w:rsid w:val="00422C0B"/>
    <w:rsid w:val="00422F06"/>
    <w:rsid w:val="0042353A"/>
    <w:rsid w:val="00423A32"/>
    <w:rsid w:val="00423E6D"/>
    <w:rsid w:val="004255C6"/>
    <w:rsid w:val="00425C38"/>
    <w:rsid w:val="00425E13"/>
    <w:rsid w:val="004260FC"/>
    <w:rsid w:val="00426A39"/>
    <w:rsid w:val="00426CAB"/>
    <w:rsid w:val="0042779C"/>
    <w:rsid w:val="00427961"/>
    <w:rsid w:val="00430CF4"/>
    <w:rsid w:val="00431A57"/>
    <w:rsid w:val="0043242C"/>
    <w:rsid w:val="0043279C"/>
    <w:rsid w:val="00432E49"/>
    <w:rsid w:val="004333B5"/>
    <w:rsid w:val="0043351F"/>
    <w:rsid w:val="00433AAE"/>
    <w:rsid w:val="00433D01"/>
    <w:rsid w:val="00433D4B"/>
    <w:rsid w:val="004348B4"/>
    <w:rsid w:val="004353D2"/>
    <w:rsid w:val="00435F0C"/>
    <w:rsid w:val="00436C8E"/>
    <w:rsid w:val="00436DEF"/>
    <w:rsid w:val="00440B0C"/>
    <w:rsid w:val="00440B96"/>
    <w:rsid w:val="00441182"/>
    <w:rsid w:val="00441347"/>
    <w:rsid w:val="004414A6"/>
    <w:rsid w:val="00441504"/>
    <w:rsid w:val="00442B63"/>
    <w:rsid w:val="0044333B"/>
    <w:rsid w:val="0044526D"/>
    <w:rsid w:val="00445A23"/>
    <w:rsid w:val="004465B0"/>
    <w:rsid w:val="0044662D"/>
    <w:rsid w:val="00446874"/>
    <w:rsid w:val="00446AB8"/>
    <w:rsid w:val="00446AD7"/>
    <w:rsid w:val="00450152"/>
    <w:rsid w:val="00450A48"/>
    <w:rsid w:val="00450CC7"/>
    <w:rsid w:val="004518F2"/>
    <w:rsid w:val="0045193A"/>
    <w:rsid w:val="00452315"/>
    <w:rsid w:val="00452C5F"/>
    <w:rsid w:val="00452D34"/>
    <w:rsid w:val="00453469"/>
    <w:rsid w:val="0045371A"/>
    <w:rsid w:val="0045405F"/>
    <w:rsid w:val="0045413F"/>
    <w:rsid w:val="0045467B"/>
    <w:rsid w:val="00454EF9"/>
    <w:rsid w:val="00456A77"/>
    <w:rsid w:val="004605E7"/>
    <w:rsid w:val="0046067D"/>
    <w:rsid w:val="00461D36"/>
    <w:rsid w:val="00462335"/>
    <w:rsid w:val="00462611"/>
    <w:rsid w:val="00462B28"/>
    <w:rsid w:val="004632E0"/>
    <w:rsid w:val="00466140"/>
    <w:rsid w:val="004664AC"/>
    <w:rsid w:val="00466DCC"/>
    <w:rsid w:val="0046725E"/>
    <w:rsid w:val="004673A3"/>
    <w:rsid w:val="00467891"/>
    <w:rsid w:val="00467CEA"/>
    <w:rsid w:val="00470000"/>
    <w:rsid w:val="00470296"/>
    <w:rsid w:val="00470A36"/>
    <w:rsid w:val="00470C8B"/>
    <w:rsid w:val="0047190D"/>
    <w:rsid w:val="00471FEC"/>
    <w:rsid w:val="00472477"/>
    <w:rsid w:val="004735FE"/>
    <w:rsid w:val="00473ADD"/>
    <w:rsid w:val="00473B65"/>
    <w:rsid w:val="00474533"/>
    <w:rsid w:val="00474CD4"/>
    <w:rsid w:val="0047503A"/>
    <w:rsid w:val="00475053"/>
    <w:rsid w:val="004757D5"/>
    <w:rsid w:val="00475D7A"/>
    <w:rsid w:val="004761F5"/>
    <w:rsid w:val="00476242"/>
    <w:rsid w:val="00476A03"/>
    <w:rsid w:val="00476B63"/>
    <w:rsid w:val="004810A0"/>
    <w:rsid w:val="00481762"/>
    <w:rsid w:val="004817CB"/>
    <w:rsid w:val="00481BBD"/>
    <w:rsid w:val="00482425"/>
    <w:rsid w:val="00482CD4"/>
    <w:rsid w:val="00483B69"/>
    <w:rsid w:val="004845C8"/>
    <w:rsid w:val="00484E7F"/>
    <w:rsid w:val="00485433"/>
    <w:rsid w:val="004858C1"/>
    <w:rsid w:val="00485CDF"/>
    <w:rsid w:val="00486D97"/>
    <w:rsid w:val="004870BF"/>
    <w:rsid w:val="00487547"/>
    <w:rsid w:val="004904EA"/>
    <w:rsid w:val="004911EE"/>
    <w:rsid w:val="004912F4"/>
    <w:rsid w:val="004918E7"/>
    <w:rsid w:val="00491928"/>
    <w:rsid w:val="004931E7"/>
    <w:rsid w:val="00493295"/>
    <w:rsid w:val="00493973"/>
    <w:rsid w:val="00493C34"/>
    <w:rsid w:val="00493FF4"/>
    <w:rsid w:val="00494445"/>
    <w:rsid w:val="00494A7A"/>
    <w:rsid w:val="00494B86"/>
    <w:rsid w:val="00495128"/>
    <w:rsid w:val="0049628C"/>
    <w:rsid w:val="00496A0B"/>
    <w:rsid w:val="004971AD"/>
    <w:rsid w:val="00497304"/>
    <w:rsid w:val="0049783A"/>
    <w:rsid w:val="00497B4B"/>
    <w:rsid w:val="004A0384"/>
    <w:rsid w:val="004A0B2B"/>
    <w:rsid w:val="004A2567"/>
    <w:rsid w:val="004A2CC9"/>
    <w:rsid w:val="004A3366"/>
    <w:rsid w:val="004A514C"/>
    <w:rsid w:val="004A5469"/>
    <w:rsid w:val="004A5CA3"/>
    <w:rsid w:val="004A5F02"/>
    <w:rsid w:val="004A5F5A"/>
    <w:rsid w:val="004A7058"/>
    <w:rsid w:val="004A78DE"/>
    <w:rsid w:val="004A7DF6"/>
    <w:rsid w:val="004B0340"/>
    <w:rsid w:val="004B204F"/>
    <w:rsid w:val="004B22D9"/>
    <w:rsid w:val="004B23EE"/>
    <w:rsid w:val="004B2C8C"/>
    <w:rsid w:val="004B2D03"/>
    <w:rsid w:val="004B3613"/>
    <w:rsid w:val="004B416C"/>
    <w:rsid w:val="004B46EA"/>
    <w:rsid w:val="004B46FC"/>
    <w:rsid w:val="004B506B"/>
    <w:rsid w:val="004B66D5"/>
    <w:rsid w:val="004B6773"/>
    <w:rsid w:val="004B6E02"/>
    <w:rsid w:val="004B7EEF"/>
    <w:rsid w:val="004C05A1"/>
    <w:rsid w:val="004C0C64"/>
    <w:rsid w:val="004C0C94"/>
    <w:rsid w:val="004C148F"/>
    <w:rsid w:val="004C177C"/>
    <w:rsid w:val="004C1BB8"/>
    <w:rsid w:val="004C2867"/>
    <w:rsid w:val="004C38F8"/>
    <w:rsid w:val="004C3E8F"/>
    <w:rsid w:val="004C4259"/>
    <w:rsid w:val="004C5FD5"/>
    <w:rsid w:val="004C6151"/>
    <w:rsid w:val="004C70D5"/>
    <w:rsid w:val="004D0552"/>
    <w:rsid w:val="004D11EA"/>
    <w:rsid w:val="004D3087"/>
    <w:rsid w:val="004D313A"/>
    <w:rsid w:val="004D4173"/>
    <w:rsid w:val="004D44E7"/>
    <w:rsid w:val="004D63AB"/>
    <w:rsid w:val="004D67F5"/>
    <w:rsid w:val="004D6885"/>
    <w:rsid w:val="004D6F7C"/>
    <w:rsid w:val="004D7A40"/>
    <w:rsid w:val="004D7B18"/>
    <w:rsid w:val="004D7B64"/>
    <w:rsid w:val="004E09DC"/>
    <w:rsid w:val="004E0CD4"/>
    <w:rsid w:val="004E144C"/>
    <w:rsid w:val="004E1C61"/>
    <w:rsid w:val="004E2301"/>
    <w:rsid w:val="004E2808"/>
    <w:rsid w:val="004E35D8"/>
    <w:rsid w:val="004E3B4D"/>
    <w:rsid w:val="004E3C88"/>
    <w:rsid w:val="004E3F8D"/>
    <w:rsid w:val="004E410A"/>
    <w:rsid w:val="004E4FDE"/>
    <w:rsid w:val="004E51B2"/>
    <w:rsid w:val="004E51EE"/>
    <w:rsid w:val="004E627F"/>
    <w:rsid w:val="004E6711"/>
    <w:rsid w:val="004E6BC9"/>
    <w:rsid w:val="004E6DC0"/>
    <w:rsid w:val="004E793D"/>
    <w:rsid w:val="004E7CBD"/>
    <w:rsid w:val="004E7FBA"/>
    <w:rsid w:val="004F13F1"/>
    <w:rsid w:val="004F168E"/>
    <w:rsid w:val="004F2D31"/>
    <w:rsid w:val="004F2D95"/>
    <w:rsid w:val="004F3ED4"/>
    <w:rsid w:val="004F501C"/>
    <w:rsid w:val="004F5474"/>
    <w:rsid w:val="004F5C19"/>
    <w:rsid w:val="004F671B"/>
    <w:rsid w:val="00500494"/>
    <w:rsid w:val="005006B6"/>
    <w:rsid w:val="005026CC"/>
    <w:rsid w:val="00502ABC"/>
    <w:rsid w:val="005038BE"/>
    <w:rsid w:val="005040B4"/>
    <w:rsid w:val="005050B6"/>
    <w:rsid w:val="00505E5A"/>
    <w:rsid w:val="00506AE4"/>
    <w:rsid w:val="0050717C"/>
    <w:rsid w:val="00507470"/>
    <w:rsid w:val="00510EAC"/>
    <w:rsid w:val="00510EF2"/>
    <w:rsid w:val="0051134A"/>
    <w:rsid w:val="005118E8"/>
    <w:rsid w:val="00513860"/>
    <w:rsid w:val="00513916"/>
    <w:rsid w:val="005139DC"/>
    <w:rsid w:val="0051418A"/>
    <w:rsid w:val="00515680"/>
    <w:rsid w:val="0051599B"/>
    <w:rsid w:val="00515FF9"/>
    <w:rsid w:val="00516456"/>
    <w:rsid w:val="00516F90"/>
    <w:rsid w:val="00517235"/>
    <w:rsid w:val="00517628"/>
    <w:rsid w:val="00517C73"/>
    <w:rsid w:val="00520134"/>
    <w:rsid w:val="0052061D"/>
    <w:rsid w:val="00522168"/>
    <w:rsid w:val="00522DA9"/>
    <w:rsid w:val="00522E17"/>
    <w:rsid w:val="0052313B"/>
    <w:rsid w:val="0052406C"/>
    <w:rsid w:val="005246BB"/>
    <w:rsid w:val="00524873"/>
    <w:rsid w:val="0052497A"/>
    <w:rsid w:val="00525D97"/>
    <w:rsid w:val="00527104"/>
    <w:rsid w:val="00530A61"/>
    <w:rsid w:val="00530D4B"/>
    <w:rsid w:val="005314D4"/>
    <w:rsid w:val="00531821"/>
    <w:rsid w:val="00531A14"/>
    <w:rsid w:val="005329CF"/>
    <w:rsid w:val="00532D33"/>
    <w:rsid w:val="005339C1"/>
    <w:rsid w:val="00533B93"/>
    <w:rsid w:val="005340AD"/>
    <w:rsid w:val="005345C7"/>
    <w:rsid w:val="005348B9"/>
    <w:rsid w:val="00537652"/>
    <w:rsid w:val="00537F09"/>
    <w:rsid w:val="0054022B"/>
    <w:rsid w:val="0054149D"/>
    <w:rsid w:val="00541525"/>
    <w:rsid w:val="00541CB1"/>
    <w:rsid w:val="005429A2"/>
    <w:rsid w:val="00542F7A"/>
    <w:rsid w:val="005437E7"/>
    <w:rsid w:val="005454DA"/>
    <w:rsid w:val="005462F0"/>
    <w:rsid w:val="00546814"/>
    <w:rsid w:val="0054743B"/>
    <w:rsid w:val="00550067"/>
    <w:rsid w:val="00550F0A"/>
    <w:rsid w:val="0055119D"/>
    <w:rsid w:val="00551CE5"/>
    <w:rsid w:val="00552A1D"/>
    <w:rsid w:val="00553BE0"/>
    <w:rsid w:val="00553D7C"/>
    <w:rsid w:val="005545D7"/>
    <w:rsid w:val="005545FF"/>
    <w:rsid w:val="00555DA4"/>
    <w:rsid w:val="005563C6"/>
    <w:rsid w:val="00561530"/>
    <w:rsid w:val="00561D42"/>
    <w:rsid w:val="00563426"/>
    <w:rsid w:val="005637DB"/>
    <w:rsid w:val="0056386B"/>
    <w:rsid w:val="0056397A"/>
    <w:rsid w:val="00563B9D"/>
    <w:rsid w:val="005640B0"/>
    <w:rsid w:val="005642B0"/>
    <w:rsid w:val="00564BA3"/>
    <w:rsid w:val="00565B3A"/>
    <w:rsid w:val="005661D1"/>
    <w:rsid w:val="00566200"/>
    <w:rsid w:val="00566308"/>
    <w:rsid w:val="005672BF"/>
    <w:rsid w:val="0056775E"/>
    <w:rsid w:val="00567CA4"/>
    <w:rsid w:val="00570FED"/>
    <w:rsid w:val="00571B93"/>
    <w:rsid w:val="00572F7C"/>
    <w:rsid w:val="00572FBD"/>
    <w:rsid w:val="00574328"/>
    <w:rsid w:val="00574C54"/>
    <w:rsid w:val="0057602C"/>
    <w:rsid w:val="00576AF1"/>
    <w:rsid w:val="005773C0"/>
    <w:rsid w:val="005819F6"/>
    <w:rsid w:val="00581F5C"/>
    <w:rsid w:val="00581F9C"/>
    <w:rsid w:val="00581FC7"/>
    <w:rsid w:val="00582000"/>
    <w:rsid w:val="005823F4"/>
    <w:rsid w:val="00585873"/>
    <w:rsid w:val="005870F9"/>
    <w:rsid w:val="0059077B"/>
    <w:rsid w:val="00590F0E"/>
    <w:rsid w:val="005917C7"/>
    <w:rsid w:val="00591CBE"/>
    <w:rsid w:val="0059398D"/>
    <w:rsid w:val="00593AB4"/>
    <w:rsid w:val="00593B6F"/>
    <w:rsid w:val="00593C6C"/>
    <w:rsid w:val="00593F3E"/>
    <w:rsid w:val="00594138"/>
    <w:rsid w:val="00595298"/>
    <w:rsid w:val="00595915"/>
    <w:rsid w:val="00596CCB"/>
    <w:rsid w:val="00597BAF"/>
    <w:rsid w:val="005A0A14"/>
    <w:rsid w:val="005A0ADD"/>
    <w:rsid w:val="005A0BE6"/>
    <w:rsid w:val="005A192A"/>
    <w:rsid w:val="005A1ACF"/>
    <w:rsid w:val="005A1E75"/>
    <w:rsid w:val="005A2886"/>
    <w:rsid w:val="005A3D9A"/>
    <w:rsid w:val="005A4141"/>
    <w:rsid w:val="005A4844"/>
    <w:rsid w:val="005A49F4"/>
    <w:rsid w:val="005A5096"/>
    <w:rsid w:val="005A54DC"/>
    <w:rsid w:val="005A5577"/>
    <w:rsid w:val="005A5FDC"/>
    <w:rsid w:val="005A7C4B"/>
    <w:rsid w:val="005A7D0D"/>
    <w:rsid w:val="005B0A67"/>
    <w:rsid w:val="005B2FD3"/>
    <w:rsid w:val="005B2FDC"/>
    <w:rsid w:val="005B3899"/>
    <w:rsid w:val="005B3DD5"/>
    <w:rsid w:val="005B4140"/>
    <w:rsid w:val="005B4535"/>
    <w:rsid w:val="005B49F7"/>
    <w:rsid w:val="005B4C7A"/>
    <w:rsid w:val="005B4FDF"/>
    <w:rsid w:val="005B5079"/>
    <w:rsid w:val="005B55C9"/>
    <w:rsid w:val="005B6762"/>
    <w:rsid w:val="005B72B7"/>
    <w:rsid w:val="005C0575"/>
    <w:rsid w:val="005C1DBF"/>
    <w:rsid w:val="005C1E6B"/>
    <w:rsid w:val="005C1ED6"/>
    <w:rsid w:val="005C29C5"/>
    <w:rsid w:val="005C3348"/>
    <w:rsid w:val="005C3A49"/>
    <w:rsid w:val="005C417E"/>
    <w:rsid w:val="005C5902"/>
    <w:rsid w:val="005C5C19"/>
    <w:rsid w:val="005C6621"/>
    <w:rsid w:val="005C6A13"/>
    <w:rsid w:val="005C6A86"/>
    <w:rsid w:val="005C769E"/>
    <w:rsid w:val="005D0973"/>
    <w:rsid w:val="005D2B5D"/>
    <w:rsid w:val="005D2F0F"/>
    <w:rsid w:val="005D3391"/>
    <w:rsid w:val="005D380E"/>
    <w:rsid w:val="005D3951"/>
    <w:rsid w:val="005D3BB2"/>
    <w:rsid w:val="005D541E"/>
    <w:rsid w:val="005D60CF"/>
    <w:rsid w:val="005D6817"/>
    <w:rsid w:val="005D6952"/>
    <w:rsid w:val="005D7E41"/>
    <w:rsid w:val="005E0737"/>
    <w:rsid w:val="005E237C"/>
    <w:rsid w:val="005E335D"/>
    <w:rsid w:val="005E3DC6"/>
    <w:rsid w:val="005E3E2C"/>
    <w:rsid w:val="005E4DE3"/>
    <w:rsid w:val="005E5003"/>
    <w:rsid w:val="005E6077"/>
    <w:rsid w:val="005E6C6C"/>
    <w:rsid w:val="005E708C"/>
    <w:rsid w:val="005E72DE"/>
    <w:rsid w:val="005E73A8"/>
    <w:rsid w:val="005F04DB"/>
    <w:rsid w:val="005F1460"/>
    <w:rsid w:val="005F1507"/>
    <w:rsid w:val="005F1985"/>
    <w:rsid w:val="005F3F04"/>
    <w:rsid w:val="005F4ED0"/>
    <w:rsid w:val="005F5FBE"/>
    <w:rsid w:val="005F62A2"/>
    <w:rsid w:val="005F65C6"/>
    <w:rsid w:val="005F71F5"/>
    <w:rsid w:val="005F7E0F"/>
    <w:rsid w:val="0060068B"/>
    <w:rsid w:val="0060075C"/>
    <w:rsid w:val="00600F23"/>
    <w:rsid w:val="00601EC2"/>
    <w:rsid w:val="00602851"/>
    <w:rsid w:val="00602A2E"/>
    <w:rsid w:val="00602C82"/>
    <w:rsid w:val="006041F6"/>
    <w:rsid w:val="00604B70"/>
    <w:rsid w:val="006050F2"/>
    <w:rsid w:val="00605543"/>
    <w:rsid w:val="00605C0F"/>
    <w:rsid w:val="006060E4"/>
    <w:rsid w:val="006062FD"/>
    <w:rsid w:val="00606A24"/>
    <w:rsid w:val="00606B01"/>
    <w:rsid w:val="00607931"/>
    <w:rsid w:val="006106D8"/>
    <w:rsid w:val="00611093"/>
    <w:rsid w:val="006115D9"/>
    <w:rsid w:val="006118E2"/>
    <w:rsid w:val="00611CDB"/>
    <w:rsid w:val="0061212E"/>
    <w:rsid w:val="00612C51"/>
    <w:rsid w:val="006141E6"/>
    <w:rsid w:val="00615453"/>
    <w:rsid w:val="0061576E"/>
    <w:rsid w:val="006161AE"/>
    <w:rsid w:val="0061714E"/>
    <w:rsid w:val="006176CF"/>
    <w:rsid w:val="006177DB"/>
    <w:rsid w:val="00620278"/>
    <w:rsid w:val="006206A0"/>
    <w:rsid w:val="006206BE"/>
    <w:rsid w:val="00620992"/>
    <w:rsid w:val="00621746"/>
    <w:rsid w:val="00621FE2"/>
    <w:rsid w:val="0062293C"/>
    <w:rsid w:val="0062367A"/>
    <w:rsid w:val="00623D67"/>
    <w:rsid w:val="006244EC"/>
    <w:rsid w:val="0062569A"/>
    <w:rsid w:val="00625863"/>
    <w:rsid w:val="00626277"/>
    <w:rsid w:val="006276AE"/>
    <w:rsid w:val="00627BD7"/>
    <w:rsid w:val="00627DE5"/>
    <w:rsid w:val="00630181"/>
    <w:rsid w:val="00630401"/>
    <w:rsid w:val="00630A37"/>
    <w:rsid w:val="00630B33"/>
    <w:rsid w:val="00631B25"/>
    <w:rsid w:val="00631E5F"/>
    <w:rsid w:val="00632095"/>
    <w:rsid w:val="00632659"/>
    <w:rsid w:val="006327CD"/>
    <w:rsid w:val="00632AFB"/>
    <w:rsid w:val="00632E0F"/>
    <w:rsid w:val="00633258"/>
    <w:rsid w:val="0063377C"/>
    <w:rsid w:val="00636FF1"/>
    <w:rsid w:val="0063720A"/>
    <w:rsid w:val="00637CE1"/>
    <w:rsid w:val="00640306"/>
    <w:rsid w:val="006403FF"/>
    <w:rsid w:val="0064051D"/>
    <w:rsid w:val="00641279"/>
    <w:rsid w:val="00641629"/>
    <w:rsid w:val="00643397"/>
    <w:rsid w:val="00643F35"/>
    <w:rsid w:val="00644D59"/>
    <w:rsid w:val="006456E7"/>
    <w:rsid w:val="00645B9A"/>
    <w:rsid w:val="006479EC"/>
    <w:rsid w:val="00647DC2"/>
    <w:rsid w:val="00651E2A"/>
    <w:rsid w:val="00652274"/>
    <w:rsid w:val="00652C12"/>
    <w:rsid w:val="00652C19"/>
    <w:rsid w:val="00652D5F"/>
    <w:rsid w:val="00654367"/>
    <w:rsid w:val="006545B0"/>
    <w:rsid w:val="006546F3"/>
    <w:rsid w:val="0065547D"/>
    <w:rsid w:val="00655B7A"/>
    <w:rsid w:val="00655F86"/>
    <w:rsid w:val="0065654F"/>
    <w:rsid w:val="006566C0"/>
    <w:rsid w:val="00656D7D"/>
    <w:rsid w:val="0065783A"/>
    <w:rsid w:val="006579C7"/>
    <w:rsid w:val="00661724"/>
    <w:rsid w:val="00662D5C"/>
    <w:rsid w:val="00662DD2"/>
    <w:rsid w:val="0066428C"/>
    <w:rsid w:val="00664310"/>
    <w:rsid w:val="00664495"/>
    <w:rsid w:val="006647DE"/>
    <w:rsid w:val="006649FD"/>
    <w:rsid w:val="00665FBB"/>
    <w:rsid w:val="00666775"/>
    <w:rsid w:val="00667353"/>
    <w:rsid w:val="0067165F"/>
    <w:rsid w:val="00671DE2"/>
    <w:rsid w:val="00673098"/>
    <w:rsid w:val="006734C3"/>
    <w:rsid w:val="006744EE"/>
    <w:rsid w:val="00674CFC"/>
    <w:rsid w:val="006752D6"/>
    <w:rsid w:val="00676C7A"/>
    <w:rsid w:val="006776DE"/>
    <w:rsid w:val="006778E0"/>
    <w:rsid w:val="00677B7B"/>
    <w:rsid w:val="00677F51"/>
    <w:rsid w:val="0068007C"/>
    <w:rsid w:val="00680F28"/>
    <w:rsid w:val="0068104C"/>
    <w:rsid w:val="0068119C"/>
    <w:rsid w:val="006816D5"/>
    <w:rsid w:val="00681A46"/>
    <w:rsid w:val="00681DB0"/>
    <w:rsid w:val="00682398"/>
    <w:rsid w:val="00682618"/>
    <w:rsid w:val="00682A04"/>
    <w:rsid w:val="0068363B"/>
    <w:rsid w:val="00683B83"/>
    <w:rsid w:val="00683DD9"/>
    <w:rsid w:val="0068720F"/>
    <w:rsid w:val="0068750B"/>
    <w:rsid w:val="00687BFE"/>
    <w:rsid w:val="0069109F"/>
    <w:rsid w:val="00691D04"/>
    <w:rsid w:val="0069245A"/>
    <w:rsid w:val="00692BFD"/>
    <w:rsid w:val="006932B1"/>
    <w:rsid w:val="006951B8"/>
    <w:rsid w:val="00695B08"/>
    <w:rsid w:val="006966FE"/>
    <w:rsid w:val="00696E75"/>
    <w:rsid w:val="00697518"/>
    <w:rsid w:val="00697706"/>
    <w:rsid w:val="00697AFB"/>
    <w:rsid w:val="00697E7F"/>
    <w:rsid w:val="006A00E0"/>
    <w:rsid w:val="006A018C"/>
    <w:rsid w:val="006A071C"/>
    <w:rsid w:val="006A1F18"/>
    <w:rsid w:val="006A3559"/>
    <w:rsid w:val="006A381C"/>
    <w:rsid w:val="006A4E47"/>
    <w:rsid w:val="006A5828"/>
    <w:rsid w:val="006A5A1A"/>
    <w:rsid w:val="006A620E"/>
    <w:rsid w:val="006A671C"/>
    <w:rsid w:val="006A6BC8"/>
    <w:rsid w:val="006B0B2C"/>
    <w:rsid w:val="006B19AE"/>
    <w:rsid w:val="006B1EDF"/>
    <w:rsid w:val="006B21B7"/>
    <w:rsid w:val="006B25B5"/>
    <w:rsid w:val="006B2F5D"/>
    <w:rsid w:val="006B3175"/>
    <w:rsid w:val="006B39E9"/>
    <w:rsid w:val="006B419D"/>
    <w:rsid w:val="006B4429"/>
    <w:rsid w:val="006B4EB2"/>
    <w:rsid w:val="006B5735"/>
    <w:rsid w:val="006B6032"/>
    <w:rsid w:val="006B6C62"/>
    <w:rsid w:val="006B6FA0"/>
    <w:rsid w:val="006BF3DC"/>
    <w:rsid w:val="006C0335"/>
    <w:rsid w:val="006C0A30"/>
    <w:rsid w:val="006C1064"/>
    <w:rsid w:val="006C111A"/>
    <w:rsid w:val="006C1757"/>
    <w:rsid w:val="006C2776"/>
    <w:rsid w:val="006C2937"/>
    <w:rsid w:val="006C2C90"/>
    <w:rsid w:val="006C34D9"/>
    <w:rsid w:val="006C3FB2"/>
    <w:rsid w:val="006C4064"/>
    <w:rsid w:val="006C5CBA"/>
    <w:rsid w:val="006C60E3"/>
    <w:rsid w:val="006C6F9C"/>
    <w:rsid w:val="006C7077"/>
    <w:rsid w:val="006C7F16"/>
    <w:rsid w:val="006D384A"/>
    <w:rsid w:val="006D3999"/>
    <w:rsid w:val="006D3D22"/>
    <w:rsid w:val="006D41A1"/>
    <w:rsid w:val="006D5307"/>
    <w:rsid w:val="006D6051"/>
    <w:rsid w:val="006D65FC"/>
    <w:rsid w:val="006D6B71"/>
    <w:rsid w:val="006D6BFA"/>
    <w:rsid w:val="006D6E36"/>
    <w:rsid w:val="006D6EB9"/>
    <w:rsid w:val="006D701D"/>
    <w:rsid w:val="006D7B01"/>
    <w:rsid w:val="006E064D"/>
    <w:rsid w:val="006E077C"/>
    <w:rsid w:val="006E1EB6"/>
    <w:rsid w:val="006E2C65"/>
    <w:rsid w:val="006E2DE2"/>
    <w:rsid w:val="006E3103"/>
    <w:rsid w:val="006E5667"/>
    <w:rsid w:val="006E6886"/>
    <w:rsid w:val="006E7010"/>
    <w:rsid w:val="006E72F4"/>
    <w:rsid w:val="006E775A"/>
    <w:rsid w:val="006F0363"/>
    <w:rsid w:val="006F06E9"/>
    <w:rsid w:val="006F0DA8"/>
    <w:rsid w:val="006F3C03"/>
    <w:rsid w:val="006F4375"/>
    <w:rsid w:val="006F49BE"/>
    <w:rsid w:val="006F633B"/>
    <w:rsid w:val="006F71C6"/>
    <w:rsid w:val="006F79F0"/>
    <w:rsid w:val="006F7FC4"/>
    <w:rsid w:val="007002B7"/>
    <w:rsid w:val="00701415"/>
    <w:rsid w:val="0070150A"/>
    <w:rsid w:val="0070186F"/>
    <w:rsid w:val="00701A26"/>
    <w:rsid w:val="00701B84"/>
    <w:rsid w:val="007027D4"/>
    <w:rsid w:val="0070284B"/>
    <w:rsid w:val="00702DBB"/>
    <w:rsid w:val="00702DF6"/>
    <w:rsid w:val="00703023"/>
    <w:rsid w:val="00703CBF"/>
    <w:rsid w:val="00703FB6"/>
    <w:rsid w:val="00704049"/>
    <w:rsid w:val="0070429E"/>
    <w:rsid w:val="0070476E"/>
    <w:rsid w:val="00704A2E"/>
    <w:rsid w:val="00704FAC"/>
    <w:rsid w:val="007062E5"/>
    <w:rsid w:val="0070673D"/>
    <w:rsid w:val="0070675A"/>
    <w:rsid w:val="007079F8"/>
    <w:rsid w:val="0071043D"/>
    <w:rsid w:val="0071096D"/>
    <w:rsid w:val="007119B0"/>
    <w:rsid w:val="007125F5"/>
    <w:rsid w:val="007127C9"/>
    <w:rsid w:val="00712B7E"/>
    <w:rsid w:val="00712E8D"/>
    <w:rsid w:val="0071372F"/>
    <w:rsid w:val="00713EB0"/>
    <w:rsid w:val="00714720"/>
    <w:rsid w:val="0071551C"/>
    <w:rsid w:val="00715CBE"/>
    <w:rsid w:val="00716109"/>
    <w:rsid w:val="00717E67"/>
    <w:rsid w:val="00720216"/>
    <w:rsid w:val="00720741"/>
    <w:rsid w:val="00720CE0"/>
    <w:rsid w:val="00720E92"/>
    <w:rsid w:val="0072104A"/>
    <w:rsid w:val="00721B4B"/>
    <w:rsid w:val="007224CC"/>
    <w:rsid w:val="007228B8"/>
    <w:rsid w:val="00723D1F"/>
    <w:rsid w:val="00723EF3"/>
    <w:rsid w:val="00723FAC"/>
    <w:rsid w:val="007259C3"/>
    <w:rsid w:val="007261C5"/>
    <w:rsid w:val="0072678B"/>
    <w:rsid w:val="007316E0"/>
    <w:rsid w:val="00731958"/>
    <w:rsid w:val="00731D52"/>
    <w:rsid w:val="007329FE"/>
    <w:rsid w:val="007344FC"/>
    <w:rsid w:val="00734CB0"/>
    <w:rsid w:val="00735629"/>
    <w:rsid w:val="00735D6A"/>
    <w:rsid w:val="007365AC"/>
    <w:rsid w:val="007369F1"/>
    <w:rsid w:val="00736CC2"/>
    <w:rsid w:val="0074047B"/>
    <w:rsid w:val="0074054A"/>
    <w:rsid w:val="00740575"/>
    <w:rsid w:val="00740756"/>
    <w:rsid w:val="00741362"/>
    <w:rsid w:val="007416D8"/>
    <w:rsid w:val="00741DA6"/>
    <w:rsid w:val="00743B9C"/>
    <w:rsid w:val="007464C5"/>
    <w:rsid w:val="007464D7"/>
    <w:rsid w:val="007470D6"/>
    <w:rsid w:val="00747456"/>
    <w:rsid w:val="00747CCE"/>
    <w:rsid w:val="00750F14"/>
    <w:rsid w:val="00751DB5"/>
    <w:rsid w:val="00753B3F"/>
    <w:rsid w:val="0075438A"/>
    <w:rsid w:val="00754974"/>
    <w:rsid w:val="00754FE7"/>
    <w:rsid w:val="00755706"/>
    <w:rsid w:val="00755EE5"/>
    <w:rsid w:val="007569B7"/>
    <w:rsid w:val="00756DAE"/>
    <w:rsid w:val="00756E2E"/>
    <w:rsid w:val="0076007E"/>
    <w:rsid w:val="00761584"/>
    <w:rsid w:val="00761EE0"/>
    <w:rsid w:val="00763856"/>
    <w:rsid w:val="007638FE"/>
    <w:rsid w:val="00763BF2"/>
    <w:rsid w:val="00764366"/>
    <w:rsid w:val="00764614"/>
    <w:rsid w:val="00765264"/>
    <w:rsid w:val="00765831"/>
    <w:rsid w:val="00765B7D"/>
    <w:rsid w:val="00767DB9"/>
    <w:rsid w:val="00767EE5"/>
    <w:rsid w:val="00770B46"/>
    <w:rsid w:val="007726CF"/>
    <w:rsid w:val="00773156"/>
    <w:rsid w:val="007734C9"/>
    <w:rsid w:val="00774380"/>
    <w:rsid w:val="00775309"/>
    <w:rsid w:val="00775A96"/>
    <w:rsid w:val="00775F76"/>
    <w:rsid w:val="007760F2"/>
    <w:rsid w:val="00776C86"/>
    <w:rsid w:val="00776CF6"/>
    <w:rsid w:val="0077717B"/>
    <w:rsid w:val="007801EF"/>
    <w:rsid w:val="00781427"/>
    <w:rsid w:val="00781717"/>
    <w:rsid w:val="007832CE"/>
    <w:rsid w:val="00783947"/>
    <w:rsid w:val="00783C83"/>
    <w:rsid w:val="00783C9B"/>
    <w:rsid w:val="00783EA8"/>
    <w:rsid w:val="00784C01"/>
    <w:rsid w:val="00785F64"/>
    <w:rsid w:val="007864F5"/>
    <w:rsid w:val="007867E9"/>
    <w:rsid w:val="00786ABB"/>
    <w:rsid w:val="007877C5"/>
    <w:rsid w:val="0079037B"/>
    <w:rsid w:val="00790FA0"/>
    <w:rsid w:val="007919C0"/>
    <w:rsid w:val="00791DF8"/>
    <w:rsid w:val="00792134"/>
    <w:rsid w:val="0079223F"/>
    <w:rsid w:val="00792480"/>
    <w:rsid w:val="00793008"/>
    <w:rsid w:val="00793294"/>
    <w:rsid w:val="00793EE0"/>
    <w:rsid w:val="007950A4"/>
    <w:rsid w:val="00795340"/>
    <w:rsid w:val="00795692"/>
    <w:rsid w:val="00795A04"/>
    <w:rsid w:val="00795D81"/>
    <w:rsid w:val="00796544"/>
    <w:rsid w:val="00796586"/>
    <w:rsid w:val="007969A4"/>
    <w:rsid w:val="00797C74"/>
    <w:rsid w:val="00797F59"/>
    <w:rsid w:val="007A02DD"/>
    <w:rsid w:val="007A04E6"/>
    <w:rsid w:val="007A15E9"/>
    <w:rsid w:val="007A1C69"/>
    <w:rsid w:val="007A1F37"/>
    <w:rsid w:val="007A2576"/>
    <w:rsid w:val="007A2DFF"/>
    <w:rsid w:val="007A3608"/>
    <w:rsid w:val="007A388D"/>
    <w:rsid w:val="007A3B73"/>
    <w:rsid w:val="007A41CD"/>
    <w:rsid w:val="007A495C"/>
    <w:rsid w:val="007A60D2"/>
    <w:rsid w:val="007A637E"/>
    <w:rsid w:val="007A63C3"/>
    <w:rsid w:val="007A69CC"/>
    <w:rsid w:val="007A705C"/>
    <w:rsid w:val="007B2060"/>
    <w:rsid w:val="007B20F7"/>
    <w:rsid w:val="007B243C"/>
    <w:rsid w:val="007B315D"/>
    <w:rsid w:val="007B3E6D"/>
    <w:rsid w:val="007B4031"/>
    <w:rsid w:val="007B48BF"/>
    <w:rsid w:val="007B5B8E"/>
    <w:rsid w:val="007B65AC"/>
    <w:rsid w:val="007B7231"/>
    <w:rsid w:val="007B7FF9"/>
    <w:rsid w:val="007C04E9"/>
    <w:rsid w:val="007C04FD"/>
    <w:rsid w:val="007C08E8"/>
    <w:rsid w:val="007C2213"/>
    <w:rsid w:val="007C3893"/>
    <w:rsid w:val="007C46D3"/>
    <w:rsid w:val="007C4840"/>
    <w:rsid w:val="007C5DF2"/>
    <w:rsid w:val="007C6879"/>
    <w:rsid w:val="007C6D2B"/>
    <w:rsid w:val="007C6E27"/>
    <w:rsid w:val="007C7938"/>
    <w:rsid w:val="007C7952"/>
    <w:rsid w:val="007C79B6"/>
    <w:rsid w:val="007C7D5F"/>
    <w:rsid w:val="007D0338"/>
    <w:rsid w:val="007D308A"/>
    <w:rsid w:val="007D3AB3"/>
    <w:rsid w:val="007D5034"/>
    <w:rsid w:val="007D5817"/>
    <w:rsid w:val="007D5F32"/>
    <w:rsid w:val="007D601B"/>
    <w:rsid w:val="007D75CF"/>
    <w:rsid w:val="007D779F"/>
    <w:rsid w:val="007E0485"/>
    <w:rsid w:val="007E0DD6"/>
    <w:rsid w:val="007E1194"/>
    <w:rsid w:val="007E169D"/>
    <w:rsid w:val="007E1ADE"/>
    <w:rsid w:val="007E24F3"/>
    <w:rsid w:val="007E28FE"/>
    <w:rsid w:val="007E49C3"/>
    <w:rsid w:val="007E6E59"/>
    <w:rsid w:val="007E73C7"/>
    <w:rsid w:val="007E74E3"/>
    <w:rsid w:val="007E7840"/>
    <w:rsid w:val="007E7B08"/>
    <w:rsid w:val="007E7F43"/>
    <w:rsid w:val="007F03F2"/>
    <w:rsid w:val="007F0929"/>
    <w:rsid w:val="007F0A01"/>
    <w:rsid w:val="007F18F3"/>
    <w:rsid w:val="007F1FA7"/>
    <w:rsid w:val="007F21B5"/>
    <w:rsid w:val="007F2664"/>
    <w:rsid w:val="007F2B75"/>
    <w:rsid w:val="007F305C"/>
    <w:rsid w:val="007F411D"/>
    <w:rsid w:val="007F488F"/>
    <w:rsid w:val="007F52E6"/>
    <w:rsid w:val="007F6BCD"/>
    <w:rsid w:val="007F75EE"/>
    <w:rsid w:val="007F7C04"/>
    <w:rsid w:val="007F7C4D"/>
    <w:rsid w:val="007F7F7A"/>
    <w:rsid w:val="0080042D"/>
    <w:rsid w:val="00801FC3"/>
    <w:rsid w:val="00802162"/>
    <w:rsid w:val="00802FBD"/>
    <w:rsid w:val="008035D0"/>
    <w:rsid w:val="0080670D"/>
    <w:rsid w:val="00806814"/>
    <w:rsid w:val="00806C9B"/>
    <w:rsid w:val="00807903"/>
    <w:rsid w:val="00810A3C"/>
    <w:rsid w:val="0081161F"/>
    <w:rsid w:val="0081164E"/>
    <w:rsid w:val="00811BC4"/>
    <w:rsid w:val="00811E4A"/>
    <w:rsid w:val="00812C95"/>
    <w:rsid w:val="00812F7D"/>
    <w:rsid w:val="00813621"/>
    <w:rsid w:val="0081374E"/>
    <w:rsid w:val="00814058"/>
    <w:rsid w:val="00814564"/>
    <w:rsid w:val="0081646A"/>
    <w:rsid w:val="0081688F"/>
    <w:rsid w:val="0081690C"/>
    <w:rsid w:val="00816C21"/>
    <w:rsid w:val="0081789D"/>
    <w:rsid w:val="0082001D"/>
    <w:rsid w:val="00821224"/>
    <w:rsid w:val="00821836"/>
    <w:rsid w:val="0082243B"/>
    <w:rsid w:val="008226D9"/>
    <w:rsid w:val="00822C25"/>
    <w:rsid w:val="00823114"/>
    <w:rsid w:val="0082434D"/>
    <w:rsid w:val="0082451F"/>
    <w:rsid w:val="0082496F"/>
    <w:rsid w:val="008266E6"/>
    <w:rsid w:val="0082692C"/>
    <w:rsid w:val="008275EE"/>
    <w:rsid w:val="00827AA3"/>
    <w:rsid w:val="00827B66"/>
    <w:rsid w:val="00831134"/>
    <w:rsid w:val="00831704"/>
    <w:rsid w:val="00831CEF"/>
    <w:rsid w:val="00832649"/>
    <w:rsid w:val="00832835"/>
    <w:rsid w:val="00834132"/>
    <w:rsid w:val="00834E8F"/>
    <w:rsid w:val="0083627A"/>
    <w:rsid w:val="0083793C"/>
    <w:rsid w:val="008404C6"/>
    <w:rsid w:val="00840ADC"/>
    <w:rsid w:val="00840F66"/>
    <w:rsid w:val="008411FF"/>
    <w:rsid w:val="0084148A"/>
    <w:rsid w:val="00841ABA"/>
    <w:rsid w:val="00842D16"/>
    <w:rsid w:val="0084440D"/>
    <w:rsid w:val="008457CF"/>
    <w:rsid w:val="00845B31"/>
    <w:rsid w:val="00846792"/>
    <w:rsid w:val="008469C8"/>
    <w:rsid w:val="008473AA"/>
    <w:rsid w:val="00847D13"/>
    <w:rsid w:val="00850B5C"/>
    <w:rsid w:val="00854479"/>
    <w:rsid w:val="008544CC"/>
    <w:rsid w:val="00857815"/>
    <w:rsid w:val="008618B3"/>
    <w:rsid w:val="00862CBB"/>
    <w:rsid w:val="00863D09"/>
    <w:rsid w:val="00864198"/>
    <w:rsid w:val="00864793"/>
    <w:rsid w:val="00867A1E"/>
    <w:rsid w:val="00867BD5"/>
    <w:rsid w:val="00870457"/>
    <w:rsid w:val="00870ECC"/>
    <w:rsid w:val="00871558"/>
    <w:rsid w:val="008716D6"/>
    <w:rsid w:val="00872873"/>
    <w:rsid w:val="008728E7"/>
    <w:rsid w:val="00873E09"/>
    <w:rsid w:val="00874D40"/>
    <w:rsid w:val="00874DAF"/>
    <w:rsid w:val="00874DBE"/>
    <w:rsid w:val="008750A0"/>
    <w:rsid w:val="00876301"/>
    <w:rsid w:val="00876657"/>
    <w:rsid w:val="00876973"/>
    <w:rsid w:val="00877113"/>
    <w:rsid w:val="00877677"/>
    <w:rsid w:val="008776C4"/>
    <w:rsid w:val="008776DD"/>
    <w:rsid w:val="00880106"/>
    <w:rsid w:val="00880225"/>
    <w:rsid w:val="008804B9"/>
    <w:rsid w:val="008806CD"/>
    <w:rsid w:val="00880E20"/>
    <w:rsid w:val="0088118F"/>
    <w:rsid w:val="00881F4C"/>
    <w:rsid w:val="00883B44"/>
    <w:rsid w:val="00883D19"/>
    <w:rsid w:val="008846B6"/>
    <w:rsid w:val="0088524F"/>
    <w:rsid w:val="00885801"/>
    <w:rsid w:val="00885B08"/>
    <w:rsid w:val="008862F5"/>
    <w:rsid w:val="00886608"/>
    <w:rsid w:val="00886667"/>
    <w:rsid w:val="0088778A"/>
    <w:rsid w:val="008879B0"/>
    <w:rsid w:val="00887C0C"/>
    <w:rsid w:val="00887F39"/>
    <w:rsid w:val="00890BB8"/>
    <w:rsid w:val="00891471"/>
    <w:rsid w:val="008916A9"/>
    <w:rsid w:val="008917B4"/>
    <w:rsid w:val="00892A44"/>
    <w:rsid w:val="0089388D"/>
    <w:rsid w:val="00893ED6"/>
    <w:rsid w:val="0089401B"/>
    <w:rsid w:val="00895A82"/>
    <w:rsid w:val="0089648C"/>
    <w:rsid w:val="008A077A"/>
    <w:rsid w:val="008A2166"/>
    <w:rsid w:val="008A2C77"/>
    <w:rsid w:val="008A2FA5"/>
    <w:rsid w:val="008A326A"/>
    <w:rsid w:val="008A35E0"/>
    <w:rsid w:val="008A4261"/>
    <w:rsid w:val="008A4426"/>
    <w:rsid w:val="008A4D13"/>
    <w:rsid w:val="008A585D"/>
    <w:rsid w:val="008A7408"/>
    <w:rsid w:val="008B0149"/>
    <w:rsid w:val="008B0D64"/>
    <w:rsid w:val="008B110B"/>
    <w:rsid w:val="008B137D"/>
    <w:rsid w:val="008B1C05"/>
    <w:rsid w:val="008B1F07"/>
    <w:rsid w:val="008B2750"/>
    <w:rsid w:val="008B27F4"/>
    <w:rsid w:val="008B3ACD"/>
    <w:rsid w:val="008B3BFD"/>
    <w:rsid w:val="008B3DD7"/>
    <w:rsid w:val="008B3EC0"/>
    <w:rsid w:val="008B4527"/>
    <w:rsid w:val="008B4975"/>
    <w:rsid w:val="008B6710"/>
    <w:rsid w:val="008B685D"/>
    <w:rsid w:val="008B6B8E"/>
    <w:rsid w:val="008B6C85"/>
    <w:rsid w:val="008C09A1"/>
    <w:rsid w:val="008C0C94"/>
    <w:rsid w:val="008C1D07"/>
    <w:rsid w:val="008C26DA"/>
    <w:rsid w:val="008C2A55"/>
    <w:rsid w:val="008C33EC"/>
    <w:rsid w:val="008C3462"/>
    <w:rsid w:val="008C3641"/>
    <w:rsid w:val="008C546E"/>
    <w:rsid w:val="008C5D57"/>
    <w:rsid w:val="008C63E0"/>
    <w:rsid w:val="008C6896"/>
    <w:rsid w:val="008C68E2"/>
    <w:rsid w:val="008C6A14"/>
    <w:rsid w:val="008C7B8F"/>
    <w:rsid w:val="008D0BF8"/>
    <w:rsid w:val="008D1167"/>
    <w:rsid w:val="008D1AC5"/>
    <w:rsid w:val="008D258D"/>
    <w:rsid w:val="008D3272"/>
    <w:rsid w:val="008D44CE"/>
    <w:rsid w:val="008D522C"/>
    <w:rsid w:val="008D571E"/>
    <w:rsid w:val="008D62AE"/>
    <w:rsid w:val="008D6385"/>
    <w:rsid w:val="008D646E"/>
    <w:rsid w:val="008D64AD"/>
    <w:rsid w:val="008D6EEE"/>
    <w:rsid w:val="008D7A06"/>
    <w:rsid w:val="008E0ADF"/>
    <w:rsid w:val="008E0C2E"/>
    <w:rsid w:val="008E166F"/>
    <w:rsid w:val="008E198C"/>
    <w:rsid w:val="008E1C6D"/>
    <w:rsid w:val="008E2400"/>
    <w:rsid w:val="008E29BE"/>
    <w:rsid w:val="008E34B3"/>
    <w:rsid w:val="008E3A7D"/>
    <w:rsid w:val="008E3EF7"/>
    <w:rsid w:val="008E4088"/>
    <w:rsid w:val="008E54BA"/>
    <w:rsid w:val="008E68F9"/>
    <w:rsid w:val="008E710D"/>
    <w:rsid w:val="008F026A"/>
    <w:rsid w:val="008F1AB5"/>
    <w:rsid w:val="008F3073"/>
    <w:rsid w:val="008F3525"/>
    <w:rsid w:val="008F3AD6"/>
    <w:rsid w:val="008F4C5A"/>
    <w:rsid w:val="008F54D3"/>
    <w:rsid w:val="008F6C3D"/>
    <w:rsid w:val="008F71E9"/>
    <w:rsid w:val="00900C59"/>
    <w:rsid w:val="009017CB"/>
    <w:rsid w:val="00901BE5"/>
    <w:rsid w:val="00903263"/>
    <w:rsid w:val="00903E73"/>
    <w:rsid w:val="00904677"/>
    <w:rsid w:val="00904784"/>
    <w:rsid w:val="00904C64"/>
    <w:rsid w:val="00905428"/>
    <w:rsid w:val="009054FF"/>
    <w:rsid w:val="00906598"/>
    <w:rsid w:val="00906DB9"/>
    <w:rsid w:val="009070C0"/>
    <w:rsid w:val="00907934"/>
    <w:rsid w:val="00907950"/>
    <w:rsid w:val="00910594"/>
    <w:rsid w:val="0091157C"/>
    <w:rsid w:val="00912A73"/>
    <w:rsid w:val="0091312A"/>
    <w:rsid w:val="00913F6D"/>
    <w:rsid w:val="00914A9C"/>
    <w:rsid w:val="009150A1"/>
    <w:rsid w:val="00915E57"/>
    <w:rsid w:val="00916208"/>
    <w:rsid w:val="0091762B"/>
    <w:rsid w:val="00917704"/>
    <w:rsid w:val="00920FB0"/>
    <w:rsid w:val="009233EF"/>
    <w:rsid w:val="0092400C"/>
    <w:rsid w:val="009243C8"/>
    <w:rsid w:val="00924DDC"/>
    <w:rsid w:val="00924DF6"/>
    <w:rsid w:val="00924ECE"/>
    <w:rsid w:val="00926142"/>
    <w:rsid w:val="00930440"/>
    <w:rsid w:val="00930F6B"/>
    <w:rsid w:val="009319C0"/>
    <w:rsid w:val="0093211B"/>
    <w:rsid w:val="00932BA9"/>
    <w:rsid w:val="00932C1B"/>
    <w:rsid w:val="0093604B"/>
    <w:rsid w:val="00936924"/>
    <w:rsid w:val="00936A5B"/>
    <w:rsid w:val="0093726C"/>
    <w:rsid w:val="00937A3F"/>
    <w:rsid w:val="00940211"/>
    <w:rsid w:val="009404D8"/>
    <w:rsid w:val="009406EA"/>
    <w:rsid w:val="00940883"/>
    <w:rsid w:val="00941BED"/>
    <w:rsid w:val="00942190"/>
    <w:rsid w:val="00942281"/>
    <w:rsid w:val="0094258E"/>
    <w:rsid w:val="0094263A"/>
    <w:rsid w:val="00942866"/>
    <w:rsid w:val="00942E55"/>
    <w:rsid w:val="00943AE8"/>
    <w:rsid w:val="00943D52"/>
    <w:rsid w:val="009449AE"/>
    <w:rsid w:val="00945BCD"/>
    <w:rsid w:val="009463EC"/>
    <w:rsid w:val="009467AE"/>
    <w:rsid w:val="00946A43"/>
    <w:rsid w:val="00946FEA"/>
    <w:rsid w:val="00950095"/>
    <w:rsid w:val="00950ACF"/>
    <w:rsid w:val="0095105E"/>
    <w:rsid w:val="00951D87"/>
    <w:rsid w:val="009521D3"/>
    <w:rsid w:val="00952C2C"/>
    <w:rsid w:val="009537F6"/>
    <w:rsid w:val="00954716"/>
    <w:rsid w:val="00955633"/>
    <w:rsid w:val="00955732"/>
    <w:rsid w:val="00955B9B"/>
    <w:rsid w:val="009561A6"/>
    <w:rsid w:val="009566CE"/>
    <w:rsid w:val="00956B1D"/>
    <w:rsid w:val="00957309"/>
    <w:rsid w:val="0095770F"/>
    <w:rsid w:val="0095784E"/>
    <w:rsid w:val="0096081D"/>
    <w:rsid w:val="00960A61"/>
    <w:rsid w:val="00961B62"/>
    <w:rsid w:val="00961CDC"/>
    <w:rsid w:val="009629EB"/>
    <w:rsid w:val="00962B3C"/>
    <w:rsid w:val="009633C5"/>
    <w:rsid w:val="00963536"/>
    <w:rsid w:val="00963D5E"/>
    <w:rsid w:val="00964A98"/>
    <w:rsid w:val="0096677A"/>
    <w:rsid w:val="00966E65"/>
    <w:rsid w:val="00967D26"/>
    <w:rsid w:val="0097010F"/>
    <w:rsid w:val="009705CA"/>
    <w:rsid w:val="00970994"/>
    <w:rsid w:val="00971C9E"/>
    <w:rsid w:val="00971DEA"/>
    <w:rsid w:val="00972FBD"/>
    <w:rsid w:val="009739F1"/>
    <w:rsid w:val="009743B0"/>
    <w:rsid w:val="00974944"/>
    <w:rsid w:val="00975914"/>
    <w:rsid w:val="00976501"/>
    <w:rsid w:val="00976930"/>
    <w:rsid w:val="00977901"/>
    <w:rsid w:val="009800D1"/>
    <w:rsid w:val="00981040"/>
    <w:rsid w:val="00981520"/>
    <w:rsid w:val="00982FF9"/>
    <w:rsid w:val="00983E39"/>
    <w:rsid w:val="00984269"/>
    <w:rsid w:val="0098540E"/>
    <w:rsid w:val="00985777"/>
    <w:rsid w:val="00985D48"/>
    <w:rsid w:val="009869A0"/>
    <w:rsid w:val="009870BB"/>
    <w:rsid w:val="00990128"/>
    <w:rsid w:val="009904DF"/>
    <w:rsid w:val="009918FA"/>
    <w:rsid w:val="00991C05"/>
    <w:rsid w:val="00991DB2"/>
    <w:rsid w:val="00992193"/>
    <w:rsid w:val="00992572"/>
    <w:rsid w:val="00992C37"/>
    <w:rsid w:val="00993B81"/>
    <w:rsid w:val="009957E0"/>
    <w:rsid w:val="009966F6"/>
    <w:rsid w:val="00997A87"/>
    <w:rsid w:val="00997C7C"/>
    <w:rsid w:val="009A1749"/>
    <w:rsid w:val="009A37B4"/>
    <w:rsid w:val="009A3927"/>
    <w:rsid w:val="009A4D65"/>
    <w:rsid w:val="009A559D"/>
    <w:rsid w:val="009A6443"/>
    <w:rsid w:val="009A6811"/>
    <w:rsid w:val="009A7440"/>
    <w:rsid w:val="009A7C84"/>
    <w:rsid w:val="009A7F8E"/>
    <w:rsid w:val="009B0166"/>
    <w:rsid w:val="009B0238"/>
    <w:rsid w:val="009B072F"/>
    <w:rsid w:val="009B0808"/>
    <w:rsid w:val="009B12B6"/>
    <w:rsid w:val="009B17C3"/>
    <w:rsid w:val="009B1CF4"/>
    <w:rsid w:val="009B2340"/>
    <w:rsid w:val="009B26C1"/>
    <w:rsid w:val="009B418B"/>
    <w:rsid w:val="009B41E6"/>
    <w:rsid w:val="009B4345"/>
    <w:rsid w:val="009B5548"/>
    <w:rsid w:val="009B612D"/>
    <w:rsid w:val="009B654C"/>
    <w:rsid w:val="009B68E3"/>
    <w:rsid w:val="009B6FA1"/>
    <w:rsid w:val="009C012B"/>
    <w:rsid w:val="009C0C5D"/>
    <w:rsid w:val="009C112E"/>
    <w:rsid w:val="009C205B"/>
    <w:rsid w:val="009C2263"/>
    <w:rsid w:val="009C26A6"/>
    <w:rsid w:val="009C28A6"/>
    <w:rsid w:val="009C2FFE"/>
    <w:rsid w:val="009C3AB2"/>
    <w:rsid w:val="009C4614"/>
    <w:rsid w:val="009C519B"/>
    <w:rsid w:val="009C626C"/>
    <w:rsid w:val="009C6313"/>
    <w:rsid w:val="009C6AAE"/>
    <w:rsid w:val="009C730C"/>
    <w:rsid w:val="009D0013"/>
    <w:rsid w:val="009D0120"/>
    <w:rsid w:val="009D0168"/>
    <w:rsid w:val="009D05F9"/>
    <w:rsid w:val="009D1C43"/>
    <w:rsid w:val="009D2B14"/>
    <w:rsid w:val="009D40CD"/>
    <w:rsid w:val="009D5829"/>
    <w:rsid w:val="009D6A4E"/>
    <w:rsid w:val="009D7695"/>
    <w:rsid w:val="009D7776"/>
    <w:rsid w:val="009E0894"/>
    <w:rsid w:val="009E0984"/>
    <w:rsid w:val="009E0B85"/>
    <w:rsid w:val="009E12E3"/>
    <w:rsid w:val="009E1DED"/>
    <w:rsid w:val="009E27D0"/>
    <w:rsid w:val="009E4848"/>
    <w:rsid w:val="009E5808"/>
    <w:rsid w:val="009E72A5"/>
    <w:rsid w:val="009E749A"/>
    <w:rsid w:val="009E7884"/>
    <w:rsid w:val="009F0150"/>
    <w:rsid w:val="009F048C"/>
    <w:rsid w:val="009F1694"/>
    <w:rsid w:val="009F18F0"/>
    <w:rsid w:val="009F1D2A"/>
    <w:rsid w:val="009F2001"/>
    <w:rsid w:val="009F2454"/>
    <w:rsid w:val="009F24EB"/>
    <w:rsid w:val="009F2E01"/>
    <w:rsid w:val="009F3595"/>
    <w:rsid w:val="009F3AC3"/>
    <w:rsid w:val="009F47A8"/>
    <w:rsid w:val="009F47F3"/>
    <w:rsid w:val="009F4B7D"/>
    <w:rsid w:val="009F5AB5"/>
    <w:rsid w:val="009F7C38"/>
    <w:rsid w:val="009F7E25"/>
    <w:rsid w:val="00A00A62"/>
    <w:rsid w:val="00A013A8"/>
    <w:rsid w:val="00A0193A"/>
    <w:rsid w:val="00A01C1A"/>
    <w:rsid w:val="00A028FC"/>
    <w:rsid w:val="00A039D3"/>
    <w:rsid w:val="00A03BF4"/>
    <w:rsid w:val="00A03C85"/>
    <w:rsid w:val="00A05B2B"/>
    <w:rsid w:val="00A07181"/>
    <w:rsid w:val="00A078DB"/>
    <w:rsid w:val="00A10167"/>
    <w:rsid w:val="00A104C3"/>
    <w:rsid w:val="00A104DE"/>
    <w:rsid w:val="00A10B7A"/>
    <w:rsid w:val="00A10EB2"/>
    <w:rsid w:val="00A114C9"/>
    <w:rsid w:val="00A116B2"/>
    <w:rsid w:val="00A12982"/>
    <w:rsid w:val="00A12E62"/>
    <w:rsid w:val="00A132D0"/>
    <w:rsid w:val="00A14C53"/>
    <w:rsid w:val="00A151DD"/>
    <w:rsid w:val="00A15375"/>
    <w:rsid w:val="00A16170"/>
    <w:rsid w:val="00A17D67"/>
    <w:rsid w:val="00A20A8A"/>
    <w:rsid w:val="00A213E8"/>
    <w:rsid w:val="00A21400"/>
    <w:rsid w:val="00A214E3"/>
    <w:rsid w:val="00A215DB"/>
    <w:rsid w:val="00A21F90"/>
    <w:rsid w:val="00A222BC"/>
    <w:rsid w:val="00A22B9F"/>
    <w:rsid w:val="00A2362D"/>
    <w:rsid w:val="00A23B70"/>
    <w:rsid w:val="00A24333"/>
    <w:rsid w:val="00A24945"/>
    <w:rsid w:val="00A26A3C"/>
    <w:rsid w:val="00A27134"/>
    <w:rsid w:val="00A27842"/>
    <w:rsid w:val="00A279A2"/>
    <w:rsid w:val="00A307E1"/>
    <w:rsid w:val="00A3113D"/>
    <w:rsid w:val="00A32AD2"/>
    <w:rsid w:val="00A32DAB"/>
    <w:rsid w:val="00A34056"/>
    <w:rsid w:val="00A34B79"/>
    <w:rsid w:val="00A353C2"/>
    <w:rsid w:val="00A36290"/>
    <w:rsid w:val="00A36709"/>
    <w:rsid w:val="00A375B5"/>
    <w:rsid w:val="00A37799"/>
    <w:rsid w:val="00A37980"/>
    <w:rsid w:val="00A40CAA"/>
    <w:rsid w:val="00A40D99"/>
    <w:rsid w:val="00A42078"/>
    <w:rsid w:val="00A42445"/>
    <w:rsid w:val="00A4314D"/>
    <w:rsid w:val="00A436CB"/>
    <w:rsid w:val="00A43FD9"/>
    <w:rsid w:val="00A44137"/>
    <w:rsid w:val="00A441A2"/>
    <w:rsid w:val="00A44ACF"/>
    <w:rsid w:val="00A44D5A"/>
    <w:rsid w:val="00A45070"/>
    <w:rsid w:val="00A45880"/>
    <w:rsid w:val="00A45897"/>
    <w:rsid w:val="00A46A8F"/>
    <w:rsid w:val="00A47BE6"/>
    <w:rsid w:val="00A50B28"/>
    <w:rsid w:val="00A52208"/>
    <w:rsid w:val="00A52A7D"/>
    <w:rsid w:val="00A543AE"/>
    <w:rsid w:val="00A5496A"/>
    <w:rsid w:val="00A5622F"/>
    <w:rsid w:val="00A563F0"/>
    <w:rsid w:val="00A56B21"/>
    <w:rsid w:val="00A5726A"/>
    <w:rsid w:val="00A60077"/>
    <w:rsid w:val="00A60E31"/>
    <w:rsid w:val="00A60E3D"/>
    <w:rsid w:val="00A6123C"/>
    <w:rsid w:val="00A612C7"/>
    <w:rsid w:val="00A6284B"/>
    <w:rsid w:val="00A62D54"/>
    <w:rsid w:val="00A63CFF"/>
    <w:rsid w:val="00A64B9F"/>
    <w:rsid w:val="00A6568A"/>
    <w:rsid w:val="00A65755"/>
    <w:rsid w:val="00A67055"/>
    <w:rsid w:val="00A67DDC"/>
    <w:rsid w:val="00A67DF9"/>
    <w:rsid w:val="00A70A6A"/>
    <w:rsid w:val="00A70E5E"/>
    <w:rsid w:val="00A715EC"/>
    <w:rsid w:val="00A71DC4"/>
    <w:rsid w:val="00A729BE"/>
    <w:rsid w:val="00A72CE2"/>
    <w:rsid w:val="00A730CA"/>
    <w:rsid w:val="00A736CC"/>
    <w:rsid w:val="00A7494D"/>
    <w:rsid w:val="00A763CF"/>
    <w:rsid w:val="00A76512"/>
    <w:rsid w:val="00A768D6"/>
    <w:rsid w:val="00A76A47"/>
    <w:rsid w:val="00A80895"/>
    <w:rsid w:val="00A80BD8"/>
    <w:rsid w:val="00A80CB1"/>
    <w:rsid w:val="00A81923"/>
    <w:rsid w:val="00A81CB7"/>
    <w:rsid w:val="00A82D37"/>
    <w:rsid w:val="00A82D6A"/>
    <w:rsid w:val="00A845B5"/>
    <w:rsid w:val="00A84CB5"/>
    <w:rsid w:val="00A86583"/>
    <w:rsid w:val="00A866C9"/>
    <w:rsid w:val="00A867CC"/>
    <w:rsid w:val="00A8689D"/>
    <w:rsid w:val="00A869A0"/>
    <w:rsid w:val="00A86B65"/>
    <w:rsid w:val="00A87B4F"/>
    <w:rsid w:val="00A87C3B"/>
    <w:rsid w:val="00A90E39"/>
    <w:rsid w:val="00A91874"/>
    <w:rsid w:val="00A91FD1"/>
    <w:rsid w:val="00A925CE"/>
    <w:rsid w:val="00A939B7"/>
    <w:rsid w:val="00A93A41"/>
    <w:rsid w:val="00A93D01"/>
    <w:rsid w:val="00A94357"/>
    <w:rsid w:val="00A94BF9"/>
    <w:rsid w:val="00A95E9B"/>
    <w:rsid w:val="00A967A7"/>
    <w:rsid w:val="00A96AEF"/>
    <w:rsid w:val="00A96F18"/>
    <w:rsid w:val="00A97765"/>
    <w:rsid w:val="00AA09A2"/>
    <w:rsid w:val="00AA0CC3"/>
    <w:rsid w:val="00AA13FF"/>
    <w:rsid w:val="00AA3223"/>
    <w:rsid w:val="00AA3E20"/>
    <w:rsid w:val="00AA40C9"/>
    <w:rsid w:val="00AA4460"/>
    <w:rsid w:val="00AA5B5D"/>
    <w:rsid w:val="00AA647C"/>
    <w:rsid w:val="00AA70F7"/>
    <w:rsid w:val="00AB0929"/>
    <w:rsid w:val="00AB0FB6"/>
    <w:rsid w:val="00AB1FD9"/>
    <w:rsid w:val="00AB28DE"/>
    <w:rsid w:val="00AB3F83"/>
    <w:rsid w:val="00AB406D"/>
    <w:rsid w:val="00AB4308"/>
    <w:rsid w:val="00AB43A6"/>
    <w:rsid w:val="00AB4740"/>
    <w:rsid w:val="00AB59E1"/>
    <w:rsid w:val="00AB7618"/>
    <w:rsid w:val="00AC077F"/>
    <w:rsid w:val="00AC1039"/>
    <w:rsid w:val="00AC2D4D"/>
    <w:rsid w:val="00AC4DB2"/>
    <w:rsid w:val="00AC52A4"/>
    <w:rsid w:val="00AC5E97"/>
    <w:rsid w:val="00AC6321"/>
    <w:rsid w:val="00AC6342"/>
    <w:rsid w:val="00AC7781"/>
    <w:rsid w:val="00AC78A1"/>
    <w:rsid w:val="00AC7E00"/>
    <w:rsid w:val="00AD0CC4"/>
    <w:rsid w:val="00AD0E32"/>
    <w:rsid w:val="00AD3B3D"/>
    <w:rsid w:val="00AD3BF5"/>
    <w:rsid w:val="00AD3CCD"/>
    <w:rsid w:val="00AD4A08"/>
    <w:rsid w:val="00AD4C74"/>
    <w:rsid w:val="00AD4D9B"/>
    <w:rsid w:val="00AD5680"/>
    <w:rsid w:val="00AD6715"/>
    <w:rsid w:val="00AD7640"/>
    <w:rsid w:val="00AD7CCE"/>
    <w:rsid w:val="00AE1839"/>
    <w:rsid w:val="00AE1B8C"/>
    <w:rsid w:val="00AE1CB8"/>
    <w:rsid w:val="00AE1D48"/>
    <w:rsid w:val="00AE1F0A"/>
    <w:rsid w:val="00AE241D"/>
    <w:rsid w:val="00AE2D2E"/>
    <w:rsid w:val="00AE2D31"/>
    <w:rsid w:val="00AE3918"/>
    <w:rsid w:val="00AE39CF"/>
    <w:rsid w:val="00AE3F34"/>
    <w:rsid w:val="00AE4057"/>
    <w:rsid w:val="00AE5F86"/>
    <w:rsid w:val="00AE66B5"/>
    <w:rsid w:val="00AE6908"/>
    <w:rsid w:val="00AE7EF2"/>
    <w:rsid w:val="00AF023D"/>
    <w:rsid w:val="00AF029D"/>
    <w:rsid w:val="00AF0564"/>
    <w:rsid w:val="00AF11C9"/>
    <w:rsid w:val="00AF1A0D"/>
    <w:rsid w:val="00AF1A8C"/>
    <w:rsid w:val="00AF1B9B"/>
    <w:rsid w:val="00AF1C7D"/>
    <w:rsid w:val="00AF1DB5"/>
    <w:rsid w:val="00AF21D1"/>
    <w:rsid w:val="00AF2367"/>
    <w:rsid w:val="00AF2601"/>
    <w:rsid w:val="00AF2754"/>
    <w:rsid w:val="00AF32E3"/>
    <w:rsid w:val="00AF3D96"/>
    <w:rsid w:val="00AF472A"/>
    <w:rsid w:val="00AF4C9D"/>
    <w:rsid w:val="00AF55C0"/>
    <w:rsid w:val="00AF588E"/>
    <w:rsid w:val="00AF597B"/>
    <w:rsid w:val="00AF5DCB"/>
    <w:rsid w:val="00AF6FA1"/>
    <w:rsid w:val="00AF7FFE"/>
    <w:rsid w:val="00B00205"/>
    <w:rsid w:val="00B00CC3"/>
    <w:rsid w:val="00B01F4D"/>
    <w:rsid w:val="00B01F6C"/>
    <w:rsid w:val="00B01FCB"/>
    <w:rsid w:val="00B043C2"/>
    <w:rsid w:val="00B05662"/>
    <w:rsid w:val="00B0620C"/>
    <w:rsid w:val="00B1043D"/>
    <w:rsid w:val="00B10525"/>
    <w:rsid w:val="00B108AB"/>
    <w:rsid w:val="00B113AB"/>
    <w:rsid w:val="00B11C24"/>
    <w:rsid w:val="00B12835"/>
    <w:rsid w:val="00B12B3F"/>
    <w:rsid w:val="00B13A34"/>
    <w:rsid w:val="00B143D1"/>
    <w:rsid w:val="00B145CC"/>
    <w:rsid w:val="00B1492B"/>
    <w:rsid w:val="00B15477"/>
    <w:rsid w:val="00B15965"/>
    <w:rsid w:val="00B160EC"/>
    <w:rsid w:val="00B16BA3"/>
    <w:rsid w:val="00B17BCA"/>
    <w:rsid w:val="00B203EE"/>
    <w:rsid w:val="00B2136D"/>
    <w:rsid w:val="00B21451"/>
    <w:rsid w:val="00B2161A"/>
    <w:rsid w:val="00B21CB3"/>
    <w:rsid w:val="00B23E2D"/>
    <w:rsid w:val="00B24638"/>
    <w:rsid w:val="00B25AF0"/>
    <w:rsid w:val="00B277CC"/>
    <w:rsid w:val="00B30C10"/>
    <w:rsid w:val="00B319CC"/>
    <w:rsid w:val="00B3244B"/>
    <w:rsid w:val="00B325AD"/>
    <w:rsid w:val="00B3288C"/>
    <w:rsid w:val="00B32AE4"/>
    <w:rsid w:val="00B330AA"/>
    <w:rsid w:val="00B331A9"/>
    <w:rsid w:val="00B34753"/>
    <w:rsid w:val="00B347FA"/>
    <w:rsid w:val="00B34844"/>
    <w:rsid w:val="00B34CA6"/>
    <w:rsid w:val="00B3614E"/>
    <w:rsid w:val="00B36362"/>
    <w:rsid w:val="00B3716E"/>
    <w:rsid w:val="00B378E1"/>
    <w:rsid w:val="00B37BB2"/>
    <w:rsid w:val="00B404AD"/>
    <w:rsid w:val="00B404D6"/>
    <w:rsid w:val="00B41074"/>
    <w:rsid w:val="00B41186"/>
    <w:rsid w:val="00B420B8"/>
    <w:rsid w:val="00B42607"/>
    <w:rsid w:val="00B42608"/>
    <w:rsid w:val="00B42D64"/>
    <w:rsid w:val="00B439E6"/>
    <w:rsid w:val="00B43D3E"/>
    <w:rsid w:val="00B43F5B"/>
    <w:rsid w:val="00B4401C"/>
    <w:rsid w:val="00B441BA"/>
    <w:rsid w:val="00B44BC8"/>
    <w:rsid w:val="00B45050"/>
    <w:rsid w:val="00B453B7"/>
    <w:rsid w:val="00B45534"/>
    <w:rsid w:val="00B46DE0"/>
    <w:rsid w:val="00B46E5C"/>
    <w:rsid w:val="00B4702B"/>
    <w:rsid w:val="00B47359"/>
    <w:rsid w:val="00B51B04"/>
    <w:rsid w:val="00B51FAC"/>
    <w:rsid w:val="00B521AE"/>
    <w:rsid w:val="00B52337"/>
    <w:rsid w:val="00B5270D"/>
    <w:rsid w:val="00B52C39"/>
    <w:rsid w:val="00B52F98"/>
    <w:rsid w:val="00B5310E"/>
    <w:rsid w:val="00B547FA"/>
    <w:rsid w:val="00B55089"/>
    <w:rsid w:val="00B557E2"/>
    <w:rsid w:val="00B55BC6"/>
    <w:rsid w:val="00B55D32"/>
    <w:rsid w:val="00B564B2"/>
    <w:rsid w:val="00B56C3F"/>
    <w:rsid w:val="00B575DB"/>
    <w:rsid w:val="00B57A9A"/>
    <w:rsid w:val="00B57C72"/>
    <w:rsid w:val="00B6132D"/>
    <w:rsid w:val="00B61615"/>
    <w:rsid w:val="00B62B5D"/>
    <w:rsid w:val="00B637BC"/>
    <w:rsid w:val="00B63BAC"/>
    <w:rsid w:val="00B64AF3"/>
    <w:rsid w:val="00B64FC8"/>
    <w:rsid w:val="00B65744"/>
    <w:rsid w:val="00B65F78"/>
    <w:rsid w:val="00B66ACB"/>
    <w:rsid w:val="00B66DCF"/>
    <w:rsid w:val="00B67636"/>
    <w:rsid w:val="00B67DDC"/>
    <w:rsid w:val="00B71581"/>
    <w:rsid w:val="00B717F1"/>
    <w:rsid w:val="00B7300D"/>
    <w:rsid w:val="00B74070"/>
    <w:rsid w:val="00B74582"/>
    <w:rsid w:val="00B746E4"/>
    <w:rsid w:val="00B75254"/>
    <w:rsid w:val="00B761C6"/>
    <w:rsid w:val="00B76B0A"/>
    <w:rsid w:val="00B76B1D"/>
    <w:rsid w:val="00B77832"/>
    <w:rsid w:val="00B779CC"/>
    <w:rsid w:val="00B77A70"/>
    <w:rsid w:val="00B8074A"/>
    <w:rsid w:val="00B808CC"/>
    <w:rsid w:val="00B80F96"/>
    <w:rsid w:val="00B84F24"/>
    <w:rsid w:val="00B85A65"/>
    <w:rsid w:val="00B85C6A"/>
    <w:rsid w:val="00B8646C"/>
    <w:rsid w:val="00B870E6"/>
    <w:rsid w:val="00B876DE"/>
    <w:rsid w:val="00B9027F"/>
    <w:rsid w:val="00B906F1"/>
    <w:rsid w:val="00B90A6C"/>
    <w:rsid w:val="00B935CF"/>
    <w:rsid w:val="00B95A37"/>
    <w:rsid w:val="00B9604D"/>
    <w:rsid w:val="00B97534"/>
    <w:rsid w:val="00B97A4E"/>
    <w:rsid w:val="00B97A6F"/>
    <w:rsid w:val="00BA15B8"/>
    <w:rsid w:val="00BA2380"/>
    <w:rsid w:val="00BA2CEB"/>
    <w:rsid w:val="00BA3436"/>
    <w:rsid w:val="00BA34FD"/>
    <w:rsid w:val="00BA46EA"/>
    <w:rsid w:val="00BA4B20"/>
    <w:rsid w:val="00BA4F1B"/>
    <w:rsid w:val="00BA5E0E"/>
    <w:rsid w:val="00BA5E94"/>
    <w:rsid w:val="00BA6E3A"/>
    <w:rsid w:val="00BA7267"/>
    <w:rsid w:val="00BA7824"/>
    <w:rsid w:val="00BA7C13"/>
    <w:rsid w:val="00BB01BC"/>
    <w:rsid w:val="00BB1253"/>
    <w:rsid w:val="00BB1ED6"/>
    <w:rsid w:val="00BB227B"/>
    <w:rsid w:val="00BB40AC"/>
    <w:rsid w:val="00BB4784"/>
    <w:rsid w:val="00BB4A45"/>
    <w:rsid w:val="00BB4A6D"/>
    <w:rsid w:val="00BB4DA6"/>
    <w:rsid w:val="00BB5036"/>
    <w:rsid w:val="00BB5424"/>
    <w:rsid w:val="00BB565D"/>
    <w:rsid w:val="00BB5791"/>
    <w:rsid w:val="00BB5B72"/>
    <w:rsid w:val="00BB5D2F"/>
    <w:rsid w:val="00BB632A"/>
    <w:rsid w:val="00BC0740"/>
    <w:rsid w:val="00BC0AD4"/>
    <w:rsid w:val="00BC0CC0"/>
    <w:rsid w:val="00BC1502"/>
    <w:rsid w:val="00BC2369"/>
    <w:rsid w:val="00BC24FF"/>
    <w:rsid w:val="00BC3527"/>
    <w:rsid w:val="00BC45E6"/>
    <w:rsid w:val="00BC4D04"/>
    <w:rsid w:val="00BC4EDD"/>
    <w:rsid w:val="00BC5A25"/>
    <w:rsid w:val="00BD0CDC"/>
    <w:rsid w:val="00BD12E3"/>
    <w:rsid w:val="00BD17A2"/>
    <w:rsid w:val="00BD3697"/>
    <w:rsid w:val="00BD381B"/>
    <w:rsid w:val="00BD408F"/>
    <w:rsid w:val="00BD429A"/>
    <w:rsid w:val="00BD495A"/>
    <w:rsid w:val="00BD4EF8"/>
    <w:rsid w:val="00BD5244"/>
    <w:rsid w:val="00BD59B6"/>
    <w:rsid w:val="00BD5AE5"/>
    <w:rsid w:val="00BD6902"/>
    <w:rsid w:val="00BD6B47"/>
    <w:rsid w:val="00BD70B8"/>
    <w:rsid w:val="00BE02E4"/>
    <w:rsid w:val="00BE0ADD"/>
    <w:rsid w:val="00BE101E"/>
    <w:rsid w:val="00BE1F62"/>
    <w:rsid w:val="00BE3741"/>
    <w:rsid w:val="00BE49E6"/>
    <w:rsid w:val="00BE57F1"/>
    <w:rsid w:val="00BE5F9D"/>
    <w:rsid w:val="00BE64E3"/>
    <w:rsid w:val="00BE6D37"/>
    <w:rsid w:val="00BE796E"/>
    <w:rsid w:val="00BE7B0B"/>
    <w:rsid w:val="00BE7FB6"/>
    <w:rsid w:val="00BF079F"/>
    <w:rsid w:val="00BF1213"/>
    <w:rsid w:val="00BF1DB6"/>
    <w:rsid w:val="00BF224F"/>
    <w:rsid w:val="00BF30BE"/>
    <w:rsid w:val="00BF3283"/>
    <w:rsid w:val="00BF3538"/>
    <w:rsid w:val="00BF3B98"/>
    <w:rsid w:val="00BF44EA"/>
    <w:rsid w:val="00BF57DD"/>
    <w:rsid w:val="00BF626B"/>
    <w:rsid w:val="00BF6532"/>
    <w:rsid w:val="00BF7934"/>
    <w:rsid w:val="00C000AC"/>
    <w:rsid w:val="00C00455"/>
    <w:rsid w:val="00C01144"/>
    <w:rsid w:val="00C012EB"/>
    <w:rsid w:val="00C01753"/>
    <w:rsid w:val="00C01975"/>
    <w:rsid w:val="00C019AE"/>
    <w:rsid w:val="00C022AD"/>
    <w:rsid w:val="00C02997"/>
    <w:rsid w:val="00C02E08"/>
    <w:rsid w:val="00C03C13"/>
    <w:rsid w:val="00C03CED"/>
    <w:rsid w:val="00C042BF"/>
    <w:rsid w:val="00C04F7A"/>
    <w:rsid w:val="00C070F4"/>
    <w:rsid w:val="00C117EF"/>
    <w:rsid w:val="00C11928"/>
    <w:rsid w:val="00C11ACC"/>
    <w:rsid w:val="00C11C3D"/>
    <w:rsid w:val="00C12333"/>
    <w:rsid w:val="00C12D62"/>
    <w:rsid w:val="00C1516D"/>
    <w:rsid w:val="00C15EE5"/>
    <w:rsid w:val="00C1614B"/>
    <w:rsid w:val="00C16A59"/>
    <w:rsid w:val="00C202EE"/>
    <w:rsid w:val="00C206D5"/>
    <w:rsid w:val="00C20A99"/>
    <w:rsid w:val="00C20CB0"/>
    <w:rsid w:val="00C211B8"/>
    <w:rsid w:val="00C2172C"/>
    <w:rsid w:val="00C22D2A"/>
    <w:rsid w:val="00C2318A"/>
    <w:rsid w:val="00C23344"/>
    <w:rsid w:val="00C2361D"/>
    <w:rsid w:val="00C24AFF"/>
    <w:rsid w:val="00C255E5"/>
    <w:rsid w:val="00C263BB"/>
    <w:rsid w:val="00C278A9"/>
    <w:rsid w:val="00C27F79"/>
    <w:rsid w:val="00C304C0"/>
    <w:rsid w:val="00C304DE"/>
    <w:rsid w:val="00C33311"/>
    <w:rsid w:val="00C33F4A"/>
    <w:rsid w:val="00C3400C"/>
    <w:rsid w:val="00C34951"/>
    <w:rsid w:val="00C34CB4"/>
    <w:rsid w:val="00C375E3"/>
    <w:rsid w:val="00C37615"/>
    <w:rsid w:val="00C378C7"/>
    <w:rsid w:val="00C37974"/>
    <w:rsid w:val="00C37D94"/>
    <w:rsid w:val="00C40A3E"/>
    <w:rsid w:val="00C41E77"/>
    <w:rsid w:val="00C42090"/>
    <w:rsid w:val="00C42DC9"/>
    <w:rsid w:val="00C42DD5"/>
    <w:rsid w:val="00C436E7"/>
    <w:rsid w:val="00C43CEA"/>
    <w:rsid w:val="00C4405B"/>
    <w:rsid w:val="00C44E7F"/>
    <w:rsid w:val="00C451FE"/>
    <w:rsid w:val="00C46DC1"/>
    <w:rsid w:val="00C474A8"/>
    <w:rsid w:val="00C50949"/>
    <w:rsid w:val="00C50D04"/>
    <w:rsid w:val="00C50F7D"/>
    <w:rsid w:val="00C512FD"/>
    <w:rsid w:val="00C51414"/>
    <w:rsid w:val="00C51EBF"/>
    <w:rsid w:val="00C53531"/>
    <w:rsid w:val="00C53746"/>
    <w:rsid w:val="00C54403"/>
    <w:rsid w:val="00C548DC"/>
    <w:rsid w:val="00C557D6"/>
    <w:rsid w:val="00C56847"/>
    <w:rsid w:val="00C5769D"/>
    <w:rsid w:val="00C601F9"/>
    <w:rsid w:val="00C60390"/>
    <w:rsid w:val="00C620FE"/>
    <w:rsid w:val="00C63205"/>
    <w:rsid w:val="00C6392C"/>
    <w:rsid w:val="00C64182"/>
    <w:rsid w:val="00C64200"/>
    <w:rsid w:val="00C64413"/>
    <w:rsid w:val="00C6441A"/>
    <w:rsid w:val="00C6494D"/>
    <w:rsid w:val="00C6504F"/>
    <w:rsid w:val="00C6519C"/>
    <w:rsid w:val="00C6595B"/>
    <w:rsid w:val="00C65A8C"/>
    <w:rsid w:val="00C65E25"/>
    <w:rsid w:val="00C663F5"/>
    <w:rsid w:val="00C6698E"/>
    <w:rsid w:val="00C67047"/>
    <w:rsid w:val="00C6722C"/>
    <w:rsid w:val="00C71D7C"/>
    <w:rsid w:val="00C72647"/>
    <w:rsid w:val="00C72BD2"/>
    <w:rsid w:val="00C73226"/>
    <w:rsid w:val="00C7357B"/>
    <w:rsid w:val="00C737E8"/>
    <w:rsid w:val="00C73B6E"/>
    <w:rsid w:val="00C74D92"/>
    <w:rsid w:val="00C75147"/>
    <w:rsid w:val="00C75831"/>
    <w:rsid w:val="00C75869"/>
    <w:rsid w:val="00C76297"/>
    <w:rsid w:val="00C80FE7"/>
    <w:rsid w:val="00C81812"/>
    <w:rsid w:val="00C81A47"/>
    <w:rsid w:val="00C82C14"/>
    <w:rsid w:val="00C83D96"/>
    <w:rsid w:val="00C846BB"/>
    <w:rsid w:val="00C84D81"/>
    <w:rsid w:val="00C852C4"/>
    <w:rsid w:val="00C8539F"/>
    <w:rsid w:val="00C85FEA"/>
    <w:rsid w:val="00C87F92"/>
    <w:rsid w:val="00C9034D"/>
    <w:rsid w:val="00C91418"/>
    <w:rsid w:val="00C91A9E"/>
    <w:rsid w:val="00C921B7"/>
    <w:rsid w:val="00C924EE"/>
    <w:rsid w:val="00C92863"/>
    <w:rsid w:val="00C92F5F"/>
    <w:rsid w:val="00C9301B"/>
    <w:rsid w:val="00C943B2"/>
    <w:rsid w:val="00C94AF0"/>
    <w:rsid w:val="00C94B57"/>
    <w:rsid w:val="00C953E4"/>
    <w:rsid w:val="00C956BB"/>
    <w:rsid w:val="00C958A7"/>
    <w:rsid w:val="00C95BD2"/>
    <w:rsid w:val="00C96014"/>
    <w:rsid w:val="00C964A4"/>
    <w:rsid w:val="00C96DE3"/>
    <w:rsid w:val="00CA0369"/>
    <w:rsid w:val="00CA144A"/>
    <w:rsid w:val="00CA18C9"/>
    <w:rsid w:val="00CA2147"/>
    <w:rsid w:val="00CA2D3D"/>
    <w:rsid w:val="00CA30ED"/>
    <w:rsid w:val="00CA3875"/>
    <w:rsid w:val="00CA3ACB"/>
    <w:rsid w:val="00CA490A"/>
    <w:rsid w:val="00CA4C4C"/>
    <w:rsid w:val="00CA4D86"/>
    <w:rsid w:val="00CA5EEC"/>
    <w:rsid w:val="00CA68CA"/>
    <w:rsid w:val="00CA7497"/>
    <w:rsid w:val="00CA77E6"/>
    <w:rsid w:val="00CA7852"/>
    <w:rsid w:val="00CA7964"/>
    <w:rsid w:val="00CB0AF8"/>
    <w:rsid w:val="00CB13B4"/>
    <w:rsid w:val="00CB17AB"/>
    <w:rsid w:val="00CB1816"/>
    <w:rsid w:val="00CB1B9E"/>
    <w:rsid w:val="00CB1D10"/>
    <w:rsid w:val="00CB1EA6"/>
    <w:rsid w:val="00CB2DDE"/>
    <w:rsid w:val="00CB4309"/>
    <w:rsid w:val="00CB4424"/>
    <w:rsid w:val="00CB4ABC"/>
    <w:rsid w:val="00CB5200"/>
    <w:rsid w:val="00CB5F53"/>
    <w:rsid w:val="00CB6E3A"/>
    <w:rsid w:val="00CC1E75"/>
    <w:rsid w:val="00CC27F3"/>
    <w:rsid w:val="00CC2894"/>
    <w:rsid w:val="00CC29CE"/>
    <w:rsid w:val="00CC2DDA"/>
    <w:rsid w:val="00CC32DF"/>
    <w:rsid w:val="00CC3889"/>
    <w:rsid w:val="00CC38F8"/>
    <w:rsid w:val="00CC3B31"/>
    <w:rsid w:val="00CC4470"/>
    <w:rsid w:val="00CC4DBA"/>
    <w:rsid w:val="00CC51EB"/>
    <w:rsid w:val="00CC5399"/>
    <w:rsid w:val="00CC5783"/>
    <w:rsid w:val="00CC61D0"/>
    <w:rsid w:val="00CC6F9A"/>
    <w:rsid w:val="00CD050C"/>
    <w:rsid w:val="00CD0FD6"/>
    <w:rsid w:val="00CD284A"/>
    <w:rsid w:val="00CD3304"/>
    <w:rsid w:val="00CD3A6B"/>
    <w:rsid w:val="00CD41AC"/>
    <w:rsid w:val="00CD4336"/>
    <w:rsid w:val="00CD4344"/>
    <w:rsid w:val="00CD4364"/>
    <w:rsid w:val="00CD4E2F"/>
    <w:rsid w:val="00CD5177"/>
    <w:rsid w:val="00CD5E5F"/>
    <w:rsid w:val="00CD5F40"/>
    <w:rsid w:val="00CD6128"/>
    <w:rsid w:val="00CD65C2"/>
    <w:rsid w:val="00CD68C5"/>
    <w:rsid w:val="00CD6BB5"/>
    <w:rsid w:val="00CD71F1"/>
    <w:rsid w:val="00CD75A8"/>
    <w:rsid w:val="00CD76C7"/>
    <w:rsid w:val="00CD7A79"/>
    <w:rsid w:val="00CD7BC8"/>
    <w:rsid w:val="00CE01F2"/>
    <w:rsid w:val="00CE0510"/>
    <w:rsid w:val="00CE09CB"/>
    <w:rsid w:val="00CE14CB"/>
    <w:rsid w:val="00CE173B"/>
    <w:rsid w:val="00CE2D7F"/>
    <w:rsid w:val="00CE2DD8"/>
    <w:rsid w:val="00CE2E3C"/>
    <w:rsid w:val="00CE2FC5"/>
    <w:rsid w:val="00CE3517"/>
    <w:rsid w:val="00CE4876"/>
    <w:rsid w:val="00CE4B95"/>
    <w:rsid w:val="00CE4E39"/>
    <w:rsid w:val="00CE4ED4"/>
    <w:rsid w:val="00CE5067"/>
    <w:rsid w:val="00CE5395"/>
    <w:rsid w:val="00CE5568"/>
    <w:rsid w:val="00CE5AC5"/>
    <w:rsid w:val="00CE5B5D"/>
    <w:rsid w:val="00CE5CBC"/>
    <w:rsid w:val="00CE6015"/>
    <w:rsid w:val="00CE6AB5"/>
    <w:rsid w:val="00CE6BC8"/>
    <w:rsid w:val="00CE6D3B"/>
    <w:rsid w:val="00CE7655"/>
    <w:rsid w:val="00CE7839"/>
    <w:rsid w:val="00CF0BBD"/>
    <w:rsid w:val="00CF2558"/>
    <w:rsid w:val="00CF2ABD"/>
    <w:rsid w:val="00CF33FC"/>
    <w:rsid w:val="00CF3D8D"/>
    <w:rsid w:val="00CF4609"/>
    <w:rsid w:val="00CF475A"/>
    <w:rsid w:val="00CF4F78"/>
    <w:rsid w:val="00CF53BD"/>
    <w:rsid w:val="00CF5599"/>
    <w:rsid w:val="00CF5D8B"/>
    <w:rsid w:val="00CF6B3B"/>
    <w:rsid w:val="00CF7402"/>
    <w:rsid w:val="00CF7534"/>
    <w:rsid w:val="00CF78CD"/>
    <w:rsid w:val="00CF7B4A"/>
    <w:rsid w:val="00D0131E"/>
    <w:rsid w:val="00D0135C"/>
    <w:rsid w:val="00D0169C"/>
    <w:rsid w:val="00D01B9E"/>
    <w:rsid w:val="00D01E33"/>
    <w:rsid w:val="00D0252F"/>
    <w:rsid w:val="00D02D9A"/>
    <w:rsid w:val="00D02EDD"/>
    <w:rsid w:val="00D02F2E"/>
    <w:rsid w:val="00D0516E"/>
    <w:rsid w:val="00D051B1"/>
    <w:rsid w:val="00D057DF"/>
    <w:rsid w:val="00D059BF"/>
    <w:rsid w:val="00D05B32"/>
    <w:rsid w:val="00D062CA"/>
    <w:rsid w:val="00D06884"/>
    <w:rsid w:val="00D06C05"/>
    <w:rsid w:val="00D06E09"/>
    <w:rsid w:val="00D06E80"/>
    <w:rsid w:val="00D07A5A"/>
    <w:rsid w:val="00D10970"/>
    <w:rsid w:val="00D1099E"/>
    <w:rsid w:val="00D11511"/>
    <w:rsid w:val="00D1160E"/>
    <w:rsid w:val="00D1179F"/>
    <w:rsid w:val="00D12B1C"/>
    <w:rsid w:val="00D12EA6"/>
    <w:rsid w:val="00D13A08"/>
    <w:rsid w:val="00D14F01"/>
    <w:rsid w:val="00D150BF"/>
    <w:rsid w:val="00D15969"/>
    <w:rsid w:val="00D15CE0"/>
    <w:rsid w:val="00D1640A"/>
    <w:rsid w:val="00D16738"/>
    <w:rsid w:val="00D17C3E"/>
    <w:rsid w:val="00D2019E"/>
    <w:rsid w:val="00D202D0"/>
    <w:rsid w:val="00D20430"/>
    <w:rsid w:val="00D20830"/>
    <w:rsid w:val="00D2118E"/>
    <w:rsid w:val="00D216A6"/>
    <w:rsid w:val="00D21CF6"/>
    <w:rsid w:val="00D222A8"/>
    <w:rsid w:val="00D22F85"/>
    <w:rsid w:val="00D23044"/>
    <w:rsid w:val="00D235BD"/>
    <w:rsid w:val="00D23B1E"/>
    <w:rsid w:val="00D25108"/>
    <w:rsid w:val="00D26069"/>
    <w:rsid w:val="00D26702"/>
    <w:rsid w:val="00D26E8D"/>
    <w:rsid w:val="00D27B52"/>
    <w:rsid w:val="00D300DD"/>
    <w:rsid w:val="00D30B51"/>
    <w:rsid w:val="00D31A89"/>
    <w:rsid w:val="00D31AF4"/>
    <w:rsid w:val="00D31FCE"/>
    <w:rsid w:val="00D32BB0"/>
    <w:rsid w:val="00D34427"/>
    <w:rsid w:val="00D34DFF"/>
    <w:rsid w:val="00D35783"/>
    <w:rsid w:val="00D36BDB"/>
    <w:rsid w:val="00D37C0C"/>
    <w:rsid w:val="00D40A15"/>
    <w:rsid w:val="00D40E3A"/>
    <w:rsid w:val="00D41474"/>
    <w:rsid w:val="00D420CC"/>
    <w:rsid w:val="00D427FB"/>
    <w:rsid w:val="00D42A4B"/>
    <w:rsid w:val="00D4385C"/>
    <w:rsid w:val="00D43A8B"/>
    <w:rsid w:val="00D43D50"/>
    <w:rsid w:val="00D4421D"/>
    <w:rsid w:val="00D4504A"/>
    <w:rsid w:val="00D463D3"/>
    <w:rsid w:val="00D4661B"/>
    <w:rsid w:val="00D46675"/>
    <w:rsid w:val="00D46932"/>
    <w:rsid w:val="00D46F3B"/>
    <w:rsid w:val="00D47894"/>
    <w:rsid w:val="00D47E8E"/>
    <w:rsid w:val="00D5024A"/>
    <w:rsid w:val="00D5077C"/>
    <w:rsid w:val="00D50843"/>
    <w:rsid w:val="00D50FDA"/>
    <w:rsid w:val="00D5225B"/>
    <w:rsid w:val="00D53063"/>
    <w:rsid w:val="00D54029"/>
    <w:rsid w:val="00D54A49"/>
    <w:rsid w:val="00D5566E"/>
    <w:rsid w:val="00D55A21"/>
    <w:rsid w:val="00D562FF"/>
    <w:rsid w:val="00D563AC"/>
    <w:rsid w:val="00D56E60"/>
    <w:rsid w:val="00D57F3A"/>
    <w:rsid w:val="00D60355"/>
    <w:rsid w:val="00D60D53"/>
    <w:rsid w:val="00D60F60"/>
    <w:rsid w:val="00D6187F"/>
    <w:rsid w:val="00D620E2"/>
    <w:rsid w:val="00D620F9"/>
    <w:rsid w:val="00D6227D"/>
    <w:rsid w:val="00D6246A"/>
    <w:rsid w:val="00D63FD1"/>
    <w:rsid w:val="00D641DE"/>
    <w:rsid w:val="00D659DA"/>
    <w:rsid w:val="00D674E1"/>
    <w:rsid w:val="00D67E71"/>
    <w:rsid w:val="00D67F11"/>
    <w:rsid w:val="00D70F8F"/>
    <w:rsid w:val="00D7144A"/>
    <w:rsid w:val="00D71604"/>
    <w:rsid w:val="00D71963"/>
    <w:rsid w:val="00D72421"/>
    <w:rsid w:val="00D73F80"/>
    <w:rsid w:val="00D75FD5"/>
    <w:rsid w:val="00D76576"/>
    <w:rsid w:val="00D7679F"/>
    <w:rsid w:val="00D816B0"/>
    <w:rsid w:val="00D8302B"/>
    <w:rsid w:val="00D834CA"/>
    <w:rsid w:val="00D85217"/>
    <w:rsid w:val="00D861CE"/>
    <w:rsid w:val="00D86295"/>
    <w:rsid w:val="00D868E8"/>
    <w:rsid w:val="00D8693F"/>
    <w:rsid w:val="00D87251"/>
    <w:rsid w:val="00D913A9"/>
    <w:rsid w:val="00D93892"/>
    <w:rsid w:val="00D9401F"/>
    <w:rsid w:val="00D9503A"/>
    <w:rsid w:val="00D9533E"/>
    <w:rsid w:val="00D96461"/>
    <w:rsid w:val="00D96929"/>
    <w:rsid w:val="00D97DEB"/>
    <w:rsid w:val="00DA0401"/>
    <w:rsid w:val="00DA0EDD"/>
    <w:rsid w:val="00DA1522"/>
    <w:rsid w:val="00DA201C"/>
    <w:rsid w:val="00DA22BD"/>
    <w:rsid w:val="00DA2FD5"/>
    <w:rsid w:val="00DA30CA"/>
    <w:rsid w:val="00DA4E27"/>
    <w:rsid w:val="00DA589E"/>
    <w:rsid w:val="00DA6783"/>
    <w:rsid w:val="00DA750F"/>
    <w:rsid w:val="00DA78BB"/>
    <w:rsid w:val="00DB11D0"/>
    <w:rsid w:val="00DB11E5"/>
    <w:rsid w:val="00DB1ACA"/>
    <w:rsid w:val="00DB1B17"/>
    <w:rsid w:val="00DB284E"/>
    <w:rsid w:val="00DB2CE6"/>
    <w:rsid w:val="00DB2FA0"/>
    <w:rsid w:val="00DB3109"/>
    <w:rsid w:val="00DB3EDF"/>
    <w:rsid w:val="00DB49B2"/>
    <w:rsid w:val="00DB556A"/>
    <w:rsid w:val="00DB5C88"/>
    <w:rsid w:val="00DB6222"/>
    <w:rsid w:val="00DB690A"/>
    <w:rsid w:val="00DC0A10"/>
    <w:rsid w:val="00DC1C48"/>
    <w:rsid w:val="00DC2503"/>
    <w:rsid w:val="00DC2532"/>
    <w:rsid w:val="00DC2DA6"/>
    <w:rsid w:val="00DC373D"/>
    <w:rsid w:val="00DC37F8"/>
    <w:rsid w:val="00DC39DB"/>
    <w:rsid w:val="00DC5056"/>
    <w:rsid w:val="00DC5614"/>
    <w:rsid w:val="00DC627D"/>
    <w:rsid w:val="00DC7F4E"/>
    <w:rsid w:val="00DD0CE2"/>
    <w:rsid w:val="00DD171A"/>
    <w:rsid w:val="00DD1A73"/>
    <w:rsid w:val="00DD2475"/>
    <w:rsid w:val="00DD329B"/>
    <w:rsid w:val="00DD4AE2"/>
    <w:rsid w:val="00DD4DFD"/>
    <w:rsid w:val="00DD519A"/>
    <w:rsid w:val="00DD6416"/>
    <w:rsid w:val="00DD70C8"/>
    <w:rsid w:val="00DE022F"/>
    <w:rsid w:val="00DE02D4"/>
    <w:rsid w:val="00DE21B3"/>
    <w:rsid w:val="00DE251B"/>
    <w:rsid w:val="00DE30D2"/>
    <w:rsid w:val="00DE3DF9"/>
    <w:rsid w:val="00DE3E6C"/>
    <w:rsid w:val="00DE4296"/>
    <w:rsid w:val="00DE5C96"/>
    <w:rsid w:val="00DE64D8"/>
    <w:rsid w:val="00DE6555"/>
    <w:rsid w:val="00DE6CF0"/>
    <w:rsid w:val="00DE6E37"/>
    <w:rsid w:val="00DE7245"/>
    <w:rsid w:val="00DE7F78"/>
    <w:rsid w:val="00DF0755"/>
    <w:rsid w:val="00DF0922"/>
    <w:rsid w:val="00DF0DB5"/>
    <w:rsid w:val="00DF1C8F"/>
    <w:rsid w:val="00DF1E43"/>
    <w:rsid w:val="00DF28E7"/>
    <w:rsid w:val="00DF3042"/>
    <w:rsid w:val="00DF4F20"/>
    <w:rsid w:val="00DF5006"/>
    <w:rsid w:val="00DF5225"/>
    <w:rsid w:val="00DF5DDC"/>
    <w:rsid w:val="00DF5E6C"/>
    <w:rsid w:val="00DF7F35"/>
    <w:rsid w:val="00E00D50"/>
    <w:rsid w:val="00E01ACF"/>
    <w:rsid w:val="00E01B3B"/>
    <w:rsid w:val="00E023CA"/>
    <w:rsid w:val="00E025B1"/>
    <w:rsid w:val="00E025C2"/>
    <w:rsid w:val="00E02C47"/>
    <w:rsid w:val="00E02D67"/>
    <w:rsid w:val="00E036FB"/>
    <w:rsid w:val="00E0435F"/>
    <w:rsid w:val="00E044D7"/>
    <w:rsid w:val="00E04F4E"/>
    <w:rsid w:val="00E05556"/>
    <w:rsid w:val="00E06011"/>
    <w:rsid w:val="00E0648B"/>
    <w:rsid w:val="00E06AEF"/>
    <w:rsid w:val="00E06EDA"/>
    <w:rsid w:val="00E10716"/>
    <w:rsid w:val="00E11B70"/>
    <w:rsid w:val="00E130CF"/>
    <w:rsid w:val="00E15BFD"/>
    <w:rsid w:val="00E16C71"/>
    <w:rsid w:val="00E16F98"/>
    <w:rsid w:val="00E17672"/>
    <w:rsid w:val="00E179B1"/>
    <w:rsid w:val="00E2017E"/>
    <w:rsid w:val="00E2056C"/>
    <w:rsid w:val="00E20D02"/>
    <w:rsid w:val="00E213F5"/>
    <w:rsid w:val="00E21ACB"/>
    <w:rsid w:val="00E221A5"/>
    <w:rsid w:val="00E221E8"/>
    <w:rsid w:val="00E22FDC"/>
    <w:rsid w:val="00E238C2"/>
    <w:rsid w:val="00E243E2"/>
    <w:rsid w:val="00E246B9"/>
    <w:rsid w:val="00E24A91"/>
    <w:rsid w:val="00E24EBE"/>
    <w:rsid w:val="00E26011"/>
    <w:rsid w:val="00E2611F"/>
    <w:rsid w:val="00E26ABF"/>
    <w:rsid w:val="00E302D7"/>
    <w:rsid w:val="00E31565"/>
    <w:rsid w:val="00E3175E"/>
    <w:rsid w:val="00E3268B"/>
    <w:rsid w:val="00E33284"/>
    <w:rsid w:val="00E33509"/>
    <w:rsid w:val="00E347FB"/>
    <w:rsid w:val="00E34A24"/>
    <w:rsid w:val="00E34E5A"/>
    <w:rsid w:val="00E34FCD"/>
    <w:rsid w:val="00E35661"/>
    <w:rsid w:val="00E3602C"/>
    <w:rsid w:val="00E369B8"/>
    <w:rsid w:val="00E3723F"/>
    <w:rsid w:val="00E37695"/>
    <w:rsid w:val="00E37D32"/>
    <w:rsid w:val="00E41892"/>
    <w:rsid w:val="00E41B54"/>
    <w:rsid w:val="00E41D3A"/>
    <w:rsid w:val="00E41DAE"/>
    <w:rsid w:val="00E41F33"/>
    <w:rsid w:val="00E42EDD"/>
    <w:rsid w:val="00E4326E"/>
    <w:rsid w:val="00E43850"/>
    <w:rsid w:val="00E438D5"/>
    <w:rsid w:val="00E438D6"/>
    <w:rsid w:val="00E43C45"/>
    <w:rsid w:val="00E4456A"/>
    <w:rsid w:val="00E44B30"/>
    <w:rsid w:val="00E45361"/>
    <w:rsid w:val="00E45467"/>
    <w:rsid w:val="00E45B72"/>
    <w:rsid w:val="00E46223"/>
    <w:rsid w:val="00E464A7"/>
    <w:rsid w:val="00E47FA3"/>
    <w:rsid w:val="00E50629"/>
    <w:rsid w:val="00E51BD7"/>
    <w:rsid w:val="00E51D20"/>
    <w:rsid w:val="00E52099"/>
    <w:rsid w:val="00E524DA"/>
    <w:rsid w:val="00E5271C"/>
    <w:rsid w:val="00E52C80"/>
    <w:rsid w:val="00E52FED"/>
    <w:rsid w:val="00E5401C"/>
    <w:rsid w:val="00E548F1"/>
    <w:rsid w:val="00E5644C"/>
    <w:rsid w:val="00E57E6E"/>
    <w:rsid w:val="00E60797"/>
    <w:rsid w:val="00E611B3"/>
    <w:rsid w:val="00E617DB"/>
    <w:rsid w:val="00E61B8D"/>
    <w:rsid w:val="00E62430"/>
    <w:rsid w:val="00E629E8"/>
    <w:rsid w:val="00E633A5"/>
    <w:rsid w:val="00E633D8"/>
    <w:rsid w:val="00E63855"/>
    <w:rsid w:val="00E63ADF"/>
    <w:rsid w:val="00E64D0D"/>
    <w:rsid w:val="00E65B59"/>
    <w:rsid w:val="00E65CEE"/>
    <w:rsid w:val="00E65FC9"/>
    <w:rsid w:val="00E6605F"/>
    <w:rsid w:val="00E6653C"/>
    <w:rsid w:val="00E66595"/>
    <w:rsid w:val="00E67547"/>
    <w:rsid w:val="00E702F4"/>
    <w:rsid w:val="00E70545"/>
    <w:rsid w:val="00E7059B"/>
    <w:rsid w:val="00E7071F"/>
    <w:rsid w:val="00E70A73"/>
    <w:rsid w:val="00E70AA7"/>
    <w:rsid w:val="00E70E64"/>
    <w:rsid w:val="00E7100B"/>
    <w:rsid w:val="00E71EBD"/>
    <w:rsid w:val="00E72052"/>
    <w:rsid w:val="00E74353"/>
    <w:rsid w:val="00E747EF"/>
    <w:rsid w:val="00E74B6A"/>
    <w:rsid w:val="00E74E56"/>
    <w:rsid w:val="00E752FE"/>
    <w:rsid w:val="00E75BBC"/>
    <w:rsid w:val="00E75F51"/>
    <w:rsid w:val="00E766D1"/>
    <w:rsid w:val="00E76A87"/>
    <w:rsid w:val="00E801D5"/>
    <w:rsid w:val="00E80BD5"/>
    <w:rsid w:val="00E80FA1"/>
    <w:rsid w:val="00E81603"/>
    <w:rsid w:val="00E821CD"/>
    <w:rsid w:val="00E83180"/>
    <w:rsid w:val="00E8344E"/>
    <w:rsid w:val="00E83C3D"/>
    <w:rsid w:val="00E84AAE"/>
    <w:rsid w:val="00E84BD0"/>
    <w:rsid w:val="00E84DAA"/>
    <w:rsid w:val="00E85269"/>
    <w:rsid w:val="00E855C2"/>
    <w:rsid w:val="00E86034"/>
    <w:rsid w:val="00E8628E"/>
    <w:rsid w:val="00E87768"/>
    <w:rsid w:val="00E91A52"/>
    <w:rsid w:val="00E91AE9"/>
    <w:rsid w:val="00E91E77"/>
    <w:rsid w:val="00E922F7"/>
    <w:rsid w:val="00E92B76"/>
    <w:rsid w:val="00E93782"/>
    <w:rsid w:val="00E9448A"/>
    <w:rsid w:val="00E949B9"/>
    <w:rsid w:val="00E94BA8"/>
    <w:rsid w:val="00E94F58"/>
    <w:rsid w:val="00E95DF5"/>
    <w:rsid w:val="00E96D62"/>
    <w:rsid w:val="00E97DE5"/>
    <w:rsid w:val="00EA01BC"/>
    <w:rsid w:val="00EA0B69"/>
    <w:rsid w:val="00EA1ACB"/>
    <w:rsid w:val="00EA1F79"/>
    <w:rsid w:val="00EA21E0"/>
    <w:rsid w:val="00EA2B0D"/>
    <w:rsid w:val="00EA340F"/>
    <w:rsid w:val="00EA3486"/>
    <w:rsid w:val="00EA3CC6"/>
    <w:rsid w:val="00EA4511"/>
    <w:rsid w:val="00EA738D"/>
    <w:rsid w:val="00EA782E"/>
    <w:rsid w:val="00EA7907"/>
    <w:rsid w:val="00EB072D"/>
    <w:rsid w:val="00EB0D72"/>
    <w:rsid w:val="00EB32DB"/>
    <w:rsid w:val="00EB34DA"/>
    <w:rsid w:val="00EB4980"/>
    <w:rsid w:val="00EB51BF"/>
    <w:rsid w:val="00EB5879"/>
    <w:rsid w:val="00EB5E61"/>
    <w:rsid w:val="00EB6B5C"/>
    <w:rsid w:val="00EC01AA"/>
    <w:rsid w:val="00EC086F"/>
    <w:rsid w:val="00EC0A0F"/>
    <w:rsid w:val="00EC0DAF"/>
    <w:rsid w:val="00EC1AB1"/>
    <w:rsid w:val="00EC2B00"/>
    <w:rsid w:val="00EC2B14"/>
    <w:rsid w:val="00EC5144"/>
    <w:rsid w:val="00EC57EA"/>
    <w:rsid w:val="00EC59AB"/>
    <w:rsid w:val="00EC5E83"/>
    <w:rsid w:val="00EC6EC4"/>
    <w:rsid w:val="00EC6F3B"/>
    <w:rsid w:val="00EC7F11"/>
    <w:rsid w:val="00ED0147"/>
    <w:rsid w:val="00ED2AC4"/>
    <w:rsid w:val="00ED2B87"/>
    <w:rsid w:val="00ED2DE4"/>
    <w:rsid w:val="00ED325C"/>
    <w:rsid w:val="00ED3D46"/>
    <w:rsid w:val="00ED40AB"/>
    <w:rsid w:val="00ED5006"/>
    <w:rsid w:val="00ED5D89"/>
    <w:rsid w:val="00ED5F6F"/>
    <w:rsid w:val="00ED6377"/>
    <w:rsid w:val="00ED78F6"/>
    <w:rsid w:val="00EE0548"/>
    <w:rsid w:val="00EE17E6"/>
    <w:rsid w:val="00EE2615"/>
    <w:rsid w:val="00EE3443"/>
    <w:rsid w:val="00EE3AF7"/>
    <w:rsid w:val="00EE4A01"/>
    <w:rsid w:val="00EE577B"/>
    <w:rsid w:val="00EE5A25"/>
    <w:rsid w:val="00EE641F"/>
    <w:rsid w:val="00EE64CE"/>
    <w:rsid w:val="00EE68A7"/>
    <w:rsid w:val="00EE6F06"/>
    <w:rsid w:val="00EE7D0D"/>
    <w:rsid w:val="00EF009D"/>
    <w:rsid w:val="00EF1CCA"/>
    <w:rsid w:val="00EF229A"/>
    <w:rsid w:val="00EF2EA0"/>
    <w:rsid w:val="00EF4318"/>
    <w:rsid w:val="00EF45FB"/>
    <w:rsid w:val="00EF52DF"/>
    <w:rsid w:val="00EF5631"/>
    <w:rsid w:val="00EF7043"/>
    <w:rsid w:val="00EF7335"/>
    <w:rsid w:val="00F0064F"/>
    <w:rsid w:val="00F009C4"/>
    <w:rsid w:val="00F00C42"/>
    <w:rsid w:val="00F00E13"/>
    <w:rsid w:val="00F0107B"/>
    <w:rsid w:val="00F02A5E"/>
    <w:rsid w:val="00F0355B"/>
    <w:rsid w:val="00F03C8B"/>
    <w:rsid w:val="00F0494E"/>
    <w:rsid w:val="00F04B23"/>
    <w:rsid w:val="00F04DFC"/>
    <w:rsid w:val="00F05A3E"/>
    <w:rsid w:val="00F05D64"/>
    <w:rsid w:val="00F06833"/>
    <w:rsid w:val="00F07024"/>
    <w:rsid w:val="00F07473"/>
    <w:rsid w:val="00F075A0"/>
    <w:rsid w:val="00F07704"/>
    <w:rsid w:val="00F10990"/>
    <w:rsid w:val="00F10A04"/>
    <w:rsid w:val="00F11583"/>
    <w:rsid w:val="00F12F94"/>
    <w:rsid w:val="00F1358E"/>
    <w:rsid w:val="00F13A35"/>
    <w:rsid w:val="00F144C7"/>
    <w:rsid w:val="00F14B31"/>
    <w:rsid w:val="00F15012"/>
    <w:rsid w:val="00F1547E"/>
    <w:rsid w:val="00F15FBA"/>
    <w:rsid w:val="00F172DD"/>
    <w:rsid w:val="00F20A32"/>
    <w:rsid w:val="00F21229"/>
    <w:rsid w:val="00F22268"/>
    <w:rsid w:val="00F2258E"/>
    <w:rsid w:val="00F22D02"/>
    <w:rsid w:val="00F230B3"/>
    <w:rsid w:val="00F2319E"/>
    <w:rsid w:val="00F23F4A"/>
    <w:rsid w:val="00F2423F"/>
    <w:rsid w:val="00F24CD8"/>
    <w:rsid w:val="00F255F0"/>
    <w:rsid w:val="00F2723B"/>
    <w:rsid w:val="00F278DB"/>
    <w:rsid w:val="00F27924"/>
    <w:rsid w:val="00F27A11"/>
    <w:rsid w:val="00F30C06"/>
    <w:rsid w:val="00F30DBD"/>
    <w:rsid w:val="00F31188"/>
    <w:rsid w:val="00F316A5"/>
    <w:rsid w:val="00F3337A"/>
    <w:rsid w:val="00F335A8"/>
    <w:rsid w:val="00F33B2B"/>
    <w:rsid w:val="00F34B26"/>
    <w:rsid w:val="00F34DA3"/>
    <w:rsid w:val="00F34E5F"/>
    <w:rsid w:val="00F351DE"/>
    <w:rsid w:val="00F35272"/>
    <w:rsid w:val="00F4038A"/>
    <w:rsid w:val="00F43711"/>
    <w:rsid w:val="00F43AF8"/>
    <w:rsid w:val="00F44D66"/>
    <w:rsid w:val="00F457A2"/>
    <w:rsid w:val="00F45B1E"/>
    <w:rsid w:val="00F460E7"/>
    <w:rsid w:val="00F46704"/>
    <w:rsid w:val="00F4779B"/>
    <w:rsid w:val="00F47962"/>
    <w:rsid w:val="00F51038"/>
    <w:rsid w:val="00F5142D"/>
    <w:rsid w:val="00F51E93"/>
    <w:rsid w:val="00F51FF0"/>
    <w:rsid w:val="00F5218A"/>
    <w:rsid w:val="00F528E8"/>
    <w:rsid w:val="00F533B1"/>
    <w:rsid w:val="00F538C4"/>
    <w:rsid w:val="00F55018"/>
    <w:rsid w:val="00F555C0"/>
    <w:rsid w:val="00F5586B"/>
    <w:rsid w:val="00F55CA5"/>
    <w:rsid w:val="00F570E8"/>
    <w:rsid w:val="00F57C5F"/>
    <w:rsid w:val="00F61220"/>
    <w:rsid w:val="00F6158B"/>
    <w:rsid w:val="00F6165E"/>
    <w:rsid w:val="00F61D33"/>
    <w:rsid w:val="00F61E4F"/>
    <w:rsid w:val="00F62569"/>
    <w:rsid w:val="00F6348B"/>
    <w:rsid w:val="00F640CB"/>
    <w:rsid w:val="00F64DCF"/>
    <w:rsid w:val="00F6699A"/>
    <w:rsid w:val="00F66C80"/>
    <w:rsid w:val="00F67995"/>
    <w:rsid w:val="00F70002"/>
    <w:rsid w:val="00F7040F"/>
    <w:rsid w:val="00F71130"/>
    <w:rsid w:val="00F711AD"/>
    <w:rsid w:val="00F714F8"/>
    <w:rsid w:val="00F715C8"/>
    <w:rsid w:val="00F71D54"/>
    <w:rsid w:val="00F71FB7"/>
    <w:rsid w:val="00F728AF"/>
    <w:rsid w:val="00F73F72"/>
    <w:rsid w:val="00F7597F"/>
    <w:rsid w:val="00F759B0"/>
    <w:rsid w:val="00F76626"/>
    <w:rsid w:val="00F76669"/>
    <w:rsid w:val="00F768B7"/>
    <w:rsid w:val="00F76FC8"/>
    <w:rsid w:val="00F772F4"/>
    <w:rsid w:val="00F77AEA"/>
    <w:rsid w:val="00F811A6"/>
    <w:rsid w:val="00F818C8"/>
    <w:rsid w:val="00F82142"/>
    <w:rsid w:val="00F824ED"/>
    <w:rsid w:val="00F83232"/>
    <w:rsid w:val="00F83487"/>
    <w:rsid w:val="00F83A22"/>
    <w:rsid w:val="00F8440F"/>
    <w:rsid w:val="00F84D36"/>
    <w:rsid w:val="00F84E28"/>
    <w:rsid w:val="00F84F80"/>
    <w:rsid w:val="00F854BC"/>
    <w:rsid w:val="00F854DC"/>
    <w:rsid w:val="00F864E4"/>
    <w:rsid w:val="00F86744"/>
    <w:rsid w:val="00F86E39"/>
    <w:rsid w:val="00F90129"/>
    <w:rsid w:val="00F9026D"/>
    <w:rsid w:val="00F908FA"/>
    <w:rsid w:val="00F91788"/>
    <w:rsid w:val="00F9191E"/>
    <w:rsid w:val="00F923F5"/>
    <w:rsid w:val="00F92633"/>
    <w:rsid w:val="00F9318E"/>
    <w:rsid w:val="00F93329"/>
    <w:rsid w:val="00F93F84"/>
    <w:rsid w:val="00F9414D"/>
    <w:rsid w:val="00F953D3"/>
    <w:rsid w:val="00F96D2B"/>
    <w:rsid w:val="00F96D93"/>
    <w:rsid w:val="00F971B4"/>
    <w:rsid w:val="00F97301"/>
    <w:rsid w:val="00FA0266"/>
    <w:rsid w:val="00FA074F"/>
    <w:rsid w:val="00FA1374"/>
    <w:rsid w:val="00FA2F5D"/>
    <w:rsid w:val="00FA3E65"/>
    <w:rsid w:val="00FA458F"/>
    <w:rsid w:val="00FA4910"/>
    <w:rsid w:val="00FA4A7C"/>
    <w:rsid w:val="00FA4A8C"/>
    <w:rsid w:val="00FA4B7C"/>
    <w:rsid w:val="00FA6617"/>
    <w:rsid w:val="00FA79E1"/>
    <w:rsid w:val="00FB0136"/>
    <w:rsid w:val="00FB0343"/>
    <w:rsid w:val="00FB043E"/>
    <w:rsid w:val="00FB11C3"/>
    <w:rsid w:val="00FB271D"/>
    <w:rsid w:val="00FB3C2F"/>
    <w:rsid w:val="00FB3E86"/>
    <w:rsid w:val="00FB4FB0"/>
    <w:rsid w:val="00FB586F"/>
    <w:rsid w:val="00FB6993"/>
    <w:rsid w:val="00FB6FAB"/>
    <w:rsid w:val="00FB7143"/>
    <w:rsid w:val="00FB7A39"/>
    <w:rsid w:val="00FB7BA1"/>
    <w:rsid w:val="00FB7FF7"/>
    <w:rsid w:val="00FC08C7"/>
    <w:rsid w:val="00FC187C"/>
    <w:rsid w:val="00FC1F9D"/>
    <w:rsid w:val="00FC4364"/>
    <w:rsid w:val="00FC457F"/>
    <w:rsid w:val="00FC495E"/>
    <w:rsid w:val="00FC4A8A"/>
    <w:rsid w:val="00FC4A98"/>
    <w:rsid w:val="00FC603C"/>
    <w:rsid w:val="00FC60E6"/>
    <w:rsid w:val="00FC7788"/>
    <w:rsid w:val="00FC785E"/>
    <w:rsid w:val="00FD00B3"/>
    <w:rsid w:val="00FD0CD3"/>
    <w:rsid w:val="00FD0F11"/>
    <w:rsid w:val="00FD1D19"/>
    <w:rsid w:val="00FD2C82"/>
    <w:rsid w:val="00FD3832"/>
    <w:rsid w:val="00FD493A"/>
    <w:rsid w:val="00FD6B0B"/>
    <w:rsid w:val="00FD6B96"/>
    <w:rsid w:val="00FE069E"/>
    <w:rsid w:val="00FE095F"/>
    <w:rsid w:val="00FE2454"/>
    <w:rsid w:val="00FE2807"/>
    <w:rsid w:val="00FE2E64"/>
    <w:rsid w:val="00FE36EB"/>
    <w:rsid w:val="00FE4001"/>
    <w:rsid w:val="00FE41ED"/>
    <w:rsid w:val="00FE4AAC"/>
    <w:rsid w:val="00FE4B0B"/>
    <w:rsid w:val="00FE5023"/>
    <w:rsid w:val="00FE5716"/>
    <w:rsid w:val="00FE60DA"/>
    <w:rsid w:val="00FE61B2"/>
    <w:rsid w:val="00FE6514"/>
    <w:rsid w:val="00FE65B5"/>
    <w:rsid w:val="00FE6DAD"/>
    <w:rsid w:val="00FE6DD7"/>
    <w:rsid w:val="00FF0953"/>
    <w:rsid w:val="00FF0E99"/>
    <w:rsid w:val="00FF15C4"/>
    <w:rsid w:val="00FF2CFD"/>
    <w:rsid w:val="00FF3BDE"/>
    <w:rsid w:val="00FF4B23"/>
    <w:rsid w:val="00FF5126"/>
    <w:rsid w:val="00FF5231"/>
    <w:rsid w:val="00FF57F7"/>
    <w:rsid w:val="00FF5BE8"/>
    <w:rsid w:val="00FF5C76"/>
    <w:rsid w:val="00FF67C3"/>
    <w:rsid w:val="00FF6EB7"/>
    <w:rsid w:val="00FF7634"/>
    <w:rsid w:val="00FF7A7C"/>
    <w:rsid w:val="00FF7C13"/>
    <w:rsid w:val="0126683E"/>
    <w:rsid w:val="016855A3"/>
    <w:rsid w:val="01CD84EB"/>
    <w:rsid w:val="020A2E6E"/>
    <w:rsid w:val="0217587F"/>
    <w:rsid w:val="023297F2"/>
    <w:rsid w:val="0242C02A"/>
    <w:rsid w:val="026E5011"/>
    <w:rsid w:val="02FD6813"/>
    <w:rsid w:val="033EFC27"/>
    <w:rsid w:val="03F5ECE3"/>
    <w:rsid w:val="044CFF8D"/>
    <w:rsid w:val="0466AC63"/>
    <w:rsid w:val="04EEE8E8"/>
    <w:rsid w:val="05654EE7"/>
    <w:rsid w:val="057B2A1E"/>
    <w:rsid w:val="059FA2F9"/>
    <w:rsid w:val="059FC205"/>
    <w:rsid w:val="05B9D3BB"/>
    <w:rsid w:val="06A978C2"/>
    <w:rsid w:val="06ACB31C"/>
    <w:rsid w:val="06B3758C"/>
    <w:rsid w:val="06C0B5C2"/>
    <w:rsid w:val="06DD3B99"/>
    <w:rsid w:val="07499065"/>
    <w:rsid w:val="07CA278F"/>
    <w:rsid w:val="07D3960E"/>
    <w:rsid w:val="0847F94A"/>
    <w:rsid w:val="0879CEA9"/>
    <w:rsid w:val="087D4E95"/>
    <w:rsid w:val="08B94CCC"/>
    <w:rsid w:val="09062869"/>
    <w:rsid w:val="0917FCBA"/>
    <w:rsid w:val="091FCC39"/>
    <w:rsid w:val="09233E14"/>
    <w:rsid w:val="09BE377C"/>
    <w:rsid w:val="09C625D5"/>
    <w:rsid w:val="09D51775"/>
    <w:rsid w:val="0AC4C034"/>
    <w:rsid w:val="0B24030D"/>
    <w:rsid w:val="0B3FBAF8"/>
    <w:rsid w:val="0B4F6EDE"/>
    <w:rsid w:val="0B626F62"/>
    <w:rsid w:val="0B880691"/>
    <w:rsid w:val="0BB4BC2D"/>
    <w:rsid w:val="0C985453"/>
    <w:rsid w:val="0CC445DE"/>
    <w:rsid w:val="0CF03D6C"/>
    <w:rsid w:val="0D846CC0"/>
    <w:rsid w:val="0D9E163E"/>
    <w:rsid w:val="0DD6E9D8"/>
    <w:rsid w:val="0E133C40"/>
    <w:rsid w:val="0E293380"/>
    <w:rsid w:val="0ED9F1D6"/>
    <w:rsid w:val="0EE1051B"/>
    <w:rsid w:val="0EF6A9C6"/>
    <w:rsid w:val="0FFBD1FA"/>
    <w:rsid w:val="1065AA35"/>
    <w:rsid w:val="10744C0F"/>
    <w:rsid w:val="108F969D"/>
    <w:rsid w:val="10F53954"/>
    <w:rsid w:val="11999A22"/>
    <w:rsid w:val="11E3AB97"/>
    <w:rsid w:val="133B95A0"/>
    <w:rsid w:val="13BF1260"/>
    <w:rsid w:val="13C546AD"/>
    <w:rsid w:val="13D80FD2"/>
    <w:rsid w:val="13F14AEE"/>
    <w:rsid w:val="1413FE27"/>
    <w:rsid w:val="1478F0BE"/>
    <w:rsid w:val="14B7D663"/>
    <w:rsid w:val="1555995C"/>
    <w:rsid w:val="15774C14"/>
    <w:rsid w:val="1587814B"/>
    <w:rsid w:val="15DE4A50"/>
    <w:rsid w:val="163351B2"/>
    <w:rsid w:val="169BBF8D"/>
    <w:rsid w:val="16C97B18"/>
    <w:rsid w:val="16CC5725"/>
    <w:rsid w:val="16CEFBDF"/>
    <w:rsid w:val="17109B02"/>
    <w:rsid w:val="1738AC7F"/>
    <w:rsid w:val="178DE126"/>
    <w:rsid w:val="1793C164"/>
    <w:rsid w:val="1866164B"/>
    <w:rsid w:val="1888A718"/>
    <w:rsid w:val="18E2643C"/>
    <w:rsid w:val="18F07126"/>
    <w:rsid w:val="193041C0"/>
    <w:rsid w:val="19A3E983"/>
    <w:rsid w:val="19DEBCF5"/>
    <w:rsid w:val="1A27D81F"/>
    <w:rsid w:val="1A311F3A"/>
    <w:rsid w:val="1B5A580D"/>
    <w:rsid w:val="1B691322"/>
    <w:rsid w:val="1B758620"/>
    <w:rsid w:val="1B8CF4D5"/>
    <w:rsid w:val="1BDAA192"/>
    <w:rsid w:val="1C091843"/>
    <w:rsid w:val="1C18AA93"/>
    <w:rsid w:val="1C7A735C"/>
    <w:rsid w:val="1CFD645F"/>
    <w:rsid w:val="1D052285"/>
    <w:rsid w:val="1D3E615C"/>
    <w:rsid w:val="1D412892"/>
    <w:rsid w:val="1D705B3B"/>
    <w:rsid w:val="1DF54D76"/>
    <w:rsid w:val="1E22BCA4"/>
    <w:rsid w:val="1E22E334"/>
    <w:rsid w:val="1E2B343C"/>
    <w:rsid w:val="1E378519"/>
    <w:rsid w:val="1E3D5B22"/>
    <w:rsid w:val="1E606C9F"/>
    <w:rsid w:val="1EDE07E1"/>
    <w:rsid w:val="1EE8BB7D"/>
    <w:rsid w:val="1F02B5A5"/>
    <w:rsid w:val="1F55C30E"/>
    <w:rsid w:val="1FDCE50B"/>
    <w:rsid w:val="1FFC9607"/>
    <w:rsid w:val="20BA775A"/>
    <w:rsid w:val="20E8AA58"/>
    <w:rsid w:val="223A2323"/>
    <w:rsid w:val="22C08C5D"/>
    <w:rsid w:val="22E5E1F4"/>
    <w:rsid w:val="22E713E5"/>
    <w:rsid w:val="230C38E3"/>
    <w:rsid w:val="231B7D0E"/>
    <w:rsid w:val="231ED345"/>
    <w:rsid w:val="2413CE9A"/>
    <w:rsid w:val="247ED0CB"/>
    <w:rsid w:val="24E02E6F"/>
    <w:rsid w:val="2537C46C"/>
    <w:rsid w:val="254FFEB0"/>
    <w:rsid w:val="25884DA1"/>
    <w:rsid w:val="25A64D98"/>
    <w:rsid w:val="25CAEAF4"/>
    <w:rsid w:val="260CAF48"/>
    <w:rsid w:val="267C5DAC"/>
    <w:rsid w:val="274AB268"/>
    <w:rsid w:val="275AE7B3"/>
    <w:rsid w:val="27AC3019"/>
    <w:rsid w:val="2804BBFC"/>
    <w:rsid w:val="281D0B2A"/>
    <w:rsid w:val="293E016A"/>
    <w:rsid w:val="295025FA"/>
    <w:rsid w:val="29890ABF"/>
    <w:rsid w:val="2A381543"/>
    <w:rsid w:val="2A515A04"/>
    <w:rsid w:val="2A99CC21"/>
    <w:rsid w:val="2AEB2595"/>
    <w:rsid w:val="2B166FBB"/>
    <w:rsid w:val="2B7308CD"/>
    <w:rsid w:val="2BAF6FB2"/>
    <w:rsid w:val="2C0DFADD"/>
    <w:rsid w:val="2C7CAC7B"/>
    <w:rsid w:val="2CA3D63C"/>
    <w:rsid w:val="2CBAF414"/>
    <w:rsid w:val="2CEBF20B"/>
    <w:rsid w:val="2D3AA7C4"/>
    <w:rsid w:val="2D46E141"/>
    <w:rsid w:val="2DA02B60"/>
    <w:rsid w:val="2DD28A3C"/>
    <w:rsid w:val="2E36EC11"/>
    <w:rsid w:val="2E7DBC9A"/>
    <w:rsid w:val="2EFE97D4"/>
    <w:rsid w:val="2F0F6783"/>
    <w:rsid w:val="2F1371FF"/>
    <w:rsid w:val="305F1885"/>
    <w:rsid w:val="30611DDC"/>
    <w:rsid w:val="309D4925"/>
    <w:rsid w:val="30B77DF5"/>
    <w:rsid w:val="30FC20E1"/>
    <w:rsid w:val="31BC142A"/>
    <w:rsid w:val="31F3EE0C"/>
    <w:rsid w:val="31FC1F77"/>
    <w:rsid w:val="320355CA"/>
    <w:rsid w:val="3351859E"/>
    <w:rsid w:val="3354F4EF"/>
    <w:rsid w:val="33A4A5DA"/>
    <w:rsid w:val="33F26855"/>
    <w:rsid w:val="34C0399C"/>
    <w:rsid w:val="3509566D"/>
    <w:rsid w:val="3529CAA8"/>
    <w:rsid w:val="35448B56"/>
    <w:rsid w:val="360AB778"/>
    <w:rsid w:val="360B59C2"/>
    <w:rsid w:val="36B882D7"/>
    <w:rsid w:val="36FC70D8"/>
    <w:rsid w:val="37169528"/>
    <w:rsid w:val="3733199C"/>
    <w:rsid w:val="3749EDAF"/>
    <w:rsid w:val="374FCDBB"/>
    <w:rsid w:val="3763E34F"/>
    <w:rsid w:val="381900BE"/>
    <w:rsid w:val="38FA20D0"/>
    <w:rsid w:val="39CFA4B6"/>
    <w:rsid w:val="39E08FDE"/>
    <w:rsid w:val="3A3C9C5C"/>
    <w:rsid w:val="3A6932EE"/>
    <w:rsid w:val="3A772016"/>
    <w:rsid w:val="3AB2D399"/>
    <w:rsid w:val="3BA67F0F"/>
    <w:rsid w:val="3BBA4799"/>
    <w:rsid w:val="3BCFCC3C"/>
    <w:rsid w:val="3BE4FD92"/>
    <w:rsid w:val="3C458B75"/>
    <w:rsid w:val="3C8D2271"/>
    <w:rsid w:val="3CD9D711"/>
    <w:rsid w:val="3CDAE1B4"/>
    <w:rsid w:val="3D3D19D3"/>
    <w:rsid w:val="3D3E7625"/>
    <w:rsid w:val="3D89D9DE"/>
    <w:rsid w:val="3DC2D690"/>
    <w:rsid w:val="3DC7779C"/>
    <w:rsid w:val="3DD2110C"/>
    <w:rsid w:val="3E54843F"/>
    <w:rsid w:val="3EC6AF4D"/>
    <w:rsid w:val="3F014DCA"/>
    <w:rsid w:val="3F2556B9"/>
    <w:rsid w:val="3F2A347E"/>
    <w:rsid w:val="40167BDC"/>
    <w:rsid w:val="40473FA5"/>
    <w:rsid w:val="4090843C"/>
    <w:rsid w:val="40AAD013"/>
    <w:rsid w:val="40B4BA12"/>
    <w:rsid w:val="40D1A2FF"/>
    <w:rsid w:val="4102962F"/>
    <w:rsid w:val="416B7CA7"/>
    <w:rsid w:val="416FE17D"/>
    <w:rsid w:val="41B4E867"/>
    <w:rsid w:val="41D2EEBB"/>
    <w:rsid w:val="421E5030"/>
    <w:rsid w:val="42488F1F"/>
    <w:rsid w:val="4486FCFF"/>
    <w:rsid w:val="44978637"/>
    <w:rsid w:val="44BF28B5"/>
    <w:rsid w:val="450ECD42"/>
    <w:rsid w:val="4536218D"/>
    <w:rsid w:val="4551664A"/>
    <w:rsid w:val="4555DA54"/>
    <w:rsid w:val="45B8FBEC"/>
    <w:rsid w:val="45D916B3"/>
    <w:rsid w:val="463632DA"/>
    <w:rsid w:val="4659D890"/>
    <w:rsid w:val="4719C03B"/>
    <w:rsid w:val="471E06F5"/>
    <w:rsid w:val="47A23B36"/>
    <w:rsid w:val="47A96885"/>
    <w:rsid w:val="47B6FB61"/>
    <w:rsid w:val="481D1AC4"/>
    <w:rsid w:val="48294FB0"/>
    <w:rsid w:val="4840C36F"/>
    <w:rsid w:val="4844FE41"/>
    <w:rsid w:val="48B60AE4"/>
    <w:rsid w:val="4928B51C"/>
    <w:rsid w:val="4A04F885"/>
    <w:rsid w:val="4A1E529D"/>
    <w:rsid w:val="4A5CC50E"/>
    <w:rsid w:val="4A65AC7A"/>
    <w:rsid w:val="4A78E699"/>
    <w:rsid w:val="4A889F92"/>
    <w:rsid w:val="4A912395"/>
    <w:rsid w:val="4AA5D397"/>
    <w:rsid w:val="4B1EBA21"/>
    <w:rsid w:val="4BBF1527"/>
    <w:rsid w:val="4C0BCE78"/>
    <w:rsid w:val="4C16B4EC"/>
    <w:rsid w:val="4C4BCDF5"/>
    <w:rsid w:val="4C757A81"/>
    <w:rsid w:val="4D1D8A5E"/>
    <w:rsid w:val="4D8A96F1"/>
    <w:rsid w:val="4E058E88"/>
    <w:rsid w:val="4E5DFEA0"/>
    <w:rsid w:val="4E665322"/>
    <w:rsid w:val="4E6CD9CF"/>
    <w:rsid w:val="4E9AB1A5"/>
    <w:rsid w:val="4EA3B914"/>
    <w:rsid w:val="4EC8394B"/>
    <w:rsid w:val="4EF6C407"/>
    <w:rsid w:val="4F6B5C5F"/>
    <w:rsid w:val="50359762"/>
    <w:rsid w:val="50A83DD9"/>
    <w:rsid w:val="512FD8A7"/>
    <w:rsid w:val="515D1139"/>
    <w:rsid w:val="52ABDFC2"/>
    <w:rsid w:val="52BB695E"/>
    <w:rsid w:val="530B2A40"/>
    <w:rsid w:val="531C6799"/>
    <w:rsid w:val="5396F729"/>
    <w:rsid w:val="5444078D"/>
    <w:rsid w:val="545B408F"/>
    <w:rsid w:val="546B819A"/>
    <w:rsid w:val="548494B5"/>
    <w:rsid w:val="54EF0E2A"/>
    <w:rsid w:val="553D3B6C"/>
    <w:rsid w:val="5547024A"/>
    <w:rsid w:val="557C298F"/>
    <w:rsid w:val="55888FEA"/>
    <w:rsid w:val="55960668"/>
    <w:rsid w:val="55CC2D36"/>
    <w:rsid w:val="56B1E749"/>
    <w:rsid w:val="56B9FCEE"/>
    <w:rsid w:val="56F642A5"/>
    <w:rsid w:val="57DC3D76"/>
    <w:rsid w:val="58C8F609"/>
    <w:rsid w:val="58D0EBDD"/>
    <w:rsid w:val="58FF4D81"/>
    <w:rsid w:val="590EC681"/>
    <w:rsid w:val="59D26EDB"/>
    <w:rsid w:val="59F1E44F"/>
    <w:rsid w:val="59F859D8"/>
    <w:rsid w:val="5A1BBEA9"/>
    <w:rsid w:val="5A9C7B04"/>
    <w:rsid w:val="5A9C9255"/>
    <w:rsid w:val="5AF0B829"/>
    <w:rsid w:val="5B22BA34"/>
    <w:rsid w:val="5BAF3671"/>
    <w:rsid w:val="5BBF2502"/>
    <w:rsid w:val="5BC899F7"/>
    <w:rsid w:val="5C7B9F46"/>
    <w:rsid w:val="5CB991E2"/>
    <w:rsid w:val="5CFB803B"/>
    <w:rsid w:val="5D6BE664"/>
    <w:rsid w:val="5D91E962"/>
    <w:rsid w:val="5E63AB0E"/>
    <w:rsid w:val="5E78B6CF"/>
    <w:rsid w:val="5F249D96"/>
    <w:rsid w:val="5F28888A"/>
    <w:rsid w:val="5FEF4BD0"/>
    <w:rsid w:val="5FF9F762"/>
    <w:rsid w:val="60292D45"/>
    <w:rsid w:val="607B8FB7"/>
    <w:rsid w:val="60DA176B"/>
    <w:rsid w:val="60F8C6CA"/>
    <w:rsid w:val="61039196"/>
    <w:rsid w:val="611EA603"/>
    <w:rsid w:val="6139C0FE"/>
    <w:rsid w:val="61BDA617"/>
    <w:rsid w:val="61DBF223"/>
    <w:rsid w:val="61F5CBA2"/>
    <w:rsid w:val="6231BC72"/>
    <w:rsid w:val="626B2826"/>
    <w:rsid w:val="6308625D"/>
    <w:rsid w:val="6317F2BF"/>
    <w:rsid w:val="6355BD04"/>
    <w:rsid w:val="638FA2E7"/>
    <w:rsid w:val="64002475"/>
    <w:rsid w:val="642F0D00"/>
    <w:rsid w:val="648190BB"/>
    <w:rsid w:val="64E6F128"/>
    <w:rsid w:val="64F0373C"/>
    <w:rsid w:val="65ADA4AD"/>
    <w:rsid w:val="66FD8508"/>
    <w:rsid w:val="675B6993"/>
    <w:rsid w:val="678808BF"/>
    <w:rsid w:val="679B6E11"/>
    <w:rsid w:val="684E3A0D"/>
    <w:rsid w:val="68F049BF"/>
    <w:rsid w:val="69AF13F0"/>
    <w:rsid w:val="69BCC0DC"/>
    <w:rsid w:val="6A1468D4"/>
    <w:rsid w:val="6A62833A"/>
    <w:rsid w:val="6AA2880F"/>
    <w:rsid w:val="6B014EE0"/>
    <w:rsid w:val="6B665447"/>
    <w:rsid w:val="6B8F042E"/>
    <w:rsid w:val="6BB45B95"/>
    <w:rsid w:val="6C3A8933"/>
    <w:rsid w:val="6C3FDDC1"/>
    <w:rsid w:val="6CA1A051"/>
    <w:rsid w:val="6D1CD746"/>
    <w:rsid w:val="6D47C8AF"/>
    <w:rsid w:val="6DC11FF6"/>
    <w:rsid w:val="6E518B65"/>
    <w:rsid w:val="6E9E0536"/>
    <w:rsid w:val="6F94928F"/>
    <w:rsid w:val="700F1986"/>
    <w:rsid w:val="7033FA19"/>
    <w:rsid w:val="7035839D"/>
    <w:rsid w:val="70B19CAA"/>
    <w:rsid w:val="70C348A2"/>
    <w:rsid w:val="70F2BF0E"/>
    <w:rsid w:val="70F6AFC8"/>
    <w:rsid w:val="712F2DF3"/>
    <w:rsid w:val="720F0359"/>
    <w:rsid w:val="727376F9"/>
    <w:rsid w:val="728E6B0B"/>
    <w:rsid w:val="72DD3D4C"/>
    <w:rsid w:val="739CCA5F"/>
    <w:rsid w:val="73ACF6E0"/>
    <w:rsid w:val="73D6F96F"/>
    <w:rsid w:val="74338427"/>
    <w:rsid w:val="743BE592"/>
    <w:rsid w:val="745C25C8"/>
    <w:rsid w:val="74C6B0DB"/>
    <w:rsid w:val="751E79F1"/>
    <w:rsid w:val="7531D8C0"/>
    <w:rsid w:val="7545C0E1"/>
    <w:rsid w:val="7559C346"/>
    <w:rsid w:val="7593EE4F"/>
    <w:rsid w:val="7629AC85"/>
    <w:rsid w:val="763432D0"/>
    <w:rsid w:val="76E3028E"/>
    <w:rsid w:val="77422DBA"/>
    <w:rsid w:val="77731217"/>
    <w:rsid w:val="777619B9"/>
    <w:rsid w:val="77908E61"/>
    <w:rsid w:val="77C2F12C"/>
    <w:rsid w:val="77D065BD"/>
    <w:rsid w:val="77E1E5B8"/>
    <w:rsid w:val="77ED6ABC"/>
    <w:rsid w:val="7810C886"/>
    <w:rsid w:val="782193EF"/>
    <w:rsid w:val="7830DC32"/>
    <w:rsid w:val="78D274E6"/>
    <w:rsid w:val="78E561A1"/>
    <w:rsid w:val="79996982"/>
    <w:rsid w:val="79C7D0BE"/>
    <w:rsid w:val="79FF9EF4"/>
    <w:rsid w:val="7A79311B"/>
    <w:rsid w:val="7A971946"/>
    <w:rsid w:val="7AB33145"/>
    <w:rsid w:val="7AE08A37"/>
    <w:rsid w:val="7AE3A8B2"/>
    <w:rsid w:val="7B48FC30"/>
    <w:rsid w:val="7BEB7A8C"/>
    <w:rsid w:val="7C27C813"/>
    <w:rsid w:val="7CF42B27"/>
    <w:rsid w:val="7D0A8795"/>
    <w:rsid w:val="7D6A3CFE"/>
    <w:rsid w:val="7D7B93D9"/>
    <w:rsid w:val="7D98B22E"/>
    <w:rsid w:val="7DAD70D5"/>
    <w:rsid w:val="7DBE8D45"/>
    <w:rsid w:val="7DDC2C5B"/>
    <w:rsid w:val="7E45B455"/>
    <w:rsid w:val="7E804150"/>
    <w:rsid w:val="7ECE9606"/>
    <w:rsid w:val="7EEE0516"/>
    <w:rsid w:val="7F03468F"/>
    <w:rsid w:val="7F15F5AB"/>
    <w:rsid w:val="7F35A828"/>
    <w:rsid w:val="7F5345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CE885"/>
  <w15:chartTrackingRefBased/>
  <w15:docId w15:val="{B5E92F30-2B5B-4FA1-86F6-6F838AE1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821"/>
  </w:style>
  <w:style w:type="paragraph" w:styleId="Heading1">
    <w:name w:val="heading 1"/>
    <w:basedOn w:val="Normal"/>
    <w:next w:val="Normal"/>
    <w:link w:val="Heading1Char"/>
    <w:uiPriority w:val="9"/>
    <w:qFormat/>
    <w:rsid w:val="00C75147"/>
    <w:pPr>
      <w:outlineLvl w:val="0"/>
    </w:pPr>
    <w:rPr>
      <w:b/>
      <w:bCs/>
      <w:sz w:val="24"/>
      <w:szCs w:val="24"/>
    </w:rPr>
  </w:style>
  <w:style w:type="paragraph" w:styleId="Heading2">
    <w:name w:val="heading 2"/>
    <w:basedOn w:val="Normal"/>
    <w:next w:val="Normal"/>
    <w:link w:val="Heading2Char"/>
    <w:uiPriority w:val="9"/>
    <w:unhideWhenUsed/>
    <w:qFormat/>
    <w:rsid w:val="00997A87"/>
    <w:pPr>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6D37"/>
    <w:rPr>
      <w:sz w:val="16"/>
      <w:szCs w:val="16"/>
    </w:rPr>
  </w:style>
  <w:style w:type="character" w:customStyle="1" w:styleId="Heading1Char">
    <w:name w:val="Heading 1 Char"/>
    <w:basedOn w:val="DefaultParagraphFont"/>
    <w:link w:val="Heading1"/>
    <w:uiPriority w:val="9"/>
    <w:rsid w:val="00C75147"/>
    <w:rPr>
      <w:b/>
      <w:bCs/>
      <w:sz w:val="24"/>
      <w:szCs w:val="24"/>
    </w:rPr>
  </w:style>
  <w:style w:type="character" w:customStyle="1" w:styleId="Heading2Char">
    <w:name w:val="Heading 2 Char"/>
    <w:basedOn w:val="DefaultParagraphFont"/>
    <w:link w:val="Heading2"/>
    <w:uiPriority w:val="9"/>
    <w:rsid w:val="00997A87"/>
    <w:rPr>
      <w:b/>
      <w:bCs/>
      <w:i/>
      <w:iCs/>
    </w:rPr>
  </w:style>
  <w:style w:type="character" w:customStyle="1" w:styleId="normaltextrun">
    <w:name w:val="normaltextrun"/>
    <w:basedOn w:val="DefaultParagraphFont"/>
    <w:rsid w:val="00056CC8"/>
  </w:style>
  <w:style w:type="paragraph" w:styleId="Bibliography">
    <w:name w:val="Bibliography"/>
    <w:basedOn w:val="Normal"/>
    <w:next w:val="Normal"/>
    <w:uiPriority w:val="37"/>
    <w:unhideWhenUsed/>
    <w:rsid w:val="0052313B"/>
    <w:pPr>
      <w:tabs>
        <w:tab w:val="left" w:pos="384"/>
      </w:tabs>
      <w:spacing w:after="240" w:line="240" w:lineRule="auto"/>
      <w:ind w:left="384" w:hanging="384"/>
    </w:pPr>
  </w:style>
  <w:style w:type="paragraph" w:styleId="Revision">
    <w:name w:val="Revision"/>
    <w:hidden/>
    <w:uiPriority w:val="99"/>
    <w:semiHidden/>
    <w:rsid w:val="003D473D"/>
    <w:pPr>
      <w:spacing w:after="0" w:line="240" w:lineRule="auto"/>
    </w:pPr>
  </w:style>
  <w:style w:type="paragraph" w:styleId="ListParagraph">
    <w:name w:val="List Paragraph"/>
    <w:basedOn w:val="Normal"/>
    <w:uiPriority w:val="34"/>
    <w:qFormat/>
    <w:rsid w:val="00B15477"/>
    <w:pPr>
      <w:ind w:left="720"/>
      <w:contextualSpacing/>
    </w:pPr>
  </w:style>
  <w:style w:type="paragraph" w:styleId="Footer">
    <w:name w:val="footer"/>
    <w:basedOn w:val="Normal"/>
    <w:link w:val="FooterChar"/>
    <w:uiPriority w:val="99"/>
    <w:unhideWhenUsed/>
    <w:rsid w:val="00495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128"/>
  </w:style>
  <w:style w:type="character" w:styleId="PageNumber">
    <w:name w:val="page number"/>
    <w:basedOn w:val="DefaultParagraphFont"/>
    <w:uiPriority w:val="99"/>
    <w:semiHidden/>
    <w:unhideWhenUsed/>
    <w:rsid w:val="00495128"/>
  </w:style>
  <w:style w:type="character" w:styleId="LineNumber">
    <w:name w:val="line number"/>
    <w:basedOn w:val="DefaultParagraphFont"/>
    <w:uiPriority w:val="99"/>
    <w:semiHidden/>
    <w:unhideWhenUsed/>
    <w:rsid w:val="00176A47"/>
  </w:style>
  <w:style w:type="character" w:styleId="Hyperlink">
    <w:name w:val="Hyperlink"/>
    <w:basedOn w:val="DefaultParagraphFont"/>
    <w:uiPriority w:val="99"/>
    <w:unhideWhenUsed/>
    <w:rsid w:val="002E02FA"/>
    <w:rPr>
      <w:color w:val="0563C1" w:themeColor="hyperlink"/>
      <w:u w:val="single"/>
    </w:rPr>
  </w:style>
  <w:style w:type="character" w:styleId="UnresolvedMention">
    <w:name w:val="Unresolved Mention"/>
    <w:basedOn w:val="DefaultParagraphFont"/>
    <w:uiPriority w:val="99"/>
    <w:semiHidden/>
    <w:unhideWhenUsed/>
    <w:rsid w:val="002E02FA"/>
    <w:rPr>
      <w:color w:val="605E5C"/>
      <w:shd w:val="clear" w:color="auto" w:fill="E1DFDD"/>
    </w:rPr>
  </w:style>
  <w:style w:type="paragraph" w:styleId="Header">
    <w:name w:val="header"/>
    <w:basedOn w:val="Normal"/>
    <w:link w:val="HeaderChar"/>
    <w:uiPriority w:val="99"/>
    <w:unhideWhenUsed/>
    <w:rsid w:val="00C94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AF0"/>
  </w:style>
  <w:style w:type="paragraph" w:styleId="CommentText">
    <w:name w:val="annotation text"/>
    <w:basedOn w:val="Normal"/>
    <w:link w:val="CommentTextChar"/>
    <w:uiPriority w:val="99"/>
    <w:unhideWhenUsed/>
    <w:rsid w:val="00FC457F"/>
    <w:pPr>
      <w:spacing w:line="240" w:lineRule="auto"/>
    </w:pPr>
    <w:rPr>
      <w:sz w:val="20"/>
      <w:szCs w:val="20"/>
    </w:rPr>
  </w:style>
  <w:style w:type="character" w:customStyle="1" w:styleId="CommentTextChar">
    <w:name w:val="Comment Text Char"/>
    <w:basedOn w:val="DefaultParagraphFont"/>
    <w:link w:val="CommentText"/>
    <w:uiPriority w:val="99"/>
    <w:rsid w:val="00FC457F"/>
    <w:rPr>
      <w:sz w:val="20"/>
      <w:szCs w:val="20"/>
    </w:rPr>
  </w:style>
  <w:style w:type="paragraph" w:styleId="CommentSubject">
    <w:name w:val="annotation subject"/>
    <w:basedOn w:val="CommentText"/>
    <w:next w:val="CommentText"/>
    <w:link w:val="CommentSubjectChar"/>
    <w:uiPriority w:val="99"/>
    <w:semiHidden/>
    <w:unhideWhenUsed/>
    <w:rsid w:val="00FC457F"/>
    <w:rPr>
      <w:b/>
      <w:bCs/>
    </w:rPr>
  </w:style>
  <w:style w:type="character" w:customStyle="1" w:styleId="CommentSubjectChar">
    <w:name w:val="Comment Subject Char"/>
    <w:basedOn w:val="CommentTextChar"/>
    <w:link w:val="CommentSubject"/>
    <w:uiPriority w:val="99"/>
    <w:semiHidden/>
    <w:rsid w:val="00FC457F"/>
    <w:rPr>
      <w:b/>
      <w:bCs/>
      <w:sz w:val="20"/>
      <w:szCs w:val="20"/>
    </w:rPr>
  </w:style>
  <w:style w:type="character" w:styleId="Mention">
    <w:name w:val="Mention"/>
    <w:basedOn w:val="DefaultParagraphFont"/>
    <w:uiPriority w:val="99"/>
    <w:unhideWhenUsed/>
    <w:rsid w:val="003810EF"/>
    <w:rPr>
      <w:color w:val="2B579A"/>
      <w:shd w:val="clear" w:color="auto" w:fill="E1DFDD"/>
    </w:rPr>
  </w:style>
  <w:style w:type="table" w:styleId="GridTable6Colorful">
    <w:name w:val="Grid Table 6 Colorful"/>
    <w:basedOn w:val="TableNormal"/>
    <w:uiPriority w:val="51"/>
    <w:rsid w:val="00F43AF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F43AF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B43D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E06011"/>
    <w:rPr>
      <w:color w:val="954F72" w:themeColor="followedHyperlink"/>
      <w:u w:val="single"/>
    </w:rPr>
  </w:style>
  <w:style w:type="character" w:customStyle="1" w:styleId="cf01">
    <w:name w:val="cf01"/>
    <w:basedOn w:val="DefaultParagraphFont"/>
    <w:rsid w:val="00943D5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999">
      <w:bodyDiv w:val="1"/>
      <w:marLeft w:val="0"/>
      <w:marRight w:val="0"/>
      <w:marTop w:val="0"/>
      <w:marBottom w:val="0"/>
      <w:divBdr>
        <w:top w:val="none" w:sz="0" w:space="0" w:color="auto"/>
        <w:left w:val="none" w:sz="0" w:space="0" w:color="auto"/>
        <w:bottom w:val="none" w:sz="0" w:space="0" w:color="auto"/>
        <w:right w:val="none" w:sz="0" w:space="0" w:color="auto"/>
      </w:divBdr>
    </w:div>
    <w:div w:id="79300822">
      <w:bodyDiv w:val="1"/>
      <w:marLeft w:val="0"/>
      <w:marRight w:val="0"/>
      <w:marTop w:val="0"/>
      <w:marBottom w:val="0"/>
      <w:divBdr>
        <w:top w:val="none" w:sz="0" w:space="0" w:color="auto"/>
        <w:left w:val="none" w:sz="0" w:space="0" w:color="auto"/>
        <w:bottom w:val="none" w:sz="0" w:space="0" w:color="auto"/>
        <w:right w:val="none" w:sz="0" w:space="0" w:color="auto"/>
      </w:divBdr>
    </w:div>
    <w:div w:id="89159418">
      <w:bodyDiv w:val="1"/>
      <w:marLeft w:val="0"/>
      <w:marRight w:val="0"/>
      <w:marTop w:val="0"/>
      <w:marBottom w:val="0"/>
      <w:divBdr>
        <w:top w:val="none" w:sz="0" w:space="0" w:color="auto"/>
        <w:left w:val="none" w:sz="0" w:space="0" w:color="auto"/>
        <w:bottom w:val="none" w:sz="0" w:space="0" w:color="auto"/>
        <w:right w:val="none" w:sz="0" w:space="0" w:color="auto"/>
      </w:divBdr>
    </w:div>
    <w:div w:id="684939661">
      <w:bodyDiv w:val="1"/>
      <w:marLeft w:val="0"/>
      <w:marRight w:val="0"/>
      <w:marTop w:val="0"/>
      <w:marBottom w:val="0"/>
      <w:divBdr>
        <w:top w:val="none" w:sz="0" w:space="0" w:color="auto"/>
        <w:left w:val="none" w:sz="0" w:space="0" w:color="auto"/>
        <w:bottom w:val="none" w:sz="0" w:space="0" w:color="auto"/>
        <w:right w:val="none" w:sz="0" w:space="0" w:color="auto"/>
      </w:divBdr>
    </w:div>
    <w:div w:id="845444249">
      <w:bodyDiv w:val="1"/>
      <w:marLeft w:val="0"/>
      <w:marRight w:val="0"/>
      <w:marTop w:val="0"/>
      <w:marBottom w:val="0"/>
      <w:divBdr>
        <w:top w:val="none" w:sz="0" w:space="0" w:color="auto"/>
        <w:left w:val="none" w:sz="0" w:space="0" w:color="auto"/>
        <w:bottom w:val="none" w:sz="0" w:space="0" w:color="auto"/>
        <w:right w:val="none" w:sz="0" w:space="0" w:color="auto"/>
      </w:divBdr>
    </w:div>
    <w:div w:id="851837172">
      <w:bodyDiv w:val="1"/>
      <w:marLeft w:val="0"/>
      <w:marRight w:val="0"/>
      <w:marTop w:val="0"/>
      <w:marBottom w:val="0"/>
      <w:divBdr>
        <w:top w:val="none" w:sz="0" w:space="0" w:color="auto"/>
        <w:left w:val="none" w:sz="0" w:space="0" w:color="auto"/>
        <w:bottom w:val="none" w:sz="0" w:space="0" w:color="auto"/>
        <w:right w:val="none" w:sz="0" w:space="0" w:color="auto"/>
      </w:divBdr>
    </w:div>
    <w:div w:id="944924164">
      <w:bodyDiv w:val="1"/>
      <w:marLeft w:val="0"/>
      <w:marRight w:val="0"/>
      <w:marTop w:val="0"/>
      <w:marBottom w:val="0"/>
      <w:divBdr>
        <w:top w:val="none" w:sz="0" w:space="0" w:color="auto"/>
        <w:left w:val="none" w:sz="0" w:space="0" w:color="auto"/>
        <w:bottom w:val="none" w:sz="0" w:space="0" w:color="auto"/>
        <w:right w:val="none" w:sz="0" w:space="0" w:color="auto"/>
      </w:divBdr>
    </w:div>
    <w:div w:id="1282690224">
      <w:bodyDiv w:val="1"/>
      <w:marLeft w:val="0"/>
      <w:marRight w:val="0"/>
      <w:marTop w:val="0"/>
      <w:marBottom w:val="0"/>
      <w:divBdr>
        <w:top w:val="none" w:sz="0" w:space="0" w:color="auto"/>
        <w:left w:val="none" w:sz="0" w:space="0" w:color="auto"/>
        <w:bottom w:val="none" w:sz="0" w:space="0" w:color="auto"/>
        <w:right w:val="none" w:sz="0" w:space="0" w:color="auto"/>
      </w:divBdr>
    </w:div>
    <w:div w:id="1445270856">
      <w:bodyDiv w:val="1"/>
      <w:marLeft w:val="0"/>
      <w:marRight w:val="0"/>
      <w:marTop w:val="0"/>
      <w:marBottom w:val="0"/>
      <w:divBdr>
        <w:top w:val="none" w:sz="0" w:space="0" w:color="auto"/>
        <w:left w:val="none" w:sz="0" w:space="0" w:color="auto"/>
        <w:bottom w:val="none" w:sz="0" w:space="0" w:color="auto"/>
        <w:right w:val="none" w:sz="0" w:space="0" w:color="auto"/>
      </w:divBdr>
    </w:div>
    <w:div w:id="1462654903">
      <w:bodyDiv w:val="1"/>
      <w:marLeft w:val="0"/>
      <w:marRight w:val="0"/>
      <w:marTop w:val="0"/>
      <w:marBottom w:val="0"/>
      <w:divBdr>
        <w:top w:val="none" w:sz="0" w:space="0" w:color="auto"/>
        <w:left w:val="none" w:sz="0" w:space="0" w:color="auto"/>
        <w:bottom w:val="none" w:sz="0" w:space="0" w:color="auto"/>
        <w:right w:val="none" w:sz="0" w:space="0" w:color="auto"/>
      </w:divBdr>
    </w:div>
    <w:div w:id="1620186191">
      <w:bodyDiv w:val="1"/>
      <w:marLeft w:val="0"/>
      <w:marRight w:val="0"/>
      <w:marTop w:val="0"/>
      <w:marBottom w:val="0"/>
      <w:divBdr>
        <w:top w:val="none" w:sz="0" w:space="0" w:color="auto"/>
        <w:left w:val="none" w:sz="0" w:space="0" w:color="auto"/>
        <w:bottom w:val="none" w:sz="0" w:space="0" w:color="auto"/>
        <w:right w:val="none" w:sz="0" w:space="0" w:color="auto"/>
      </w:divBdr>
    </w:div>
    <w:div w:id="1684284880">
      <w:bodyDiv w:val="1"/>
      <w:marLeft w:val="0"/>
      <w:marRight w:val="0"/>
      <w:marTop w:val="0"/>
      <w:marBottom w:val="0"/>
      <w:divBdr>
        <w:top w:val="none" w:sz="0" w:space="0" w:color="auto"/>
        <w:left w:val="none" w:sz="0" w:space="0" w:color="auto"/>
        <w:bottom w:val="none" w:sz="0" w:space="0" w:color="auto"/>
        <w:right w:val="none" w:sz="0" w:space="0" w:color="auto"/>
      </w:divBdr>
    </w:div>
    <w:div w:id="181228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09A5-5C81-4E39-B11A-6727A6F12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5591</Words>
  <Characters>31874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Saldarriaga, Enrique (CDC/NCHHSTP/DSTDP)</dc:creator>
  <cp:keywords/>
  <dc:description/>
  <cp:lastModifiedBy>Enrique Martin SALDARRIAGA BARRON</cp:lastModifiedBy>
  <cp:revision>3</cp:revision>
  <dcterms:created xsi:type="dcterms:W3CDTF">2025-05-23T14:40:00Z</dcterms:created>
  <dcterms:modified xsi:type="dcterms:W3CDTF">2025-05-23T14:40:00Z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2024-05-17T16:23:38Z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5d6f7e5b-dbb7-4766-a96a-568a6cbddd8b</vt:lpwstr>
  </property>
  <property fmtid="{D5CDD505-2E9C-101B-9397-08002B2CF9AE}" pid="8" name="MSIP_Label_7b94a7b8-f06c-4dfe-bdcc-9b548fd58c31_ContentBits">
    <vt:lpwstr>0</vt:lpwstr>
  </property>
  <property fmtid="{D5CDD505-2E9C-101B-9397-08002B2CF9AE}" pid="9" name="ZOTERO_PREF_2">
    <vt:lpwstr>maticJournalAbbreviations" value="true"/&gt;&lt;pref name="dontAskDelayCitationUpdates" value="true"/&gt;&lt;/prefs&gt;&lt;/data&gt;</vt:lpwstr>
  </property>
  <property fmtid="{D5CDD505-2E9C-101B-9397-08002B2CF9AE}" pid="10" name="ZOTERO_PREF_1">
    <vt:lpwstr>&lt;data data-version="3" zotero-version="6.0.36"&gt;&lt;session id="jNOZOTZ3"/&gt;&lt;style id="http://www.zotero.org/styles/american-medical-association" hasBibliography="1" bibliographyStyleHasBeenSet="1"/&gt;&lt;prefs&gt;&lt;pref name="fieldType" value="Field"/&gt;&lt;pref name="auto</vt:lpwstr>
  </property>
</Properties>
</file>