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2B583" w14:textId="17EE581C" w:rsidR="00AB678D" w:rsidRDefault="00AB678D" w:rsidP="007D41D9">
      <w:pPr>
        <w:spacing w:line="276" w:lineRule="auto"/>
        <w:rPr>
          <w:rFonts w:ascii="Times New Roman" w:hAnsi="Times New Roman" w:cs="Times New Roman"/>
          <w:b/>
        </w:rPr>
      </w:pPr>
      <w:r w:rsidRPr="00BA54F4">
        <w:rPr>
          <w:rFonts w:ascii="Times New Roman" w:hAnsi="Times New Roman" w:cs="Times New Roman"/>
          <w:b/>
        </w:rPr>
        <w:t>Supplementary Materials and Methods</w:t>
      </w:r>
    </w:p>
    <w:p w14:paraId="5F8631B4" w14:textId="77777777" w:rsidR="00975611" w:rsidRPr="006A2E39" w:rsidRDefault="00975611" w:rsidP="00975611">
      <w:pPr>
        <w:jc w:val="both"/>
        <w:rPr>
          <w:rFonts w:ascii="Times New Roman" w:hAnsi="Times New Roman" w:cs="Times New Roman"/>
          <w:b/>
          <w:bCs/>
          <w:i/>
        </w:rPr>
      </w:pPr>
      <w:r w:rsidRPr="006A2E39">
        <w:rPr>
          <w:rFonts w:ascii="Times New Roman" w:hAnsi="Times New Roman" w:cs="Times New Roman"/>
          <w:b/>
          <w:bCs/>
          <w:i/>
        </w:rPr>
        <w:t>Cell Viability Assay</w:t>
      </w:r>
    </w:p>
    <w:p w14:paraId="51366280" w14:textId="2C7BFF55" w:rsidR="00975611" w:rsidRDefault="00975611" w:rsidP="00975611">
      <w:pPr>
        <w:jc w:val="both"/>
        <w:rPr>
          <w:rFonts w:ascii="Times New Roman" w:hAnsi="Times New Roman" w:cs="Times New Roman"/>
        </w:rPr>
      </w:pPr>
      <w:r w:rsidRPr="006A2E39">
        <w:rPr>
          <w:rFonts w:ascii="Times New Roman" w:hAnsi="Times New Roman" w:cs="Times New Roman"/>
        </w:rPr>
        <w:t xml:space="preserve">The half-maximal inhibitory concentration (IC50) curves were generated by plating 3000 cells/well in a 96 well plate (Corning, NY) after cell dissociation with </w:t>
      </w:r>
      <w:proofErr w:type="spellStart"/>
      <w:r w:rsidRPr="006A2E39">
        <w:rPr>
          <w:rFonts w:ascii="Times New Roman" w:hAnsi="Times New Roman" w:cs="Times New Roman"/>
        </w:rPr>
        <w:t>TrypLE</w:t>
      </w:r>
      <w:proofErr w:type="spellEnd"/>
      <w:r w:rsidRPr="006A2E39">
        <w:rPr>
          <w:rFonts w:ascii="Times New Roman" w:hAnsi="Times New Roman" w:cs="Times New Roman"/>
        </w:rPr>
        <w:t xml:space="preserve"> (</w:t>
      </w:r>
      <w:proofErr w:type="spellStart"/>
      <w:r w:rsidRPr="006A2E39">
        <w:rPr>
          <w:rFonts w:ascii="Times New Roman" w:hAnsi="Times New Roman" w:cs="Times New Roman"/>
        </w:rPr>
        <w:t>ThermoFisher</w:t>
      </w:r>
      <w:proofErr w:type="spellEnd"/>
      <w:r w:rsidRPr="006A2E39">
        <w:rPr>
          <w:rFonts w:ascii="Times New Roman" w:hAnsi="Times New Roman" w:cs="Times New Roman"/>
        </w:rPr>
        <w:t xml:space="preserve">) and removal of large cell clumps using a sterile 40 µm nylon mesh cell strainer (Fisher Scientific, Hampton, NH). Typically, drugs were serially diluted 2-fold in their solvents to generate 7 consecutive concentrations. Cells were treated overnight with </w:t>
      </w:r>
      <w:r w:rsidR="00AC13DD">
        <w:rPr>
          <w:rFonts w:ascii="Times New Roman" w:hAnsi="Times New Roman" w:cs="Times New Roman"/>
        </w:rPr>
        <w:t>AZD5991 or A1155463 and</w:t>
      </w:r>
      <w:r w:rsidRPr="006A2E39">
        <w:rPr>
          <w:rFonts w:ascii="Times New Roman" w:hAnsi="Times New Roman" w:cs="Times New Roman"/>
        </w:rPr>
        <w:t xml:space="preserve"> cisplatin was added the next day at the indicated concentrations. Assays were performed with 4 replicates for each dose of drug treatment. After a brief mixing, cells were incubated for 48 hours before measuring cell viability using the CellTiter-Glo 2.0 Reagent (Promega), the optical density of the soluble product was measured with a Synergy Microplate Reader (</w:t>
      </w:r>
      <w:proofErr w:type="spellStart"/>
      <w:r w:rsidRPr="006A2E39">
        <w:rPr>
          <w:rFonts w:ascii="Times New Roman" w:hAnsi="Times New Roman" w:cs="Times New Roman"/>
        </w:rPr>
        <w:t>BioTek</w:t>
      </w:r>
      <w:proofErr w:type="spellEnd"/>
      <w:r w:rsidRPr="006A2E39">
        <w:rPr>
          <w:rFonts w:ascii="Times New Roman" w:hAnsi="Times New Roman" w:cs="Times New Roman"/>
        </w:rPr>
        <w:t>, Japan). The IC50 was determined for each drug by non-linear regression analysis using GraphPad Prism (San Diego, CA)</w:t>
      </w:r>
      <w:r>
        <w:rPr>
          <w:rFonts w:ascii="Times New Roman" w:hAnsi="Times New Roman" w:cs="Times New Roman"/>
        </w:rPr>
        <w:t>.</w:t>
      </w:r>
    </w:p>
    <w:p w14:paraId="176912FF" w14:textId="4CF1059F" w:rsidR="00425858" w:rsidRDefault="00975611" w:rsidP="00425858">
      <w:pPr>
        <w:jc w:val="both"/>
        <w:rPr>
          <w:rFonts w:ascii="Times New Roman" w:hAnsi="Times New Roman" w:cs="Times New Roman"/>
        </w:rPr>
      </w:pPr>
      <w:r w:rsidRPr="006A2E39">
        <w:rPr>
          <w:rFonts w:ascii="Times New Roman" w:hAnsi="Times New Roman" w:cs="Times New Roman"/>
        </w:rPr>
        <w:t xml:space="preserve">Synergy scoring was determined using the “inhibition readout” (calculated as “100 - Cell Viability”) on the online </w:t>
      </w:r>
      <w:proofErr w:type="spellStart"/>
      <w:r w:rsidRPr="006A2E39">
        <w:rPr>
          <w:rFonts w:ascii="Times New Roman" w:hAnsi="Times New Roman" w:cs="Times New Roman"/>
        </w:rPr>
        <w:t>SynergyFinder</w:t>
      </w:r>
      <w:proofErr w:type="spellEnd"/>
      <w:r w:rsidRPr="006A2E39">
        <w:rPr>
          <w:rFonts w:ascii="Times New Roman" w:hAnsi="Times New Roman" w:cs="Times New Roman"/>
        </w:rPr>
        <w:t xml:space="preserve"> software (https://synergyfinder.fimm.fi) and implementing the Bliss-Loewe calculation method</w:t>
      </w:r>
      <w:r w:rsidR="0064020E">
        <w:rPr>
          <w:rFonts w:ascii="Times New Roman" w:hAnsi="Times New Roman" w:cs="Times New Roman"/>
        </w:rPr>
        <w:t xml:space="preserve"> </w:t>
      </w:r>
      <w:r w:rsidR="0064020E">
        <w:rPr>
          <w:rFonts w:ascii="Times New Roman" w:hAnsi="Times New Roman" w:cs="Times New Roman"/>
        </w:rPr>
        <w:fldChar w:fldCharType="begin"/>
      </w:r>
      <w:r w:rsidR="0064020E">
        <w:rPr>
          <w:rFonts w:ascii="Times New Roman" w:hAnsi="Times New Roman" w:cs="Times New Roman"/>
        </w:rPr>
        <w:instrText xml:space="preserve"> ADDIN EN.CITE &lt;EndNote&gt;&lt;Cite&gt;&lt;Author&gt;Ianevski&lt;/Author&gt;&lt;Year&gt;2020&lt;/Year&gt;&lt;RecNum&gt;493&lt;/RecNum&gt;&lt;DisplayText&gt;[1]&lt;/DisplayText&gt;&lt;record&gt;&lt;rec-number&gt;493&lt;/rec-number&gt;&lt;foreign-keys&gt;&lt;key app="EN" db-id="a5xrzar5dvaxfje5srwxdexjezrfwv2w29pr" timestamp="1709234781"&gt;493&lt;/key&gt;&lt;/foreign-keys&gt;&lt;ref-type name="Journal Article"&gt;17&lt;/ref-type&gt;&lt;contributors&gt;&lt;authors&gt;&lt;author&gt;Ianevski, A.&lt;/author&gt;&lt;author&gt;He, L.&lt;/author&gt;&lt;author&gt;Aittokallio, T.&lt;/author&gt;&lt;author&gt;Tang, J.&lt;/author&gt;&lt;/authors&gt;&lt;/contributors&gt;&lt;titles&gt;&lt;title&gt;SynergyFinder: a web application for analyzing drug combination dose-response matrix data&lt;/title&gt;&lt;secondary-title&gt;Bioinformatics&lt;/secondary-title&gt;&lt;/titles&gt;&lt;periodical&gt;&lt;full-title&gt;Bioinformatics&lt;/full-title&gt;&lt;/periodical&gt;&lt;pages&gt;2645&lt;/pages&gt;&lt;volume&gt;36&lt;/volume&gt;&lt;number&gt;8&lt;/number&gt;&lt;edition&gt;2020/03/03&lt;/edition&gt;&lt;dates&gt;&lt;year&gt;2020&lt;/year&gt;&lt;pub-dates&gt;&lt;date&gt;Apr 15&lt;/date&gt;&lt;/pub-dates&gt;&lt;/dates&gt;&lt;isbn&gt;1367-4811 (Electronic)&amp;#xD;1367-4803 (Print)&amp;#xD;1367-4803 (Linking)&lt;/isbn&gt;&lt;accession-num&gt;32118251&lt;/accession-num&gt;&lt;urls&gt;&lt;related-urls&gt;&lt;url&gt;https://www.ncbi.nlm.nih.gov/pubmed/32118251&lt;/url&gt;&lt;/related-urls&gt;&lt;/urls&gt;&lt;custom2&gt;PMC7178425&lt;/custom2&gt;&lt;electronic-resource-num&gt;10.1093/bioinformatics/btaa102&lt;/electronic-resource-num&gt;&lt;/record&gt;&lt;/Cite&gt;&lt;/EndNote&gt;</w:instrText>
      </w:r>
      <w:r w:rsidR="0064020E">
        <w:rPr>
          <w:rFonts w:ascii="Times New Roman" w:hAnsi="Times New Roman" w:cs="Times New Roman"/>
        </w:rPr>
        <w:fldChar w:fldCharType="separate"/>
      </w:r>
      <w:r w:rsidR="0064020E">
        <w:rPr>
          <w:rFonts w:ascii="Times New Roman" w:hAnsi="Times New Roman" w:cs="Times New Roman"/>
          <w:noProof/>
        </w:rPr>
        <w:t>[1]</w:t>
      </w:r>
      <w:r w:rsidR="0064020E">
        <w:rPr>
          <w:rFonts w:ascii="Times New Roman" w:hAnsi="Times New Roman" w:cs="Times New Roman"/>
        </w:rPr>
        <w:fldChar w:fldCharType="end"/>
      </w:r>
      <w:r w:rsidRPr="006A2E39">
        <w:rPr>
          <w:rFonts w:ascii="Times New Roman" w:hAnsi="Times New Roman" w:cs="Times New Roman"/>
        </w:rPr>
        <w:t>, a stand-alone web-application for interactive analysis that allows for inputting data from independent replicate experiments in order to calculate a 95% confidence interval for synergy scoring. The dose-response matrix data were then used in generating a two-dimension heatmap and three-dimension volcano plot to visualize the distribution of areas of differing degrees of synergism and to calculate average and maximum synergy scores. Synergy scores &lt; −10 indicate that the interaction between two drugs is likely to be antagonistic; scores from −10 to +10 indicate likely additive effects; and scores &gt;10 indicate likely synergistic effects.</w:t>
      </w:r>
      <w:r w:rsidRPr="006A2E39">
        <w:rPr>
          <w:rFonts w:ascii="Times New Roman" w:hAnsi="Times New Roman" w:cs="Times New Roman"/>
        </w:rPr>
        <w:fldChar w:fldCharType="begin"/>
      </w:r>
      <w:r w:rsidR="0064020E">
        <w:rPr>
          <w:rFonts w:ascii="Times New Roman" w:hAnsi="Times New Roman" w:cs="Times New Roman"/>
        </w:rPr>
        <w:instrText xml:space="preserve"> ADDIN EN.CITE &lt;EndNote&gt;&lt;Cite&gt;&lt;Author&gt;Ianevski&lt;/Author&gt;&lt;Year&gt;2020&lt;/Year&gt;&lt;RecNum&gt;493&lt;/RecNum&gt;&lt;DisplayText&gt;[1]&lt;/DisplayText&gt;&lt;record&gt;&lt;rec-number&gt;493&lt;/rec-number&gt;&lt;foreign-keys&gt;&lt;key app="EN" db-id="a5xrzar5dvaxfje5srwxdexjezrfwv2w29pr" timestamp="1709234781"&gt;493&lt;/key&gt;&lt;/foreign-keys&gt;&lt;ref-type name="Journal Article"&gt;17&lt;/ref-type&gt;&lt;contributors&gt;&lt;authors&gt;&lt;author&gt;Ianevski, A.&lt;/author&gt;&lt;author&gt;He, L.&lt;/author&gt;&lt;author&gt;Aittokallio, T.&lt;/author&gt;&lt;author&gt;Tang, J.&lt;/author&gt;&lt;/authors&gt;&lt;/contributors&gt;&lt;titles&gt;&lt;title&gt;SynergyFinder: a web application for analyzing drug combination dose-response matrix data&lt;/title&gt;&lt;secondary-title&gt;Bioinformatics&lt;/secondary-title&gt;&lt;/titles&gt;&lt;periodical&gt;&lt;full-title&gt;Bioinformatics&lt;/full-title&gt;&lt;/periodical&gt;&lt;pages&gt;2645&lt;/pages&gt;&lt;volume&gt;36&lt;/volume&gt;&lt;number&gt;8&lt;/number&gt;&lt;edition&gt;2020/03/03&lt;/edition&gt;&lt;dates&gt;&lt;year&gt;2020&lt;/year&gt;&lt;pub-dates&gt;&lt;date&gt;Apr 15&lt;/date&gt;&lt;/pub-dates&gt;&lt;/dates&gt;&lt;isbn&gt;1367-4811 (Electronic)&amp;#xD;1367-4803 (Print)&amp;#xD;1367-4803 (Linking)&lt;/isbn&gt;&lt;accession-num&gt;32118251&lt;/accession-num&gt;&lt;urls&gt;&lt;related-urls&gt;&lt;url&gt;https://www.ncbi.nlm.nih.gov/pubmed/32118251&lt;/url&gt;&lt;/related-urls&gt;&lt;/urls&gt;&lt;custom2&gt;PMC7178425&lt;/custom2&gt;&lt;electronic-resource-num&gt;10.1093/bioinformatics/btaa102&lt;/electronic-resource-num&gt;&lt;/record&gt;&lt;/Cite&gt;&lt;/EndNote&gt;</w:instrText>
      </w:r>
      <w:r w:rsidRPr="006A2E39">
        <w:rPr>
          <w:rFonts w:ascii="Times New Roman" w:hAnsi="Times New Roman" w:cs="Times New Roman"/>
        </w:rPr>
        <w:fldChar w:fldCharType="separate"/>
      </w:r>
      <w:r w:rsidR="0064020E">
        <w:rPr>
          <w:rFonts w:ascii="Times New Roman" w:hAnsi="Times New Roman" w:cs="Times New Roman"/>
          <w:noProof/>
        </w:rPr>
        <w:t>[1]</w:t>
      </w:r>
      <w:r w:rsidRPr="006A2E39">
        <w:rPr>
          <w:rFonts w:ascii="Times New Roman" w:hAnsi="Times New Roman" w:cs="Times New Roman"/>
        </w:rPr>
        <w:fldChar w:fldCharType="end"/>
      </w:r>
    </w:p>
    <w:p w14:paraId="5E4A23B3" w14:textId="7A9B1A1E" w:rsidR="0042549F" w:rsidRPr="004C6EA5" w:rsidRDefault="0042549F" w:rsidP="00425858">
      <w:pPr>
        <w:jc w:val="both"/>
        <w:rPr>
          <w:rFonts w:ascii="Times New Roman" w:hAnsi="Times New Roman" w:cs="Times New Roman"/>
          <w:b/>
          <w:bCs/>
          <w:i/>
          <w:color w:val="000000" w:themeColor="text1"/>
        </w:rPr>
      </w:pPr>
      <w:r w:rsidRPr="004C6EA5">
        <w:rPr>
          <w:rFonts w:ascii="Times New Roman" w:hAnsi="Times New Roman" w:cs="Times New Roman"/>
          <w:b/>
          <w:bCs/>
          <w:i/>
          <w:color w:val="000000" w:themeColor="text1"/>
        </w:rPr>
        <w:t xml:space="preserve">The Peptides Panel of BH3 Profiling </w:t>
      </w:r>
    </w:p>
    <w:p w14:paraId="59EF873E" w14:textId="11D4C480" w:rsidR="0042549F" w:rsidRPr="004C6EA5" w:rsidRDefault="00AF407E" w:rsidP="00425858">
      <w:pPr>
        <w:jc w:val="both"/>
        <w:rPr>
          <w:rFonts w:ascii="Times New Roman" w:hAnsi="Times New Roman" w:cs="Times New Roman"/>
          <w:color w:val="000000" w:themeColor="text1"/>
        </w:rPr>
      </w:pPr>
      <w:r w:rsidRPr="004C6EA5">
        <w:rPr>
          <w:rFonts w:ascii="Times New Roman" w:hAnsi="Times New Roman" w:cs="Times New Roman"/>
          <w:color w:val="000000" w:themeColor="text1"/>
        </w:rPr>
        <w:t xml:space="preserve">BH3 peptides of about 20 amino acids, that correspond to the active (BH3) domain of multiple anti-apoptotic activators and sensitizers (BIM, BAD, NOXA, MS1, HRK), were purchased from </w:t>
      </w:r>
      <w:proofErr w:type="spellStart"/>
      <w:r w:rsidRPr="004C6EA5">
        <w:rPr>
          <w:rFonts w:ascii="Times New Roman" w:hAnsi="Times New Roman" w:cs="Times New Roman"/>
          <w:color w:val="000000" w:themeColor="text1"/>
        </w:rPr>
        <w:t>BIosynth</w:t>
      </w:r>
      <w:proofErr w:type="spellEnd"/>
      <w:r w:rsidRPr="004C6EA5">
        <w:rPr>
          <w:rFonts w:ascii="Times New Roman" w:hAnsi="Times New Roman" w:cs="Times New Roman"/>
          <w:color w:val="000000" w:themeColor="text1"/>
        </w:rPr>
        <w:t xml:space="preserve"> (Formerly New England Peptide). Peptides are dissolved in DMSO and stored at -20°C for working stocks and -80°C for long term stocks. BIM, BAD, NOXA, MS1, HRK are all soluble at 200 mg/mL or greater in DMSO. UV absorption at 280 nm was used to determine the actual content of peptide in solution. To quantify the peptide, 1:50 dilution was used to reduce the DMSO absorption shoulder on the shorter wavelengths. Measure the absorbance at 280 nm for each peptide to get peptides concentration. BIM peptide binds to all anti-apoptotic proteins and is a measurement of overall mitochondrial priming (cell proximity to its apoptotic threshold), the selective BH3 peptides (BAD, NOXA, MS1, HRK) determine dependence on specific anti-apoptotic proteins for survival. BAD binds to </w:t>
      </w:r>
      <w:bookmarkStart w:id="0" w:name="_Hlk187418200"/>
      <w:r w:rsidRPr="004C6EA5">
        <w:rPr>
          <w:rFonts w:ascii="Times New Roman" w:hAnsi="Times New Roman" w:cs="Times New Roman"/>
          <w:color w:val="000000" w:themeColor="text1"/>
        </w:rPr>
        <w:t>B</w:t>
      </w:r>
      <w:r w:rsidR="00973F36">
        <w:rPr>
          <w:rFonts w:ascii="Times New Roman" w:hAnsi="Times New Roman" w:cs="Times New Roman"/>
          <w:color w:val="000000" w:themeColor="text1"/>
        </w:rPr>
        <w:t>CL</w:t>
      </w:r>
      <w:r w:rsidRPr="004C6EA5">
        <w:rPr>
          <w:rFonts w:ascii="Times New Roman" w:hAnsi="Times New Roman" w:cs="Times New Roman"/>
          <w:color w:val="000000" w:themeColor="text1"/>
        </w:rPr>
        <w:t>-2, B</w:t>
      </w:r>
      <w:r w:rsidR="004A3773">
        <w:rPr>
          <w:rFonts w:ascii="Times New Roman" w:hAnsi="Times New Roman" w:cs="Times New Roman"/>
          <w:color w:val="000000" w:themeColor="text1"/>
        </w:rPr>
        <w:t>CL</w:t>
      </w:r>
      <w:r w:rsidRPr="004C6EA5">
        <w:rPr>
          <w:rFonts w:ascii="Times New Roman" w:hAnsi="Times New Roman" w:cs="Times New Roman"/>
          <w:color w:val="000000" w:themeColor="text1"/>
        </w:rPr>
        <w:t>-</w:t>
      </w:r>
      <w:proofErr w:type="spellStart"/>
      <w:r w:rsidRPr="004C6EA5">
        <w:rPr>
          <w:rFonts w:ascii="Times New Roman" w:hAnsi="Times New Roman" w:cs="Times New Roman"/>
          <w:color w:val="000000" w:themeColor="text1"/>
        </w:rPr>
        <w:t>xL</w:t>
      </w:r>
      <w:proofErr w:type="spellEnd"/>
      <w:r w:rsidRPr="004C6EA5">
        <w:rPr>
          <w:rFonts w:ascii="Times New Roman" w:hAnsi="Times New Roman" w:cs="Times New Roman"/>
          <w:color w:val="000000" w:themeColor="text1"/>
        </w:rPr>
        <w:t>,</w:t>
      </w:r>
      <w:bookmarkEnd w:id="0"/>
      <w:r w:rsidRPr="004C6EA5">
        <w:rPr>
          <w:rFonts w:ascii="Times New Roman" w:hAnsi="Times New Roman" w:cs="Times New Roman"/>
          <w:color w:val="000000" w:themeColor="text1"/>
        </w:rPr>
        <w:t xml:space="preserve"> and BCLW. A response from this peptide indicates a dependence on one or </w:t>
      </w:r>
      <w:r w:rsidR="00973F36" w:rsidRPr="004C6EA5">
        <w:rPr>
          <w:rFonts w:ascii="Times New Roman" w:hAnsi="Times New Roman" w:cs="Times New Roman"/>
          <w:color w:val="000000" w:themeColor="text1"/>
        </w:rPr>
        <w:t>more</w:t>
      </w:r>
      <w:r w:rsidRPr="004C6EA5">
        <w:rPr>
          <w:rFonts w:ascii="Times New Roman" w:hAnsi="Times New Roman" w:cs="Times New Roman"/>
          <w:color w:val="000000" w:themeColor="text1"/>
        </w:rPr>
        <w:t xml:space="preserve"> B</w:t>
      </w:r>
      <w:r w:rsidR="00973F36">
        <w:rPr>
          <w:rFonts w:ascii="Times New Roman" w:hAnsi="Times New Roman" w:cs="Times New Roman"/>
          <w:color w:val="000000" w:themeColor="text1"/>
        </w:rPr>
        <w:t>CL</w:t>
      </w:r>
      <w:r w:rsidRPr="004C6EA5">
        <w:rPr>
          <w:rFonts w:ascii="Times New Roman" w:hAnsi="Times New Roman" w:cs="Times New Roman"/>
          <w:color w:val="000000" w:themeColor="text1"/>
        </w:rPr>
        <w:t>-2, B</w:t>
      </w:r>
      <w:r w:rsidR="004A3773">
        <w:rPr>
          <w:rFonts w:ascii="Times New Roman" w:hAnsi="Times New Roman" w:cs="Times New Roman"/>
          <w:color w:val="000000" w:themeColor="text1"/>
        </w:rPr>
        <w:t>CL</w:t>
      </w:r>
      <w:r w:rsidRPr="004C6EA5">
        <w:rPr>
          <w:rFonts w:ascii="Times New Roman" w:hAnsi="Times New Roman" w:cs="Times New Roman"/>
          <w:color w:val="000000" w:themeColor="text1"/>
        </w:rPr>
        <w:t>-</w:t>
      </w:r>
      <w:proofErr w:type="spellStart"/>
      <w:r w:rsidRPr="004C6EA5">
        <w:rPr>
          <w:rFonts w:ascii="Times New Roman" w:hAnsi="Times New Roman" w:cs="Times New Roman"/>
          <w:color w:val="000000" w:themeColor="text1"/>
        </w:rPr>
        <w:t>xL</w:t>
      </w:r>
      <w:proofErr w:type="spellEnd"/>
      <w:r w:rsidRPr="004C6EA5">
        <w:rPr>
          <w:rFonts w:ascii="Times New Roman" w:hAnsi="Times New Roman" w:cs="Times New Roman"/>
          <w:color w:val="000000" w:themeColor="text1"/>
        </w:rPr>
        <w:t>, for BCLW. MS1 is an engineered peptide to bind tightly and selectively to M</w:t>
      </w:r>
      <w:r w:rsidR="00973F36">
        <w:rPr>
          <w:rFonts w:ascii="Times New Roman" w:hAnsi="Times New Roman" w:cs="Times New Roman"/>
          <w:color w:val="000000" w:themeColor="text1"/>
        </w:rPr>
        <w:t>CL</w:t>
      </w:r>
      <w:r w:rsidRPr="004C6EA5">
        <w:rPr>
          <w:rFonts w:ascii="Times New Roman" w:hAnsi="Times New Roman" w:cs="Times New Roman"/>
          <w:color w:val="000000" w:themeColor="text1"/>
        </w:rPr>
        <w:t>-1. A response from MS1 indicates M</w:t>
      </w:r>
      <w:r w:rsidR="004A3773">
        <w:rPr>
          <w:rFonts w:ascii="Times New Roman" w:hAnsi="Times New Roman" w:cs="Times New Roman"/>
          <w:color w:val="000000" w:themeColor="text1"/>
        </w:rPr>
        <w:t>CL</w:t>
      </w:r>
      <w:r w:rsidRPr="004C6EA5">
        <w:rPr>
          <w:rFonts w:ascii="Times New Roman" w:hAnsi="Times New Roman" w:cs="Times New Roman"/>
          <w:color w:val="000000" w:themeColor="text1"/>
        </w:rPr>
        <w:t>-1 dependence; HRK only binds to B</w:t>
      </w:r>
      <w:r w:rsidR="004A3773">
        <w:rPr>
          <w:rFonts w:ascii="Times New Roman" w:hAnsi="Times New Roman" w:cs="Times New Roman"/>
          <w:color w:val="000000" w:themeColor="text1"/>
        </w:rPr>
        <w:t>CL</w:t>
      </w:r>
      <w:r w:rsidRPr="004C6EA5">
        <w:rPr>
          <w:rFonts w:ascii="Times New Roman" w:hAnsi="Times New Roman" w:cs="Times New Roman"/>
          <w:color w:val="000000" w:themeColor="text1"/>
        </w:rPr>
        <w:t xml:space="preserve">-XL. </w:t>
      </w:r>
      <w:r w:rsidR="00440A91" w:rsidRPr="004C6EA5">
        <w:rPr>
          <w:rFonts w:ascii="Times New Roman" w:hAnsi="Times New Roman" w:cs="Times New Roman"/>
          <w:color w:val="000000" w:themeColor="text1"/>
        </w:rPr>
        <w:t>Peptide treatments and controls are mixed at 2X desired concentration in MEB2 buffer + 20 µg/ml digitonin (Sigma) and 50 µl of this combination is added per well in a 96 well, non-binding plate (</w:t>
      </w:r>
      <w:proofErr w:type="spellStart"/>
      <w:r w:rsidR="00440A91" w:rsidRPr="004C6EA5">
        <w:rPr>
          <w:rFonts w:ascii="Times New Roman" w:hAnsi="Times New Roman" w:cs="Times New Roman"/>
          <w:color w:val="000000" w:themeColor="text1"/>
        </w:rPr>
        <w:t>Celltreat</w:t>
      </w:r>
      <w:proofErr w:type="spellEnd"/>
      <w:r w:rsidR="00440A91" w:rsidRPr="004C6EA5">
        <w:rPr>
          <w:rFonts w:ascii="Times New Roman" w:hAnsi="Times New Roman" w:cs="Times New Roman"/>
          <w:color w:val="000000" w:themeColor="text1"/>
        </w:rPr>
        <w:t>).</w:t>
      </w:r>
    </w:p>
    <w:p w14:paraId="05D0F02B" w14:textId="77777777" w:rsidR="00C853E2" w:rsidRPr="006A2E39" w:rsidRDefault="00C853E2" w:rsidP="00C853E2">
      <w:pPr>
        <w:jc w:val="both"/>
        <w:rPr>
          <w:rFonts w:ascii="Times New Roman" w:hAnsi="Times New Roman" w:cs="Times New Roman"/>
          <w:b/>
          <w:bCs/>
          <w:i/>
        </w:rPr>
      </w:pPr>
      <w:r w:rsidRPr="006A2E39">
        <w:rPr>
          <w:rFonts w:ascii="Times New Roman" w:hAnsi="Times New Roman" w:cs="Times New Roman"/>
          <w:b/>
          <w:bCs/>
          <w:i/>
        </w:rPr>
        <w:t xml:space="preserve">Tissue Arrays (TMA) </w:t>
      </w:r>
    </w:p>
    <w:p w14:paraId="3B9A48E2" w14:textId="7F1626B3" w:rsidR="00C853E2" w:rsidRPr="006A2E39" w:rsidRDefault="00C853E2" w:rsidP="00C853E2">
      <w:pPr>
        <w:spacing w:after="120"/>
        <w:jc w:val="both"/>
        <w:rPr>
          <w:rFonts w:ascii="Times New Roman" w:hAnsi="Times New Roman" w:cs="Times New Roman"/>
        </w:rPr>
      </w:pPr>
      <w:r w:rsidRPr="006A2E39">
        <w:rPr>
          <w:rFonts w:ascii="Times New Roman" w:hAnsi="Times New Roman" w:cs="Times New Roman"/>
        </w:rPr>
        <w:t xml:space="preserve">Using array slides of formalin fixed and paraffin embedded normal tissue and tumor (US </w:t>
      </w:r>
      <w:proofErr w:type="spellStart"/>
      <w:r w:rsidRPr="006A2E39">
        <w:rPr>
          <w:rFonts w:ascii="Times New Roman" w:hAnsi="Times New Roman" w:cs="Times New Roman"/>
        </w:rPr>
        <w:t>Biomax</w:t>
      </w:r>
      <w:proofErr w:type="spellEnd"/>
      <w:r w:rsidRPr="006A2E39">
        <w:rPr>
          <w:rFonts w:ascii="Times New Roman" w:hAnsi="Times New Roman" w:cs="Times New Roman"/>
        </w:rPr>
        <w:t>, MD) immunohistochemistry (IHC) staining was performed. To determine immunostaining score, a third-party pathologist (Vitro Vivo, Rockville MD) graded M</w:t>
      </w:r>
      <w:r w:rsidR="00973F36">
        <w:rPr>
          <w:rFonts w:ascii="Times New Roman" w:hAnsi="Times New Roman" w:cs="Times New Roman"/>
        </w:rPr>
        <w:t>CL</w:t>
      </w:r>
      <w:r w:rsidRPr="006A2E39">
        <w:rPr>
          <w:rFonts w:ascii="Times New Roman" w:hAnsi="Times New Roman" w:cs="Times New Roman"/>
        </w:rPr>
        <w:t>-1, B</w:t>
      </w:r>
      <w:r w:rsidR="00973F36">
        <w:rPr>
          <w:rFonts w:ascii="Times New Roman" w:hAnsi="Times New Roman" w:cs="Times New Roman"/>
        </w:rPr>
        <w:t>CL</w:t>
      </w:r>
      <w:r w:rsidRPr="006A2E39">
        <w:rPr>
          <w:rFonts w:ascii="Times New Roman" w:hAnsi="Times New Roman" w:cs="Times New Roman"/>
        </w:rPr>
        <w:t>-</w:t>
      </w:r>
      <w:proofErr w:type="spellStart"/>
      <w:r w:rsidRPr="006A2E39">
        <w:rPr>
          <w:rFonts w:ascii="Times New Roman" w:hAnsi="Times New Roman" w:cs="Times New Roman"/>
        </w:rPr>
        <w:t>xL</w:t>
      </w:r>
      <w:proofErr w:type="spellEnd"/>
      <w:r w:rsidR="00AC13DD">
        <w:rPr>
          <w:rFonts w:ascii="Times New Roman" w:hAnsi="Times New Roman" w:cs="Times New Roman"/>
        </w:rPr>
        <w:t>,</w:t>
      </w:r>
      <w:r w:rsidRPr="006A2E39">
        <w:rPr>
          <w:rFonts w:ascii="Times New Roman" w:hAnsi="Times New Roman" w:cs="Times New Roman"/>
        </w:rPr>
        <w:t xml:space="preserve"> and B</w:t>
      </w:r>
      <w:r w:rsidR="00973F36">
        <w:rPr>
          <w:rFonts w:ascii="Times New Roman" w:hAnsi="Times New Roman" w:cs="Times New Roman"/>
        </w:rPr>
        <w:t>CL</w:t>
      </w:r>
      <w:r w:rsidRPr="006A2E39">
        <w:rPr>
          <w:rFonts w:ascii="Times New Roman" w:hAnsi="Times New Roman" w:cs="Times New Roman"/>
        </w:rPr>
        <w:t xml:space="preserve">-2 staining of tissue. Staining intensities and diffusion expression of positive staining tumor cells scores were determined independently. In brief, this semiquantitative score was established </w:t>
      </w:r>
      <w:r w:rsidR="007F7FA3" w:rsidRPr="006A2E39">
        <w:rPr>
          <w:rFonts w:ascii="Times New Roman" w:hAnsi="Times New Roman" w:cs="Times New Roman"/>
        </w:rPr>
        <w:t>as</w:t>
      </w:r>
      <w:r w:rsidRPr="006A2E39">
        <w:rPr>
          <w:rFonts w:ascii="Times New Roman" w:hAnsi="Times New Roman" w:cs="Times New Roman"/>
        </w:rPr>
        <w:t xml:space="preserve"> each sample was scored twice</w:t>
      </w:r>
      <w:r w:rsidR="00AC13DD">
        <w:rPr>
          <w:rFonts w:ascii="Times New Roman" w:hAnsi="Times New Roman" w:cs="Times New Roman"/>
        </w:rPr>
        <w:t xml:space="preserve"> </w:t>
      </w:r>
      <w:r w:rsidRPr="006A2E39">
        <w:rPr>
          <w:rFonts w:ascii="Times New Roman" w:hAnsi="Times New Roman" w:cs="Times New Roman"/>
        </w:rPr>
        <w:t xml:space="preserve">1) for the percentage </w:t>
      </w:r>
      <w:r w:rsidRPr="006A2E39">
        <w:rPr>
          <w:rFonts w:ascii="Times New Roman" w:hAnsi="Times New Roman" w:cs="Times New Roman"/>
        </w:rPr>
        <w:lastRenderedPageBreak/>
        <w:t>of labeled cells (0, absence of labeling cells; 1, &lt;30% are labeled; 2, 30–60%; 3, &gt;60%); and 2) for the intensity of the immunostaining (0, no staining; 1, weak; 2, mild; 3, strong staining). Multiplication of both scores allowed the final quotation ranging from 0–9.</w:t>
      </w:r>
      <w:r w:rsidRPr="006A2E39">
        <w:rPr>
          <w:rFonts w:ascii="Times New Roman" w:hAnsi="Times New Roman" w:cs="Times New Roman"/>
        </w:rPr>
        <w:fldChar w:fldCharType="begin"/>
      </w:r>
      <w:r w:rsidR="005F1CD7">
        <w:rPr>
          <w:rFonts w:ascii="Times New Roman" w:hAnsi="Times New Roman" w:cs="Times New Roman"/>
        </w:rPr>
        <w:instrText xml:space="preserve"> ADDIN EN.CITE &lt;EndNote&gt;&lt;Cite&gt;&lt;Author&gt;Sethi&lt;/Author&gt;&lt;Year&gt;2011&lt;/Year&gt;&lt;RecNum&gt;494&lt;/RecNum&gt;&lt;DisplayText&gt;[2]&lt;/DisplayText&gt;&lt;record&gt;&lt;rec-number&gt;494&lt;/rec-number&gt;&lt;foreign-keys&gt;&lt;key app="EN" db-id="a5xrzar5dvaxfje5srwxdexjezrfwv2w29pr" timestamp="1709589765"&gt;494&lt;/key&gt;&lt;/foreign-keys&gt;&lt;ref-type name="Journal Article"&gt;17&lt;/ref-type&gt;&lt;contributors&gt;&lt;authors&gt;&lt;author&gt;Sethi, K.&lt;/author&gt;&lt;author&gt;Sarkar, S.&lt;/author&gt;&lt;author&gt;Das, S.&lt;/author&gt;&lt;author&gt;Rajput, S.&lt;/author&gt;&lt;author&gt;Mazumder, A.&lt;/author&gt;&lt;author&gt;Roy, B.&lt;/author&gt;&lt;author&gt;Patra, S.&lt;/author&gt;&lt;author&gt;Mohanty, B.&lt;/author&gt;&lt;author&gt;El-Naggar, A. K.&lt;/author&gt;&lt;author&gt;Mandal, M.&lt;/author&gt;&lt;/authors&gt;&lt;/contributors&gt;&lt;auth-address&gt;School of Medical Science and Technology, Indian Institute of Technology, Kharagpur -721302, India.&lt;/auth-address&gt;&lt;titles&gt;&lt;title&gt;Expressions of CK-19, NF-kappaB, E-cadherin, beta-catenin and EGFR as diagnostic and prognostic markers by immunohistochemical analysis in thyroid carcinoma&lt;/title&gt;&lt;secondary-title&gt;J Exp Ther Oncol&lt;/secondary-title&gt;&lt;/titles&gt;&lt;periodical&gt;&lt;full-title&gt;J Exp Ther Oncol&lt;/full-title&gt;&lt;/periodical&gt;&lt;pages&gt;187-99&lt;/pages&gt;&lt;volume&gt;9&lt;/volume&gt;&lt;number&gt;3&lt;/number&gt;&lt;edition&gt;2011/11/11&lt;/edition&gt;&lt;keywords&gt;&lt;keyword&gt;Biomarkers, Tumor/*analysis&lt;/keyword&gt;&lt;keyword&gt;Cadherins/analysis&lt;/keyword&gt;&lt;keyword&gt;Carcinoma, Papillary/*diagnosis/pathology&lt;/keyword&gt;&lt;keyword&gt;ErbB Receptors/analysis&lt;/keyword&gt;&lt;keyword&gt;Humans&lt;/keyword&gt;&lt;keyword&gt;Immunohistochemistry&lt;/keyword&gt;&lt;keyword&gt;Keratin-19/analysis&lt;/keyword&gt;&lt;keyword&gt;NF-kappa B/analysis&lt;/keyword&gt;&lt;keyword&gt;Prognosis&lt;/keyword&gt;&lt;keyword&gt;Sensitivity and Specificity&lt;/keyword&gt;&lt;keyword&gt;Thyroid Neoplasms/*diagnosis/pathology&lt;/keyword&gt;&lt;keyword&gt;beta Catenin/analysis&lt;/keyword&gt;&lt;/keywords&gt;&lt;dates&gt;&lt;year&gt;2011&lt;/year&gt;&lt;/dates&gt;&lt;isbn&gt;1359-4117 (Print)&amp;#xD;1359-4117 (Linking)&lt;/isbn&gt;&lt;accession-num&gt;22070050&lt;/accession-num&gt;&lt;urls&gt;&lt;related-urls&gt;&lt;url&gt;https://www.ncbi.nlm.nih.gov/pubmed/22070050&lt;/url&gt;&lt;/related-urls&gt;&lt;/urls&gt;&lt;/record&gt;&lt;/Cite&gt;&lt;/EndNote&gt;</w:instrText>
      </w:r>
      <w:r w:rsidRPr="006A2E39">
        <w:rPr>
          <w:rFonts w:ascii="Times New Roman" w:hAnsi="Times New Roman" w:cs="Times New Roman"/>
        </w:rPr>
        <w:fldChar w:fldCharType="separate"/>
      </w:r>
      <w:r w:rsidR="005F1CD7">
        <w:rPr>
          <w:rFonts w:ascii="Times New Roman" w:hAnsi="Times New Roman" w:cs="Times New Roman"/>
          <w:noProof/>
        </w:rPr>
        <w:t>[2]</w:t>
      </w:r>
      <w:r w:rsidRPr="006A2E39">
        <w:rPr>
          <w:rFonts w:ascii="Times New Roman" w:hAnsi="Times New Roman" w:cs="Times New Roman"/>
        </w:rPr>
        <w:fldChar w:fldCharType="end"/>
      </w:r>
      <w:r w:rsidRPr="006A2E39">
        <w:rPr>
          <w:rFonts w:ascii="Times New Roman" w:hAnsi="Times New Roman" w:cs="Times New Roman"/>
        </w:rPr>
        <w:t xml:space="preserve"> When the score was 6 or greater, it was defined as high expression. </w:t>
      </w:r>
    </w:p>
    <w:p w14:paraId="44390DA4" w14:textId="77777777" w:rsidR="00C853E2" w:rsidRPr="006A2E39" w:rsidRDefault="00C853E2" w:rsidP="00C853E2">
      <w:pPr>
        <w:jc w:val="both"/>
        <w:rPr>
          <w:rFonts w:ascii="Times New Roman" w:hAnsi="Times New Roman" w:cs="Times New Roman"/>
          <w:b/>
          <w:bCs/>
          <w:i/>
        </w:rPr>
      </w:pPr>
      <w:r w:rsidRPr="006A2E39">
        <w:rPr>
          <w:rFonts w:ascii="Times New Roman" w:hAnsi="Times New Roman" w:cs="Times New Roman"/>
          <w:b/>
          <w:bCs/>
          <w:i/>
        </w:rPr>
        <w:t>Quantitative PCR Assay</w:t>
      </w:r>
    </w:p>
    <w:p w14:paraId="5BCD1854" w14:textId="77777777" w:rsidR="00C853E2" w:rsidRDefault="00C853E2" w:rsidP="00C853E2">
      <w:pPr>
        <w:jc w:val="both"/>
        <w:rPr>
          <w:rFonts w:ascii="Times New Roman" w:hAnsi="Times New Roman" w:cs="Times New Roman"/>
          <w:vertAlign w:val="superscript"/>
        </w:rPr>
      </w:pPr>
      <w:r w:rsidRPr="006A2E39">
        <w:rPr>
          <w:rFonts w:ascii="Times New Roman" w:hAnsi="Times New Roman" w:cs="Times New Roman"/>
        </w:rPr>
        <w:t xml:space="preserve">After isolating total RNA using a RNeasy Mini Kit, RNA was quantified using Nanodrop. Equivalent amounts of total RNA were used for cDNA synthesis using the </w:t>
      </w:r>
      <w:proofErr w:type="spellStart"/>
      <w:r w:rsidRPr="006A2E39">
        <w:rPr>
          <w:rFonts w:ascii="Times New Roman" w:hAnsi="Times New Roman" w:cs="Times New Roman"/>
        </w:rPr>
        <w:t>iScript</w:t>
      </w:r>
      <w:proofErr w:type="spellEnd"/>
      <w:r w:rsidRPr="006A2E39">
        <w:rPr>
          <w:rFonts w:ascii="Times New Roman" w:hAnsi="Times New Roman" w:cs="Times New Roman"/>
        </w:rPr>
        <w:t xml:space="preserve"> cDNA Synthesis kit (Bio-Rad #170-8891). Quantitative analysis of gene expression was performed with specific primers (Table S1) on a </w:t>
      </w:r>
      <w:bookmarkStart w:id="1" w:name="_Hlk160108063"/>
      <w:r w:rsidRPr="006A2E39">
        <w:rPr>
          <w:rFonts w:ascii="Times New Roman" w:hAnsi="Times New Roman" w:cs="Times New Roman"/>
        </w:rPr>
        <w:t xml:space="preserve">Bio-Rad CFX96 Touch Real-Time PCR qPCR </w:t>
      </w:r>
      <w:bookmarkEnd w:id="1"/>
      <w:r w:rsidRPr="006A2E39">
        <w:rPr>
          <w:rFonts w:ascii="Times New Roman" w:hAnsi="Times New Roman" w:cs="Times New Roman"/>
        </w:rPr>
        <w:t xml:space="preserve">system (Bio-Rad). </w:t>
      </w:r>
      <w:r w:rsidRPr="006A2E39">
        <w:rPr>
          <w:rFonts w:ascii="Times New Roman" w:hAnsi="Times New Roman" w:cs="Times New Roman"/>
          <w:b/>
        </w:rPr>
        <w:t xml:space="preserve"> </w:t>
      </w:r>
      <w:r w:rsidRPr="006A2E39">
        <w:rPr>
          <w:rFonts w:ascii="Times New Roman" w:hAnsi="Times New Roman" w:cs="Times New Roman"/>
        </w:rPr>
        <w:t>β-actin was used as an internal control. Fold changes in expression of each gene were calculated by a comparative threshold cycle (Ct) method using the formula 2</w:t>
      </w:r>
      <w:r w:rsidRPr="006A2E39">
        <w:rPr>
          <w:rFonts w:ascii="Times New Roman" w:hAnsi="Times New Roman" w:cs="Times New Roman"/>
          <w:vertAlign w:val="superscript"/>
        </w:rPr>
        <w:t>-(</w:t>
      </w:r>
      <w:r w:rsidRPr="006A2E39">
        <w:rPr>
          <w:rFonts w:ascii="Cambria Math" w:hAnsi="Cambria Math" w:cs="Cambria Math"/>
          <w:vertAlign w:val="superscript"/>
        </w:rPr>
        <w:t>△△</w:t>
      </w:r>
      <w:r w:rsidRPr="006A2E39">
        <w:rPr>
          <w:rFonts w:ascii="Times New Roman" w:hAnsi="Times New Roman" w:cs="Times New Roman"/>
          <w:vertAlign w:val="superscript"/>
        </w:rPr>
        <w:t>Ct).</w:t>
      </w:r>
    </w:p>
    <w:p w14:paraId="62E6359A" w14:textId="77777777" w:rsidR="00AC0633" w:rsidRPr="00640DB6" w:rsidRDefault="00AC0633" w:rsidP="00AC0633">
      <w:pPr>
        <w:jc w:val="both"/>
        <w:rPr>
          <w:rFonts w:ascii="Times New Roman" w:hAnsi="Times New Roman" w:cs="Times New Roman"/>
          <w:b/>
          <w:bCs/>
          <w:color w:val="000000" w:themeColor="text1"/>
        </w:rPr>
      </w:pPr>
      <w:r w:rsidRPr="00640DB6">
        <w:rPr>
          <w:rFonts w:ascii="Times New Roman" w:hAnsi="Times New Roman" w:cs="Times New Roman"/>
          <w:b/>
          <w:bCs/>
          <w:i/>
          <w:color w:val="000000" w:themeColor="text1"/>
        </w:rPr>
        <w:t>Lentiviral transfection</w:t>
      </w:r>
    </w:p>
    <w:p w14:paraId="2FBF8F38" w14:textId="762C4553" w:rsidR="00AC0633" w:rsidRPr="00AC0633" w:rsidRDefault="00AC0633" w:rsidP="00AC0633">
      <w:pPr>
        <w:autoSpaceDE w:val="0"/>
        <w:autoSpaceDN w:val="0"/>
        <w:adjustRightInd w:val="0"/>
        <w:spacing w:after="120"/>
        <w:jc w:val="both"/>
        <w:rPr>
          <w:rFonts w:ascii="Times New Roman" w:hAnsi="Times New Roman" w:cs="Times New Roman"/>
          <w:color w:val="000000" w:themeColor="text1"/>
        </w:rPr>
      </w:pPr>
      <w:r w:rsidRPr="00640DB6">
        <w:rPr>
          <w:rFonts w:ascii="Times New Roman" w:hAnsi="Times New Roman" w:cs="Times New Roman"/>
          <w:color w:val="000000" w:themeColor="text1"/>
        </w:rPr>
        <w:t>BAX (TRCN0000312625), BAK1 (TRCN0000033466), M</w:t>
      </w:r>
      <w:r>
        <w:rPr>
          <w:rFonts w:ascii="Times New Roman" w:hAnsi="Times New Roman" w:cs="Times New Roman"/>
          <w:color w:val="000000" w:themeColor="text1"/>
        </w:rPr>
        <w:t>CL</w:t>
      </w:r>
      <w:r w:rsidRPr="00640DB6">
        <w:rPr>
          <w:rFonts w:ascii="Times New Roman" w:hAnsi="Times New Roman" w:cs="Times New Roman"/>
          <w:color w:val="000000" w:themeColor="text1"/>
        </w:rPr>
        <w:t>-1 (TRCN0000194663), B</w:t>
      </w:r>
      <w:r>
        <w:rPr>
          <w:rFonts w:ascii="Times New Roman" w:hAnsi="Times New Roman" w:cs="Times New Roman"/>
          <w:color w:val="000000" w:themeColor="text1"/>
        </w:rPr>
        <w:t>CL</w:t>
      </w:r>
      <w:r w:rsidRPr="00640DB6">
        <w:rPr>
          <w:rFonts w:ascii="Times New Roman" w:hAnsi="Times New Roman" w:cs="Times New Roman"/>
          <w:color w:val="000000" w:themeColor="text1"/>
        </w:rPr>
        <w:t xml:space="preserve">-xl (TRCN0000033499) or scramble </w:t>
      </w:r>
      <w:proofErr w:type="spellStart"/>
      <w:r w:rsidRPr="00640DB6">
        <w:rPr>
          <w:rFonts w:ascii="Times New Roman" w:hAnsi="Times New Roman" w:cs="Times New Roman"/>
          <w:color w:val="000000" w:themeColor="text1"/>
        </w:rPr>
        <w:t>shRNAs</w:t>
      </w:r>
      <w:proofErr w:type="spellEnd"/>
      <w:r w:rsidRPr="00640DB6">
        <w:rPr>
          <w:rFonts w:ascii="Times New Roman" w:hAnsi="Times New Roman" w:cs="Times New Roman"/>
          <w:color w:val="000000" w:themeColor="text1"/>
        </w:rPr>
        <w:t xml:space="preserve"> (SHC002V) in the </w:t>
      </w:r>
      <w:proofErr w:type="spellStart"/>
      <w:r w:rsidRPr="00640DB6">
        <w:rPr>
          <w:rFonts w:ascii="Times New Roman" w:hAnsi="Times New Roman" w:cs="Times New Roman"/>
          <w:color w:val="000000" w:themeColor="text1"/>
        </w:rPr>
        <w:t>pLKO</w:t>
      </w:r>
      <w:proofErr w:type="spellEnd"/>
      <w:r w:rsidRPr="00640DB6">
        <w:rPr>
          <w:rFonts w:ascii="Times New Roman" w:hAnsi="Times New Roman" w:cs="Times New Roman"/>
          <w:color w:val="000000" w:themeColor="text1"/>
        </w:rPr>
        <w:t xml:space="preserve"> lentiviral vector were purchased (Sigma). The viral supernatant was added into cells at a multiplicity of infection (MOI) of 5. After 72h of incubation, the cell culture medium was changed with 2μg/ml puromycin (Sigma). To generate the double knockdowns, cells were transduced with lentiviral shRNA targeting BAX and BAK1, at multiplicity of infection (MOI) =5. The bulk population was cloned by limiting dilution. Stable pools were expanded under puromycin selection at 2μg/mL concentration and individual clones were tested by qPCR and Western blot to identify double knockdowns. </w:t>
      </w:r>
    </w:p>
    <w:p w14:paraId="2958AD92" w14:textId="77777777" w:rsidR="00C853E2" w:rsidRPr="00BA54F4" w:rsidRDefault="00C853E2" w:rsidP="00C853E2">
      <w:pPr>
        <w:spacing w:line="276" w:lineRule="auto"/>
        <w:jc w:val="both"/>
        <w:rPr>
          <w:rFonts w:ascii="Times New Roman" w:hAnsi="Times New Roman" w:cs="Times New Roman"/>
          <w:b/>
          <w:i/>
        </w:rPr>
      </w:pPr>
      <w:r w:rsidRPr="00BA54F4">
        <w:rPr>
          <w:rFonts w:ascii="Times New Roman" w:hAnsi="Times New Roman" w:cs="Times New Roman"/>
          <w:b/>
          <w:i/>
        </w:rPr>
        <w:t>Seahorse Extracellular Flux Analysis</w:t>
      </w:r>
    </w:p>
    <w:p w14:paraId="4A078FAF" w14:textId="1A879BB5" w:rsidR="00C853E2" w:rsidRDefault="00C853E2" w:rsidP="00C853E2">
      <w:pPr>
        <w:spacing w:line="276" w:lineRule="auto"/>
        <w:jc w:val="both"/>
        <w:rPr>
          <w:rFonts w:ascii="Times New Roman" w:hAnsi="Times New Roman" w:cs="Times New Roman"/>
        </w:rPr>
      </w:pPr>
      <w:r w:rsidRPr="00BA54F4">
        <w:rPr>
          <w:rFonts w:ascii="Times New Roman" w:hAnsi="Times New Roman" w:cs="Times New Roman"/>
        </w:rPr>
        <w:t xml:space="preserve">Cells </w:t>
      </w:r>
      <w:r w:rsidR="00AC13DD">
        <w:rPr>
          <w:rFonts w:ascii="Times New Roman" w:hAnsi="Times New Roman" w:cs="Times New Roman"/>
        </w:rPr>
        <w:t xml:space="preserve">were </w:t>
      </w:r>
      <w:r w:rsidRPr="00BA54F4">
        <w:rPr>
          <w:rFonts w:ascii="Times New Roman" w:hAnsi="Times New Roman" w:cs="Times New Roman"/>
        </w:rPr>
        <w:t>seeded in Extracellular Flux Analyzer (XF96) seahorse plates at an optimum seeding density of 50000 cells/well. Cells were washed with minimally buffered Dulbecco's modified Eagle's medium (pH 7.4) and allowed to equilibrate for 1 h before measuring. Several indices of mitochondrial function (OCR) were measured by sequential addition of oligomycin</w:t>
      </w:r>
      <w:r w:rsidR="00AC13DD">
        <w:rPr>
          <w:rFonts w:ascii="Times New Roman" w:hAnsi="Times New Roman" w:cs="Times New Roman"/>
        </w:rPr>
        <w:t xml:space="preserve"> which</w:t>
      </w:r>
      <w:r w:rsidRPr="00BA54F4">
        <w:rPr>
          <w:rFonts w:ascii="Times New Roman" w:hAnsi="Times New Roman" w:cs="Times New Roman"/>
        </w:rPr>
        <w:t xml:space="preserve"> was used to inhibit complex V of the electron transfer chain (ETC); FCCP (carbonyl cyanide p-</w:t>
      </w:r>
      <w:proofErr w:type="spellStart"/>
      <w:r w:rsidRPr="00BA54F4">
        <w:rPr>
          <w:rFonts w:ascii="Times New Roman" w:hAnsi="Times New Roman" w:cs="Times New Roman"/>
        </w:rPr>
        <w:t>trifluoromethoxyphenyl</w:t>
      </w:r>
      <w:proofErr w:type="spellEnd"/>
      <w:r w:rsidRPr="00BA54F4">
        <w:rPr>
          <w:rFonts w:ascii="Times New Roman" w:hAnsi="Times New Roman" w:cs="Times New Roman"/>
        </w:rPr>
        <w:t xml:space="preserve">-hydrazone), a protonophore added to collapse the inner membrane gradient, was used to determine the maximal respiratory capacity; and antimycin A plus rotenone were added to shut down ETC function to reveal residual nonmitochondrial respiration. ATP-linked respiration is calculated by subtracting the oligomycin rate from baseline cellular OCR, the spare respiratory capacity (mitochondrial reserve capacity) is calculated by subtracting the basal from the maximal respiration. At the end of the assay, cells from the plate were harvested, and the numbers of viable cells determined by </w:t>
      </w:r>
      <w:proofErr w:type="spellStart"/>
      <w:r w:rsidRPr="00BA54F4">
        <w:rPr>
          <w:rFonts w:ascii="Times New Roman" w:hAnsi="Times New Roman" w:cs="Times New Roman"/>
        </w:rPr>
        <w:t>CyQuant</w:t>
      </w:r>
      <w:proofErr w:type="spellEnd"/>
      <w:r w:rsidRPr="00BA54F4">
        <w:rPr>
          <w:rFonts w:ascii="Times New Roman" w:hAnsi="Times New Roman" w:cs="Times New Roman"/>
        </w:rPr>
        <w:t xml:space="preserve"> was used to normalize the measurements.</w:t>
      </w:r>
    </w:p>
    <w:p w14:paraId="7CDA08EB" w14:textId="290E683D" w:rsidR="009B4E1F" w:rsidRDefault="009B4E1F" w:rsidP="00C853E2">
      <w:pPr>
        <w:spacing w:line="276" w:lineRule="auto"/>
        <w:jc w:val="both"/>
        <w:rPr>
          <w:rFonts w:ascii="Times New Roman" w:hAnsi="Times New Roman" w:cs="Times New Roman"/>
        </w:rPr>
      </w:pPr>
      <w:r w:rsidRPr="009B4E1F">
        <w:rPr>
          <w:rFonts w:ascii="Times New Roman" w:hAnsi="Times New Roman" w:cs="Times New Roman"/>
        </w:rPr>
        <w:t xml:space="preserve">Realtime Seahorse extracellular flux analysis of extracellular acidification rate (ECAR) is a measure of glycolytic activity based on sequential glucose, oligomycin, 2-DG injections at the time points indicated.  Basal glycolysis is calculated relative to the control after subtraction of non-glycolytic acidification.  Glycolytic capacity is the rate of increase in ECAR after the injection of oligomycin following glucose, oligomycin inhibits mitochondrial ATP production and therefore shifts the energy production to glycolysis with increase in ECAR revealing maximum glycolytic capacity of the cells. The glycolytic reserve is the difference between glycolytic capacity and glycolysis rate. </w:t>
      </w:r>
      <w:r w:rsidRPr="00BA54F4">
        <w:rPr>
          <w:rFonts w:ascii="Times New Roman" w:hAnsi="Times New Roman" w:cs="Times New Roman"/>
        </w:rPr>
        <w:t xml:space="preserve">At the end of the assay, cells from the plate were harvested, and the numbers of viable cells determined by </w:t>
      </w:r>
      <w:proofErr w:type="spellStart"/>
      <w:r w:rsidRPr="00BA54F4">
        <w:rPr>
          <w:rFonts w:ascii="Times New Roman" w:hAnsi="Times New Roman" w:cs="Times New Roman"/>
        </w:rPr>
        <w:t>CyQuant</w:t>
      </w:r>
      <w:proofErr w:type="spellEnd"/>
      <w:r w:rsidRPr="00BA54F4">
        <w:rPr>
          <w:rFonts w:ascii="Times New Roman" w:hAnsi="Times New Roman" w:cs="Times New Roman"/>
        </w:rPr>
        <w:t xml:space="preserve"> was used to normalize the measurements.</w:t>
      </w:r>
    </w:p>
    <w:p w14:paraId="00CFA7C0" w14:textId="77777777" w:rsidR="00545948" w:rsidRPr="00545948" w:rsidRDefault="00545948" w:rsidP="00545948">
      <w:pPr>
        <w:spacing w:line="276" w:lineRule="auto"/>
        <w:jc w:val="both"/>
        <w:rPr>
          <w:rFonts w:ascii="Times New Roman" w:hAnsi="Times New Roman" w:cs="Times New Roman"/>
          <w:b/>
          <w:i/>
        </w:rPr>
      </w:pPr>
      <w:r w:rsidRPr="00545948">
        <w:rPr>
          <w:rFonts w:ascii="Times New Roman" w:hAnsi="Times New Roman" w:cs="Times New Roman"/>
          <w:b/>
          <w:i/>
        </w:rPr>
        <w:t>Histological analyses and immunohistochemical staining</w:t>
      </w:r>
    </w:p>
    <w:p w14:paraId="11A1A1FA" w14:textId="6AF03DB3" w:rsidR="00545948" w:rsidRPr="00BA54F4" w:rsidRDefault="00545948" w:rsidP="00545948">
      <w:pPr>
        <w:autoSpaceDE w:val="0"/>
        <w:autoSpaceDN w:val="0"/>
        <w:adjustRightInd w:val="0"/>
        <w:spacing w:line="276" w:lineRule="auto"/>
        <w:jc w:val="both"/>
        <w:rPr>
          <w:rFonts w:ascii="Times New Roman" w:hAnsi="Times New Roman" w:cs="Times New Roman"/>
        </w:rPr>
      </w:pPr>
      <w:r w:rsidRPr="00545948">
        <w:rPr>
          <w:rFonts w:ascii="Times New Roman" w:hAnsi="Times New Roman" w:cs="Times New Roman"/>
        </w:rPr>
        <w:lastRenderedPageBreak/>
        <w:t>Representative paraffin-embedded sections stained with hematoxylin-eosin (H&amp;E) were analyzed by light microscopy. Immunohistochemical analyses of paraffin-embedded tissue sections were performed</w:t>
      </w:r>
      <w:r>
        <w:rPr>
          <w:rFonts w:ascii="Times New Roman" w:hAnsi="Times New Roman" w:cs="Times New Roman"/>
        </w:rPr>
        <w:t xml:space="preserve"> by </w:t>
      </w:r>
      <w:r w:rsidRPr="00783173">
        <w:rPr>
          <w:rFonts w:ascii="Times New Roman" w:hAnsi="Times New Roman" w:cs="Times New Roman"/>
        </w:rPr>
        <w:t>Baylor College of Medicine Pathology and Histology Core (HTAP)</w:t>
      </w:r>
      <w:r>
        <w:rPr>
          <w:rFonts w:ascii="Times New Roman" w:hAnsi="Times New Roman" w:cs="Times New Roman"/>
        </w:rPr>
        <w:t xml:space="preserve">. </w:t>
      </w:r>
      <w:r w:rsidRPr="00545948">
        <w:rPr>
          <w:rFonts w:ascii="Times New Roman" w:hAnsi="Times New Roman" w:cs="Times New Roman"/>
        </w:rPr>
        <w:t>Immunohistochemical staining</w:t>
      </w:r>
      <w:r>
        <w:rPr>
          <w:rFonts w:ascii="Times New Roman" w:hAnsi="Times New Roman" w:cs="Times New Roman"/>
        </w:rPr>
        <w:t xml:space="preserve"> of Ki67, AE1/AE3, mCD45, hCD45, CD3 and CD20 </w:t>
      </w:r>
      <w:r w:rsidRPr="00545948">
        <w:rPr>
          <w:rFonts w:ascii="Times New Roman" w:hAnsi="Times New Roman" w:cs="Times New Roman"/>
        </w:rPr>
        <w:t>was performed using standard immunohistochemical techniques for tumor specimens fixed with paraformaldehyde and paraffin embedded.</w:t>
      </w:r>
    </w:p>
    <w:p w14:paraId="18227F66" w14:textId="77777777" w:rsidR="00C853E2" w:rsidRDefault="00C853E2" w:rsidP="00C853E2">
      <w:pPr>
        <w:jc w:val="both"/>
        <w:rPr>
          <w:rFonts w:ascii="Times New Roman" w:hAnsi="Times New Roman" w:cs="Times New Roman"/>
          <w:b/>
          <w:bCs/>
          <w:i/>
        </w:rPr>
      </w:pPr>
      <w:r w:rsidRPr="006A2E39">
        <w:rPr>
          <w:rFonts w:ascii="Times New Roman" w:hAnsi="Times New Roman" w:cs="Times New Roman"/>
          <w:b/>
          <w:bCs/>
          <w:i/>
        </w:rPr>
        <w:t>Immunofluorescence staining</w:t>
      </w:r>
    </w:p>
    <w:p w14:paraId="0A70E9DF" w14:textId="378D2476" w:rsidR="00C448A8" w:rsidRPr="00C853E2" w:rsidRDefault="00C448A8" w:rsidP="00C448A8">
      <w:pPr>
        <w:jc w:val="both"/>
        <w:rPr>
          <w:rFonts w:ascii="Times New Roman" w:hAnsi="Times New Roman" w:cs="Times New Roman"/>
          <w:b/>
          <w:bCs/>
          <w:i/>
        </w:rPr>
      </w:pPr>
      <w:bookmarkStart w:id="2" w:name="_Hlk172883162"/>
      <w:r w:rsidRPr="00783173">
        <w:rPr>
          <w:rFonts w:ascii="Times New Roman" w:hAnsi="Times New Roman" w:cs="Times New Roman"/>
        </w:rPr>
        <w:t xml:space="preserve">Cells were seeded in </w:t>
      </w:r>
      <w:proofErr w:type="spellStart"/>
      <w:r w:rsidRPr="00783173">
        <w:rPr>
          <w:rFonts w:ascii="Times New Roman" w:hAnsi="Times New Roman" w:cs="Times New Roman"/>
        </w:rPr>
        <w:t>Millicell</w:t>
      </w:r>
      <w:proofErr w:type="spellEnd"/>
      <w:r w:rsidRPr="00783173">
        <w:rPr>
          <w:rFonts w:ascii="Times New Roman" w:hAnsi="Times New Roman" w:cs="Times New Roman"/>
        </w:rPr>
        <w:t xml:space="preserve"> EZ SLIDE 4-well glass (Millipore) for immunofluorescence staining according to the protocol</w:t>
      </w:r>
      <w:r>
        <w:rPr>
          <w:rFonts w:ascii="Times New Roman" w:hAnsi="Times New Roman" w:cs="Times New Roman"/>
        </w:rPr>
        <w:t xml:space="preserve">, </w:t>
      </w:r>
      <w:r w:rsidRPr="006A2E39">
        <w:rPr>
          <w:rFonts w:ascii="Times New Roman" w:hAnsi="Times New Roman" w:cs="Times New Roman"/>
        </w:rPr>
        <w:t xml:space="preserve">cells were fixed with 4% paraformaldehyde for 20 min and then washed in PBS. Cells were permeabilized with 0.1% Triton X-100 for 10 min, followed by blocking with 5% BSA for 60 min. Primary antibodies, </w:t>
      </w:r>
      <w:r w:rsidRPr="006A2E39">
        <w:rPr>
          <w:rFonts w:ascii="Times New Roman" w:hAnsi="Times New Roman"/>
        </w:rPr>
        <w:t xml:space="preserve">at the concentrations specified in Table S1, </w:t>
      </w:r>
      <w:r w:rsidRPr="006A2E39">
        <w:rPr>
          <w:rFonts w:ascii="Times New Roman" w:hAnsi="Times New Roman" w:cs="Times New Roman"/>
        </w:rPr>
        <w:t xml:space="preserve">were diluted in blocking solution and incubated with cells in a humidified chamber overnight at 4 °C. Anti-rabbit secondary antibodies conjugated to Alexa Flour 594 (1:200) and anti-mouse secondary antibody conjugated to Alexa Flour 488 (1:200) were used. The cells were mounted by </w:t>
      </w:r>
      <w:proofErr w:type="spellStart"/>
      <w:r w:rsidRPr="006A2E39">
        <w:rPr>
          <w:rFonts w:ascii="Times New Roman" w:hAnsi="Times New Roman" w:cs="Times New Roman"/>
          <w:kern w:val="2"/>
          <w14:ligatures w14:val="standardContextual"/>
        </w:rPr>
        <w:t>ProLong</w:t>
      </w:r>
      <w:proofErr w:type="spellEnd"/>
      <w:r w:rsidRPr="006A2E39">
        <w:rPr>
          <w:rFonts w:ascii="Times New Roman" w:hAnsi="Times New Roman" w:cs="Times New Roman"/>
          <w:kern w:val="2"/>
          <w14:ligatures w14:val="standardContextual"/>
        </w:rPr>
        <w:t xml:space="preserve">™ Diamond Antifade </w:t>
      </w:r>
      <w:proofErr w:type="spellStart"/>
      <w:r w:rsidRPr="006A2E39">
        <w:rPr>
          <w:rFonts w:ascii="Times New Roman" w:hAnsi="Times New Roman" w:cs="Times New Roman"/>
        </w:rPr>
        <w:t>Mountant</w:t>
      </w:r>
      <w:proofErr w:type="spellEnd"/>
      <w:r w:rsidRPr="006A2E39">
        <w:rPr>
          <w:rFonts w:ascii="Times New Roman" w:hAnsi="Times New Roman" w:cs="Times New Roman"/>
        </w:rPr>
        <w:t xml:space="preserve"> with DAPI the detection of nuclei. Representative microphotographs were acquired using EVOS M5000 Imaging System. </w:t>
      </w:r>
    </w:p>
    <w:bookmarkEnd w:id="2"/>
    <w:p w14:paraId="005B99B8" w14:textId="3CBC8135" w:rsidR="00C448A8" w:rsidRPr="00783173" w:rsidRDefault="00C448A8" w:rsidP="00C448A8">
      <w:pPr>
        <w:spacing w:after="120"/>
        <w:jc w:val="both"/>
        <w:rPr>
          <w:rFonts w:ascii="Times New Roman" w:hAnsi="Times New Roman" w:cs="Times New Roman"/>
        </w:rPr>
      </w:pPr>
      <w:r w:rsidRPr="00783173">
        <w:rPr>
          <w:rFonts w:ascii="Times New Roman" w:hAnsi="Times New Roman" w:cs="Times New Roman"/>
        </w:rPr>
        <w:t xml:space="preserve">For high-resolution imaging, cells were seeded in </w:t>
      </w:r>
      <w:proofErr w:type="spellStart"/>
      <w:r w:rsidRPr="00783173">
        <w:rPr>
          <w:rFonts w:ascii="Times New Roman" w:hAnsi="Times New Roman" w:cs="Times New Roman"/>
        </w:rPr>
        <w:t>ibidi</w:t>
      </w:r>
      <w:proofErr w:type="spellEnd"/>
      <w:r w:rsidRPr="00783173">
        <w:rPr>
          <w:rFonts w:ascii="Times New Roman" w:hAnsi="Times New Roman" w:cs="Times New Roman"/>
        </w:rPr>
        <w:t xml:space="preserve"> µ-Slide 8 Well high coverslip (Germany) overnight, the ONI Discovery Kit (ONI US, CA) was used for direct stochastic optical reconstruction microscopy (</w:t>
      </w:r>
      <w:proofErr w:type="spellStart"/>
      <w:r w:rsidRPr="00783173">
        <w:rPr>
          <w:rFonts w:ascii="Times New Roman" w:hAnsi="Times New Roman" w:cs="Times New Roman"/>
        </w:rPr>
        <w:t>dSTROM</w:t>
      </w:r>
      <w:proofErr w:type="spellEnd"/>
      <w:r w:rsidRPr="00783173">
        <w:rPr>
          <w:rFonts w:ascii="Times New Roman" w:hAnsi="Times New Roman" w:cs="Times New Roman"/>
        </w:rPr>
        <w:t xml:space="preserve">) </w:t>
      </w:r>
      <w:r w:rsidRPr="00783173">
        <w:rPr>
          <w:rFonts w:ascii="Times New Roman" w:eastAsia="Times New Roman" w:hAnsi="Times New Roman" w:cs="Times New Roman"/>
        </w:rPr>
        <w:t xml:space="preserve">according to the manufacturer’s protocol. After immunolabeling, </w:t>
      </w:r>
      <w:proofErr w:type="spellStart"/>
      <w:r w:rsidRPr="00783173">
        <w:rPr>
          <w:rFonts w:ascii="Times New Roman" w:eastAsia="Times New Roman" w:hAnsi="Times New Roman" w:cs="Times New Roman"/>
        </w:rPr>
        <w:t>dSTROM</w:t>
      </w:r>
      <w:proofErr w:type="spellEnd"/>
      <w:r w:rsidRPr="00783173">
        <w:rPr>
          <w:rFonts w:ascii="Times New Roman" w:eastAsia="Times New Roman" w:hAnsi="Times New Roman" w:cs="Times New Roman"/>
        </w:rPr>
        <w:t xml:space="preserve"> images </w:t>
      </w:r>
      <w:r w:rsidRPr="00783173">
        <w:rPr>
          <w:rFonts w:ascii="Times New Roman" w:hAnsi="Times New Roman" w:cs="Times New Roman"/>
        </w:rPr>
        <w:t xml:space="preserve">were acquired on a </w:t>
      </w:r>
      <w:proofErr w:type="spellStart"/>
      <w:r w:rsidRPr="00783173">
        <w:rPr>
          <w:rFonts w:ascii="Times New Roman" w:hAnsi="Times New Roman" w:cs="Times New Roman"/>
        </w:rPr>
        <w:t>Nanoimager</w:t>
      </w:r>
      <w:proofErr w:type="spellEnd"/>
      <w:r w:rsidRPr="00783173">
        <w:rPr>
          <w:rFonts w:ascii="Times New Roman" w:hAnsi="Times New Roman" w:cs="Times New Roman"/>
        </w:rPr>
        <w:t xml:space="preserve"> super-resolution microscope using 10000 frames (Oxford </w:t>
      </w:r>
      <w:r w:rsidRPr="00783173">
        <w:rPr>
          <w:rFonts w:ascii="Times New Roman" w:eastAsia="Times New Roman" w:hAnsi="Times New Roman" w:cs="Times New Roman"/>
        </w:rPr>
        <w:t xml:space="preserve">Nanoimaging), the super-resolution images </w:t>
      </w:r>
      <w:r w:rsidRPr="00783173">
        <w:rPr>
          <w:rFonts w:ascii="Times New Roman" w:hAnsi="Times New Roman" w:cs="Times New Roman"/>
        </w:rPr>
        <w:t xml:space="preserve">were analyzed using the Oxford Nanoimaging–developed online software, CODI. </w:t>
      </w:r>
    </w:p>
    <w:p w14:paraId="7EB638AF" w14:textId="77777777" w:rsidR="007D41D9" w:rsidRPr="00F45A02" w:rsidRDefault="007D41D9" w:rsidP="007D41D9">
      <w:pPr>
        <w:spacing w:after="200" w:line="276" w:lineRule="auto"/>
        <w:jc w:val="both"/>
        <w:rPr>
          <w:rFonts w:ascii="Times New Roman" w:hAnsi="Times New Roman" w:cs="Times New Roman"/>
          <w:b/>
          <w:i/>
        </w:rPr>
      </w:pPr>
      <w:r w:rsidRPr="00F45A02">
        <w:rPr>
          <w:rFonts w:ascii="Times New Roman" w:hAnsi="Times New Roman" w:cs="Times New Roman"/>
          <w:b/>
          <w:i/>
        </w:rPr>
        <w:t>Anchorage-independent growth</w:t>
      </w:r>
    </w:p>
    <w:p w14:paraId="18F930A5" w14:textId="4F1CC99F" w:rsidR="007D41D9" w:rsidRPr="00F45A02" w:rsidRDefault="007D41D9" w:rsidP="00C853E2">
      <w:pPr>
        <w:spacing w:after="200" w:line="276" w:lineRule="auto"/>
        <w:jc w:val="both"/>
        <w:rPr>
          <w:rFonts w:ascii="Times New Roman" w:hAnsi="Times New Roman" w:cs="Times New Roman"/>
          <w:i/>
        </w:rPr>
      </w:pPr>
      <w:r w:rsidRPr="00F45A02">
        <w:rPr>
          <w:rFonts w:ascii="Times New Roman" w:hAnsi="Times New Roman" w:cs="Times New Roman"/>
        </w:rPr>
        <w:t xml:space="preserve">Cells were </w:t>
      </w:r>
      <w:proofErr w:type="spellStart"/>
      <w:r w:rsidRPr="00F45A02">
        <w:rPr>
          <w:rFonts w:ascii="Times New Roman" w:hAnsi="Times New Roman" w:cs="Times New Roman"/>
        </w:rPr>
        <w:t>trypsinized</w:t>
      </w:r>
      <w:proofErr w:type="spellEnd"/>
      <w:r w:rsidRPr="00F45A02">
        <w:rPr>
          <w:rFonts w:ascii="Times New Roman" w:hAnsi="Times New Roman" w:cs="Times New Roman"/>
        </w:rPr>
        <w:t xml:space="preserve"> to generate a single-cell suspension and seeded in 6-well plates with under-layers of 0.70% agarose in RPMI medium with 10% FCS.  Soft-agar plates tested capacity for colony growth. Cells were plated in triplicate at a density of 1X10</w:t>
      </w:r>
      <w:r w:rsidRPr="00F45A02">
        <w:rPr>
          <w:rFonts w:ascii="Times New Roman" w:hAnsi="Times New Roman" w:cs="Times New Roman"/>
          <w:vertAlign w:val="superscript"/>
        </w:rPr>
        <w:t>4</w:t>
      </w:r>
      <w:r w:rsidRPr="00F45A02">
        <w:rPr>
          <w:rFonts w:ascii="Times New Roman" w:hAnsi="Times New Roman" w:cs="Times New Roman"/>
        </w:rPr>
        <w:t xml:space="preserve"> in 1ml of 0.35% agarose over the agar base. Cultures were fed every 7 days. After 3 weeks, </w:t>
      </w:r>
      <w:r w:rsidR="00545948" w:rsidRPr="00F45A02">
        <w:rPr>
          <w:rFonts w:ascii="Times New Roman" w:hAnsi="Times New Roman" w:cs="Times New Roman"/>
        </w:rPr>
        <w:t>the media</w:t>
      </w:r>
      <w:r w:rsidRPr="00F45A02">
        <w:rPr>
          <w:rFonts w:ascii="Times New Roman" w:hAnsi="Times New Roman" w:cs="Times New Roman"/>
        </w:rPr>
        <w:t xml:space="preserve"> was removed, and cells rinsed carefully with PBS. 1 ml 1% crystal violet added for staining. Colonies with &gt;50 cells were counted. </w:t>
      </w:r>
    </w:p>
    <w:p w14:paraId="11D86522" w14:textId="77777777" w:rsidR="007D41D9" w:rsidRPr="00F45A02" w:rsidRDefault="007D41D9" w:rsidP="007D41D9">
      <w:pPr>
        <w:spacing w:line="276" w:lineRule="auto"/>
        <w:jc w:val="both"/>
        <w:rPr>
          <w:rFonts w:ascii="Times New Roman" w:hAnsi="Times New Roman" w:cs="Times New Roman"/>
          <w:b/>
          <w:i/>
        </w:rPr>
      </w:pPr>
      <w:r w:rsidRPr="00F45A02">
        <w:rPr>
          <w:rFonts w:ascii="Times New Roman" w:hAnsi="Times New Roman" w:cs="Times New Roman"/>
          <w:b/>
          <w:i/>
        </w:rPr>
        <w:t>Invasion assay</w:t>
      </w:r>
    </w:p>
    <w:p w14:paraId="35AC7749" w14:textId="77777777" w:rsidR="007D41D9" w:rsidRPr="00F45A02" w:rsidRDefault="007D41D9" w:rsidP="007D41D9">
      <w:pPr>
        <w:autoSpaceDE w:val="0"/>
        <w:autoSpaceDN w:val="0"/>
        <w:adjustRightInd w:val="0"/>
        <w:spacing w:after="0" w:line="276" w:lineRule="auto"/>
        <w:jc w:val="both"/>
        <w:rPr>
          <w:rFonts w:ascii="Times New Roman" w:hAnsi="Times New Roman" w:cs="Times New Roman"/>
        </w:rPr>
      </w:pPr>
      <w:r w:rsidRPr="00F45A02">
        <w:rPr>
          <w:rFonts w:ascii="Times New Roman" w:hAnsi="Times New Roman" w:cs="Times New Roman"/>
        </w:rPr>
        <w:t xml:space="preserve">Invasion of cells was evaluated using </w:t>
      </w:r>
      <w:proofErr w:type="spellStart"/>
      <w:r w:rsidRPr="00F45A02">
        <w:rPr>
          <w:rFonts w:ascii="Times New Roman" w:hAnsi="Times New Roman" w:cs="Times New Roman"/>
        </w:rPr>
        <w:t>Transwell</w:t>
      </w:r>
      <w:r w:rsidRPr="00F45A02">
        <w:rPr>
          <w:rFonts w:ascii="Times New Roman" w:hAnsi="Times New Roman" w:cs="Times New Roman"/>
          <w:vertAlign w:val="superscript"/>
        </w:rPr>
        <w:t>TM</w:t>
      </w:r>
      <w:proofErr w:type="spellEnd"/>
      <w:r w:rsidRPr="00F45A02">
        <w:rPr>
          <w:rFonts w:ascii="Times New Roman" w:hAnsi="Times New Roman" w:cs="Times New Roman"/>
        </w:rPr>
        <w:t xml:space="preserve"> chambers with 8-μm pore filters (Corning Inc., Corning, NY) in 24-well plates. To assess the capacity for invasion, 5x10</w:t>
      </w:r>
      <w:r w:rsidRPr="00F45A02">
        <w:rPr>
          <w:rFonts w:ascii="Times New Roman" w:hAnsi="Times New Roman" w:cs="Times New Roman"/>
          <w:vertAlign w:val="superscript"/>
        </w:rPr>
        <w:t>4</w:t>
      </w:r>
      <w:r w:rsidRPr="00F45A02">
        <w:rPr>
          <w:rFonts w:ascii="Times New Roman" w:hAnsi="Times New Roman" w:cs="Times New Roman"/>
        </w:rPr>
        <w:t xml:space="preserve">/100 </w:t>
      </w:r>
      <w:proofErr w:type="spellStart"/>
      <w:r w:rsidRPr="00F45A02">
        <w:rPr>
          <w:rFonts w:ascii="Times New Roman" w:hAnsi="Times New Roman" w:cs="Times New Roman"/>
        </w:rPr>
        <w:t>μl</w:t>
      </w:r>
      <w:proofErr w:type="spellEnd"/>
      <w:r w:rsidRPr="00F45A02">
        <w:rPr>
          <w:rFonts w:ascii="Times New Roman" w:hAnsi="Times New Roman" w:cs="Times New Roman"/>
        </w:rPr>
        <w:t xml:space="preserve"> cells were added to upper chambers that had been coated with 35 </w:t>
      </w:r>
      <w:proofErr w:type="spellStart"/>
      <w:r w:rsidRPr="00F45A02">
        <w:rPr>
          <w:rFonts w:ascii="Times New Roman" w:hAnsi="Times New Roman" w:cs="Times New Roman"/>
        </w:rPr>
        <w:t>μl</w:t>
      </w:r>
      <w:proofErr w:type="spellEnd"/>
      <w:r w:rsidRPr="00F45A02">
        <w:rPr>
          <w:rFonts w:ascii="Times New Roman" w:hAnsi="Times New Roman" w:cs="Times New Roman"/>
        </w:rPr>
        <w:t xml:space="preserve"> of Matrigel (BD Biosciences, Franklin Lakes, NJ) in supplement-free medium. Normal RPMI medium was added to the lower chamber as a chemoattractant. The chambers were incubated at 37 °C with 5 % CO</w:t>
      </w:r>
      <w:r w:rsidRPr="00F45A02">
        <w:rPr>
          <w:rFonts w:ascii="Times New Roman" w:hAnsi="Times New Roman" w:cs="Times New Roman"/>
          <w:vertAlign w:val="subscript"/>
        </w:rPr>
        <w:t>2</w:t>
      </w:r>
      <w:r w:rsidRPr="00F45A02">
        <w:rPr>
          <w:rFonts w:ascii="Times New Roman" w:hAnsi="Times New Roman" w:cs="Times New Roman"/>
        </w:rPr>
        <w:t xml:space="preserve"> for indicated time points. At the end of incubation, cells on the upper surfaces of the filters were removed with a cotton swab. Cells which invaded through the filter to the lower surface were stained with crystal violet for 10 min. Invading cells were viewed and photographed under a phase contrast microscope (Olympus, Tokyo, Japan). 100 </w:t>
      </w:r>
      <w:proofErr w:type="spellStart"/>
      <w:r w:rsidRPr="00F45A02">
        <w:rPr>
          <w:rFonts w:ascii="Times New Roman" w:hAnsi="Times New Roman" w:cs="Times New Roman"/>
        </w:rPr>
        <w:t>μl</w:t>
      </w:r>
      <w:proofErr w:type="spellEnd"/>
      <w:r w:rsidRPr="00F45A02">
        <w:rPr>
          <w:rFonts w:ascii="Times New Roman" w:hAnsi="Times New Roman" w:cs="Times New Roman"/>
        </w:rPr>
        <w:t xml:space="preserve"> extraction solution was added to transfer to 96-well plate for measurements in the plate reader at OD 560 nm.</w:t>
      </w:r>
    </w:p>
    <w:p w14:paraId="3468EC42" w14:textId="77777777" w:rsidR="007D41D9" w:rsidRPr="00975611" w:rsidRDefault="007D41D9" w:rsidP="007D41D9">
      <w:pPr>
        <w:autoSpaceDE w:val="0"/>
        <w:autoSpaceDN w:val="0"/>
        <w:adjustRightInd w:val="0"/>
        <w:spacing w:after="0" w:line="276" w:lineRule="auto"/>
        <w:jc w:val="both"/>
        <w:rPr>
          <w:rFonts w:ascii="Times New Roman" w:hAnsi="Times New Roman" w:cs="Times New Roman"/>
          <w:color w:val="FF0000"/>
        </w:rPr>
      </w:pPr>
    </w:p>
    <w:p w14:paraId="383C776B" w14:textId="77777777" w:rsidR="007D41D9" w:rsidRPr="007F7FA3" w:rsidRDefault="007D41D9" w:rsidP="007D41D9">
      <w:pPr>
        <w:spacing w:line="276" w:lineRule="auto"/>
        <w:jc w:val="both"/>
        <w:rPr>
          <w:rFonts w:ascii="Times New Roman" w:hAnsi="Times New Roman" w:cs="Times New Roman"/>
          <w:b/>
          <w:i/>
        </w:rPr>
      </w:pPr>
      <w:r w:rsidRPr="007F7FA3">
        <w:rPr>
          <w:rFonts w:ascii="Times New Roman" w:hAnsi="Times New Roman" w:cs="Times New Roman"/>
          <w:b/>
          <w:i/>
        </w:rPr>
        <w:t xml:space="preserve">Wound-healing assay  </w:t>
      </w:r>
    </w:p>
    <w:p w14:paraId="4B8461A0" w14:textId="71E84784" w:rsidR="007D41D9" w:rsidRPr="007F7FA3" w:rsidRDefault="007D41D9" w:rsidP="00C068CF">
      <w:pPr>
        <w:autoSpaceDE w:val="0"/>
        <w:autoSpaceDN w:val="0"/>
        <w:adjustRightInd w:val="0"/>
        <w:spacing w:after="120" w:line="276" w:lineRule="auto"/>
        <w:jc w:val="both"/>
        <w:rPr>
          <w:rFonts w:ascii="Times New Roman" w:eastAsia="Calibri" w:hAnsi="Times New Roman" w:cs="Times New Roman"/>
          <w:lang w:eastAsia="en-US"/>
        </w:rPr>
      </w:pPr>
      <w:r w:rsidRPr="007F7FA3">
        <w:rPr>
          <w:rFonts w:ascii="Times New Roman" w:hAnsi="Times New Roman" w:cs="Times New Roman"/>
        </w:rPr>
        <w:t xml:space="preserve">Cells were seeded in 6-well plates and maintained at </w:t>
      </w:r>
      <w:bookmarkStart w:id="3" w:name="_Hlk187417336"/>
      <w:r w:rsidRPr="007F7FA3">
        <w:rPr>
          <w:rFonts w:ascii="Times New Roman" w:hAnsi="Times New Roman" w:cs="Times New Roman"/>
        </w:rPr>
        <w:t xml:space="preserve">37°C </w:t>
      </w:r>
      <w:bookmarkEnd w:id="3"/>
      <w:r w:rsidRPr="007F7FA3">
        <w:rPr>
          <w:rFonts w:ascii="Times New Roman" w:hAnsi="Times New Roman" w:cs="Times New Roman"/>
        </w:rPr>
        <w:t>and 5% CO</w:t>
      </w:r>
      <w:r w:rsidRPr="007F7FA3">
        <w:rPr>
          <w:rFonts w:ascii="Times New Roman" w:hAnsi="Times New Roman" w:cs="Times New Roman"/>
          <w:vertAlign w:val="subscript"/>
        </w:rPr>
        <w:t>2</w:t>
      </w:r>
      <w:r w:rsidRPr="007F7FA3">
        <w:rPr>
          <w:rFonts w:ascii="Times New Roman" w:hAnsi="Times New Roman" w:cs="Times New Roman"/>
        </w:rPr>
        <w:t xml:space="preserve"> for 24 hour</w:t>
      </w:r>
      <w:r w:rsidR="00F45A02" w:rsidRPr="007F7FA3">
        <w:rPr>
          <w:rFonts w:ascii="Times New Roman" w:hAnsi="Times New Roman" w:cs="Times New Roman"/>
        </w:rPr>
        <w:t>s</w:t>
      </w:r>
      <w:r w:rsidRPr="007F7FA3">
        <w:rPr>
          <w:rFonts w:ascii="Times New Roman" w:hAnsi="Times New Roman" w:cs="Times New Roman"/>
        </w:rPr>
        <w:t xml:space="preserve"> to permit cell adhesion and the formation of a confluent monolayer. Wounds (scratch) were made by passing a plastic tip across the monolayer cells. The cell surface was then washed with serum-free culture medium three times to remove dislodged cells. Wound closure was monitored by collecting digitized images at indicated time </w:t>
      </w:r>
      <w:r w:rsidRPr="007F7FA3">
        <w:rPr>
          <w:rFonts w:ascii="Times New Roman" w:hAnsi="Times New Roman" w:cs="Times New Roman"/>
        </w:rPr>
        <w:lastRenderedPageBreak/>
        <w:t>points after the scratch was performed. The time of wound infliction was considered as 0 h and wound closure was monitored for up to 24 h. Wound closures were photographed by phase contrast microscopy (40X) at indicated time points after scraping. Covered areas by migrating cells (%) were determined by Image J software</w:t>
      </w:r>
      <w:r w:rsidR="00A15D23">
        <w:rPr>
          <w:rFonts w:ascii="Times New Roman" w:hAnsi="Times New Roman" w:cs="Times New Roman"/>
        </w:rPr>
        <w:t xml:space="preserve"> (</w:t>
      </w:r>
      <w:r w:rsidR="00A15D23" w:rsidRPr="00A15D23">
        <w:rPr>
          <w:rFonts w:ascii="Times New Roman" w:hAnsi="Times New Roman" w:cs="Times New Roman"/>
        </w:rPr>
        <w:t>RRID:SCR_003070</w:t>
      </w:r>
      <w:r w:rsidR="00A15D23">
        <w:rPr>
          <w:rFonts w:ascii="Times New Roman" w:hAnsi="Times New Roman" w:cs="Times New Roman"/>
        </w:rPr>
        <w:t>)</w:t>
      </w:r>
      <w:r w:rsidRPr="007F7FA3">
        <w:rPr>
          <w:rFonts w:ascii="Times New Roman" w:hAnsi="Times New Roman" w:cs="Times New Roman"/>
        </w:rPr>
        <w:t>.</w:t>
      </w:r>
    </w:p>
    <w:p w14:paraId="07EE22DE" w14:textId="77777777" w:rsidR="007D41D9" w:rsidRPr="00BA54F4" w:rsidRDefault="007D41D9" w:rsidP="007D41D9">
      <w:pPr>
        <w:spacing w:line="276" w:lineRule="auto"/>
        <w:jc w:val="both"/>
        <w:rPr>
          <w:rFonts w:ascii="Times New Roman" w:hAnsi="Times New Roman" w:cs="Times New Roman"/>
          <w:b/>
        </w:rPr>
      </w:pPr>
      <w:r w:rsidRPr="00BA54F4">
        <w:rPr>
          <w:rFonts w:ascii="Times New Roman" w:hAnsi="Times New Roman" w:cs="Times New Roman"/>
          <w:b/>
        </w:rPr>
        <w:t>Reference</w:t>
      </w:r>
    </w:p>
    <w:p w14:paraId="3DCFA4D8" w14:textId="77777777" w:rsidR="005F1CD7" w:rsidRPr="004034FE" w:rsidRDefault="007D41D9" w:rsidP="005F1CD7">
      <w:pPr>
        <w:pStyle w:val="EndNoteBibliography"/>
        <w:spacing w:after="0"/>
        <w:ind w:left="720" w:hanging="720"/>
        <w:rPr>
          <w:rFonts w:ascii="Times New Roman" w:hAnsi="Times New Roman" w:cs="Times New Roman"/>
        </w:rPr>
      </w:pPr>
      <w:r w:rsidRPr="004034FE">
        <w:rPr>
          <w:rFonts w:ascii="Times New Roman" w:hAnsi="Times New Roman" w:cs="Times New Roman"/>
          <w:noProof w:val="0"/>
        </w:rPr>
        <w:fldChar w:fldCharType="begin"/>
      </w:r>
      <w:r w:rsidRPr="004034FE">
        <w:rPr>
          <w:rFonts w:ascii="Times New Roman" w:hAnsi="Times New Roman" w:cs="Times New Roman"/>
          <w:noProof w:val="0"/>
        </w:rPr>
        <w:instrText xml:space="preserve"> ADDIN EN.REFLIST </w:instrText>
      </w:r>
      <w:r w:rsidRPr="004034FE">
        <w:rPr>
          <w:rFonts w:ascii="Times New Roman" w:hAnsi="Times New Roman" w:cs="Times New Roman"/>
          <w:noProof w:val="0"/>
        </w:rPr>
        <w:fldChar w:fldCharType="separate"/>
      </w:r>
      <w:r w:rsidR="005F1CD7" w:rsidRPr="004034FE">
        <w:rPr>
          <w:rFonts w:ascii="Times New Roman" w:hAnsi="Times New Roman" w:cs="Times New Roman"/>
        </w:rPr>
        <w:t>1.</w:t>
      </w:r>
      <w:r w:rsidR="005F1CD7" w:rsidRPr="004034FE">
        <w:rPr>
          <w:rFonts w:ascii="Times New Roman" w:hAnsi="Times New Roman" w:cs="Times New Roman"/>
        </w:rPr>
        <w:tab/>
        <w:t xml:space="preserve">Ianevski, A., et al., </w:t>
      </w:r>
      <w:r w:rsidR="005F1CD7" w:rsidRPr="004034FE">
        <w:rPr>
          <w:rFonts w:ascii="Times New Roman" w:hAnsi="Times New Roman" w:cs="Times New Roman"/>
          <w:i/>
        </w:rPr>
        <w:t>SynergyFinder: a web application for analyzing drug combination dose-response matrix data.</w:t>
      </w:r>
      <w:r w:rsidR="005F1CD7" w:rsidRPr="004034FE">
        <w:rPr>
          <w:rFonts w:ascii="Times New Roman" w:hAnsi="Times New Roman" w:cs="Times New Roman"/>
        </w:rPr>
        <w:t xml:space="preserve"> Bioinformatics, 2020. </w:t>
      </w:r>
      <w:r w:rsidR="005F1CD7" w:rsidRPr="004034FE">
        <w:rPr>
          <w:rFonts w:ascii="Times New Roman" w:hAnsi="Times New Roman" w:cs="Times New Roman"/>
          <w:b/>
        </w:rPr>
        <w:t>36</w:t>
      </w:r>
      <w:r w:rsidR="005F1CD7" w:rsidRPr="004034FE">
        <w:rPr>
          <w:rFonts w:ascii="Times New Roman" w:hAnsi="Times New Roman" w:cs="Times New Roman"/>
        </w:rPr>
        <w:t>(8): p. 2645.</w:t>
      </w:r>
    </w:p>
    <w:p w14:paraId="7126F2A2" w14:textId="77777777" w:rsidR="005F1CD7" w:rsidRPr="004034FE" w:rsidRDefault="005F1CD7" w:rsidP="005F1CD7">
      <w:pPr>
        <w:pStyle w:val="EndNoteBibliography"/>
        <w:ind w:left="720" w:hanging="720"/>
        <w:rPr>
          <w:rFonts w:ascii="Times New Roman" w:hAnsi="Times New Roman" w:cs="Times New Roman"/>
        </w:rPr>
      </w:pPr>
      <w:r w:rsidRPr="004034FE">
        <w:rPr>
          <w:rFonts w:ascii="Times New Roman" w:hAnsi="Times New Roman" w:cs="Times New Roman"/>
        </w:rPr>
        <w:t>2.</w:t>
      </w:r>
      <w:r w:rsidRPr="004034FE">
        <w:rPr>
          <w:rFonts w:ascii="Times New Roman" w:hAnsi="Times New Roman" w:cs="Times New Roman"/>
        </w:rPr>
        <w:tab/>
        <w:t xml:space="preserve">Sethi, K., et al., </w:t>
      </w:r>
      <w:r w:rsidRPr="004034FE">
        <w:rPr>
          <w:rFonts w:ascii="Times New Roman" w:hAnsi="Times New Roman" w:cs="Times New Roman"/>
          <w:i/>
        </w:rPr>
        <w:t>Expressions of CK-19, NF-kappaB, E-cadherin, beta-catenin and EGFR as diagnostic and prognostic markers by immunohistochemical analysis in thyroid carcinoma.</w:t>
      </w:r>
      <w:r w:rsidRPr="004034FE">
        <w:rPr>
          <w:rFonts w:ascii="Times New Roman" w:hAnsi="Times New Roman" w:cs="Times New Roman"/>
        </w:rPr>
        <w:t xml:space="preserve"> J Exp Ther Oncol, 2011. </w:t>
      </w:r>
      <w:r w:rsidRPr="004034FE">
        <w:rPr>
          <w:rFonts w:ascii="Times New Roman" w:hAnsi="Times New Roman" w:cs="Times New Roman"/>
          <w:b/>
        </w:rPr>
        <w:t>9</w:t>
      </w:r>
      <w:r w:rsidRPr="004034FE">
        <w:rPr>
          <w:rFonts w:ascii="Times New Roman" w:hAnsi="Times New Roman" w:cs="Times New Roman"/>
        </w:rPr>
        <w:t>(3): p. 187-99.</w:t>
      </w:r>
    </w:p>
    <w:p w14:paraId="5770EB9B" w14:textId="36B37CB0" w:rsidR="00840855" w:rsidRDefault="007D41D9" w:rsidP="007D41D9">
      <w:pPr>
        <w:spacing w:line="276" w:lineRule="auto"/>
        <w:jc w:val="both"/>
        <w:rPr>
          <w:rFonts w:ascii="Times New Roman" w:hAnsi="Times New Roman" w:cs="Times New Roman"/>
        </w:rPr>
      </w:pPr>
      <w:r w:rsidRPr="004034FE">
        <w:rPr>
          <w:rFonts w:ascii="Times New Roman" w:hAnsi="Times New Roman" w:cs="Times New Roman"/>
        </w:rPr>
        <w:fldChar w:fldCharType="end"/>
      </w:r>
    </w:p>
    <w:p w14:paraId="6C043903" w14:textId="77777777" w:rsidR="00FF53F0" w:rsidRDefault="00FF53F0" w:rsidP="00905010">
      <w:pPr>
        <w:jc w:val="both"/>
        <w:rPr>
          <w:rFonts w:ascii="Times New Roman" w:hAnsi="Times New Roman" w:cs="Times New Roman"/>
          <w:b/>
        </w:rPr>
      </w:pPr>
    </w:p>
    <w:p w14:paraId="5F285CF5" w14:textId="77777777" w:rsidR="00FF53F0" w:rsidRDefault="00FF53F0" w:rsidP="00905010">
      <w:pPr>
        <w:jc w:val="both"/>
        <w:rPr>
          <w:rFonts w:ascii="Times New Roman" w:hAnsi="Times New Roman" w:cs="Times New Roman"/>
          <w:b/>
        </w:rPr>
      </w:pPr>
    </w:p>
    <w:p w14:paraId="02ED854F" w14:textId="77777777" w:rsidR="00FF53F0" w:rsidRDefault="00FF53F0" w:rsidP="00905010">
      <w:pPr>
        <w:jc w:val="both"/>
        <w:rPr>
          <w:rFonts w:ascii="Times New Roman" w:hAnsi="Times New Roman" w:cs="Times New Roman"/>
          <w:b/>
        </w:rPr>
      </w:pPr>
    </w:p>
    <w:p w14:paraId="7CB1C1CA" w14:textId="77777777" w:rsidR="00FF53F0" w:rsidRDefault="00FF53F0" w:rsidP="00905010">
      <w:pPr>
        <w:jc w:val="both"/>
        <w:rPr>
          <w:rFonts w:ascii="Times New Roman" w:hAnsi="Times New Roman" w:cs="Times New Roman"/>
          <w:b/>
        </w:rPr>
      </w:pPr>
    </w:p>
    <w:p w14:paraId="09F2D18D" w14:textId="77777777" w:rsidR="00FF53F0" w:rsidRDefault="00FF53F0" w:rsidP="00905010">
      <w:pPr>
        <w:jc w:val="both"/>
        <w:rPr>
          <w:rFonts w:ascii="Times New Roman" w:hAnsi="Times New Roman" w:cs="Times New Roman"/>
          <w:b/>
        </w:rPr>
      </w:pPr>
    </w:p>
    <w:p w14:paraId="7EC2E2DC" w14:textId="77777777" w:rsidR="00FF53F0" w:rsidRDefault="00FF53F0" w:rsidP="00905010">
      <w:pPr>
        <w:jc w:val="both"/>
        <w:rPr>
          <w:rFonts w:ascii="Times New Roman" w:hAnsi="Times New Roman" w:cs="Times New Roman"/>
          <w:b/>
        </w:rPr>
      </w:pPr>
    </w:p>
    <w:p w14:paraId="53300A45" w14:textId="77777777" w:rsidR="00FF53F0" w:rsidRDefault="00FF53F0" w:rsidP="00905010">
      <w:pPr>
        <w:jc w:val="both"/>
        <w:rPr>
          <w:rFonts w:ascii="Times New Roman" w:hAnsi="Times New Roman" w:cs="Times New Roman"/>
          <w:b/>
        </w:rPr>
      </w:pPr>
    </w:p>
    <w:p w14:paraId="24796190" w14:textId="77777777" w:rsidR="00FF53F0" w:rsidRDefault="00FF53F0" w:rsidP="00905010">
      <w:pPr>
        <w:jc w:val="both"/>
        <w:rPr>
          <w:rFonts w:ascii="Times New Roman" w:hAnsi="Times New Roman" w:cs="Times New Roman"/>
          <w:b/>
        </w:rPr>
      </w:pPr>
    </w:p>
    <w:p w14:paraId="305D19A7" w14:textId="77777777" w:rsidR="00FF53F0" w:rsidRDefault="00FF53F0" w:rsidP="00905010">
      <w:pPr>
        <w:jc w:val="both"/>
        <w:rPr>
          <w:rFonts w:ascii="Times New Roman" w:hAnsi="Times New Roman" w:cs="Times New Roman"/>
          <w:b/>
        </w:rPr>
      </w:pPr>
    </w:p>
    <w:p w14:paraId="726B5100" w14:textId="77777777" w:rsidR="00FF53F0" w:rsidRDefault="00FF53F0" w:rsidP="00905010">
      <w:pPr>
        <w:jc w:val="both"/>
        <w:rPr>
          <w:rFonts w:ascii="Times New Roman" w:hAnsi="Times New Roman" w:cs="Times New Roman"/>
          <w:b/>
        </w:rPr>
      </w:pPr>
    </w:p>
    <w:p w14:paraId="5A64D216" w14:textId="77777777" w:rsidR="00FF53F0" w:rsidRDefault="00FF53F0" w:rsidP="00905010">
      <w:pPr>
        <w:jc w:val="both"/>
        <w:rPr>
          <w:rFonts w:ascii="Times New Roman" w:hAnsi="Times New Roman" w:cs="Times New Roman"/>
          <w:b/>
        </w:rPr>
      </w:pPr>
    </w:p>
    <w:p w14:paraId="70587AE5" w14:textId="77777777" w:rsidR="00FF53F0" w:rsidRDefault="00FF53F0" w:rsidP="00905010">
      <w:pPr>
        <w:jc w:val="both"/>
        <w:rPr>
          <w:rFonts w:ascii="Times New Roman" w:hAnsi="Times New Roman" w:cs="Times New Roman"/>
          <w:b/>
        </w:rPr>
      </w:pPr>
    </w:p>
    <w:p w14:paraId="0DED961A" w14:textId="77777777" w:rsidR="00FF53F0" w:rsidRDefault="00FF53F0" w:rsidP="00905010">
      <w:pPr>
        <w:jc w:val="both"/>
        <w:rPr>
          <w:rFonts w:ascii="Times New Roman" w:hAnsi="Times New Roman" w:cs="Times New Roman"/>
          <w:b/>
        </w:rPr>
      </w:pPr>
    </w:p>
    <w:p w14:paraId="278353BF" w14:textId="77777777" w:rsidR="00FF53F0" w:rsidRDefault="00FF53F0" w:rsidP="00905010">
      <w:pPr>
        <w:jc w:val="both"/>
        <w:rPr>
          <w:rFonts w:ascii="Times New Roman" w:hAnsi="Times New Roman" w:cs="Times New Roman"/>
          <w:b/>
        </w:rPr>
      </w:pPr>
    </w:p>
    <w:p w14:paraId="04359426" w14:textId="77777777" w:rsidR="00FF53F0" w:rsidRDefault="00FF53F0" w:rsidP="00905010">
      <w:pPr>
        <w:jc w:val="both"/>
        <w:rPr>
          <w:rFonts w:ascii="Times New Roman" w:hAnsi="Times New Roman" w:cs="Times New Roman"/>
          <w:b/>
        </w:rPr>
      </w:pPr>
    </w:p>
    <w:p w14:paraId="743BFF46" w14:textId="77777777" w:rsidR="00FF53F0" w:rsidRDefault="00FF53F0" w:rsidP="00905010">
      <w:pPr>
        <w:jc w:val="both"/>
        <w:rPr>
          <w:rFonts w:ascii="Times New Roman" w:hAnsi="Times New Roman" w:cs="Times New Roman"/>
          <w:b/>
        </w:rPr>
      </w:pPr>
    </w:p>
    <w:p w14:paraId="3CDF0C84" w14:textId="77777777" w:rsidR="00FF53F0" w:rsidRDefault="00FF53F0" w:rsidP="00905010">
      <w:pPr>
        <w:jc w:val="both"/>
        <w:rPr>
          <w:rFonts w:ascii="Times New Roman" w:hAnsi="Times New Roman" w:cs="Times New Roman"/>
          <w:b/>
        </w:rPr>
      </w:pPr>
    </w:p>
    <w:p w14:paraId="3741996E" w14:textId="77777777" w:rsidR="00FF53F0" w:rsidRDefault="00FF53F0" w:rsidP="00905010">
      <w:pPr>
        <w:jc w:val="both"/>
        <w:rPr>
          <w:rFonts w:ascii="Times New Roman" w:hAnsi="Times New Roman" w:cs="Times New Roman"/>
          <w:b/>
        </w:rPr>
      </w:pPr>
    </w:p>
    <w:p w14:paraId="45A2BAC2" w14:textId="77777777" w:rsidR="00FF53F0" w:rsidRDefault="00FF53F0" w:rsidP="00905010">
      <w:pPr>
        <w:jc w:val="both"/>
        <w:rPr>
          <w:rFonts w:ascii="Times New Roman" w:hAnsi="Times New Roman" w:cs="Times New Roman"/>
          <w:b/>
        </w:rPr>
      </w:pPr>
    </w:p>
    <w:p w14:paraId="492C92B1" w14:textId="77777777" w:rsidR="00FF53F0" w:rsidRDefault="00FF53F0" w:rsidP="00905010">
      <w:pPr>
        <w:jc w:val="both"/>
        <w:rPr>
          <w:rFonts w:ascii="Times New Roman" w:hAnsi="Times New Roman" w:cs="Times New Roman"/>
          <w:b/>
        </w:rPr>
      </w:pPr>
    </w:p>
    <w:p w14:paraId="1A71585D" w14:textId="77777777" w:rsidR="00FF53F0" w:rsidRDefault="00FF53F0" w:rsidP="00905010">
      <w:pPr>
        <w:jc w:val="both"/>
        <w:rPr>
          <w:rFonts w:ascii="Times New Roman" w:hAnsi="Times New Roman" w:cs="Times New Roman"/>
          <w:b/>
        </w:rPr>
      </w:pPr>
    </w:p>
    <w:p w14:paraId="5597C5C4" w14:textId="72162C39" w:rsidR="00BA54F4" w:rsidRPr="00BA54F4" w:rsidRDefault="00BA54F4">
      <w:pPr>
        <w:jc w:val="both"/>
        <w:rPr>
          <w:rFonts w:ascii="Times New Roman" w:hAnsi="Times New Roman" w:cs="Times New Roman"/>
          <w:b/>
        </w:rPr>
      </w:pPr>
    </w:p>
    <w:sectPr w:rsidR="00BA54F4" w:rsidRPr="00BA54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Janson Text LT">
    <w:altName w:val="Janson Text LT"/>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xrzar5dvaxfje5srwxdexjezrfwv2w29pr&quot;&gt;My EndNote Library-Converted&lt;record-ids&gt;&lt;item&gt;493&lt;/item&gt;&lt;item&gt;494&lt;/item&gt;&lt;/record-ids&gt;&lt;/item&gt;&lt;/Libraries&gt;"/>
  </w:docVars>
  <w:rsids>
    <w:rsidRoot w:val="001E4C16"/>
    <w:rsid w:val="00006171"/>
    <w:rsid w:val="00036416"/>
    <w:rsid w:val="00084BAA"/>
    <w:rsid w:val="0008557D"/>
    <w:rsid w:val="000A761A"/>
    <w:rsid w:val="000D5C0D"/>
    <w:rsid w:val="0010413C"/>
    <w:rsid w:val="00123353"/>
    <w:rsid w:val="00144FBB"/>
    <w:rsid w:val="00175F51"/>
    <w:rsid w:val="00176F94"/>
    <w:rsid w:val="001A4B17"/>
    <w:rsid w:val="001E4C16"/>
    <w:rsid w:val="001F7CD0"/>
    <w:rsid w:val="001F7F55"/>
    <w:rsid w:val="00204989"/>
    <w:rsid w:val="0021267B"/>
    <w:rsid w:val="00222BC3"/>
    <w:rsid w:val="0022536B"/>
    <w:rsid w:val="0025388F"/>
    <w:rsid w:val="00272C06"/>
    <w:rsid w:val="00286EC3"/>
    <w:rsid w:val="002B5732"/>
    <w:rsid w:val="002D762C"/>
    <w:rsid w:val="002F2FB3"/>
    <w:rsid w:val="002F6E08"/>
    <w:rsid w:val="00320415"/>
    <w:rsid w:val="003204B8"/>
    <w:rsid w:val="00324027"/>
    <w:rsid w:val="00337D88"/>
    <w:rsid w:val="00341834"/>
    <w:rsid w:val="00374715"/>
    <w:rsid w:val="00376286"/>
    <w:rsid w:val="00382CE3"/>
    <w:rsid w:val="003A6EDD"/>
    <w:rsid w:val="003D0650"/>
    <w:rsid w:val="003E21A2"/>
    <w:rsid w:val="004034FE"/>
    <w:rsid w:val="0042549F"/>
    <w:rsid w:val="00425858"/>
    <w:rsid w:val="00440A91"/>
    <w:rsid w:val="004445BD"/>
    <w:rsid w:val="00465269"/>
    <w:rsid w:val="0047166D"/>
    <w:rsid w:val="00483B80"/>
    <w:rsid w:val="004A3773"/>
    <w:rsid w:val="004C6EA5"/>
    <w:rsid w:val="004D5FF7"/>
    <w:rsid w:val="004E56DF"/>
    <w:rsid w:val="004F0A48"/>
    <w:rsid w:val="0051196E"/>
    <w:rsid w:val="00544D9E"/>
    <w:rsid w:val="00545948"/>
    <w:rsid w:val="00560A1A"/>
    <w:rsid w:val="005A2FF7"/>
    <w:rsid w:val="005E1CE7"/>
    <w:rsid w:val="005F1CD7"/>
    <w:rsid w:val="00632091"/>
    <w:rsid w:val="00634D30"/>
    <w:rsid w:val="0064020E"/>
    <w:rsid w:val="00654503"/>
    <w:rsid w:val="00666F02"/>
    <w:rsid w:val="006841B2"/>
    <w:rsid w:val="006B4CCB"/>
    <w:rsid w:val="00730E31"/>
    <w:rsid w:val="007721F7"/>
    <w:rsid w:val="007B6904"/>
    <w:rsid w:val="007C55B9"/>
    <w:rsid w:val="007D41D9"/>
    <w:rsid w:val="007F7FA3"/>
    <w:rsid w:val="00802BA3"/>
    <w:rsid w:val="0081494D"/>
    <w:rsid w:val="008269E0"/>
    <w:rsid w:val="00840855"/>
    <w:rsid w:val="00852AA5"/>
    <w:rsid w:val="008C45C0"/>
    <w:rsid w:val="008C754D"/>
    <w:rsid w:val="008E53EB"/>
    <w:rsid w:val="00905010"/>
    <w:rsid w:val="00923AD1"/>
    <w:rsid w:val="00973F36"/>
    <w:rsid w:val="00975611"/>
    <w:rsid w:val="0097609B"/>
    <w:rsid w:val="00990541"/>
    <w:rsid w:val="009A456E"/>
    <w:rsid w:val="009B0448"/>
    <w:rsid w:val="009B4E1F"/>
    <w:rsid w:val="009C457E"/>
    <w:rsid w:val="00A04AA5"/>
    <w:rsid w:val="00A15D23"/>
    <w:rsid w:val="00A5764E"/>
    <w:rsid w:val="00A6288D"/>
    <w:rsid w:val="00A822DA"/>
    <w:rsid w:val="00AA30E5"/>
    <w:rsid w:val="00AB678D"/>
    <w:rsid w:val="00AB7DBF"/>
    <w:rsid w:val="00AC0633"/>
    <w:rsid w:val="00AC13DD"/>
    <w:rsid w:val="00AF407E"/>
    <w:rsid w:val="00B32935"/>
    <w:rsid w:val="00BA54F4"/>
    <w:rsid w:val="00BB6965"/>
    <w:rsid w:val="00BD6245"/>
    <w:rsid w:val="00BF5A0A"/>
    <w:rsid w:val="00C0499B"/>
    <w:rsid w:val="00C068CF"/>
    <w:rsid w:val="00C23B1B"/>
    <w:rsid w:val="00C448A8"/>
    <w:rsid w:val="00C71232"/>
    <w:rsid w:val="00C853E2"/>
    <w:rsid w:val="00C93CBA"/>
    <w:rsid w:val="00CA6A2F"/>
    <w:rsid w:val="00CB6071"/>
    <w:rsid w:val="00CD0B26"/>
    <w:rsid w:val="00CD4B0D"/>
    <w:rsid w:val="00D1315D"/>
    <w:rsid w:val="00D42283"/>
    <w:rsid w:val="00D532CE"/>
    <w:rsid w:val="00D63CE4"/>
    <w:rsid w:val="00D66A23"/>
    <w:rsid w:val="00D72017"/>
    <w:rsid w:val="00D7743E"/>
    <w:rsid w:val="00D91D1A"/>
    <w:rsid w:val="00DB69B6"/>
    <w:rsid w:val="00DD1535"/>
    <w:rsid w:val="00DE62FB"/>
    <w:rsid w:val="00E10011"/>
    <w:rsid w:val="00E813DB"/>
    <w:rsid w:val="00E844D8"/>
    <w:rsid w:val="00EA40DC"/>
    <w:rsid w:val="00EC14B1"/>
    <w:rsid w:val="00EC5D12"/>
    <w:rsid w:val="00EE2ACB"/>
    <w:rsid w:val="00F06B6A"/>
    <w:rsid w:val="00F30D5E"/>
    <w:rsid w:val="00F41848"/>
    <w:rsid w:val="00F45A02"/>
    <w:rsid w:val="00F62F66"/>
    <w:rsid w:val="00F70E2D"/>
    <w:rsid w:val="00F76F9E"/>
    <w:rsid w:val="00FC6290"/>
    <w:rsid w:val="00FF5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0BABC"/>
  <w15:chartTrackingRefBased/>
  <w15:docId w15:val="{60DF1C9D-10D8-4FD2-A008-C95C63EA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754D"/>
    <w:rPr>
      <w:sz w:val="16"/>
      <w:szCs w:val="16"/>
    </w:rPr>
  </w:style>
  <w:style w:type="paragraph" w:styleId="CommentText">
    <w:name w:val="annotation text"/>
    <w:basedOn w:val="Normal"/>
    <w:link w:val="CommentTextChar"/>
    <w:uiPriority w:val="99"/>
    <w:unhideWhenUsed/>
    <w:rsid w:val="008C754D"/>
    <w:pPr>
      <w:spacing w:line="240" w:lineRule="auto"/>
    </w:pPr>
    <w:rPr>
      <w:sz w:val="20"/>
      <w:szCs w:val="20"/>
    </w:rPr>
  </w:style>
  <w:style w:type="character" w:customStyle="1" w:styleId="CommentTextChar">
    <w:name w:val="Comment Text Char"/>
    <w:basedOn w:val="DefaultParagraphFont"/>
    <w:link w:val="CommentText"/>
    <w:uiPriority w:val="99"/>
    <w:rsid w:val="008C754D"/>
    <w:rPr>
      <w:sz w:val="20"/>
      <w:szCs w:val="20"/>
    </w:rPr>
  </w:style>
  <w:style w:type="paragraph" w:styleId="CommentSubject">
    <w:name w:val="annotation subject"/>
    <w:basedOn w:val="CommentText"/>
    <w:next w:val="CommentText"/>
    <w:link w:val="CommentSubjectChar"/>
    <w:uiPriority w:val="99"/>
    <w:semiHidden/>
    <w:unhideWhenUsed/>
    <w:rsid w:val="008C754D"/>
    <w:rPr>
      <w:b/>
      <w:bCs/>
    </w:rPr>
  </w:style>
  <w:style w:type="character" w:customStyle="1" w:styleId="CommentSubjectChar">
    <w:name w:val="Comment Subject Char"/>
    <w:basedOn w:val="CommentTextChar"/>
    <w:link w:val="CommentSubject"/>
    <w:uiPriority w:val="99"/>
    <w:semiHidden/>
    <w:rsid w:val="008C754D"/>
    <w:rPr>
      <w:b/>
      <w:bCs/>
      <w:sz w:val="20"/>
      <w:szCs w:val="20"/>
    </w:rPr>
  </w:style>
  <w:style w:type="paragraph" w:styleId="BalloonText">
    <w:name w:val="Balloon Text"/>
    <w:basedOn w:val="Normal"/>
    <w:link w:val="BalloonTextChar"/>
    <w:uiPriority w:val="99"/>
    <w:semiHidden/>
    <w:unhideWhenUsed/>
    <w:rsid w:val="008C75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54D"/>
    <w:rPr>
      <w:rFonts w:ascii="Segoe UI" w:hAnsi="Segoe UI" w:cs="Segoe UI"/>
      <w:sz w:val="18"/>
      <w:szCs w:val="18"/>
    </w:rPr>
  </w:style>
  <w:style w:type="character" w:styleId="Hyperlink">
    <w:name w:val="Hyperlink"/>
    <w:basedOn w:val="DefaultParagraphFont"/>
    <w:uiPriority w:val="99"/>
    <w:unhideWhenUsed/>
    <w:rsid w:val="007D41D9"/>
    <w:rPr>
      <w:color w:val="0000FF"/>
      <w:u w:val="single"/>
    </w:rPr>
  </w:style>
  <w:style w:type="paragraph" w:styleId="PlainText">
    <w:name w:val="Plain Text"/>
    <w:basedOn w:val="Normal"/>
    <w:link w:val="PlainTextChar"/>
    <w:uiPriority w:val="99"/>
    <w:unhideWhenUsed/>
    <w:rsid w:val="007D41D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D41D9"/>
    <w:rPr>
      <w:rFonts w:ascii="Consolas" w:hAnsi="Consolas"/>
      <w:sz w:val="21"/>
      <w:szCs w:val="21"/>
    </w:rPr>
  </w:style>
  <w:style w:type="paragraph" w:customStyle="1" w:styleId="EndNoteBibliography">
    <w:name w:val="EndNote Bibliography"/>
    <w:basedOn w:val="Normal"/>
    <w:link w:val="EndNoteBibliographyChar"/>
    <w:rsid w:val="007D41D9"/>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7D41D9"/>
    <w:rPr>
      <w:rFonts w:ascii="Calibri" w:hAnsi="Calibri" w:cs="Calibri"/>
      <w:noProof/>
    </w:rPr>
  </w:style>
  <w:style w:type="paragraph" w:customStyle="1" w:styleId="Default">
    <w:name w:val="Default"/>
    <w:rsid w:val="007D41D9"/>
    <w:pPr>
      <w:autoSpaceDE w:val="0"/>
      <w:autoSpaceDN w:val="0"/>
      <w:adjustRightInd w:val="0"/>
      <w:spacing w:after="0" w:line="240" w:lineRule="auto"/>
    </w:pPr>
    <w:rPr>
      <w:rFonts w:ascii="Calibri" w:hAnsi="Calibri" w:cs="Calibri"/>
      <w:color w:val="000000"/>
      <w:sz w:val="24"/>
      <w:szCs w:val="24"/>
    </w:rPr>
  </w:style>
  <w:style w:type="paragraph" w:customStyle="1" w:styleId="EndNoteBibliographyTitle">
    <w:name w:val="EndNote Bibliography Title"/>
    <w:basedOn w:val="Normal"/>
    <w:link w:val="EndNoteBibliographyTitleChar"/>
    <w:rsid w:val="0064020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4020E"/>
    <w:rPr>
      <w:rFonts w:ascii="Calibri" w:hAnsi="Calibri" w:cs="Calibri"/>
      <w:noProof/>
    </w:rPr>
  </w:style>
  <w:style w:type="paragraph" w:styleId="ListParagraph">
    <w:name w:val="List Paragraph"/>
    <w:basedOn w:val="Normal"/>
    <w:uiPriority w:val="34"/>
    <w:qFormat/>
    <w:rsid w:val="0021267B"/>
    <w:pPr>
      <w:ind w:left="720"/>
      <w:contextualSpacing/>
    </w:pPr>
  </w:style>
  <w:style w:type="character" w:customStyle="1" w:styleId="A6">
    <w:name w:val="A6"/>
    <w:uiPriority w:val="99"/>
    <w:rsid w:val="007721F7"/>
    <w:rPr>
      <w:rFonts w:cs="Janson Text LT"/>
      <w:color w:val="211D1E"/>
      <w:sz w:val="17"/>
      <w:szCs w:val="17"/>
    </w:rPr>
  </w:style>
  <w:style w:type="table" w:styleId="TableGrid">
    <w:name w:val="Table Grid"/>
    <w:basedOn w:val="TableNormal"/>
    <w:uiPriority w:val="39"/>
    <w:rsid w:val="00C71232"/>
    <w:pPr>
      <w:spacing w:after="0" w:line="240" w:lineRule="auto"/>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sum-pmid">
    <w:name w:val="docsum-pmid"/>
    <w:basedOn w:val="DefaultParagraphFont"/>
    <w:rsid w:val="00C71232"/>
  </w:style>
  <w:style w:type="paragraph" w:styleId="Revision">
    <w:name w:val="Revision"/>
    <w:hidden/>
    <w:uiPriority w:val="99"/>
    <w:semiHidden/>
    <w:rsid w:val="002538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71864">
      <w:bodyDiv w:val="1"/>
      <w:marLeft w:val="0"/>
      <w:marRight w:val="0"/>
      <w:marTop w:val="0"/>
      <w:marBottom w:val="0"/>
      <w:divBdr>
        <w:top w:val="none" w:sz="0" w:space="0" w:color="auto"/>
        <w:left w:val="none" w:sz="0" w:space="0" w:color="auto"/>
        <w:bottom w:val="none" w:sz="0" w:space="0" w:color="auto"/>
        <w:right w:val="none" w:sz="0" w:space="0" w:color="auto"/>
      </w:divBdr>
    </w:div>
    <w:div w:id="667365585">
      <w:bodyDiv w:val="1"/>
      <w:marLeft w:val="0"/>
      <w:marRight w:val="0"/>
      <w:marTop w:val="0"/>
      <w:marBottom w:val="0"/>
      <w:divBdr>
        <w:top w:val="none" w:sz="0" w:space="0" w:color="auto"/>
        <w:left w:val="none" w:sz="0" w:space="0" w:color="auto"/>
        <w:bottom w:val="none" w:sz="0" w:space="0" w:color="auto"/>
        <w:right w:val="none" w:sz="0" w:space="0" w:color="auto"/>
      </w:divBdr>
    </w:div>
    <w:div w:id="1230844803">
      <w:bodyDiv w:val="1"/>
      <w:marLeft w:val="0"/>
      <w:marRight w:val="0"/>
      <w:marTop w:val="0"/>
      <w:marBottom w:val="0"/>
      <w:divBdr>
        <w:top w:val="none" w:sz="0" w:space="0" w:color="auto"/>
        <w:left w:val="none" w:sz="0" w:space="0" w:color="auto"/>
        <w:bottom w:val="none" w:sz="0" w:space="0" w:color="auto"/>
        <w:right w:val="none" w:sz="0" w:space="0" w:color="auto"/>
      </w:divBdr>
    </w:div>
    <w:div w:id="128831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2671</Words>
  <Characters>13729</Characters>
  <Application>Microsoft Office Word</Application>
  <DocSecurity>0</DocSecurity>
  <Lines>1144</Lines>
  <Paragraphs>1024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Yuan (NIH/NCI) [F]</dc:creator>
  <cp:keywords/>
  <dc:description/>
  <cp:lastModifiedBy>Popal, Hannah</cp:lastModifiedBy>
  <cp:revision>2</cp:revision>
  <dcterms:created xsi:type="dcterms:W3CDTF">2025-08-04T17:32:00Z</dcterms:created>
  <dcterms:modified xsi:type="dcterms:W3CDTF">2025-08-04T17:32:00Z</dcterms:modified>
</cp:coreProperties>
</file>