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AA98" w14:textId="77777777" w:rsidR="00161F0D" w:rsidRDefault="00161F0D" w:rsidP="00161F0D">
      <w:pPr>
        <w:rPr>
          <w:rFonts w:ascii="Arial" w:hAnsi="Arial" w:cs="Arial"/>
          <w:b/>
          <w:bCs/>
        </w:rPr>
      </w:pPr>
    </w:p>
    <w:p w14:paraId="55B03846" w14:textId="77777777" w:rsidR="00161F0D" w:rsidRDefault="00161F0D" w:rsidP="00161F0D">
      <w:pPr>
        <w:rPr>
          <w:rFonts w:ascii="Arial" w:hAnsi="Arial" w:cs="Arial"/>
          <w:b/>
          <w:bCs/>
        </w:rPr>
      </w:pPr>
    </w:p>
    <w:p w14:paraId="646BB1F7" w14:textId="77777777" w:rsidR="00161F0D" w:rsidRDefault="00161F0D" w:rsidP="00161F0D">
      <w:pPr>
        <w:rPr>
          <w:rFonts w:ascii="Arial" w:hAnsi="Arial" w:cs="Arial"/>
          <w:b/>
          <w:bCs/>
        </w:rPr>
      </w:pPr>
    </w:p>
    <w:p w14:paraId="12973716" w14:textId="77777777" w:rsidR="00161F0D" w:rsidRDefault="00161F0D" w:rsidP="00161F0D">
      <w:pPr>
        <w:rPr>
          <w:rFonts w:ascii="Arial" w:hAnsi="Arial" w:cs="Arial"/>
          <w:b/>
          <w:bCs/>
        </w:rPr>
      </w:pPr>
    </w:p>
    <w:p w14:paraId="4E28FF1D" w14:textId="77777777" w:rsidR="00161F0D" w:rsidRDefault="00161F0D" w:rsidP="00161F0D">
      <w:pPr>
        <w:rPr>
          <w:rFonts w:ascii="Arial" w:hAnsi="Arial" w:cs="Arial"/>
          <w:b/>
          <w:bCs/>
        </w:rPr>
      </w:pPr>
    </w:p>
    <w:p w14:paraId="15CFD740" w14:textId="77777777" w:rsidR="00161F0D" w:rsidRDefault="00161F0D" w:rsidP="00161F0D">
      <w:pPr>
        <w:rPr>
          <w:rFonts w:ascii="Arial" w:hAnsi="Arial" w:cs="Arial"/>
          <w:b/>
          <w:bCs/>
        </w:rPr>
      </w:pPr>
    </w:p>
    <w:p w14:paraId="61817250" w14:textId="77777777" w:rsidR="00161F0D" w:rsidRDefault="00161F0D" w:rsidP="00161F0D">
      <w:pPr>
        <w:rPr>
          <w:rFonts w:ascii="Arial" w:hAnsi="Arial" w:cs="Arial"/>
          <w:b/>
          <w:bCs/>
        </w:rPr>
      </w:pPr>
    </w:p>
    <w:p w14:paraId="3E0B4C84" w14:textId="77777777" w:rsidR="00161F0D" w:rsidRDefault="00161F0D" w:rsidP="00161F0D">
      <w:pPr>
        <w:rPr>
          <w:rFonts w:ascii="Arial" w:hAnsi="Arial" w:cs="Arial"/>
          <w:b/>
          <w:bCs/>
        </w:rPr>
      </w:pPr>
    </w:p>
    <w:p w14:paraId="52833B8B" w14:textId="77777777" w:rsidR="00161F0D" w:rsidRDefault="00161F0D" w:rsidP="00161F0D">
      <w:pPr>
        <w:rPr>
          <w:rFonts w:ascii="Arial" w:hAnsi="Arial" w:cs="Arial"/>
          <w:b/>
          <w:bCs/>
        </w:rPr>
      </w:pPr>
    </w:p>
    <w:p w14:paraId="0F902A4D" w14:textId="77777777" w:rsidR="00161F0D" w:rsidRDefault="00161F0D" w:rsidP="00161F0D">
      <w:pPr>
        <w:rPr>
          <w:rFonts w:ascii="Arial" w:hAnsi="Arial" w:cs="Arial"/>
          <w:b/>
          <w:bCs/>
        </w:rPr>
      </w:pPr>
    </w:p>
    <w:p w14:paraId="28B3878B" w14:textId="77777777" w:rsidR="00161F0D" w:rsidRDefault="00161F0D" w:rsidP="00161F0D">
      <w:pPr>
        <w:rPr>
          <w:rFonts w:ascii="Arial" w:hAnsi="Arial" w:cs="Arial"/>
          <w:b/>
          <w:bCs/>
        </w:rPr>
      </w:pPr>
    </w:p>
    <w:p w14:paraId="0A63A27C" w14:textId="77777777" w:rsidR="00161F0D" w:rsidRDefault="00161F0D" w:rsidP="00161F0D">
      <w:pPr>
        <w:rPr>
          <w:rFonts w:ascii="Arial" w:hAnsi="Arial" w:cs="Arial"/>
          <w:b/>
          <w:bCs/>
        </w:rPr>
      </w:pPr>
    </w:p>
    <w:p w14:paraId="2B5D315C" w14:textId="77777777" w:rsidR="00161F0D" w:rsidRDefault="00161F0D" w:rsidP="00161F0D">
      <w:pPr>
        <w:rPr>
          <w:rFonts w:ascii="Arial" w:hAnsi="Arial" w:cs="Arial"/>
          <w:b/>
          <w:bCs/>
        </w:rPr>
      </w:pPr>
    </w:p>
    <w:p w14:paraId="313B66BF" w14:textId="77777777" w:rsidR="00161F0D" w:rsidRDefault="00161F0D" w:rsidP="00161F0D">
      <w:pPr>
        <w:rPr>
          <w:rFonts w:ascii="Arial" w:hAnsi="Arial" w:cs="Arial"/>
          <w:b/>
          <w:bCs/>
        </w:rPr>
      </w:pPr>
    </w:p>
    <w:p w14:paraId="4EE17C6F" w14:textId="77777777" w:rsidR="00161F0D" w:rsidRDefault="00161F0D" w:rsidP="00161F0D">
      <w:pPr>
        <w:rPr>
          <w:rFonts w:ascii="Arial" w:hAnsi="Arial" w:cs="Arial"/>
          <w:b/>
          <w:bCs/>
        </w:rPr>
      </w:pPr>
    </w:p>
    <w:p w14:paraId="3B6FA05E" w14:textId="77777777" w:rsidR="00161F0D" w:rsidRDefault="00161F0D" w:rsidP="00161F0D">
      <w:pPr>
        <w:jc w:val="center"/>
        <w:rPr>
          <w:rFonts w:ascii="Arial" w:hAnsi="Arial" w:cs="Arial"/>
          <w:b/>
          <w:bCs/>
        </w:rPr>
      </w:pPr>
      <w:r>
        <w:rPr>
          <w:rFonts w:ascii="Arial" w:hAnsi="Arial" w:cs="Arial"/>
          <w:b/>
          <w:bCs/>
        </w:rPr>
        <w:t>Supplementary Materials</w:t>
      </w:r>
    </w:p>
    <w:p w14:paraId="4467FB28" w14:textId="77777777" w:rsidR="00161F0D" w:rsidRDefault="00161F0D" w:rsidP="00161F0D">
      <w:pPr>
        <w:rPr>
          <w:rFonts w:ascii="Arial" w:hAnsi="Arial" w:cs="Arial"/>
          <w:b/>
          <w:bCs/>
        </w:rPr>
      </w:pPr>
    </w:p>
    <w:p w14:paraId="641B1288" w14:textId="77777777" w:rsidR="00161F0D" w:rsidRDefault="00161F0D" w:rsidP="00161F0D">
      <w:pPr>
        <w:rPr>
          <w:rFonts w:ascii="Arial" w:hAnsi="Arial" w:cs="Arial"/>
          <w:b/>
          <w:bCs/>
        </w:rPr>
      </w:pPr>
      <w:r>
        <w:rPr>
          <w:rFonts w:ascii="Arial" w:hAnsi="Arial" w:cs="Arial"/>
          <w:b/>
          <w:bCs/>
        </w:rPr>
        <w:br w:type="page"/>
      </w:r>
    </w:p>
    <w:p w14:paraId="7DA2E5E9" w14:textId="77777777" w:rsidR="00161F0D" w:rsidRPr="00343437" w:rsidRDefault="00161F0D" w:rsidP="00161F0D">
      <w:pPr>
        <w:spacing w:line="360" w:lineRule="auto"/>
        <w:rPr>
          <w:rFonts w:ascii="Arial" w:hAnsi="Arial" w:cs="Arial"/>
          <w:b/>
          <w:bCs/>
        </w:rPr>
      </w:pPr>
      <w:r>
        <w:rPr>
          <w:rFonts w:ascii="Arial" w:hAnsi="Arial" w:cs="Arial"/>
          <w:b/>
          <w:bCs/>
        </w:rPr>
        <w:lastRenderedPageBreak/>
        <w:t xml:space="preserve">Supplementary </w:t>
      </w:r>
      <w:r w:rsidRPr="00343437">
        <w:rPr>
          <w:rFonts w:ascii="Arial" w:hAnsi="Arial" w:cs="Arial"/>
          <w:b/>
          <w:bCs/>
        </w:rPr>
        <w:t>Methods</w:t>
      </w:r>
    </w:p>
    <w:p w14:paraId="6D5B1B2C" w14:textId="77777777" w:rsidR="00161F0D" w:rsidRDefault="00161F0D" w:rsidP="00161F0D">
      <w:pPr>
        <w:spacing w:line="360" w:lineRule="auto"/>
        <w:rPr>
          <w:rFonts w:ascii="Arial" w:hAnsi="Arial" w:cs="Arial"/>
          <w:i/>
          <w:iCs/>
        </w:rPr>
      </w:pPr>
      <w:r>
        <w:rPr>
          <w:rFonts w:ascii="Arial" w:hAnsi="Arial" w:cs="Arial"/>
          <w:i/>
          <w:iCs/>
        </w:rPr>
        <w:t>Variant epidemic curves</w:t>
      </w:r>
    </w:p>
    <w:p w14:paraId="5B2E46D1" w14:textId="750A9303" w:rsidR="00161F0D" w:rsidRDefault="00161F0D" w:rsidP="00161F0D">
      <w:pPr>
        <w:spacing w:line="360" w:lineRule="auto"/>
        <w:rPr>
          <w:rFonts w:ascii="Arial" w:hAnsi="Arial" w:cs="Arial"/>
        </w:rPr>
      </w:pPr>
      <w:r>
        <w:rPr>
          <w:rFonts w:ascii="Arial" w:hAnsi="Arial" w:cs="Arial"/>
        </w:rPr>
        <w:t xml:space="preserve">We used data from CDC’s national genomic surveillance program, which aggregates biweekly </w:t>
      </w:r>
      <w:r w:rsidRPr="009E2153">
        <w:rPr>
          <w:rFonts w:ascii="Arial" w:hAnsi="Arial" w:cs="Arial"/>
        </w:rPr>
        <w:t xml:space="preserve">SARS-CoV-2 sequence data from </w:t>
      </w:r>
      <w:r>
        <w:rPr>
          <w:rFonts w:ascii="Arial" w:hAnsi="Arial" w:cs="Arial"/>
        </w:rPr>
        <w:t xml:space="preserve">CDC-funded programs and public data repositories </w:t>
      </w:r>
      <w:r>
        <w:rPr>
          <w:rFonts w:ascii="Arial" w:hAnsi="Arial" w:cs="Arial"/>
        </w:rPr>
        <w:fldChar w:fldCharType="begin" w:fldLock="1"/>
      </w:r>
      <w:r>
        <w:rPr>
          <w:rFonts w:ascii="Arial" w:hAnsi="Arial" w:cs="Arial"/>
        </w:rPr>
        <w:instrText>ADDIN paperpile_citation &lt;clusterId&gt;F119M167I557G241&lt;/clusterId&gt;&lt;metadata&gt;&lt;citation&gt;&lt;id&gt;ba152cb5-b9b5-4441-88cf-2f7ad67f84bf&lt;/id&gt;&lt;/citation&gt;&lt;/metadata&gt;&lt;data&gt;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&lt;/data&gt; \* MERGEFORMAT</w:instrText>
      </w:r>
      <w:r>
        <w:rPr>
          <w:rFonts w:ascii="Arial" w:hAnsi="Arial" w:cs="Arial"/>
        </w:rPr>
        <w:fldChar w:fldCharType="separate"/>
      </w:r>
      <w:r w:rsidR="00FD520F">
        <w:rPr>
          <w:rFonts w:ascii="Arial" w:hAnsi="Arial" w:cs="Arial"/>
          <w:noProof/>
        </w:rPr>
        <w:t>[1]</w:t>
      </w:r>
      <w:r>
        <w:rPr>
          <w:rFonts w:ascii="Arial" w:hAnsi="Arial" w:cs="Arial"/>
        </w:rPr>
        <w:fldChar w:fldCharType="end"/>
      </w:r>
      <w:r>
        <w:rPr>
          <w:rFonts w:ascii="Arial" w:hAnsi="Arial" w:cs="Arial"/>
        </w:rPr>
        <w:t xml:space="preserve">, to estimate COVID-19 cases attributable to variants circulating from July 2021 to September 2024. </w:t>
      </w:r>
      <w:r w:rsidRPr="008B2427">
        <w:rPr>
          <w:rFonts w:ascii="Arial" w:hAnsi="Arial" w:cs="Arial"/>
        </w:rPr>
        <w:t>Using previously</w:t>
      </w:r>
      <w:r>
        <w:rPr>
          <w:rFonts w:ascii="Arial" w:hAnsi="Arial" w:cs="Arial"/>
        </w:rPr>
        <w:t xml:space="preserve"> defined SARS-CoV-2 lineage groups </w:t>
      </w:r>
      <w:r>
        <w:rPr>
          <w:rFonts w:ascii="Arial" w:hAnsi="Arial" w:cs="Arial"/>
        </w:rPr>
        <w:fldChar w:fldCharType="begin" w:fldLock="1"/>
      </w:r>
      <w:r w:rsidR="0007753A">
        <w:rPr>
          <w:rFonts w:ascii="Arial" w:hAnsi="Arial" w:cs="Arial"/>
        </w:rPr>
        <w:instrText>ADDIN paperpile_citation &lt;clusterId&gt;P481D741S231W842&lt;/clusterId&gt;&lt;metadata&gt;&lt;citation&gt;&lt;id&gt;a98c76e8-7dbe-47c7-9327-75a4e3620ea3&lt;/id&gt;&lt;/citation&gt;&lt;citation&gt;&lt;id&gt;5a28cb05-4810-442a-afaf-a6c6f7a0acb5&lt;/id&gt;&lt;/citation&gt;&lt;/metadata&gt;&lt;data&gt;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&lt;/data&gt; \* MERGEFORMAT</w:instrText>
      </w:r>
      <w:r>
        <w:rPr>
          <w:rFonts w:ascii="Arial" w:hAnsi="Arial" w:cs="Arial"/>
        </w:rPr>
        <w:fldChar w:fldCharType="separate"/>
      </w:r>
      <w:r w:rsidR="00B16A24">
        <w:rPr>
          <w:rFonts w:ascii="Arial" w:hAnsi="Arial" w:cs="Arial"/>
          <w:noProof/>
        </w:rPr>
        <w:t>[2,3]</w:t>
      </w:r>
      <w:r>
        <w:rPr>
          <w:rFonts w:ascii="Arial" w:hAnsi="Arial" w:cs="Arial"/>
        </w:rPr>
        <w:fldChar w:fldCharType="end"/>
      </w:r>
      <w:r>
        <w:rPr>
          <w:rFonts w:ascii="Arial" w:hAnsi="Arial" w:cs="Arial"/>
        </w:rPr>
        <w:t xml:space="preserve">, we included the following variants that attained 5% prevalence or greater anytime from July 20, 2021, to September 14, 2024: </w:t>
      </w:r>
      <w:r w:rsidRPr="00A64162">
        <w:rPr>
          <w:rFonts w:ascii="Arial" w:hAnsi="Arial" w:cs="Arial"/>
        </w:rPr>
        <w:t>B.1.617.2</w:t>
      </w:r>
      <w:r>
        <w:rPr>
          <w:rFonts w:ascii="Arial" w:hAnsi="Arial" w:cs="Arial"/>
        </w:rPr>
        <w:t xml:space="preserve">, </w:t>
      </w:r>
      <w:r w:rsidRPr="00A64162">
        <w:rPr>
          <w:rFonts w:ascii="Arial" w:hAnsi="Arial" w:cs="Arial"/>
        </w:rPr>
        <w:t>B.1.1.529</w:t>
      </w:r>
      <w:r>
        <w:rPr>
          <w:rFonts w:ascii="Arial" w:hAnsi="Arial" w:cs="Arial"/>
        </w:rPr>
        <w:t xml:space="preserve">, </w:t>
      </w:r>
      <w:r w:rsidRPr="00A64162">
        <w:rPr>
          <w:rFonts w:ascii="Arial" w:hAnsi="Arial" w:cs="Arial"/>
        </w:rPr>
        <w:t>BA.1.1</w:t>
      </w:r>
      <w:r>
        <w:rPr>
          <w:rFonts w:ascii="Arial" w:hAnsi="Arial" w:cs="Arial"/>
        </w:rPr>
        <w:t xml:space="preserve">, </w:t>
      </w:r>
      <w:r w:rsidRPr="0093570D">
        <w:rPr>
          <w:rFonts w:ascii="Arial" w:hAnsi="Arial" w:cs="Arial"/>
        </w:rPr>
        <w:t xml:space="preserve">BA.2, BA.2.12.1, BA.4, BA.5, BA.4.6, BF.7, BQ.1, BQ.1.1, XBB.1.5-like, XBB.1.16-like, EG.5-like, XBB, XBB.2.3, FL.1.5.1-like, HV.1, HK.3-like, JD.1.1, JN.1-like, KQ.1-like, KP.2-like, JN.1.16-like, KP.3, LB.1-like, </w:t>
      </w:r>
      <w:r>
        <w:rPr>
          <w:rFonts w:ascii="Arial" w:hAnsi="Arial" w:cs="Arial"/>
        </w:rPr>
        <w:t xml:space="preserve">and </w:t>
      </w:r>
      <w:r w:rsidRPr="0093570D">
        <w:rPr>
          <w:rFonts w:ascii="Arial" w:hAnsi="Arial" w:cs="Arial"/>
        </w:rPr>
        <w:t>KP.3.1.1-like</w:t>
      </w:r>
      <w:r>
        <w:rPr>
          <w:rFonts w:ascii="Arial" w:hAnsi="Arial" w:cs="Arial"/>
        </w:rPr>
        <w:t xml:space="preserve"> lineages. XBB and JN.1 l</w:t>
      </w:r>
      <w:r w:rsidRPr="004A6354">
        <w:rPr>
          <w:rFonts w:ascii="Arial" w:hAnsi="Arial" w:cs="Arial"/>
        </w:rPr>
        <w:t>ineages with identical spike residue 31 and receptor binding domain substitutions (residues 332–527) were grouped and denoted as “representative lineage-like</w:t>
      </w:r>
      <w:r>
        <w:rPr>
          <w:rFonts w:ascii="Arial" w:hAnsi="Arial" w:cs="Arial"/>
        </w:rPr>
        <w:t>.</w:t>
      </w:r>
      <w:r w:rsidRPr="004A6354">
        <w:rPr>
          <w:rFonts w:ascii="Arial" w:hAnsi="Arial" w:cs="Arial"/>
        </w:rPr>
        <w:t>”</w:t>
      </w:r>
      <w:r>
        <w:rPr>
          <w:rFonts w:ascii="Arial" w:hAnsi="Arial" w:cs="Arial"/>
        </w:rPr>
        <w:t xml:space="preserve"> We estimated biweekly numbers of COVID-19 infections attributable to these variants by multiplying counts of positive SARS-CoV-2 positive test results from the</w:t>
      </w:r>
      <w:r w:rsidRPr="008E475B">
        <w:rPr>
          <w:rFonts w:ascii="Arial" w:hAnsi="Arial" w:cs="Arial"/>
        </w:rPr>
        <w:t xml:space="preserve"> National Respiratory and Enteric Virus Surveillance System (NREVSS)</w:t>
      </w:r>
      <w:r>
        <w:rPr>
          <w:rFonts w:ascii="Arial" w:hAnsi="Arial" w:cs="Arial"/>
        </w:rPr>
        <w:t xml:space="preserve"> with biweekly variant proportions from genomic surveillance </w:t>
      </w:r>
      <w:r>
        <w:rPr>
          <w:rFonts w:ascii="Arial" w:hAnsi="Arial" w:cs="Arial"/>
        </w:rPr>
        <w:fldChar w:fldCharType="begin" w:fldLock="1"/>
      </w:r>
      <w:r>
        <w:rPr>
          <w:rFonts w:ascii="Arial" w:hAnsi="Arial" w:cs="Arial"/>
        </w:rPr>
        <w:instrText>ADDIN paperpile_citation &lt;clusterId&gt;U962I329X719C433&lt;/clusterId&gt;&lt;metadata&gt;&lt;citation&gt;&lt;id&gt;37b5c00e-16ce-4d38-91bc-f22aa621b55c&lt;/id&gt;&lt;/citation&gt;&lt;/metadata&gt;&lt;data&gt;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&lt;/data&gt; \* MERGEFORMAT</w:instrText>
      </w:r>
      <w:r>
        <w:rPr>
          <w:rFonts w:ascii="Arial" w:hAnsi="Arial" w:cs="Arial"/>
        </w:rPr>
        <w:fldChar w:fldCharType="separate"/>
      </w:r>
      <w:r w:rsidR="0007753A">
        <w:rPr>
          <w:rFonts w:ascii="Arial" w:hAnsi="Arial" w:cs="Arial"/>
          <w:noProof/>
        </w:rPr>
        <w:t>[4]</w:t>
      </w:r>
      <w:r>
        <w:rPr>
          <w:rFonts w:ascii="Arial" w:hAnsi="Arial" w:cs="Arial"/>
        </w:rPr>
        <w:fldChar w:fldCharType="end"/>
      </w:r>
      <w:r>
        <w:rPr>
          <w:rFonts w:ascii="Arial" w:hAnsi="Arial" w:cs="Arial"/>
        </w:rPr>
        <w:t>. For each included variant, we restricted to biweeks in which it circulated at 0.1% share or greater, and normalized to the maximum cases per variant. No additional adjustments were made for overall decreasing detection of COVID-19 cases over time due to reductions in testing availability.</w:t>
      </w:r>
    </w:p>
    <w:p w14:paraId="195FA60E" w14:textId="77777777" w:rsidR="00161F0D" w:rsidRDefault="00161F0D" w:rsidP="00161F0D">
      <w:pPr>
        <w:spacing w:line="360" w:lineRule="auto"/>
        <w:rPr>
          <w:rFonts w:ascii="Arial" w:hAnsi="Arial" w:cs="Arial"/>
        </w:rPr>
      </w:pPr>
      <w:r>
        <w:rPr>
          <w:rFonts w:ascii="Arial" w:hAnsi="Arial" w:cs="Arial"/>
        </w:rPr>
        <w:t>Biweekly estimates of normalized variant-attributable COVID-19 cases generally appeared to be symmetrically distributed over time (Supplementary Figure 1). Periods of sequential variant takeover and predominance, such as during early Omicron evolution from B.1.1.529/BA.1 to BA.2 to BA.4/5 in 2022, appeared to have staggered variant epidemic curves (Supplementary Figure 1A). Periods of more prolonged co-circulation, such as during the latter half of 2023 when multiple XBB descendants circulated, showed greater overlap in variant epidemic curves (Supplementary Figure 1B). The peak number of attributed cases per variant occurred a median of 12 weeks after the variant first reached 0.1% prevalence. Across the variants included, the median epidemic curve standard deviation was 6.0 weeks. Assuming normally distributed time series, this indicated that approximately 95% of cases for a given variant occurred within a 24-week (5.5 month) period.</w:t>
      </w:r>
    </w:p>
    <w:p w14:paraId="057230AB" w14:textId="77777777" w:rsidR="00161F0D" w:rsidRDefault="00161F0D" w:rsidP="00161F0D">
      <w:pPr>
        <w:spacing w:line="360" w:lineRule="auto"/>
        <w:rPr>
          <w:rFonts w:ascii="Arial" w:hAnsi="Arial" w:cs="Arial"/>
          <w:i/>
          <w:iCs/>
        </w:rPr>
      </w:pPr>
    </w:p>
    <w:p w14:paraId="08C1D1D6" w14:textId="77777777" w:rsidR="00161F0D" w:rsidRPr="00343437" w:rsidRDefault="00161F0D" w:rsidP="00161F0D">
      <w:pPr>
        <w:spacing w:line="360" w:lineRule="auto"/>
        <w:rPr>
          <w:rFonts w:ascii="Arial" w:hAnsi="Arial" w:cs="Arial"/>
          <w:i/>
          <w:iCs/>
        </w:rPr>
      </w:pPr>
      <w:r w:rsidRPr="00343437">
        <w:rPr>
          <w:rFonts w:ascii="Arial" w:hAnsi="Arial" w:cs="Arial"/>
          <w:i/>
          <w:iCs/>
        </w:rPr>
        <w:t xml:space="preserve">Variant </w:t>
      </w:r>
      <w:r>
        <w:rPr>
          <w:rFonts w:ascii="Arial" w:hAnsi="Arial" w:cs="Arial"/>
          <w:i/>
          <w:iCs/>
        </w:rPr>
        <w:t>co-circulation</w:t>
      </w:r>
      <w:r w:rsidRPr="00343437">
        <w:rPr>
          <w:rFonts w:ascii="Arial" w:hAnsi="Arial" w:cs="Arial"/>
          <w:i/>
          <w:iCs/>
        </w:rPr>
        <w:t xml:space="preserve"> </w:t>
      </w:r>
      <w:r>
        <w:rPr>
          <w:rFonts w:ascii="Arial" w:hAnsi="Arial" w:cs="Arial"/>
          <w:i/>
          <w:iCs/>
        </w:rPr>
        <w:t>model</w:t>
      </w:r>
    </w:p>
    <w:p w14:paraId="0E9BBDAF" w14:textId="4FCCF663" w:rsidR="00161F0D" w:rsidRPr="00343437" w:rsidRDefault="00161F0D" w:rsidP="00161F0D">
      <w:pPr>
        <w:spacing w:line="360" w:lineRule="auto"/>
        <w:rPr>
          <w:rFonts w:ascii="Arial" w:eastAsiaTheme="minorEastAsia" w:hAnsi="Arial" w:cs="Arial"/>
        </w:rPr>
      </w:pPr>
      <w:r>
        <w:rPr>
          <w:rFonts w:ascii="Arial" w:eastAsiaTheme="minorEastAsia" w:hAnsi="Arial" w:cs="Arial"/>
        </w:rPr>
        <w:lastRenderedPageBreak/>
        <w:t>Based on our empiric assessments of variant circulation, w</w:t>
      </w:r>
      <w:r w:rsidRPr="00343437">
        <w:rPr>
          <w:rFonts w:ascii="Arial" w:eastAsiaTheme="minorEastAsia" w:hAnsi="Arial" w:cs="Arial"/>
        </w:rPr>
        <w:t xml:space="preserve">e </w:t>
      </w:r>
      <w:r>
        <w:rPr>
          <w:rFonts w:ascii="Arial" w:eastAsiaTheme="minorEastAsia" w:hAnsi="Arial" w:cs="Arial"/>
        </w:rPr>
        <w:t xml:space="preserve">used a simple deterministic </w:t>
      </w:r>
      <w:r w:rsidRPr="00343437">
        <w:rPr>
          <w:rFonts w:ascii="Arial" w:eastAsiaTheme="minorEastAsia" w:hAnsi="Arial" w:cs="Arial"/>
        </w:rPr>
        <w:t xml:space="preserve">model </w:t>
      </w:r>
      <w:r>
        <w:rPr>
          <w:rFonts w:ascii="Arial" w:eastAsiaTheme="minorEastAsia" w:hAnsi="Arial" w:cs="Arial"/>
        </w:rPr>
        <w:t>to represent</w:t>
      </w:r>
      <w:r w:rsidRPr="00343437">
        <w:rPr>
          <w:rFonts w:ascii="Arial" w:eastAsiaTheme="minorEastAsia" w:hAnsi="Arial" w:cs="Arial"/>
        </w:rPr>
        <w:t xml:space="preserve"> dynamics of two SARS-CoV-2 lineages</w:t>
      </w:r>
      <w:r w:rsidRPr="00343437">
        <w:rPr>
          <w:rFonts w:ascii="Arial" w:hAnsi="Arial" w:cs="Arial"/>
        </w:rPr>
        <w:t xml:space="preserve">, </w:t>
      </w:r>
      <w:r>
        <w:rPr>
          <w:rFonts w:ascii="Arial" w:hAnsi="Arial" w:cs="Arial"/>
        </w:rPr>
        <w:t xml:space="preserve">adapted from </w:t>
      </w:r>
      <w:r w:rsidRPr="00343437">
        <w:rPr>
          <w:rFonts w:ascii="Arial" w:hAnsi="Arial" w:cs="Arial"/>
        </w:rPr>
        <w:t>Bond et al.</w:t>
      </w:r>
      <w:r>
        <w:rPr>
          <w:rFonts w:ascii="Arial" w:hAnsi="Arial" w:cs="Arial"/>
        </w:rPr>
        <w:t xml:space="preserve">’s approach of defining </w:t>
      </w:r>
      <w:r w:rsidRPr="00343437">
        <w:rPr>
          <w:rFonts w:ascii="Arial" w:hAnsi="Arial" w:cs="Arial"/>
        </w:rPr>
        <w:t xml:space="preserve">symmetric epidemic curves using the binomial distribution for influenza transmission </w:t>
      </w:r>
      <w:r w:rsidRPr="00343437">
        <w:rPr>
          <w:rFonts w:ascii="Arial" w:hAnsi="Arial" w:cs="Arial"/>
        </w:rPr>
        <w:fldChar w:fldCharType="begin" w:fldLock="1"/>
      </w:r>
      <w:r w:rsidRPr="00343437">
        <w:rPr>
          <w:rFonts w:ascii="Arial" w:hAnsi="Arial" w:cs="Arial"/>
        </w:rPr>
        <w:instrText>ADDIN paperpile_citation &lt;clusterId&gt;F753T731I421N114&lt;/clusterId&gt;&lt;metadata&gt;&lt;citation&gt;&lt;id&gt;91db1c18-7791-4efb-9afd-0f954b2a5805&lt;/id&gt;&lt;/citation&gt;&lt;/metadata&gt;&lt;data&gt;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&lt;/data&gt; \* MERGEFORMAT</w:instrText>
      </w:r>
      <w:r w:rsidRPr="00343437">
        <w:rPr>
          <w:rFonts w:ascii="Arial" w:hAnsi="Arial" w:cs="Arial"/>
        </w:rPr>
        <w:fldChar w:fldCharType="separate"/>
      </w:r>
      <w:r w:rsidR="0007753A">
        <w:rPr>
          <w:rFonts w:ascii="Arial" w:hAnsi="Arial" w:cs="Arial"/>
          <w:noProof/>
        </w:rPr>
        <w:t>[5]</w:t>
      </w:r>
      <w:r w:rsidRPr="00343437">
        <w:rPr>
          <w:rFonts w:ascii="Arial" w:hAnsi="Arial" w:cs="Arial"/>
        </w:rPr>
        <w:fldChar w:fldCharType="end"/>
      </w:r>
      <w:r w:rsidRPr="00343437">
        <w:rPr>
          <w:rFonts w:ascii="Arial" w:hAnsi="Arial" w:cs="Arial"/>
        </w:rPr>
        <w:t xml:space="preserve">. </w:t>
      </w:r>
      <w:r w:rsidRPr="00343437">
        <w:rPr>
          <w:rFonts w:ascii="Arial" w:eastAsiaTheme="minorEastAsia" w:hAnsi="Arial" w:cs="Arial"/>
        </w:rPr>
        <w:t>This approach allows full parametric determination of the shape and height of an epidemic curve but does not assume a mechanistic model underlying transmission.</w:t>
      </w:r>
    </w:p>
    <w:p w14:paraId="07C8AC3C" w14:textId="77777777" w:rsidR="00161F0D" w:rsidRPr="00343437" w:rsidRDefault="00161F0D" w:rsidP="00161F0D">
      <w:pPr>
        <w:spacing w:line="360" w:lineRule="auto"/>
        <w:rPr>
          <w:rFonts w:ascii="Arial" w:hAnsi="Arial" w:cs="Arial"/>
        </w:rPr>
      </w:pPr>
      <w:r w:rsidRPr="00343437">
        <w:rPr>
          <w:rFonts w:ascii="Arial" w:eastAsiaTheme="minorEastAsia" w:hAnsi="Arial" w:cs="Arial"/>
        </w:rPr>
        <w:t>Formally, e</w:t>
      </w:r>
      <w:r w:rsidRPr="00343437">
        <w:rPr>
          <w:rFonts w:ascii="Arial" w:hAnsi="Arial" w:cs="Arial"/>
        </w:rPr>
        <w:t xml:space="preserve">pidemic dynamics </w:t>
      </w:r>
      <w:r w:rsidRPr="00343437">
        <w:rPr>
          <w:rFonts w:ascii="Arial" w:eastAsiaTheme="minorEastAsia" w:hAnsi="Arial" w:cs="Arial"/>
        </w:rPr>
        <w:t xml:space="preserve">for variants 1 and 2 </w:t>
      </w:r>
      <w:r w:rsidRPr="00343437">
        <w:rPr>
          <w:rFonts w:ascii="Arial" w:hAnsi="Arial" w:cs="Arial"/>
        </w:rPr>
        <w:t xml:space="preserve">are assumed to </w:t>
      </w:r>
      <w:r>
        <w:rPr>
          <w:rFonts w:ascii="Arial" w:hAnsi="Arial" w:cs="Arial"/>
        </w:rPr>
        <w:t xml:space="preserve">each </w:t>
      </w:r>
      <w:r w:rsidRPr="00343437">
        <w:rPr>
          <w:rFonts w:ascii="Arial" w:hAnsi="Arial" w:cs="Arial"/>
        </w:rPr>
        <w:t xml:space="preserve">follow </w:t>
      </w:r>
      <w:r>
        <w:rPr>
          <w:rFonts w:ascii="Arial" w:hAnsi="Arial" w:cs="Arial"/>
        </w:rPr>
        <w:t xml:space="preserve">a </w:t>
      </w:r>
      <w:r w:rsidRPr="00343437">
        <w:rPr>
          <w:rFonts w:ascii="Arial" w:hAnsi="Arial" w:cs="Arial"/>
        </w:rPr>
        <w:t xml:space="preserve">normally distributed time series </w:t>
      </w:r>
      <m:oMath>
        <m:sSub>
          <m:sSubPr>
            <m:ctrlPr>
              <w:rPr>
                <w:rFonts w:ascii="Cambria Math" w:hAnsi="Cambria Math" w:cs="Arial"/>
                <w:i/>
              </w:rPr>
            </m:ctrlPr>
          </m:sSubPr>
          <m:e>
            <m:r>
              <w:rPr>
                <w:rFonts w:ascii="Cambria Math" w:hAnsi="Cambria Math" w:cs="Arial"/>
              </w:rPr>
              <m:t>P</m:t>
            </m:r>
          </m:e>
          <m:sub>
            <m:r>
              <w:rPr>
                <w:rFonts w:ascii="Cambria Math" w:hAnsi="Cambria Math" w:cs="Arial"/>
              </w:rPr>
              <m:t>i</m:t>
            </m:r>
          </m:sub>
        </m:sSub>
      </m:oMath>
      <w:r w:rsidRPr="00343437">
        <w:rPr>
          <w:rFonts w:ascii="Arial" w:eastAsiaTheme="minorEastAsia" w:hAnsi="Arial" w:cs="Arial"/>
        </w:rPr>
        <w:t xml:space="preserve">, with </w:t>
      </w: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1</m:t>
            </m:r>
          </m:sub>
        </m:sSub>
      </m:oMath>
      <w:r w:rsidRPr="00343437">
        <w:rPr>
          <w:rFonts w:ascii="Arial" w:eastAsiaTheme="minorEastAsia" w:hAnsi="Arial" w:cs="Arial"/>
        </w:rPr>
        <w:t xml:space="preserve"> and </w:t>
      </w: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2</m:t>
            </m:r>
          </m:sub>
        </m:sSub>
      </m:oMath>
      <w:r w:rsidRPr="00343437">
        <w:rPr>
          <w:rFonts w:ascii="Arial" w:eastAsiaTheme="minorEastAsia" w:hAnsi="Arial" w:cs="Arial"/>
        </w:rPr>
        <w:t xml:space="preserve"> representing the weeks in which variants 1 and 2 peak, respectively.</w:t>
      </w:r>
      <w:r w:rsidRPr="00343437">
        <w:rPr>
          <w:rFonts w:ascii="Arial" w:hAnsi="Arial" w:cs="Arial"/>
        </w:rPr>
        <w:t xml:space="preserve"> </w:t>
      </w:r>
      <w:r>
        <w:rPr>
          <w:rFonts w:ascii="Arial" w:hAnsi="Arial" w:cs="Arial"/>
        </w:rPr>
        <w:t>Variant 1 is assumed to peak at 15 weeks, and variant 2 is assumed to peak 2 to 30 weeks after variant 1 (Figure 1); th</w:t>
      </w:r>
      <w:r>
        <w:rPr>
          <w:rFonts w:ascii="Arial" w:eastAsiaTheme="minorEastAsia" w:hAnsi="Arial" w:cs="Arial"/>
        </w:rPr>
        <w:t>is</w:t>
      </w:r>
      <w:r w:rsidRPr="00343437">
        <w:rPr>
          <w:rFonts w:ascii="Arial" w:eastAsiaTheme="minorEastAsia" w:hAnsi="Arial" w:cs="Arial"/>
        </w:rPr>
        <w:t xml:space="preserve"> degree of right-shift is the main variable </w:t>
      </w:r>
      <w:r>
        <w:rPr>
          <w:rFonts w:ascii="Arial" w:eastAsiaTheme="minorEastAsia" w:hAnsi="Arial" w:cs="Arial"/>
        </w:rPr>
        <w:t xml:space="preserve">that is </w:t>
      </w:r>
      <w:r w:rsidRPr="00343437">
        <w:rPr>
          <w:rFonts w:ascii="Arial" w:eastAsiaTheme="minorEastAsia" w:hAnsi="Arial" w:cs="Arial"/>
        </w:rPr>
        <w:t xml:space="preserve">adjusted to </w:t>
      </w:r>
      <w:r>
        <w:rPr>
          <w:rFonts w:ascii="Arial" w:eastAsiaTheme="minorEastAsia" w:hAnsi="Arial" w:cs="Arial"/>
        </w:rPr>
        <w:t>generate different variant circulation patterns</w:t>
      </w:r>
      <w:r w:rsidRPr="00343437">
        <w:rPr>
          <w:rFonts w:ascii="Arial" w:eastAsiaTheme="minorEastAsia" w:hAnsi="Arial" w:cs="Arial"/>
        </w:rPr>
        <w:t>.</w:t>
      </w:r>
      <w:r>
        <w:rPr>
          <w:rFonts w:ascii="Arial" w:eastAsiaTheme="minorEastAsia" w:hAnsi="Arial" w:cs="Arial"/>
        </w:rPr>
        <w:t xml:space="preserve"> </w:t>
      </w:r>
      <w:r w:rsidRPr="00343437">
        <w:rPr>
          <w:rFonts w:ascii="Arial" w:eastAsiaTheme="minorEastAsia" w:hAnsi="Arial" w:cs="Arial"/>
        </w:rPr>
        <w:t>The standard deviation</w:t>
      </w:r>
      <w:r>
        <w:rPr>
          <w:rFonts w:ascii="Arial" w:eastAsiaTheme="minorEastAsia" w:hAnsi="Arial" w:cs="Arial"/>
        </w:rPr>
        <w:t xml:space="preserve"> </w:t>
      </w:r>
      <m:oMath>
        <m:r>
          <w:rPr>
            <w:rFonts w:ascii="Cambria Math" w:eastAsiaTheme="minorEastAsia" w:hAnsi="Cambria Math" w:cs="Arial"/>
          </w:rPr>
          <m:t>σ</m:t>
        </m:r>
      </m:oMath>
      <w:r w:rsidRPr="00343437">
        <w:rPr>
          <w:rFonts w:ascii="Arial" w:eastAsiaTheme="minorEastAsia" w:hAnsi="Arial" w:cs="Arial"/>
        </w:rPr>
        <w:t xml:space="preserve"> </w:t>
      </w:r>
      <w:r>
        <w:rPr>
          <w:rFonts w:ascii="Arial" w:eastAsiaTheme="minorEastAsia" w:hAnsi="Arial" w:cs="Arial"/>
        </w:rPr>
        <w:t xml:space="preserve">from the peak </w:t>
      </w:r>
      <w:r w:rsidRPr="00343437">
        <w:rPr>
          <w:rFonts w:ascii="Arial" w:eastAsiaTheme="minorEastAsia" w:hAnsi="Arial" w:cs="Arial"/>
        </w:rPr>
        <w:t>of the</w:t>
      </w:r>
      <w:r>
        <w:rPr>
          <w:rFonts w:ascii="Arial" w:eastAsiaTheme="minorEastAsia" w:hAnsi="Arial" w:cs="Arial"/>
        </w:rPr>
        <w:t xml:space="preserve"> epidemic </w:t>
      </w:r>
      <w:r w:rsidRPr="00343437">
        <w:rPr>
          <w:rFonts w:ascii="Arial" w:eastAsiaTheme="minorEastAsia" w:hAnsi="Arial" w:cs="Arial"/>
        </w:rPr>
        <w:t xml:space="preserve">time series is assumed to be </w:t>
      </w:r>
      <w:r>
        <w:rPr>
          <w:rFonts w:ascii="Arial" w:eastAsiaTheme="minorEastAsia" w:hAnsi="Arial" w:cs="Arial"/>
        </w:rPr>
        <w:t>6</w:t>
      </w:r>
      <w:r w:rsidRPr="00343437">
        <w:rPr>
          <w:rFonts w:ascii="Arial" w:eastAsiaTheme="minorEastAsia" w:hAnsi="Arial" w:cs="Arial"/>
        </w:rPr>
        <w:t xml:space="preserve"> weeks</w:t>
      </w:r>
      <w:r>
        <w:rPr>
          <w:rFonts w:ascii="Arial" w:eastAsiaTheme="minorEastAsia" w:hAnsi="Arial" w:cs="Arial"/>
        </w:rPr>
        <w:t xml:space="preserve"> for both variants</w:t>
      </w:r>
      <w:r w:rsidRPr="00343437">
        <w:rPr>
          <w:rFonts w:ascii="Arial" w:eastAsiaTheme="minorEastAsia" w:hAnsi="Arial" w:cs="Arial"/>
        </w:rPr>
        <w:t>,</w:t>
      </w:r>
      <w:r>
        <w:rPr>
          <w:rFonts w:ascii="Arial" w:eastAsiaTheme="minorEastAsia" w:hAnsi="Arial" w:cs="Arial"/>
        </w:rPr>
        <w:t xml:space="preserve"> </w:t>
      </w:r>
      <w:r w:rsidRPr="00343437">
        <w:rPr>
          <w:rFonts w:ascii="Arial" w:eastAsiaTheme="minorEastAsia" w:hAnsi="Arial" w:cs="Arial"/>
        </w:rPr>
        <w:t xml:space="preserve">corresponding to 95% of cases for a given variant occurring within a </w:t>
      </w:r>
      <w:r>
        <w:rPr>
          <w:rFonts w:ascii="Arial" w:eastAsiaTheme="minorEastAsia" w:hAnsi="Arial" w:cs="Arial"/>
        </w:rPr>
        <w:t>24</w:t>
      </w:r>
      <w:r w:rsidRPr="00343437">
        <w:rPr>
          <w:rFonts w:ascii="Arial" w:eastAsiaTheme="minorEastAsia" w:hAnsi="Arial" w:cs="Arial"/>
        </w:rPr>
        <w:t>-week period.</w:t>
      </w:r>
    </w:p>
    <w:p w14:paraId="38841C1D" w14:textId="77777777" w:rsidR="00161F0D" w:rsidRPr="00343437"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1</m:t>
              </m:r>
            </m:sub>
          </m:sSub>
          <m:r>
            <w:rPr>
              <w:rFonts w:ascii="Cambria Math" w:eastAsiaTheme="minorEastAsia" w:hAnsi="Cambria Math" w:cs="Arial"/>
            </w:rPr>
            <m:t xml:space="preserve">~ </m:t>
          </m:r>
          <m:r>
            <w:rPr>
              <w:rFonts w:ascii="Cambria Math" w:eastAsiaTheme="minorEastAsia" w:hAnsi="Cambria Math" w:cs="Arial"/>
            </w:rPr>
            <m:t>N</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1</m:t>
                  </m:r>
                </m:sub>
              </m:sSub>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e>
          </m:d>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2</m:t>
              </m:r>
            </m:sub>
          </m:sSub>
          <m:r>
            <w:rPr>
              <w:rFonts w:ascii="Cambria Math" w:eastAsiaTheme="minorEastAsia" w:hAnsi="Cambria Math" w:cs="Arial"/>
            </w:rPr>
            <m:t xml:space="preserve"> ~ </m:t>
          </m:r>
          <m:r>
            <w:rPr>
              <w:rFonts w:ascii="Cambria Math" w:eastAsiaTheme="minorEastAsia" w:hAnsi="Cambria Math" w:cs="Arial"/>
            </w:rPr>
            <m:t>N</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2</m:t>
                  </m:r>
                </m:sub>
              </m:sSub>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e>
          </m:d>
          <m:r>
            <w:rPr>
              <w:rFonts w:ascii="Cambria Math" w:eastAsiaTheme="minorEastAsia" w:hAnsi="Cambria Math" w:cs="Arial"/>
            </w:rPr>
            <m:t xml:space="preserve"> </m:t>
          </m:r>
        </m:oMath>
      </m:oMathPara>
    </w:p>
    <w:p w14:paraId="3F3765B8" w14:textId="15D33196" w:rsidR="00161F0D" w:rsidRPr="00343437" w:rsidRDefault="00161F0D" w:rsidP="00161F0D">
      <w:pPr>
        <w:spacing w:line="360" w:lineRule="auto"/>
        <w:rPr>
          <w:rFonts w:ascii="Arial" w:eastAsiaTheme="minorEastAsia" w:hAnsi="Arial" w:cs="Arial"/>
        </w:rPr>
      </w:pPr>
      <w:r w:rsidRPr="00343437">
        <w:rPr>
          <w:rFonts w:ascii="Arial" w:eastAsiaTheme="minorEastAsia" w:hAnsi="Arial" w:cs="Arial"/>
        </w:rPr>
        <w:t xml:space="preserve">We define </w:t>
      </w:r>
      <w:r w:rsidRPr="00343437">
        <w:rPr>
          <w:rFonts w:ascii="Arial" w:eastAsiaTheme="minorEastAsia" w:hAnsi="Arial" w:cs="Arial"/>
          <w:i/>
          <w:iCs/>
        </w:rPr>
        <w:t>U(t)</w:t>
      </w:r>
      <w:r w:rsidRPr="00343437">
        <w:rPr>
          <w:rFonts w:ascii="Arial" w:eastAsiaTheme="minorEastAsia" w:hAnsi="Arial" w:cs="Arial"/>
        </w:rPr>
        <w:t xml:space="preserve"> and </w:t>
      </w:r>
      <w:r w:rsidRPr="00343437">
        <w:rPr>
          <w:rFonts w:ascii="Arial" w:eastAsiaTheme="minorEastAsia" w:hAnsi="Arial" w:cs="Arial"/>
          <w:i/>
          <w:iCs/>
        </w:rPr>
        <w:t>V(t)</w:t>
      </w:r>
      <w:r w:rsidRPr="00343437">
        <w:rPr>
          <w:rFonts w:ascii="Arial" w:eastAsiaTheme="minorEastAsia" w:hAnsi="Arial" w:cs="Arial"/>
        </w:rPr>
        <w:t xml:space="preserve"> as the number of unvaccinated and vaccinated individuals, respectively, at time </w:t>
      </w:r>
      <w:r w:rsidRPr="00343437">
        <w:rPr>
          <w:rFonts w:ascii="Arial" w:eastAsiaTheme="minorEastAsia" w:hAnsi="Arial" w:cs="Arial"/>
          <w:i/>
          <w:iCs/>
        </w:rPr>
        <w:t>t</w:t>
      </w:r>
      <w:r w:rsidRPr="00343437">
        <w:rPr>
          <w:rFonts w:ascii="Arial" w:eastAsiaTheme="minorEastAsia" w:hAnsi="Arial" w:cs="Arial"/>
        </w:rPr>
        <w:t>. The total population size [</w:t>
      </w:r>
      <w:r w:rsidRPr="00343437">
        <w:rPr>
          <w:rFonts w:ascii="Arial" w:eastAsiaTheme="minorEastAsia" w:hAnsi="Arial" w:cs="Arial"/>
          <w:i/>
          <w:iCs/>
        </w:rPr>
        <w:t>N = U(t)</w:t>
      </w:r>
      <w:r w:rsidRPr="00343437">
        <w:rPr>
          <w:rFonts w:ascii="Arial" w:eastAsiaTheme="minorEastAsia" w:hAnsi="Arial" w:cs="Arial"/>
        </w:rPr>
        <w:t xml:space="preserve"> + </w:t>
      </w:r>
      <w:r w:rsidRPr="00343437">
        <w:rPr>
          <w:rFonts w:ascii="Arial" w:eastAsiaTheme="minorEastAsia" w:hAnsi="Arial" w:cs="Arial"/>
          <w:i/>
          <w:iCs/>
        </w:rPr>
        <w:t>V(t)</w:t>
      </w:r>
      <w:r w:rsidRPr="00343437">
        <w:rPr>
          <w:rFonts w:ascii="Arial" w:eastAsiaTheme="minorEastAsia" w:hAnsi="Arial" w:cs="Arial"/>
        </w:rPr>
        <w:t>] is fixed with the assumption of no births, deaths, or migration in or out of the population. We assume t</w:t>
      </w:r>
      <w:r w:rsidRPr="00343437">
        <w:rPr>
          <w:rFonts w:ascii="Arial" w:hAnsi="Arial" w:cs="Arial"/>
        </w:rPr>
        <w:t xml:space="preserve">he total population size (e.g., VE study recruitment catchment area) is 1 million individuals with no age or other demographic strata modeled. </w:t>
      </w:r>
      <w:r w:rsidRPr="00343437">
        <w:rPr>
          <w:rFonts w:ascii="Arial" w:eastAsiaTheme="minorEastAsia" w:hAnsi="Arial" w:cs="Arial"/>
        </w:rPr>
        <w:t xml:space="preserve">The number of vaccinated individuals is represented by a piecewise linear function that increases until a pre-determined threshold </w:t>
      </w:r>
      <m:oMath>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max</m:t>
            </m:r>
          </m:sub>
        </m:sSub>
      </m:oMath>
      <w:r w:rsidRPr="00343437">
        <w:rPr>
          <w:rFonts w:ascii="Arial" w:eastAsiaTheme="minorEastAsia" w:hAnsi="Arial" w:cs="Arial"/>
        </w:rPr>
        <w:t xml:space="preserve"> at time </w:t>
      </w: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v</m:t>
            </m:r>
          </m:sub>
        </m:sSub>
      </m:oMath>
      <w:r>
        <w:rPr>
          <w:rFonts w:ascii="Arial" w:eastAsiaTheme="minorEastAsia" w:hAnsi="Arial" w:cs="Arial"/>
        </w:rPr>
        <w:t xml:space="preserve">. We set </w:t>
      </w:r>
      <m:oMath>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max</m:t>
            </m:r>
          </m:sub>
        </m:sSub>
      </m:oMath>
      <w:r w:rsidRPr="00343437">
        <w:rPr>
          <w:rFonts w:ascii="Arial" w:eastAsiaTheme="minorEastAsia" w:hAnsi="Arial" w:cs="Arial"/>
        </w:rPr>
        <w:t xml:space="preserve"> </w:t>
      </w:r>
      <w:r>
        <w:rPr>
          <w:rFonts w:ascii="Arial" w:eastAsiaTheme="minorEastAsia" w:hAnsi="Arial" w:cs="Arial"/>
        </w:rPr>
        <w:t xml:space="preserve">to be 20% of the total population and </w:t>
      </w: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v</m:t>
            </m:r>
          </m:sub>
        </m:sSub>
      </m:oMath>
      <w:r>
        <w:rPr>
          <w:rFonts w:ascii="Arial" w:eastAsiaTheme="minorEastAsia" w:hAnsi="Arial" w:cs="Arial"/>
        </w:rPr>
        <w:t xml:space="preserve"> to be 10 weeks, as </w:t>
      </w:r>
      <w:r w:rsidRPr="00343437">
        <w:rPr>
          <w:rFonts w:ascii="Arial" w:eastAsiaTheme="minorEastAsia" w:hAnsi="Arial" w:cs="Arial"/>
        </w:rPr>
        <w:t>updated 2023–2024 COVID-19 vaccination uptake</w:t>
      </w:r>
      <w:r>
        <w:rPr>
          <w:rFonts w:ascii="Arial" w:eastAsiaTheme="minorEastAsia" w:hAnsi="Arial" w:cs="Arial"/>
        </w:rPr>
        <w:t xml:space="preserve"> in the US</w:t>
      </w:r>
      <w:r w:rsidRPr="00343437">
        <w:rPr>
          <w:rFonts w:ascii="Arial" w:eastAsiaTheme="minorEastAsia" w:hAnsi="Arial" w:cs="Arial"/>
        </w:rPr>
        <w:t xml:space="preserve"> appeared to plateau at approximately 20% of the eligible adult population </w:t>
      </w:r>
      <w:r>
        <w:rPr>
          <w:rFonts w:ascii="Arial" w:eastAsiaTheme="minorEastAsia" w:hAnsi="Arial" w:cs="Arial"/>
        </w:rPr>
        <w:t>several</w:t>
      </w:r>
      <w:r w:rsidRPr="00343437">
        <w:rPr>
          <w:rFonts w:ascii="Arial" w:eastAsiaTheme="minorEastAsia" w:hAnsi="Arial" w:cs="Arial"/>
        </w:rPr>
        <w:t xml:space="preserve"> months after </w:t>
      </w:r>
      <w:r>
        <w:rPr>
          <w:rFonts w:ascii="Arial" w:eastAsiaTheme="minorEastAsia" w:hAnsi="Arial" w:cs="Arial"/>
        </w:rPr>
        <w:t>updated doses were available</w:t>
      </w:r>
      <w:r w:rsidRPr="00343437">
        <w:rPr>
          <w:rFonts w:ascii="Arial" w:eastAsiaTheme="minorEastAsia" w:hAnsi="Arial" w:cs="Arial"/>
        </w:rPr>
        <w:t xml:space="preserve"> </w:t>
      </w:r>
      <w:r w:rsidRPr="00343437">
        <w:rPr>
          <w:rFonts w:ascii="Arial" w:eastAsiaTheme="minorEastAsia" w:hAnsi="Arial" w:cs="Arial"/>
        </w:rPr>
        <w:fldChar w:fldCharType="begin" w:fldLock="1"/>
      </w:r>
      <w:r>
        <w:rPr>
          <w:rFonts w:ascii="Arial" w:eastAsiaTheme="minorEastAsia" w:hAnsi="Arial" w:cs="Arial"/>
        </w:rPr>
        <w:instrText>ADDIN paperpile_citation &lt;clusterId&gt;Y724F171B562Y275&lt;/clusterId&gt;&lt;metadata&gt;&lt;citation&gt;&lt;id&gt;8b46f3a7-a44d-4548-bfb4-0c40cf041f0c&lt;/id&gt;&lt;/citation&gt;&lt;/metadata&gt;&lt;data&gt;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&lt;/data&gt; \* MERGEFORMAT</w:instrText>
      </w:r>
      <w:r w:rsidRPr="00343437">
        <w:rPr>
          <w:rFonts w:ascii="Arial" w:eastAsiaTheme="minorEastAsia" w:hAnsi="Arial" w:cs="Arial"/>
        </w:rPr>
        <w:fldChar w:fldCharType="separate"/>
      </w:r>
      <w:r w:rsidR="0007753A">
        <w:rPr>
          <w:rFonts w:ascii="Arial" w:eastAsiaTheme="minorEastAsia" w:hAnsi="Arial" w:cs="Arial"/>
          <w:noProof/>
        </w:rPr>
        <w:t>[6]</w:t>
      </w:r>
      <w:r w:rsidRPr="00343437">
        <w:rPr>
          <w:rFonts w:ascii="Arial" w:eastAsiaTheme="minorEastAsia" w:hAnsi="Arial" w:cs="Arial"/>
        </w:rPr>
        <w:fldChar w:fldCharType="end"/>
      </w:r>
      <w:r w:rsidRPr="00343437">
        <w:rPr>
          <w:rFonts w:ascii="Arial" w:eastAsiaTheme="minorEastAsia" w:hAnsi="Arial" w:cs="Arial"/>
        </w:rPr>
        <w:t>.</w:t>
      </w:r>
    </w:p>
    <w:p w14:paraId="4B460DDF" w14:textId="77777777" w:rsidR="00161F0D" w:rsidRPr="00343437" w:rsidRDefault="00161F0D" w:rsidP="00161F0D">
      <w:pPr>
        <w:spacing w:line="360" w:lineRule="auto"/>
        <w:rPr>
          <w:rFonts w:ascii="Arial" w:eastAsiaTheme="minorEastAsia" w:hAnsi="Arial" w:cs="Arial"/>
        </w:rPr>
      </w:pPr>
      <m:oMathPara>
        <m:oMath>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max</m:t>
              </m:r>
            </m:sub>
          </m:sSub>
          <m:r>
            <w:rPr>
              <w:rFonts w:ascii="Cambria Math" w:eastAsiaTheme="minorEastAsia" w:hAnsi="Cambria Math" w:cs="Arial"/>
            </w:rPr>
            <m:t>,    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v</m:t>
              </m:r>
            </m:sub>
          </m:sSub>
        </m:oMath>
      </m:oMathPara>
    </w:p>
    <w:p w14:paraId="598F0F88" w14:textId="77777777" w:rsidR="00161F0D" w:rsidRPr="00343437" w:rsidRDefault="00161F0D" w:rsidP="00161F0D">
      <w:pPr>
        <w:spacing w:line="360" w:lineRule="auto"/>
        <w:rPr>
          <w:rFonts w:ascii="Arial" w:eastAsiaTheme="minorEastAsia" w:hAnsi="Arial" w:cs="Arial"/>
        </w:rPr>
      </w:pPr>
      <m:oMathPara>
        <m:oMath>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max</m:t>
                  </m:r>
                </m:sub>
              </m:sSub>
            </m:num>
            <m:den>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v</m:t>
                  </m:r>
                </m:sub>
              </m:sSub>
            </m:den>
          </m:f>
          <m:r>
            <w:rPr>
              <w:rFonts w:ascii="Cambria Math" w:eastAsiaTheme="minorEastAsia" w:hAnsi="Cambria Math" w:cs="Arial"/>
            </w:rPr>
            <m:t>t,      t&lt;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v</m:t>
              </m:r>
            </m:sub>
          </m:sSub>
        </m:oMath>
      </m:oMathPara>
    </w:p>
    <w:p w14:paraId="6053C758" w14:textId="77777777" w:rsidR="00161F0D" w:rsidRPr="00343437" w:rsidRDefault="00161F0D" w:rsidP="00161F0D">
      <w:pPr>
        <w:spacing w:before="240" w:line="360" w:lineRule="auto"/>
        <w:rPr>
          <w:rFonts w:ascii="Arial" w:eastAsiaTheme="minorEastAsia" w:hAnsi="Arial" w:cs="Arial"/>
        </w:rPr>
      </w:pPr>
      <w:r w:rsidRPr="00343437">
        <w:rPr>
          <w:rFonts w:ascii="Arial" w:eastAsiaTheme="minorEastAsia" w:hAnsi="Arial" w:cs="Arial"/>
        </w:rPr>
        <w:t xml:space="preserve">The numbers of unvaccinated and vaccinated individuals </w:t>
      </w:r>
      <w:r>
        <w:rPr>
          <w:rFonts w:ascii="Arial" w:eastAsiaTheme="minorEastAsia" w:hAnsi="Arial" w:cs="Arial"/>
        </w:rPr>
        <w:t>hospitalized</w:t>
      </w:r>
      <w:r w:rsidRPr="00343437">
        <w:rPr>
          <w:rFonts w:ascii="Arial" w:eastAsiaTheme="minorEastAsia" w:hAnsi="Arial" w:cs="Arial"/>
        </w:rPr>
        <w:t xml:space="preserve"> </w:t>
      </w:r>
      <w:r>
        <w:rPr>
          <w:rFonts w:ascii="Arial" w:eastAsiaTheme="minorEastAsia" w:hAnsi="Arial" w:cs="Arial"/>
        </w:rPr>
        <w:t>following infection from</w:t>
      </w:r>
      <w:r w:rsidRPr="00343437">
        <w:rPr>
          <w:rFonts w:ascii="Arial" w:eastAsiaTheme="minorEastAsia" w:hAnsi="Arial" w:cs="Arial"/>
        </w:rPr>
        <w:t xml:space="preserve"> variant 1 </w:t>
      </w:r>
      <w:r>
        <w:rPr>
          <w:rFonts w:ascii="Arial" w:eastAsiaTheme="minorEastAsia" w:hAnsi="Arial" w:cs="Arial"/>
        </w:rPr>
        <w:t xml:space="preserve">and recruited into the study </w:t>
      </w:r>
      <w:r w:rsidRPr="00343437">
        <w:rPr>
          <w:rFonts w:ascii="Arial" w:eastAsiaTheme="minorEastAsia" w:hAnsi="Arial" w:cs="Arial"/>
        </w:rPr>
        <w:t xml:space="preserve">are given by </w:t>
      </w:r>
      <w:r w:rsidRPr="00343437">
        <w:rPr>
          <w:rFonts w:ascii="Arial" w:eastAsiaTheme="minorEastAsia" w:hAnsi="Arial" w:cs="Arial"/>
          <w:i/>
          <w:iCs/>
        </w:rPr>
        <w:t>U</w:t>
      </w:r>
      <w:r w:rsidRPr="00343437">
        <w:rPr>
          <w:rFonts w:ascii="Arial" w:eastAsiaTheme="minorEastAsia" w:hAnsi="Arial" w:cs="Arial"/>
          <w:i/>
          <w:iCs/>
          <w:vertAlign w:val="subscript"/>
        </w:rPr>
        <w:t>1</w:t>
      </w:r>
      <w:r w:rsidRPr="00343437">
        <w:rPr>
          <w:rFonts w:ascii="Arial" w:eastAsiaTheme="minorEastAsia" w:hAnsi="Arial" w:cs="Arial"/>
          <w:i/>
          <w:iCs/>
        </w:rPr>
        <w:t xml:space="preserve">(t) </w:t>
      </w:r>
      <w:r w:rsidRPr="00343437">
        <w:rPr>
          <w:rFonts w:ascii="Arial" w:eastAsiaTheme="minorEastAsia" w:hAnsi="Arial" w:cs="Arial"/>
        </w:rPr>
        <w:t xml:space="preserve">and </w:t>
      </w:r>
      <w:r w:rsidRPr="00343437">
        <w:rPr>
          <w:rFonts w:ascii="Arial" w:eastAsiaTheme="minorEastAsia" w:hAnsi="Arial" w:cs="Arial"/>
          <w:i/>
          <w:iCs/>
        </w:rPr>
        <w:t>V</w:t>
      </w:r>
      <w:r w:rsidRPr="00343437">
        <w:rPr>
          <w:rFonts w:ascii="Arial" w:eastAsiaTheme="minorEastAsia" w:hAnsi="Arial" w:cs="Arial"/>
          <w:i/>
          <w:iCs/>
          <w:vertAlign w:val="subscript"/>
        </w:rPr>
        <w:t>1</w:t>
      </w:r>
      <w:r w:rsidRPr="00343437">
        <w:rPr>
          <w:rFonts w:ascii="Arial" w:eastAsiaTheme="minorEastAsia" w:hAnsi="Arial" w:cs="Arial"/>
          <w:i/>
          <w:iCs/>
        </w:rPr>
        <w:t>(t),</w:t>
      </w:r>
      <w:r w:rsidRPr="00343437">
        <w:rPr>
          <w:rFonts w:ascii="Arial" w:eastAsiaTheme="minorEastAsia" w:hAnsi="Arial" w:cs="Arial"/>
        </w:rPr>
        <w:t xml:space="preserve"> respectively:  </w:t>
      </w:r>
    </w:p>
    <w:p w14:paraId="09136D3D" w14:textId="77777777" w:rsidR="00161F0D" w:rsidRPr="00343437"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U</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r>
            <w:rPr>
              <w:rFonts w:ascii="Cambria Math" w:eastAsiaTheme="minorEastAsia" w:hAnsi="Cambria Math" w:cs="Arial"/>
            </w:rPr>
            <m:t>U</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t</m:t>
              </m:r>
            </m:e>
          </m:d>
        </m:oMath>
      </m:oMathPara>
    </w:p>
    <w:p w14:paraId="495270B6" w14:textId="77777777" w:rsidR="00161F0D" w:rsidRPr="00343437"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(1-</m:t>
          </m:r>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1</m:t>
              </m:r>
            </m:sub>
          </m:sSub>
          <m:r>
            <w:rPr>
              <w:rFonts w:ascii="Cambria Math" w:eastAsiaTheme="minorEastAsia" w:hAnsi="Cambria Math" w:cs="Arial"/>
            </w:rPr>
            <m:t>)</m:t>
          </m:r>
        </m:oMath>
      </m:oMathPara>
    </w:p>
    <w:p w14:paraId="7ABACEC1" w14:textId="4D4F6623" w:rsidR="00161F0D" w:rsidRPr="00343437" w:rsidRDefault="00161F0D" w:rsidP="00161F0D">
      <w:pPr>
        <w:spacing w:line="360" w:lineRule="auto"/>
        <w:rPr>
          <w:rFonts w:ascii="Arial" w:eastAsiaTheme="minorEastAsia" w:hAnsi="Arial" w:cs="Arial"/>
        </w:rPr>
      </w:pPr>
      <w:r w:rsidRPr="00343437">
        <w:rPr>
          <w:rFonts w:ascii="Arial" w:eastAsiaTheme="minorEastAsia" w:hAnsi="Arial" w:cs="Arial"/>
        </w:rPr>
        <w:lastRenderedPageBreak/>
        <w:t xml:space="preserve">where </w:t>
      </w:r>
      <m:oMath>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m:t>
            </m:r>
          </m:sub>
        </m:sSub>
        <m:r>
          <w:rPr>
            <w:rFonts w:ascii="Cambria Math" w:eastAsiaTheme="minorEastAsia" w:hAnsi="Cambria Math" w:cs="Arial"/>
          </w:rPr>
          <m:t xml:space="preserve"> </m:t>
        </m:r>
      </m:oMath>
      <w:r w:rsidRPr="00343437">
        <w:rPr>
          <w:rFonts w:ascii="Arial" w:eastAsiaTheme="minorEastAsia" w:hAnsi="Arial" w:cs="Arial"/>
        </w:rPr>
        <w:t xml:space="preserve">is a parameter that scales the height of the epidemic curve </w:t>
      </w:r>
      <w:r>
        <w:rPr>
          <w:rFonts w:ascii="Arial" w:eastAsiaTheme="minorEastAsia" w:hAnsi="Arial" w:cs="Arial"/>
        </w:rPr>
        <w:t xml:space="preserve">(representing multiple factors not individually modeled here, including infectiousness and severity of variant 1) </w:t>
      </w:r>
      <w:r w:rsidRPr="00343437">
        <w:rPr>
          <w:rFonts w:ascii="Arial" w:eastAsiaTheme="minorEastAsia" w:hAnsi="Arial" w:cs="Arial"/>
        </w:rPr>
        <w:t xml:space="preserve">and </w:t>
      </w:r>
      <w:r w:rsidRPr="00343437">
        <w:rPr>
          <w:rFonts w:ascii="Arial" w:eastAsiaTheme="minorEastAsia" w:hAnsi="Arial" w:cs="Arial"/>
          <w:i/>
          <w:iCs/>
        </w:rPr>
        <w:t>VE</w:t>
      </w:r>
      <w:r w:rsidRPr="00343437">
        <w:rPr>
          <w:rFonts w:ascii="Arial" w:eastAsiaTheme="minorEastAsia" w:hAnsi="Arial" w:cs="Arial"/>
          <w:i/>
          <w:iCs/>
          <w:vertAlign w:val="subscript"/>
        </w:rPr>
        <w:t>1</w:t>
      </w:r>
      <w:r w:rsidRPr="00343437">
        <w:rPr>
          <w:rFonts w:ascii="Arial" w:eastAsiaTheme="minorEastAsia" w:hAnsi="Arial" w:cs="Arial"/>
          <w:i/>
          <w:iCs/>
        </w:rPr>
        <w:t xml:space="preserve"> </w:t>
      </w:r>
      <w:r w:rsidRPr="00343437">
        <w:rPr>
          <w:rFonts w:ascii="Arial" w:eastAsiaTheme="minorEastAsia" w:hAnsi="Arial" w:cs="Arial"/>
        </w:rPr>
        <w:t xml:space="preserve">represents </w:t>
      </w:r>
      <w:r>
        <w:rPr>
          <w:rFonts w:ascii="Arial" w:eastAsiaTheme="minorEastAsia" w:hAnsi="Arial" w:cs="Arial"/>
        </w:rPr>
        <w:t xml:space="preserve">time-invariant </w:t>
      </w:r>
      <w:r w:rsidRPr="00343437">
        <w:rPr>
          <w:rFonts w:ascii="Arial" w:eastAsiaTheme="minorEastAsia" w:hAnsi="Arial" w:cs="Arial"/>
        </w:rPr>
        <w:t>VE specific to variant 1.</w:t>
      </w:r>
      <w:r>
        <w:rPr>
          <w:rFonts w:ascii="Arial" w:eastAsiaTheme="minorEastAsia" w:hAnsi="Arial" w:cs="Arial"/>
        </w:rPr>
        <w:t xml:space="preserve"> </w:t>
      </w:r>
      <w:r w:rsidRPr="00343437">
        <w:rPr>
          <w:rFonts w:ascii="Arial" w:eastAsiaTheme="minorEastAsia" w:hAnsi="Arial" w:cs="Arial"/>
        </w:rPr>
        <w:t xml:space="preserve">We assume </w:t>
      </w:r>
      <w:r>
        <w:rPr>
          <w:rFonts w:ascii="Arial" w:eastAsiaTheme="minorEastAsia" w:hAnsi="Arial" w:cs="Arial"/>
        </w:rPr>
        <w:t xml:space="preserve">time-invariant </w:t>
      </w:r>
      <w:r w:rsidRPr="00343437">
        <w:rPr>
          <w:rFonts w:ascii="Arial" w:eastAsiaTheme="minorEastAsia" w:hAnsi="Arial" w:cs="Arial"/>
        </w:rPr>
        <w:t>VE against variant</w:t>
      </w:r>
      <w:r>
        <w:rPr>
          <w:rFonts w:ascii="Arial" w:eastAsiaTheme="minorEastAsia" w:hAnsi="Arial" w:cs="Arial"/>
        </w:rPr>
        <w:t>s</w:t>
      </w:r>
      <w:r w:rsidRPr="00343437">
        <w:rPr>
          <w:rFonts w:ascii="Arial" w:eastAsiaTheme="minorEastAsia" w:hAnsi="Arial" w:cs="Arial"/>
        </w:rPr>
        <w:t xml:space="preserve"> 1</w:t>
      </w:r>
      <w:r>
        <w:rPr>
          <w:rFonts w:ascii="Arial" w:eastAsiaTheme="minorEastAsia" w:hAnsi="Arial" w:cs="Arial"/>
        </w:rPr>
        <w:t xml:space="preserve"> and 2 (</w:t>
      </w:r>
      <w:r w:rsidRPr="00343437">
        <w:rPr>
          <w:rFonts w:ascii="Arial" w:eastAsiaTheme="minorEastAsia" w:hAnsi="Arial" w:cs="Arial"/>
          <w:i/>
          <w:iCs/>
        </w:rPr>
        <w:t>VE</w:t>
      </w:r>
      <w:r w:rsidRPr="00343437">
        <w:rPr>
          <w:rFonts w:ascii="Arial" w:eastAsiaTheme="minorEastAsia" w:hAnsi="Arial" w:cs="Arial"/>
          <w:i/>
          <w:iCs/>
          <w:vertAlign w:val="subscript"/>
        </w:rPr>
        <w:t xml:space="preserve">1 </w:t>
      </w:r>
      <w:r w:rsidRPr="00343437">
        <w:rPr>
          <w:rFonts w:ascii="Arial" w:eastAsiaTheme="minorEastAsia" w:hAnsi="Arial" w:cs="Arial"/>
        </w:rPr>
        <w:t xml:space="preserve">= </w:t>
      </w:r>
      <w:r>
        <w:rPr>
          <w:rFonts w:ascii="Arial" w:eastAsiaTheme="minorEastAsia" w:hAnsi="Arial" w:cs="Arial"/>
        </w:rPr>
        <w:t>5</w:t>
      </w:r>
      <w:r w:rsidRPr="00343437">
        <w:rPr>
          <w:rFonts w:ascii="Arial" w:eastAsiaTheme="minorEastAsia" w:hAnsi="Arial" w:cs="Arial"/>
        </w:rPr>
        <w:t xml:space="preserve">0% and </w:t>
      </w:r>
      <w:r w:rsidRPr="00343437">
        <w:rPr>
          <w:rFonts w:ascii="Arial" w:eastAsiaTheme="minorEastAsia" w:hAnsi="Arial" w:cs="Arial"/>
          <w:i/>
          <w:iCs/>
        </w:rPr>
        <w:t>VE</w:t>
      </w:r>
      <w:r w:rsidRPr="00343437">
        <w:rPr>
          <w:rFonts w:ascii="Arial" w:eastAsiaTheme="minorEastAsia" w:hAnsi="Arial" w:cs="Arial"/>
          <w:i/>
          <w:iCs/>
          <w:vertAlign w:val="subscript"/>
        </w:rPr>
        <w:t xml:space="preserve">2 </w:t>
      </w:r>
      <w:r w:rsidRPr="00343437">
        <w:rPr>
          <w:rFonts w:ascii="Arial" w:eastAsiaTheme="minorEastAsia" w:hAnsi="Arial" w:cs="Arial"/>
        </w:rPr>
        <w:t>= 20%</w:t>
      </w:r>
      <w:r>
        <w:rPr>
          <w:rFonts w:ascii="Arial" w:eastAsiaTheme="minorEastAsia" w:hAnsi="Arial" w:cs="Arial"/>
        </w:rPr>
        <w:t>, respectively)</w:t>
      </w:r>
      <w:r w:rsidRPr="00343437">
        <w:rPr>
          <w:rFonts w:ascii="Arial" w:eastAsiaTheme="minorEastAsia" w:hAnsi="Arial" w:cs="Arial"/>
        </w:rPr>
        <w:t xml:space="preserve">, representing approximate levels of </w:t>
      </w:r>
      <w:r>
        <w:rPr>
          <w:rFonts w:ascii="Arial" w:eastAsiaTheme="minorEastAsia" w:hAnsi="Arial" w:cs="Arial"/>
        </w:rPr>
        <w:t>recent VE against hospitalization</w:t>
      </w:r>
      <w:r w:rsidRPr="00343437">
        <w:rPr>
          <w:rFonts w:ascii="Arial" w:eastAsiaTheme="minorEastAsia" w:hAnsi="Arial" w:cs="Arial"/>
        </w:rPr>
        <w:t xml:space="preserve"> observed empirically against </w:t>
      </w:r>
      <w:r>
        <w:rPr>
          <w:rFonts w:ascii="Arial" w:eastAsiaTheme="minorEastAsia" w:hAnsi="Arial" w:cs="Arial"/>
        </w:rPr>
        <w:t>strain-matched</w:t>
      </w:r>
      <w:r w:rsidRPr="00343437">
        <w:rPr>
          <w:rFonts w:ascii="Arial" w:eastAsiaTheme="minorEastAsia" w:hAnsi="Arial" w:cs="Arial"/>
        </w:rPr>
        <w:t xml:space="preserve"> and </w:t>
      </w:r>
      <w:r>
        <w:rPr>
          <w:rFonts w:ascii="Arial" w:eastAsiaTheme="minorEastAsia" w:hAnsi="Arial" w:cs="Arial"/>
        </w:rPr>
        <w:t>divergent</w:t>
      </w:r>
      <w:r w:rsidRPr="00343437">
        <w:rPr>
          <w:rFonts w:ascii="Arial" w:eastAsiaTheme="minorEastAsia" w:hAnsi="Arial" w:cs="Arial"/>
        </w:rPr>
        <w:t xml:space="preserve"> variants, respectively </w:t>
      </w:r>
      <w:r>
        <w:rPr>
          <w:rFonts w:ascii="Arial" w:eastAsiaTheme="minorEastAsia" w:hAnsi="Arial" w:cs="Arial"/>
        </w:rPr>
        <w:fldChar w:fldCharType="begin" w:fldLock="1"/>
      </w:r>
      <w:r>
        <w:rPr>
          <w:rFonts w:ascii="Arial" w:eastAsiaTheme="minorEastAsia" w:hAnsi="Arial" w:cs="Arial"/>
        </w:rPr>
        <w:instrText>ADDIN paperpile_citation &lt;clusterId&gt;D992R388N649K363&lt;/clusterId&gt;&lt;metadata&gt;&lt;citation&gt;&lt;id&gt;66b416ed-9c41-4100-b18e-6f71e89fc695&lt;/id&gt;&lt;/citation&gt;&lt;citation&gt;&lt;id&gt;11471dad-52e4-45f0-aeac-cb6a07cb3e1d&lt;/id&gt;&lt;/citation&gt;&lt;citation&gt;&lt;id&gt;b440aba8-d1cc-4979-a34f-b383f0a50f56&lt;/id&gt;&lt;/citation&gt;&lt;citation&gt;&lt;id&gt;85fda3bc-8f97-4f8e-a0d6-bcd67bb083b9&lt;/id&gt;&lt;/citation&gt;&lt;/metadata&gt;&lt;data&gt;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&lt;/data&gt; \* MERGEFORMAT</w:instrText>
      </w:r>
      <w:r>
        <w:rPr>
          <w:rFonts w:ascii="Arial" w:eastAsiaTheme="minorEastAsia" w:hAnsi="Arial" w:cs="Arial"/>
        </w:rPr>
        <w:fldChar w:fldCharType="separate"/>
      </w:r>
      <w:r w:rsidR="0007753A">
        <w:rPr>
          <w:rFonts w:ascii="Arial" w:eastAsiaTheme="minorEastAsia" w:hAnsi="Arial" w:cs="Arial"/>
          <w:noProof/>
        </w:rPr>
        <w:t>[7–10]</w:t>
      </w:r>
      <w:r>
        <w:rPr>
          <w:rFonts w:ascii="Arial" w:eastAsiaTheme="minorEastAsia" w:hAnsi="Arial" w:cs="Arial"/>
        </w:rPr>
        <w:fldChar w:fldCharType="end"/>
      </w:r>
      <w:r w:rsidRPr="00343437">
        <w:rPr>
          <w:rFonts w:ascii="Arial" w:eastAsiaTheme="minorEastAsia" w:hAnsi="Arial" w:cs="Arial"/>
        </w:rPr>
        <w:t>.</w:t>
      </w:r>
      <w:r>
        <w:rPr>
          <w:rFonts w:ascii="Arial" w:eastAsiaTheme="minorEastAsia" w:hAnsi="Arial" w:cs="Arial"/>
        </w:rPr>
        <w:t xml:space="preserve"> Letting</w:t>
      </w:r>
      <w:r w:rsidRPr="00343437">
        <w:rPr>
          <w:rFonts w:ascii="Arial" w:eastAsiaTheme="minorEastAsia" w:hAnsi="Arial" w:cs="Arial"/>
        </w:rPr>
        <w:t xml:space="preserve"> </w:t>
      </w:r>
      <m:oMath>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2</m:t>
            </m:r>
          </m:sub>
        </m:sSub>
      </m:oMath>
      <w:r w:rsidRPr="00343437">
        <w:rPr>
          <w:rFonts w:ascii="Arial" w:eastAsiaTheme="minorEastAsia" w:hAnsi="Arial" w:cs="Arial"/>
        </w:rPr>
        <w:t xml:space="preserve">, the dynamics of variant 2 are similar: </w:t>
      </w:r>
    </w:p>
    <w:p w14:paraId="6B9ABDBE" w14:textId="77777777" w:rsidR="00161F0D" w:rsidRPr="00343437"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U</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r>
            <w:rPr>
              <w:rFonts w:ascii="Cambria Math" w:eastAsiaTheme="minorEastAsia" w:hAnsi="Cambria Math" w:cs="Arial"/>
            </w:rPr>
            <m:t>U</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2</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t</m:t>
              </m:r>
            </m:e>
          </m:d>
        </m:oMath>
      </m:oMathPara>
    </w:p>
    <w:p w14:paraId="2A6E1723" w14:textId="77777777" w:rsidR="00161F0D" w:rsidRPr="00343437"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2</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 xml:space="preserve"> (1-</m:t>
          </m:r>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2</m:t>
              </m:r>
            </m:sub>
          </m:sSub>
          <m:r>
            <w:rPr>
              <w:rFonts w:ascii="Cambria Math" w:eastAsiaTheme="minorEastAsia" w:hAnsi="Cambria Math" w:cs="Arial"/>
            </w:rPr>
            <m:t>)</m:t>
          </m:r>
        </m:oMath>
      </m:oMathPara>
    </w:p>
    <w:p w14:paraId="5C7A6FF5" w14:textId="2D92A04B" w:rsidR="00161F0D" w:rsidRPr="00B62E9A" w:rsidRDefault="00161F0D" w:rsidP="00161F0D">
      <w:pPr>
        <w:spacing w:line="360" w:lineRule="auto"/>
        <w:rPr>
          <w:rFonts w:ascii="Arial" w:eastAsiaTheme="minorEastAsia" w:hAnsi="Arial" w:cs="Arial"/>
        </w:rPr>
      </w:pPr>
      <w:r>
        <w:rPr>
          <w:rFonts w:ascii="Arial" w:eastAsiaTheme="minorEastAsia" w:hAnsi="Arial" w:cs="Arial"/>
        </w:rPr>
        <w:t xml:space="preserve">In a sensitivity analysis, we extend this model by allowing VE to change by time since vaccination </w:t>
      </w:r>
      <m:oMath>
        <m:r>
          <w:rPr>
            <w:rFonts w:ascii="Cambria Math" w:eastAsiaTheme="minorEastAsia" w:hAnsi="Cambria Math" w:cs="Arial"/>
          </w:rPr>
          <m:t>τ</m:t>
        </m:r>
      </m:oMath>
      <w:r>
        <w:rPr>
          <w:rFonts w:ascii="Arial" w:eastAsiaTheme="minorEastAsia" w:hAnsi="Arial" w:cs="Arial"/>
        </w:rPr>
        <w:t xml:space="preserve">. Similar to the approach used by Lin et al. </w:t>
      </w:r>
      <w:r>
        <w:rPr>
          <w:rFonts w:ascii="Arial" w:eastAsiaTheme="minorEastAsia" w:hAnsi="Arial" w:cs="Arial"/>
        </w:rPr>
        <w:fldChar w:fldCharType="begin" w:fldLock="1"/>
      </w:r>
      <w:r>
        <w:rPr>
          <w:rFonts w:ascii="Arial" w:eastAsiaTheme="minorEastAsia" w:hAnsi="Arial" w:cs="Arial"/>
        </w:rPr>
        <w:instrText>ADDIN paperpile_citation &lt;clusterId&gt;Y824M274B564F285&lt;/clusterId&gt;&lt;metadata&gt;&lt;citation&gt;&lt;id&gt;a7808d85-e4d9-4663-a798-04e4527f5d42&lt;/id&gt;&lt;/citation&gt;&lt;/metadata&gt;&lt;data&gt;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&lt;/data&gt; \* MERGEFORMAT</w:instrText>
      </w:r>
      <w:r>
        <w:rPr>
          <w:rFonts w:ascii="Arial" w:eastAsiaTheme="minorEastAsia" w:hAnsi="Arial" w:cs="Arial"/>
        </w:rPr>
        <w:fldChar w:fldCharType="separate"/>
      </w:r>
      <w:r w:rsidR="0007753A">
        <w:rPr>
          <w:rFonts w:ascii="Arial" w:eastAsiaTheme="minorEastAsia" w:hAnsi="Arial" w:cs="Arial"/>
          <w:noProof/>
        </w:rPr>
        <w:t>[11]</w:t>
      </w:r>
      <w:r>
        <w:rPr>
          <w:rFonts w:ascii="Arial" w:eastAsiaTheme="minorEastAsia" w:hAnsi="Arial" w:cs="Arial"/>
        </w:rPr>
        <w:fldChar w:fldCharType="end"/>
      </w:r>
      <w:r>
        <w:rPr>
          <w:rFonts w:ascii="Arial" w:eastAsiaTheme="minorEastAsia" w:hAnsi="Arial" w:cs="Arial"/>
        </w:rPr>
        <w:t xml:space="preserve">, we define piecewise functions such that VE increases from 0% at </w:t>
      </w:r>
      <m:oMath>
        <m:r>
          <w:rPr>
            <w:rFonts w:ascii="Cambria Math" w:eastAsiaTheme="minorEastAsia" w:hAnsi="Cambria Math" w:cs="Arial"/>
          </w:rPr>
          <m:t>τ=0</m:t>
        </m:r>
      </m:oMath>
      <w:r>
        <w:rPr>
          <w:rFonts w:ascii="Arial" w:eastAsiaTheme="minorEastAsia" w:hAnsi="Arial" w:cs="Arial"/>
        </w:rPr>
        <w:t xml:space="preserve"> to a peak at </w:t>
      </w:r>
      <m:oMath>
        <m:r>
          <w:rPr>
            <w:rFonts w:ascii="Cambria Math" w:eastAsiaTheme="minorEastAsia" w:hAnsi="Cambria Math" w:cs="Arial"/>
          </w:rPr>
          <m:t>τ=4</m:t>
        </m:r>
      </m:oMath>
      <w:r>
        <w:rPr>
          <w:rFonts w:ascii="Arial" w:eastAsiaTheme="minorEastAsia" w:hAnsi="Arial" w:cs="Arial"/>
        </w:rPr>
        <w:t xml:space="preserve"> weeks, representing the mounting of the immune response following vaccination; VE then subsequently wanes, representing natural waning of immunologic protection over time</w:t>
      </w:r>
      <w:r w:rsidR="00A04305">
        <w:rPr>
          <w:rFonts w:ascii="Arial" w:eastAsiaTheme="minorEastAsia" w:hAnsi="Arial" w:cs="Arial"/>
        </w:rPr>
        <w:t xml:space="preserve"> due to antibody decay or other immunological mechanisms</w:t>
      </w:r>
      <w:r>
        <w:rPr>
          <w:rFonts w:ascii="Arial" w:eastAsiaTheme="minorEastAsia" w:hAnsi="Arial" w:cs="Arial"/>
        </w:rPr>
        <w:t xml:space="preserve">. Denoting </w:t>
      </w:r>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k</m:t>
            </m:r>
          </m:sub>
        </m:sSub>
        <m:d>
          <m:dPr>
            <m:ctrlPr>
              <w:rPr>
                <w:rFonts w:ascii="Cambria Math" w:eastAsiaTheme="minorEastAsia" w:hAnsi="Cambria Math" w:cs="Arial"/>
                <w:i/>
              </w:rPr>
            </m:ctrlPr>
          </m:dPr>
          <m:e>
            <m:r>
              <w:rPr>
                <w:rFonts w:ascii="Cambria Math" w:eastAsiaTheme="minorEastAsia" w:hAnsi="Cambria Math" w:cs="Arial"/>
              </w:rPr>
              <m:t>τ</m:t>
            </m:r>
          </m:e>
        </m:d>
      </m:oMath>
      <w:r w:rsidRPr="00343437">
        <w:rPr>
          <w:rFonts w:ascii="Arial" w:eastAsiaTheme="minorEastAsia" w:hAnsi="Arial" w:cs="Arial"/>
          <w:i/>
          <w:iCs/>
        </w:rPr>
        <w:t xml:space="preserve"> </w:t>
      </w:r>
      <w:r>
        <w:rPr>
          <w:rFonts w:ascii="Arial" w:eastAsiaTheme="minorEastAsia" w:hAnsi="Arial" w:cs="Arial"/>
        </w:rPr>
        <w:t>as</w:t>
      </w:r>
      <w:r w:rsidRPr="00343437">
        <w:rPr>
          <w:rFonts w:ascii="Arial" w:eastAsiaTheme="minorEastAsia" w:hAnsi="Arial" w:cs="Arial"/>
        </w:rPr>
        <w:t xml:space="preserve"> </w:t>
      </w:r>
      <w:r>
        <w:rPr>
          <w:rFonts w:ascii="Arial" w:eastAsiaTheme="minorEastAsia" w:hAnsi="Arial" w:cs="Arial"/>
        </w:rPr>
        <w:t xml:space="preserve">the time-varying </w:t>
      </w:r>
      <w:r w:rsidRPr="00343437">
        <w:rPr>
          <w:rFonts w:ascii="Arial" w:eastAsiaTheme="minorEastAsia" w:hAnsi="Arial" w:cs="Arial"/>
        </w:rPr>
        <w:t xml:space="preserve">VE </w:t>
      </w:r>
      <w:r>
        <w:rPr>
          <w:rFonts w:ascii="Arial" w:eastAsiaTheme="minorEastAsia" w:hAnsi="Arial" w:cs="Arial"/>
        </w:rPr>
        <w:t xml:space="preserve">function </w:t>
      </w:r>
      <w:r w:rsidRPr="00343437">
        <w:rPr>
          <w:rFonts w:ascii="Arial" w:eastAsiaTheme="minorEastAsia" w:hAnsi="Arial" w:cs="Arial"/>
        </w:rPr>
        <w:t xml:space="preserve">specific to variant </w:t>
      </w:r>
      <w:r>
        <w:rPr>
          <w:rFonts w:ascii="Arial" w:eastAsiaTheme="minorEastAsia" w:hAnsi="Arial" w:cs="Arial"/>
          <w:i/>
          <w:iCs/>
        </w:rPr>
        <w:t>k</w:t>
      </w:r>
      <w:r>
        <w:rPr>
          <w:rFonts w:ascii="Arial" w:eastAsiaTheme="minorEastAsia" w:hAnsi="Arial" w:cs="Arial"/>
        </w:rPr>
        <w:t xml:space="preserve">: </w:t>
      </w:r>
    </w:p>
    <w:p w14:paraId="6025E677" w14:textId="77777777" w:rsidR="00161F0D" w:rsidRPr="00A2507F" w:rsidRDefault="00161F0D" w:rsidP="00161F0D">
      <w:pPr>
        <w:spacing w:before="240" w:line="360" w:lineRule="auto"/>
        <w:rPr>
          <w:rFonts w:ascii="Arial" w:eastAsiaTheme="minorEastAsia" w:hAnsi="Arial" w:cs="Arial"/>
        </w:rPr>
      </w:pPr>
      <m:oMathPara>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k</m:t>
              </m:r>
            </m:sub>
          </m:sSub>
          <m:d>
            <m:dPr>
              <m:ctrlPr>
                <w:rPr>
                  <w:rFonts w:ascii="Cambria Math" w:eastAsiaTheme="minorEastAsia" w:hAnsi="Cambria Math" w:cs="Arial"/>
                  <w:i/>
                </w:rPr>
              </m:ctrlPr>
            </m:dPr>
            <m:e>
              <m:r>
                <w:rPr>
                  <w:rFonts w:ascii="Cambria Math" w:eastAsiaTheme="minorEastAsia" w:hAnsi="Cambria Math" w:cs="Arial"/>
                </w:rPr>
                <m:t>τ</m:t>
              </m:r>
            </m:e>
          </m:d>
          <m:r>
            <w:rPr>
              <w:rFonts w:ascii="Cambria Math" w:eastAsiaTheme="minorEastAsia" w:hAnsi="Cambria Math" w:cs="Arial"/>
            </w:rPr>
            <m:t>=</m:t>
          </m:r>
          <m:d>
            <m:dPr>
              <m:begChr m:val="{"/>
              <m:endChr m:val=""/>
              <m:ctrlPr>
                <w:rPr>
                  <w:rFonts w:ascii="Cambria Math" w:eastAsiaTheme="minorEastAsia" w:hAnsi="Cambria Math" w:cs="Arial"/>
                  <w:i/>
                </w:rPr>
              </m:ctrlPr>
            </m:dPr>
            <m:e>
              <m:eqArr>
                <m:eqArrPr>
                  <m:ctrlPr>
                    <w:rPr>
                      <w:rFonts w:ascii="Cambria Math" w:eastAsiaTheme="minorEastAsia" w:hAnsi="Cambria Math" w:cs="Arial"/>
                      <w:i/>
                    </w:rPr>
                  </m:ctrlPr>
                </m:eqArrPr>
                <m:e>
                  <m:r>
                    <w:rPr>
                      <w:rFonts w:ascii="Cambria Math" w:eastAsiaTheme="minorEastAsia" w:hAnsi="Cambria Math" w:cs="Arial"/>
                    </w:rPr>
                    <m:t xml:space="preserve">1- </m:t>
                  </m:r>
                  <m:r>
                    <m:rPr>
                      <m:sty m:val="p"/>
                    </m:rPr>
                    <w:rPr>
                      <w:rFonts w:ascii="Cambria Math" w:eastAsiaTheme="minorEastAsia" w:hAnsi="Cambria Math" w:cs="Arial"/>
                    </w:rPr>
                    <m:t>exp⁡</m:t>
                  </m:r>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k1</m:t>
                      </m:r>
                    </m:sub>
                  </m:sSub>
                  <m:r>
                    <w:rPr>
                      <w:rFonts w:ascii="Cambria Math" w:eastAsiaTheme="minorEastAsia" w:hAnsi="Cambria Math" w:cs="Arial"/>
                    </w:rPr>
                    <m:t>τ),   0≤τ&lt;4</m:t>
                  </m:r>
                </m:e>
                <m:e>
                  <m:r>
                    <w:rPr>
                      <w:rFonts w:ascii="Cambria Math" w:eastAsiaTheme="minorEastAsia" w:hAnsi="Cambria Math" w:cs="Arial"/>
                    </w:rPr>
                    <m:t>1-</m:t>
                  </m:r>
                  <m:func>
                    <m:funcPr>
                      <m:ctrlPr>
                        <w:rPr>
                          <w:rFonts w:ascii="Cambria Math" w:eastAsiaTheme="minorEastAsia" w:hAnsi="Cambria Math" w:cs="Arial"/>
                        </w:rPr>
                      </m:ctrlPr>
                    </m:funcPr>
                    <m:fName>
                      <m:r>
                        <m:rPr>
                          <m:sty m:val="p"/>
                        </m:rPr>
                        <w:rPr>
                          <w:rFonts w:ascii="Cambria Math" w:eastAsiaTheme="minorEastAsia" w:hAnsi="Cambria Math" w:cs="Arial"/>
                        </w:rPr>
                        <m:t>exp</m:t>
                      </m:r>
                      <m:ctrlPr>
                        <w:rPr>
                          <w:rFonts w:ascii="Cambria Math" w:eastAsiaTheme="minorEastAsia" w:hAnsi="Cambria Math" w:cs="Arial"/>
                          <w:i/>
                        </w:rPr>
                      </m:ctrlPr>
                    </m:fName>
                    <m:e>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k1</m:t>
                              </m:r>
                            </m:sub>
                          </m:sSub>
                          <m:r>
                            <w:rPr>
                              <w:rFonts w:ascii="Cambria Math" w:eastAsiaTheme="minorEastAsia" w:hAnsi="Cambria Math" w:cs="Arial"/>
                            </w:rPr>
                            <m:t xml:space="preserve">τ+ </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k2</m:t>
                              </m:r>
                            </m:sub>
                          </m:sSub>
                          <m:r>
                            <w:rPr>
                              <w:rFonts w:ascii="Cambria Math" w:eastAsiaTheme="minorEastAsia" w:hAnsi="Cambria Math" w:cs="Arial"/>
                            </w:rPr>
                            <m:t>(τ-4)</m:t>
                          </m:r>
                        </m:e>
                      </m:d>
                    </m:e>
                  </m:func>
                  <m:r>
                    <w:rPr>
                      <w:rFonts w:ascii="Cambria Math" w:eastAsiaTheme="minorEastAsia" w:hAnsi="Cambria Math" w:cs="Arial"/>
                    </w:rPr>
                    <m:t>,   τ&gt;4</m:t>
                  </m:r>
                </m:e>
              </m:eqArr>
            </m:e>
          </m:d>
        </m:oMath>
      </m:oMathPara>
    </w:p>
    <w:p w14:paraId="2907429E" w14:textId="77777777" w:rsidR="00161F0D" w:rsidRDefault="00161F0D" w:rsidP="00161F0D">
      <w:pPr>
        <w:spacing w:before="240" w:line="360" w:lineRule="auto"/>
        <w:rPr>
          <w:rFonts w:ascii="Arial" w:eastAsiaTheme="minorEastAsia" w:hAnsi="Arial" w:cs="Arial"/>
        </w:rPr>
      </w:pPr>
      <w:r>
        <w:rPr>
          <w:rFonts w:ascii="Arial" w:eastAsiaTheme="minorEastAsia" w:hAnsi="Arial" w:cs="Arial"/>
        </w:rPr>
        <w:t xml:space="preserve">Where </w:t>
      </w:r>
      <m:oMath>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oMath>
      <w:r>
        <w:rPr>
          <w:rFonts w:ascii="Arial" w:eastAsiaTheme="minorEastAsia" w:hAnsi="Arial" w:cs="Arial"/>
        </w:rPr>
        <w:t xml:space="preserve"> are parameters for adjusting the rates of increase and waning and time-varying VE functions are constrained to be greater or equal to 0. We selected </w:t>
      </w:r>
      <m:oMath>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oMath>
      <w:r>
        <w:rPr>
          <w:rFonts w:ascii="Arial" w:eastAsiaTheme="minorEastAsia" w:hAnsi="Arial" w:cs="Arial"/>
        </w:rPr>
        <w:t xml:space="preserve"> such that </w:t>
      </w:r>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τ</m:t>
            </m:r>
          </m:e>
        </m:d>
      </m:oMath>
      <w:r>
        <w:rPr>
          <w:rFonts w:ascii="Arial" w:eastAsiaTheme="minorEastAsia" w:hAnsi="Arial" w:cs="Arial"/>
        </w:rPr>
        <w:t xml:space="preserve"> peaks at 50% and </w:t>
      </w:r>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τ</m:t>
            </m:r>
          </m:e>
        </m:d>
      </m:oMath>
      <w:r>
        <w:rPr>
          <w:rFonts w:ascii="Arial" w:eastAsiaTheme="minorEastAsia" w:hAnsi="Arial" w:cs="Arial"/>
        </w:rPr>
        <w:t xml:space="preserve"> peaks at 20% (identical to VE under the time-invariant setting), </w:t>
      </w:r>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2</m:t>
            </m:r>
          </m:sub>
        </m:sSub>
        <m:d>
          <m:dPr>
            <m:ctrlPr>
              <w:rPr>
                <w:rFonts w:ascii="Cambria Math" w:eastAsiaTheme="minorEastAsia" w:hAnsi="Cambria Math" w:cs="Arial"/>
                <w:i/>
              </w:rPr>
            </m:ctrlPr>
          </m:dPr>
          <m:e>
            <m:r>
              <w:rPr>
                <w:rFonts w:ascii="Cambria Math" w:eastAsiaTheme="minorEastAsia" w:hAnsi="Cambria Math" w:cs="Arial"/>
              </w:rPr>
              <m:t>τ</m:t>
            </m:r>
          </m:e>
        </m:d>
      </m:oMath>
      <w:r>
        <w:rPr>
          <w:rFonts w:ascii="Arial" w:eastAsiaTheme="minorEastAsia" w:hAnsi="Arial" w:cs="Arial"/>
        </w:rPr>
        <w:t xml:space="preserve"> wanes to ~0% by 35 weeks, and </w:t>
      </w:r>
      <m:oMath>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1</m:t>
            </m:r>
          </m:sub>
        </m:sSub>
        <m:d>
          <m:dPr>
            <m:ctrlPr>
              <w:rPr>
                <w:rFonts w:ascii="Cambria Math" w:eastAsiaTheme="minorEastAsia" w:hAnsi="Cambria Math" w:cs="Arial"/>
                <w:i/>
              </w:rPr>
            </m:ctrlPr>
          </m:dPr>
          <m:e>
            <m:r>
              <w:rPr>
                <w:rFonts w:ascii="Cambria Math" w:eastAsiaTheme="minorEastAsia" w:hAnsi="Cambria Math" w:cs="Arial"/>
              </w:rPr>
              <m:t>τ</m:t>
            </m:r>
          </m:e>
        </m:d>
      </m:oMath>
      <w:r>
        <w:rPr>
          <w:rFonts w:ascii="Arial" w:eastAsiaTheme="minorEastAsia" w:hAnsi="Arial" w:cs="Arial"/>
        </w:rPr>
        <w:t xml:space="preserve"> has a similar rate of waning (Supplementary Figure 3). These parameters represent illustrative scenarios and are not meant to be best estimates of current rates of waning of COVID-19 VE. </w:t>
      </w:r>
    </w:p>
    <w:p w14:paraId="169363A5" w14:textId="77777777" w:rsidR="00161F0D" w:rsidRPr="00343437" w:rsidRDefault="00161F0D" w:rsidP="00161F0D">
      <w:pPr>
        <w:spacing w:before="240" w:line="360" w:lineRule="auto"/>
        <w:rPr>
          <w:rFonts w:ascii="Arial" w:eastAsiaTheme="minorEastAsia" w:hAnsi="Arial" w:cs="Arial"/>
        </w:rPr>
      </w:pPr>
      <w:r>
        <w:rPr>
          <w:rFonts w:ascii="Arial" w:eastAsiaTheme="minorEastAsia" w:hAnsi="Arial" w:cs="Arial"/>
        </w:rPr>
        <w:t>Under time-varying VE, t</w:t>
      </w:r>
      <w:r w:rsidRPr="00343437">
        <w:rPr>
          <w:rFonts w:ascii="Arial" w:eastAsiaTheme="minorEastAsia" w:hAnsi="Arial" w:cs="Arial"/>
        </w:rPr>
        <w:t xml:space="preserve">he numbers of vaccinated individuals </w:t>
      </w:r>
      <w:r>
        <w:rPr>
          <w:rFonts w:ascii="Arial" w:eastAsiaTheme="minorEastAsia" w:hAnsi="Arial" w:cs="Arial"/>
        </w:rPr>
        <w:t>hospitalized</w:t>
      </w:r>
      <w:r w:rsidRPr="00343437">
        <w:rPr>
          <w:rFonts w:ascii="Arial" w:eastAsiaTheme="minorEastAsia" w:hAnsi="Arial" w:cs="Arial"/>
        </w:rPr>
        <w:t xml:space="preserve"> </w:t>
      </w:r>
      <w:r>
        <w:rPr>
          <w:rFonts w:ascii="Arial" w:eastAsiaTheme="minorEastAsia" w:hAnsi="Arial" w:cs="Arial"/>
        </w:rPr>
        <w:t>following infection from</w:t>
      </w:r>
      <w:r w:rsidRPr="00343437">
        <w:rPr>
          <w:rFonts w:ascii="Arial" w:eastAsiaTheme="minorEastAsia" w:hAnsi="Arial" w:cs="Arial"/>
        </w:rPr>
        <w:t xml:space="preserve"> variant </w:t>
      </w:r>
      <w:r>
        <w:rPr>
          <w:rFonts w:ascii="Arial" w:eastAsiaTheme="minorEastAsia" w:hAnsi="Arial" w:cs="Arial"/>
          <w:i/>
          <w:iCs/>
        </w:rPr>
        <w:t>k</w:t>
      </w:r>
      <w:r w:rsidRPr="00343437">
        <w:rPr>
          <w:rFonts w:ascii="Arial" w:eastAsiaTheme="minorEastAsia" w:hAnsi="Arial" w:cs="Arial"/>
        </w:rPr>
        <w:t xml:space="preserve"> </w:t>
      </w:r>
      <w:r>
        <w:rPr>
          <w:rFonts w:ascii="Arial" w:eastAsiaTheme="minorEastAsia" w:hAnsi="Arial" w:cs="Arial"/>
        </w:rPr>
        <w:t xml:space="preserve">and recruited into the study is </w:t>
      </w:r>
      <w:r w:rsidRPr="00343437">
        <w:rPr>
          <w:rFonts w:ascii="Arial" w:eastAsiaTheme="minorEastAsia" w:hAnsi="Arial" w:cs="Arial"/>
        </w:rPr>
        <w:t xml:space="preserve">given by </w:t>
      </w:r>
      <w:r w:rsidRPr="00343437">
        <w:rPr>
          <w:rFonts w:ascii="Arial" w:eastAsiaTheme="minorEastAsia" w:hAnsi="Arial" w:cs="Arial"/>
          <w:i/>
          <w:iCs/>
        </w:rPr>
        <w:t>V</w:t>
      </w:r>
      <w:r>
        <w:rPr>
          <w:rFonts w:ascii="Arial" w:eastAsiaTheme="minorEastAsia" w:hAnsi="Arial" w:cs="Arial"/>
          <w:i/>
          <w:iCs/>
          <w:vertAlign w:val="subscript"/>
        </w:rPr>
        <w:t>k</w:t>
      </w:r>
      <w:r w:rsidRPr="00343437">
        <w:rPr>
          <w:rFonts w:ascii="Arial" w:eastAsiaTheme="minorEastAsia" w:hAnsi="Arial" w:cs="Arial"/>
          <w:i/>
          <w:iCs/>
        </w:rPr>
        <w:t>(t)</w:t>
      </w:r>
      <w:r>
        <w:rPr>
          <w:rFonts w:ascii="Arial" w:eastAsiaTheme="minorEastAsia" w:hAnsi="Arial" w:cs="Arial"/>
        </w:rPr>
        <w:t xml:space="preserve">, which combines the number of newly vaccinated individuals </w:t>
      </w:r>
      <m:oMath>
        <m:r>
          <m:rPr>
            <m:sty m:val="p"/>
          </m:rPr>
          <w:rPr>
            <w:rFonts w:ascii="Cambria Math" w:eastAsiaTheme="minorEastAsia" w:hAnsi="Cambria Math" w:cs="Arial"/>
          </w:rPr>
          <m:t>Δ</m:t>
        </m:r>
        <m:r>
          <w:rPr>
            <w:rFonts w:ascii="Cambria Math" w:eastAsiaTheme="minorEastAsia" w:hAnsi="Cambria Math" w:cs="Arial"/>
          </w:rPr>
          <m:t>V</m:t>
        </m:r>
      </m:oMath>
      <w:r>
        <w:rPr>
          <w:rFonts w:ascii="Arial" w:eastAsiaTheme="minorEastAsia" w:hAnsi="Arial" w:cs="Arial"/>
        </w:rPr>
        <w:t xml:space="preserve"> and the time-varying VE function for each week through a convolution</w:t>
      </w:r>
      <w:r w:rsidRPr="00343437">
        <w:rPr>
          <w:rFonts w:ascii="Arial" w:eastAsiaTheme="minorEastAsia" w:hAnsi="Arial" w:cs="Arial"/>
        </w:rPr>
        <w:t xml:space="preserve">:  </w:t>
      </w:r>
    </w:p>
    <w:p w14:paraId="2F6265EB" w14:textId="77777777" w:rsidR="00161F0D" w:rsidRPr="004B314F" w:rsidRDefault="00161F0D" w:rsidP="00161F0D">
      <w:pPr>
        <w:spacing w:before="240" w:line="360" w:lineRule="auto"/>
        <w:rPr>
          <w:rFonts w:ascii="Arial" w:eastAsiaTheme="minorEastAsia" w:hAnsi="Arial" w:cs="Arial"/>
        </w:rPr>
      </w:pPr>
      <m:oMathPara>
        <m:oMath>
          <m:r>
            <m:rPr>
              <m:sty m:val="p"/>
            </m:rPr>
            <w:rPr>
              <w:rFonts w:ascii="Cambria Math" w:eastAsiaTheme="minorEastAsia" w:hAnsi="Cambria Math" w:cs="Arial"/>
            </w:rPr>
            <m:t>Δ</m:t>
          </m:r>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t-1</m:t>
              </m:r>
            </m:e>
          </m:d>
        </m:oMath>
      </m:oMathPara>
    </w:p>
    <w:p w14:paraId="6CECABF4" w14:textId="77777777" w:rsidR="00161F0D" w:rsidRPr="002A78FD" w:rsidRDefault="00A04305" w:rsidP="00161F0D">
      <w:pPr>
        <w:spacing w:line="360" w:lineRule="auto"/>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k</m:t>
              </m:r>
            </m:sub>
          </m:sSub>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k</m:t>
              </m:r>
            </m:sub>
          </m:sSub>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k</m:t>
              </m:r>
            </m:sub>
          </m:sSub>
          <m:d>
            <m:dPr>
              <m:ctrlPr>
                <w:rPr>
                  <w:rFonts w:ascii="Cambria Math" w:eastAsiaTheme="minorEastAsia" w:hAnsi="Cambria Math" w:cs="Arial"/>
                  <w:i/>
                </w:rPr>
              </m:ctrlPr>
            </m:dPr>
            <m:e>
              <m:r>
                <w:rPr>
                  <w:rFonts w:ascii="Cambria Math" w:eastAsiaTheme="minorEastAsia" w:hAnsi="Cambria Math" w:cs="Arial"/>
                </w:rPr>
                <m:t>t</m:t>
              </m:r>
            </m:e>
          </m:d>
          <m:nary>
            <m:naryPr>
              <m:chr m:val="∑"/>
              <m:ctrlPr>
                <w:rPr>
                  <w:rFonts w:ascii="Cambria Math" w:eastAsiaTheme="minorEastAsia" w:hAnsi="Cambria Math" w:cs="Arial"/>
                </w:rPr>
              </m:ctrlPr>
            </m:naryPr>
            <m:sub>
              <m:r>
                <m:rPr>
                  <m:sty m:val="p"/>
                </m:rPr>
                <w:rPr>
                  <w:rFonts w:ascii="Cambria Math" w:eastAsiaTheme="minorEastAsia" w:hAnsi="Cambria Math" w:cs="Arial"/>
                </w:rPr>
                <m:t>τ</m:t>
              </m:r>
              <m:r>
                <w:rPr>
                  <w:rFonts w:ascii="Cambria Math" w:eastAsiaTheme="minorEastAsia" w:hAnsi="Cambria Math" w:cs="Arial"/>
                </w:rPr>
                <m:t>=0</m:t>
              </m:r>
              <m:ctrlPr>
                <w:rPr>
                  <w:rFonts w:ascii="Cambria Math" w:eastAsiaTheme="minorEastAsia" w:hAnsi="Cambria Math" w:cs="Arial"/>
                  <w:i/>
                </w:rPr>
              </m:ctrlPr>
            </m:sub>
            <m:sup>
              <m:r>
                <w:rPr>
                  <w:rFonts w:ascii="Cambria Math" w:eastAsiaTheme="minorEastAsia" w:hAnsi="Cambria Math" w:cs="Arial"/>
                </w:rPr>
                <m:t>t</m:t>
              </m:r>
              <m:ctrlPr>
                <w:rPr>
                  <w:rFonts w:ascii="Cambria Math" w:eastAsiaTheme="minorEastAsia" w:hAnsi="Cambria Math" w:cs="Arial"/>
                  <w:i/>
                </w:rPr>
              </m:ctrlPr>
            </m:sup>
            <m:e>
              <m:r>
                <m:rPr>
                  <m:sty m:val="p"/>
                </m:rPr>
                <w:rPr>
                  <w:rFonts w:ascii="Cambria Math" w:eastAsiaTheme="minorEastAsia" w:hAnsi="Cambria Math" w:cs="Arial"/>
                </w:rPr>
                <m:t>Δ</m:t>
              </m:r>
              <m:r>
                <w:rPr>
                  <w:rFonts w:ascii="Cambria Math" w:eastAsiaTheme="minorEastAsia" w:hAnsi="Cambria Math" w:cs="Arial"/>
                </w:rPr>
                <m:t>V</m:t>
              </m:r>
              <m:d>
                <m:dPr>
                  <m:ctrlPr>
                    <w:rPr>
                      <w:rFonts w:ascii="Cambria Math" w:eastAsiaTheme="minorEastAsia" w:hAnsi="Cambria Math" w:cs="Arial"/>
                      <w:i/>
                    </w:rPr>
                  </m:ctrlPr>
                </m:dPr>
                <m:e>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τ</m:t>
                  </m:r>
                </m:e>
              </m:d>
              <m:d>
                <m:dPr>
                  <m:ctrlPr>
                    <w:rPr>
                      <w:rFonts w:ascii="Cambria Math" w:eastAsiaTheme="minorEastAsia" w:hAnsi="Cambria Math" w:cs="Arial"/>
                      <w:i/>
                    </w:rPr>
                  </m:ctrlPr>
                </m:dPr>
                <m:e>
                  <m:r>
                    <w:rPr>
                      <w:rFonts w:ascii="Cambria Math" w:eastAsiaTheme="minorEastAsia" w:hAnsi="Cambria Math" w:cs="Arial"/>
                    </w:rPr>
                    <m:t>1-</m:t>
                  </m:r>
                  <m:r>
                    <w:rPr>
                      <w:rFonts w:ascii="Cambria Math" w:eastAsiaTheme="minorEastAsia" w:hAnsi="Cambria Math" w:cs="Arial"/>
                    </w:rPr>
                    <m:t>V</m:t>
                  </m:r>
                  <m:sSub>
                    <m:sSubPr>
                      <m:ctrlPr>
                        <w:rPr>
                          <w:rFonts w:ascii="Cambria Math" w:eastAsiaTheme="minorEastAsia" w:hAnsi="Cambria Math" w:cs="Arial"/>
                          <w:i/>
                        </w:rPr>
                      </m:ctrlPr>
                    </m:sSubPr>
                    <m:e>
                      <m:r>
                        <w:rPr>
                          <w:rFonts w:ascii="Cambria Math" w:eastAsiaTheme="minorEastAsia" w:hAnsi="Cambria Math" w:cs="Arial"/>
                        </w:rPr>
                        <m:t>E</m:t>
                      </m:r>
                    </m:e>
                    <m:sub>
                      <m:r>
                        <w:rPr>
                          <w:rFonts w:ascii="Cambria Math" w:eastAsiaTheme="minorEastAsia" w:hAnsi="Cambria Math" w:cs="Arial"/>
                        </w:rPr>
                        <m:t>k</m:t>
                      </m:r>
                    </m:sub>
                  </m:sSub>
                  <m:d>
                    <m:dPr>
                      <m:ctrlPr>
                        <w:rPr>
                          <w:rFonts w:ascii="Cambria Math" w:eastAsiaTheme="minorEastAsia" w:hAnsi="Cambria Math" w:cs="Arial"/>
                          <w:i/>
                        </w:rPr>
                      </m:ctrlPr>
                    </m:dPr>
                    <m:e>
                      <m:r>
                        <m:rPr>
                          <m:sty m:val="p"/>
                        </m:rPr>
                        <w:rPr>
                          <w:rFonts w:ascii="Cambria Math" w:eastAsiaTheme="minorEastAsia" w:hAnsi="Cambria Math" w:cs="Arial"/>
                        </w:rPr>
                        <m:t>τ</m:t>
                      </m:r>
                    </m:e>
                  </m:d>
                </m:e>
              </m:d>
              <m:ctrlPr>
                <w:rPr>
                  <w:rFonts w:ascii="Cambria Math" w:eastAsiaTheme="minorEastAsia" w:hAnsi="Cambria Math" w:cs="Arial"/>
                  <w:i/>
                </w:rPr>
              </m:ctrlPr>
            </m:e>
          </m:nary>
        </m:oMath>
      </m:oMathPara>
    </w:p>
    <w:p w14:paraId="4E8DA9B3" w14:textId="77777777" w:rsidR="00161F0D" w:rsidRPr="00A2507F" w:rsidRDefault="00161F0D" w:rsidP="00161F0D">
      <w:pPr>
        <w:spacing w:line="360" w:lineRule="auto"/>
        <w:rPr>
          <w:rFonts w:ascii="Arial" w:eastAsiaTheme="minorEastAsia" w:hAnsi="Arial" w:cs="Arial"/>
        </w:rPr>
      </w:pPr>
      <w:r w:rsidRPr="00343437">
        <w:rPr>
          <w:rFonts w:ascii="Arial" w:eastAsiaTheme="minorEastAsia" w:hAnsi="Arial" w:cs="Arial"/>
        </w:rPr>
        <w:lastRenderedPageBreak/>
        <w:t xml:space="preserve">Test-negative controls can present with infection from multiple acute respiratory illness-causing pathogens and are </w:t>
      </w:r>
      <w:r>
        <w:rPr>
          <w:rFonts w:ascii="Arial" w:eastAsiaTheme="minorEastAsia" w:hAnsi="Arial" w:cs="Arial"/>
        </w:rPr>
        <w:t>used</w:t>
      </w:r>
      <w:r w:rsidRPr="00343437">
        <w:rPr>
          <w:rFonts w:ascii="Arial" w:eastAsiaTheme="minorEastAsia" w:hAnsi="Arial" w:cs="Arial"/>
        </w:rPr>
        <w:t xml:space="preserve"> to estimate vaccine uptake. Numbers of enrolled test-negative control-patients are assumed to accrue at a constant rate</w:t>
      </w:r>
      <w:r>
        <w:rPr>
          <w:rFonts w:ascii="Arial" w:eastAsiaTheme="minorEastAsia" w:hAnsi="Arial" w:cs="Arial"/>
        </w:rPr>
        <w:t xml:space="preserve"> over time</w:t>
      </w:r>
      <w:r w:rsidRPr="00343437">
        <w:rPr>
          <w:rFonts w:ascii="Arial" w:eastAsiaTheme="minorEastAsia" w:hAnsi="Arial" w:cs="Arial"/>
        </w:rPr>
        <w:t>.</w:t>
      </w:r>
      <w:r>
        <w:rPr>
          <w:rFonts w:ascii="Arial" w:eastAsiaTheme="minorEastAsia" w:hAnsi="Arial" w:cs="Arial"/>
        </w:rPr>
        <w:t xml:space="preserve"> Example time series are shown in Figure 1 for counts of patients with variant 1, variant 2, and test-negative controls stratified by vaccination status.</w:t>
      </w:r>
    </w:p>
    <w:p w14:paraId="2BB40DD2" w14:textId="77777777" w:rsidR="00161F0D" w:rsidRDefault="00161F0D" w:rsidP="00161F0D">
      <w:pPr>
        <w:spacing w:line="360" w:lineRule="auto"/>
        <w:rPr>
          <w:rFonts w:ascii="Arial" w:hAnsi="Arial" w:cs="Arial"/>
        </w:rPr>
      </w:pPr>
    </w:p>
    <w:p w14:paraId="35830A4E" w14:textId="77777777" w:rsidR="00161F0D" w:rsidRDefault="00161F0D" w:rsidP="00161F0D">
      <w:pPr>
        <w:spacing w:line="360" w:lineRule="auto"/>
        <w:rPr>
          <w:rFonts w:ascii="Arial" w:hAnsi="Arial" w:cs="Arial"/>
          <w:i/>
          <w:iCs/>
        </w:rPr>
      </w:pPr>
      <w:r>
        <w:rPr>
          <w:rFonts w:ascii="Arial" w:hAnsi="Arial" w:cs="Arial"/>
          <w:i/>
          <w:iCs/>
        </w:rPr>
        <w:t>Estimating v</w:t>
      </w:r>
      <w:r w:rsidRPr="005C6B1D">
        <w:rPr>
          <w:rFonts w:ascii="Arial" w:hAnsi="Arial" w:cs="Arial"/>
          <w:i/>
          <w:iCs/>
        </w:rPr>
        <w:t>accine effectiveness</w:t>
      </w:r>
    </w:p>
    <w:p w14:paraId="7F2F2414" w14:textId="6743B7F2" w:rsidR="00161F0D" w:rsidRPr="00343437" w:rsidRDefault="00161F0D" w:rsidP="00161F0D">
      <w:pPr>
        <w:spacing w:line="360" w:lineRule="auto"/>
        <w:rPr>
          <w:rFonts w:ascii="Arial" w:hAnsi="Arial" w:cs="Arial"/>
        </w:rPr>
      </w:pPr>
      <w:r>
        <w:rPr>
          <w:rFonts w:ascii="Arial" w:eastAsiaTheme="minorEastAsia" w:hAnsi="Arial" w:cs="Arial"/>
        </w:rPr>
        <w:t>We simulate this model for 52 weeks, which</w:t>
      </w:r>
      <w:r w:rsidRPr="00343437">
        <w:rPr>
          <w:rFonts w:ascii="Arial" w:eastAsiaTheme="minorEastAsia" w:hAnsi="Arial" w:cs="Arial"/>
        </w:rPr>
        <w:t xml:space="preserve"> produces a time series of vaccinated and unvaccinated cases for each SARS-CoV-2 lineage that is then used as input in a logistic regression model </w:t>
      </w:r>
      <w:r>
        <w:rPr>
          <w:rFonts w:ascii="Arial" w:eastAsiaTheme="minorEastAsia" w:hAnsi="Arial" w:cs="Arial"/>
        </w:rPr>
        <w:t>for estimating</w:t>
      </w:r>
      <w:r w:rsidRPr="00343437">
        <w:rPr>
          <w:rFonts w:ascii="Arial" w:eastAsiaTheme="minorEastAsia" w:hAnsi="Arial" w:cs="Arial"/>
        </w:rPr>
        <w:t xml:space="preserve"> VE</w:t>
      </w:r>
      <w:r>
        <w:rPr>
          <w:rFonts w:ascii="Arial" w:eastAsiaTheme="minorEastAsia" w:hAnsi="Arial" w:cs="Arial"/>
        </w:rPr>
        <w:t xml:space="preserve">. The log odds of case versus control status was modeled as a linear function of vaccination status and categorical calendar week. In simulations where VE was assumed to be time-variant, VE was calculated as 1 minus the odds ratio and compared to the defined VE value. </w:t>
      </w:r>
      <w:r>
        <w:rPr>
          <w:rFonts w:ascii="Arial" w:hAnsi="Arial" w:cs="Arial"/>
        </w:rPr>
        <w:t xml:space="preserve">In the setting of time-varying VE, an empirical reference VE was estimated from the full time series data, representing a weighted average of VE over the observed time since vaccination distribution. </w:t>
      </w:r>
      <w:r>
        <w:rPr>
          <w:rFonts w:ascii="Arial" w:eastAsiaTheme="minorEastAsia" w:hAnsi="Arial" w:cs="Arial"/>
        </w:rPr>
        <w:t xml:space="preserve">For period-based analyses with a specified threshold α, the predominance period for variant 1 was defined from the start of COVID-19 circulation (1 or more cases detected) to the last week in which variant 1’s prevalence was above α. The predominance period for variant 2 spanned from the first week in which variant 2’s prevalence was above α to the end of COVID-19 circulation. For sequence-based analyses, correct lineage determination was assumed to occur in 60% of patients, reflecting possible sample reduction from specimens with low viral load </w:t>
      </w:r>
      <w:r w:rsidRPr="00343437">
        <w:rPr>
          <w:rFonts w:ascii="Arial" w:hAnsi="Arial" w:cs="Arial"/>
        </w:rPr>
        <w:fldChar w:fldCharType="begin" w:fldLock="1"/>
      </w:r>
      <w:r>
        <w:rPr>
          <w:rFonts w:ascii="Arial" w:hAnsi="Arial" w:cs="Arial"/>
        </w:rPr>
        <w:instrText>ADDIN paperpile_citation &lt;clusterId&gt;V972J339Y729C434&lt;/clusterId&gt;&lt;metadata&gt;&lt;citation&gt;&lt;id&gt;11471dad-52e4-45f0-aeac-cb6a07cb3e1d&lt;/id&gt;&lt;/citation&gt;&lt;/metadata&gt;&lt;data&gt;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&lt;/data&gt; \* MERGEFORMAT</w:instrText>
      </w:r>
      <w:r w:rsidRPr="00343437">
        <w:rPr>
          <w:rFonts w:ascii="Arial" w:hAnsi="Arial" w:cs="Arial"/>
        </w:rPr>
        <w:fldChar w:fldCharType="separate"/>
      </w:r>
      <w:r w:rsidR="0007753A">
        <w:rPr>
          <w:rFonts w:ascii="Arial" w:hAnsi="Arial" w:cs="Arial"/>
          <w:noProof/>
        </w:rPr>
        <w:t>[8]</w:t>
      </w:r>
      <w:r w:rsidRPr="00343437">
        <w:rPr>
          <w:rFonts w:ascii="Arial" w:hAnsi="Arial" w:cs="Arial"/>
        </w:rPr>
        <w:fldChar w:fldCharType="end"/>
      </w:r>
      <w:r w:rsidRPr="00343437">
        <w:rPr>
          <w:rFonts w:ascii="Arial" w:hAnsi="Arial" w:cs="Arial"/>
        </w:rPr>
        <w:t>. Our simplified model does not incorporate differences among patients with and without successful sequencing results</w:t>
      </w:r>
      <w:r>
        <w:rPr>
          <w:rFonts w:ascii="Arial" w:hAnsi="Arial" w:cs="Arial"/>
        </w:rPr>
        <w:t>.</w:t>
      </w:r>
    </w:p>
    <w:p w14:paraId="35080614" w14:textId="77777777" w:rsidR="00466B32" w:rsidRDefault="00466B32" w:rsidP="00161F0D">
      <w:pPr>
        <w:rPr>
          <w:rFonts w:ascii="Arial" w:hAnsi="Arial" w:cs="Arial"/>
          <w:b/>
          <w:bCs/>
        </w:rPr>
      </w:pPr>
    </w:p>
    <w:p w14:paraId="647FB2E8" w14:textId="77777777" w:rsidR="00234BBA" w:rsidRDefault="00466B32" w:rsidP="00161F0D">
      <w:pPr>
        <w:rPr>
          <w:rFonts w:ascii="Arial" w:hAnsi="Arial" w:cs="Arial"/>
          <w:i/>
          <w:iCs/>
        </w:rPr>
      </w:pPr>
      <w:r w:rsidRPr="00466B32">
        <w:rPr>
          <w:rFonts w:ascii="Arial" w:hAnsi="Arial" w:cs="Arial"/>
          <w:i/>
          <w:iCs/>
        </w:rPr>
        <w:t>P</w:t>
      </w:r>
      <w:r>
        <w:rPr>
          <w:rFonts w:ascii="Arial" w:hAnsi="Arial" w:cs="Arial"/>
          <w:i/>
          <w:iCs/>
        </w:rPr>
        <w:t>redominance periods</w:t>
      </w:r>
    </w:p>
    <w:p w14:paraId="4E8819FC" w14:textId="70142D90" w:rsidR="00161F0D" w:rsidRPr="00466B32" w:rsidRDefault="004C2B98" w:rsidP="00234BBA">
      <w:pPr>
        <w:spacing w:line="360" w:lineRule="auto"/>
        <w:rPr>
          <w:rFonts w:ascii="Arial" w:hAnsi="Arial" w:cs="Arial"/>
        </w:rPr>
      </w:pPr>
      <w:r>
        <w:rPr>
          <w:rFonts w:ascii="Arial" w:hAnsi="Arial" w:cs="Arial"/>
        </w:rPr>
        <w:t>We reviewed empirical COVID-19</w:t>
      </w:r>
      <w:r w:rsidR="00BB5F5A">
        <w:rPr>
          <w:rFonts w:ascii="Arial" w:hAnsi="Arial" w:cs="Arial"/>
        </w:rPr>
        <w:t xml:space="preserve"> TND</w:t>
      </w:r>
      <w:r>
        <w:rPr>
          <w:rFonts w:ascii="Arial" w:hAnsi="Arial" w:cs="Arial"/>
        </w:rPr>
        <w:t xml:space="preserve"> VE studies to </w:t>
      </w:r>
      <w:r w:rsidR="00CF4AA2">
        <w:rPr>
          <w:rFonts w:ascii="Arial" w:hAnsi="Arial" w:cs="Arial"/>
        </w:rPr>
        <w:t>see which predominance thresholds have been commonly used. A</w:t>
      </w:r>
      <w:r w:rsidR="00234BBA">
        <w:rPr>
          <w:rFonts w:ascii="Arial" w:hAnsi="Arial" w:cs="Arial"/>
        </w:rPr>
        <w:t xml:space="preserve"> </w:t>
      </w:r>
      <w:r w:rsidR="00234BBA" w:rsidRPr="00343437">
        <w:rPr>
          <w:rFonts w:ascii="Arial" w:hAnsi="Arial" w:cs="Arial"/>
        </w:rPr>
        <w:t xml:space="preserve">50% </w:t>
      </w:r>
      <w:r w:rsidR="00CF4AA2">
        <w:rPr>
          <w:rFonts w:ascii="Arial" w:hAnsi="Arial" w:cs="Arial"/>
        </w:rPr>
        <w:t>threshold was</w:t>
      </w:r>
      <w:r w:rsidR="00234BBA" w:rsidRPr="00343437">
        <w:rPr>
          <w:rFonts w:ascii="Arial" w:hAnsi="Arial" w:cs="Arial"/>
        </w:rPr>
        <w:t xml:space="preserve"> common </w:t>
      </w:r>
      <w:r w:rsidR="00234BBA" w:rsidRPr="00343437">
        <w:rPr>
          <w:rFonts w:ascii="Arial" w:hAnsi="Arial" w:cs="Arial"/>
        </w:rPr>
        <w:fldChar w:fldCharType="begin" w:fldLock="1"/>
      </w:r>
      <w:r w:rsidR="00234BBA">
        <w:rPr>
          <w:rFonts w:ascii="Arial" w:hAnsi="Arial" w:cs="Arial"/>
        </w:rPr>
        <w:instrText>ADDIN paperpile_citation &lt;clusterId&gt;V972J339Y719C433&lt;/clusterId&gt;&lt;metadata&gt;&lt;citation&gt;&lt;id&gt;0fe16fb2-9b7c-4e36-bf86-7e9b510a8fa6&lt;/id&gt;&lt;/citation&gt;&lt;citation&gt;&lt;id&gt;08e26726-488d-4a02-ba2e-a9dc4297e9fc&lt;/id&gt;&lt;/citation&gt;&lt;citation&gt;&lt;id&gt;6b8d1235-3dd6-4ba9-ad72-52f5180ec7c9&lt;/id&gt;&lt;/citation&gt;&lt;citation&gt;&lt;id&gt;2ef376ba-45c6-4057-a49d-8f0f07e5a583&lt;/id&gt;&lt;/citation&gt;&lt;citation&gt;&lt;id&gt;bef041e9-f85c-4daa-bb79-e19269ec9b99&lt;/id&gt;&lt;/citation&gt;&lt;citation&gt;&lt;id&gt;0d9adce7-4429-4c25-94cc-fa4ba09d021f&lt;/id&gt;&lt;/citation&gt;&lt;/metadata&gt;&lt;data&gt;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&lt;/data&gt; \* MERGEFORMAT</w:instrText>
      </w:r>
      <w:r w:rsidR="00234BBA" w:rsidRPr="00343437">
        <w:rPr>
          <w:rFonts w:ascii="Arial" w:hAnsi="Arial" w:cs="Arial"/>
        </w:rPr>
        <w:fldChar w:fldCharType="separate"/>
      </w:r>
      <w:r w:rsidR="0007753A">
        <w:rPr>
          <w:rFonts w:ascii="Arial" w:hAnsi="Arial" w:cs="Arial"/>
          <w:noProof/>
        </w:rPr>
        <w:t>[12–17]</w:t>
      </w:r>
      <w:r w:rsidR="00234BBA" w:rsidRPr="00343437">
        <w:rPr>
          <w:rFonts w:ascii="Arial" w:hAnsi="Arial" w:cs="Arial"/>
        </w:rPr>
        <w:fldChar w:fldCharType="end"/>
      </w:r>
      <w:r w:rsidR="00234BBA" w:rsidRPr="00343437">
        <w:rPr>
          <w:rFonts w:ascii="Arial" w:hAnsi="Arial" w:cs="Arial"/>
        </w:rPr>
        <w:t xml:space="preserve">, </w:t>
      </w:r>
      <w:r w:rsidR="00234BBA">
        <w:rPr>
          <w:rFonts w:ascii="Arial" w:hAnsi="Arial" w:cs="Arial"/>
        </w:rPr>
        <w:t>but</w:t>
      </w:r>
      <w:r w:rsidR="00234BBA" w:rsidRPr="00343437">
        <w:rPr>
          <w:rFonts w:ascii="Arial" w:hAnsi="Arial" w:cs="Arial"/>
        </w:rPr>
        <w:t xml:space="preserve"> higher thresholds such as 60% </w:t>
      </w:r>
      <w:r w:rsidR="00234BBA" w:rsidRPr="00343437">
        <w:rPr>
          <w:rFonts w:ascii="Arial" w:hAnsi="Arial" w:cs="Arial"/>
        </w:rPr>
        <w:fldChar w:fldCharType="begin" w:fldLock="1"/>
      </w:r>
      <w:r w:rsidR="00234BBA" w:rsidRPr="00343437">
        <w:rPr>
          <w:rFonts w:ascii="Arial" w:hAnsi="Arial" w:cs="Arial"/>
        </w:rPr>
        <w:instrText>ADDIN paperpile_citation &lt;clusterId&gt;J864W842L532Q325&lt;/clusterId&gt;&lt;metadata&gt;&lt;citation&gt;&lt;id&gt;2f0b1752-562b-47ba-a5a1-67cf87e16763&lt;/id&gt;&lt;/citation&gt;&lt;citation&gt;&lt;id&gt;0745e995-02d3-4a20-a389-d83bb11b9e6d&lt;/id&gt;&lt;/citation&gt;&lt;citation&gt;&lt;id&gt;b440aba8-d1cc-4979-a34f-b383f0a50f56&lt;/id&gt;&lt;/citation&gt;&lt;citation&gt;&lt;id&gt;6bcd86f3-36ec-4e8c-a7d6-375793592367&lt;/id&gt;&lt;/citation&gt;&lt;/metadata&gt;&lt;data&gt;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&lt;/data&gt; \* MERGEFORMAT</w:instrText>
      </w:r>
      <w:r w:rsidR="00234BBA" w:rsidRPr="00343437">
        <w:rPr>
          <w:rFonts w:ascii="Arial" w:hAnsi="Arial" w:cs="Arial"/>
        </w:rPr>
        <w:fldChar w:fldCharType="separate"/>
      </w:r>
      <w:r w:rsidR="0007753A">
        <w:rPr>
          <w:rFonts w:ascii="Arial" w:hAnsi="Arial" w:cs="Arial"/>
          <w:noProof/>
        </w:rPr>
        <w:t>[9,18–20]</w:t>
      </w:r>
      <w:r w:rsidR="00234BBA" w:rsidRPr="00343437">
        <w:rPr>
          <w:rFonts w:ascii="Arial" w:hAnsi="Arial" w:cs="Arial"/>
        </w:rPr>
        <w:fldChar w:fldCharType="end"/>
      </w:r>
      <w:r w:rsidR="00234BBA" w:rsidRPr="00343437">
        <w:rPr>
          <w:rFonts w:ascii="Arial" w:hAnsi="Arial" w:cs="Arial"/>
        </w:rPr>
        <w:t>, 70%</w:t>
      </w:r>
      <w:r w:rsidR="00234BBA">
        <w:rPr>
          <w:rFonts w:ascii="Arial" w:hAnsi="Arial" w:cs="Arial"/>
        </w:rPr>
        <w:t xml:space="preserve"> </w:t>
      </w:r>
      <w:r w:rsidR="00234BBA" w:rsidRPr="00343437">
        <w:rPr>
          <w:rFonts w:ascii="Arial" w:hAnsi="Arial" w:cs="Arial"/>
        </w:rPr>
        <w:fldChar w:fldCharType="begin" w:fldLock="1"/>
      </w:r>
      <w:r w:rsidR="00234BBA" w:rsidRPr="00343437">
        <w:rPr>
          <w:rFonts w:ascii="Arial" w:hAnsi="Arial" w:cs="Arial"/>
        </w:rPr>
        <w:instrText>ADDIN paperpile_citation &lt;clusterId&gt;K638Y985N375R989&lt;/clusterId&gt;&lt;metadata&gt;&lt;citation&gt;&lt;id&gt;318170b4-7409-47b6-a7f9-587ba8ed1e25&lt;/id&gt;&lt;/citation&gt;&lt;/metadata&gt;&lt;data&gt;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&lt;/data&gt; \* MERGEFORMAT</w:instrText>
      </w:r>
      <w:r w:rsidR="00234BBA" w:rsidRPr="00343437">
        <w:rPr>
          <w:rFonts w:ascii="Arial" w:hAnsi="Arial" w:cs="Arial"/>
        </w:rPr>
        <w:fldChar w:fldCharType="separate"/>
      </w:r>
      <w:r w:rsidR="0007753A">
        <w:rPr>
          <w:rFonts w:ascii="Arial" w:hAnsi="Arial" w:cs="Arial"/>
          <w:noProof/>
        </w:rPr>
        <w:t>[21]</w:t>
      </w:r>
      <w:r w:rsidR="00234BBA" w:rsidRPr="00343437">
        <w:rPr>
          <w:rFonts w:ascii="Arial" w:hAnsi="Arial" w:cs="Arial"/>
        </w:rPr>
        <w:fldChar w:fldCharType="end"/>
      </w:r>
      <w:r w:rsidR="00234BBA" w:rsidRPr="00343437">
        <w:rPr>
          <w:rFonts w:ascii="Arial" w:hAnsi="Arial" w:cs="Arial"/>
        </w:rPr>
        <w:t xml:space="preserve">, </w:t>
      </w:r>
      <w:r w:rsidR="00234BBA">
        <w:rPr>
          <w:rFonts w:ascii="Arial" w:hAnsi="Arial" w:cs="Arial"/>
        </w:rPr>
        <w:t>7</w:t>
      </w:r>
      <w:r w:rsidR="00234BBA" w:rsidRPr="00343437">
        <w:rPr>
          <w:rFonts w:ascii="Arial" w:hAnsi="Arial" w:cs="Arial"/>
        </w:rPr>
        <w:t xml:space="preserve">5% </w:t>
      </w:r>
      <w:r w:rsidR="00234BBA" w:rsidRPr="00343437">
        <w:rPr>
          <w:rFonts w:ascii="Arial" w:hAnsi="Arial" w:cs="Arial"/>
        </w:rPr>
        <w:fldChar w:fldCharType="begin" w:fldLock="1"/>
      </w:r>
      <w:r w:rsidR="00234BBA" w:rsidRPr="00343437">
        <w:rPr>
          <w:rFonts w:ascii="Arial" w:hAnsi="Arial" w:cs="Arial"/>
        </w:rPr>
        <w:instrText>ADDIN paperpile_citation &lt;clusterId&gt;M345A623W973T796&lt;/clusterId&gt;&lt;metadata&gt;&lt;citation&gt;&lt;id&gt;7110beda-b720-438c-933e-d4f393403a8e&lt;/id&gt;&lt;/citation&gt;&lt;/metadata&gt;&lt;data&gt;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&lt;/data&gt; \* MERGEFORMAT</w:instrText>
      </w:r>
      <w:r w:rsidR="00234BBA" w:rsidRPr="00343437">
        <w:rPr>
          <w:rFonts w:ascii="Arial" w:hAnsi="Arial" w:cs="Arial"/>
        </w:rPr>
        <w:fldChar w:fldCharType="separate"/>
      </w:r>
      <w:r w:rsidR="0007753A">
        <w:rPr>
          <w:rFonts w:ascii="Arial" w:hAnsi="Arial" w:cs="Arial"/>
          <w:noProof/>
        </w:rPr>
        <w:t>[22]</w:t>
      </w:r>
      <w:r w:rsidR="00234BBA" w:rsidRPr="00343437">
        <w:rPr>
          <w:rFonts w:ascii="Arial" w:hAnsi="Arial" w:cs="Arial"/>
        </w:rPr>
        <w:fldChar w:fldCharType="end"/>
      </w:r>
      <w:r w:rsidR="00234BBA" w:rsidRPr="00343437">
        <w:rPr>
          <w:rFonts w:ascii="Arial" w:hAnsi="Arial" w:cs="Arial"/>
        </w:rPr>
        <w:t xml:space="preserve">, 80% </w:t>
      </w:r>
      <w:r w:rsidR="00234BBA" w:rsidRPr="00343437">
        <w:rPr>
          <w:rFonts w:ascii="Arial" w:hAnsi="Arial" w:cs="Arial"/>
        </w:rPr>
        <w:fldChar w:fldCharType="begin" w:fldLock="1"/>
      </w:r>
      <w:r w:rsidR="00234BBA" w:rsidRPr="00343437">
        <w:rPr>
          <w:rFonts w:ascii="Arial" w:hAnsi="Arial" w:cs="Arial"/>
        </w:rPr>
        <w:instrText>ADDIN paperpile_citation &lt;clusterId&gt;Y449M797I287F872&lt;/clusterId&gt;&lt;metadata&gt;&lt;citation&gt;&lt;id&gt;1e940b52-5389-431a-878a-b03da6760326&lt;/id&gt;&lt;/citation&gt;&lt;citation&gt;&lt;id&gt;fe47274d-1f0e-406a-b876-874da9f36535&lt;/id&gt;&lt;/citation&gt;&lt;citation&gt;&lt;id&gt;f1012b4a-7923-476b-b976-20b817aa307e&lt;/id&gt;&lt;/citation&gt;&lt;citation&gt;&lt;id&gt;85fda3bc-8f97-4f8e-a0d6-bcd67bb083b9&lt;/id&gt;&lt;/citation&gt;&lt;/metadata&gt;&lt;data&gt;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&lt;/data&gt; \* MERGEFORMAT</w:instrText>
      </w:r>
      <w:r w:rsidR="00234BBA" w:rsidRPr="00343437">
        <w:rPr>
          <w:rFonts w:ascii="Arial" w:hAnsi="Arial" w:cs="Arial"/>
        </w:rPr>
        <w:fldChar w:fldCharType="separate"/>
      </w:r>
      <w:r w:rsidR="0007753A">
        <w:rPr>
          <w:rFonts w:ascii="Arial" w:hAnsi="Arial" w:cs="Arial"/>
          <w:noProof/>
        </w:rPr>
        <w:t>[10,23–25]</w:t>
      </w:r>
      <w:r w:rsidR="00234BBA" w:rsidRPr="00343437">
        <w:rPr>
          <w:rFonts w:ascii="Arial" w:hAnsi="Arial" w:cs="Arial"/>
        </w:rPr>
        <w:fldChar w:fldCharType="end"/>
      </w:r>
      <w:r w:rsidR="00234BBA" w:rsidRPr="00343437">
        <w:rPr>
          <w:rFonts w:ascii="Arial" w:hAnsi="Arial" w:cs="Arial"/>
        </w:rPr>
        <w:t xml:space="preserve">, and 90% </w:t>
      </w:r>
      <w:r w:rsidR="00234BBA" w:rsidRPr="00343437">
        <w:rPr>
          <w:rFonts w:ascii="Arial" w:hAnsi="Arial" w:cs="Arial"/>
        </w:rPr>
        <w:fldChar w:fldCharType="begin" w:fldLock="1"/>
      </w:r>
      <w:r w:rsidR="00234BBA" w:rsidRPr="00343437">
        <w:rPr>
          <w:rFonts w:ascii="Arial" w:hAnsi="Arial" w:cs="Arial"/>
        </w:rPr>
        <w:instrText>ADDIN paperpile_citation &lt;clusterId&gt;S592Z858V349S953&lt;/clusterId&gt;&lt;metadata&gt;&lt;citation&gt;&lt;id&gt;9a1c1377-5d21-4ce3-a698-4208c31452b8&lt;/id&gt;&lt;/citation&gt;&lt;/metadata&gt;&lt;data&gt;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&lt;/data&gt; \* MERGEFORMAT</w:instrText>
      </w:r>
      <w:r w:rsidR="00234BBA" w:rsidRPr="00343437">
        <w:rPr>
          <w:rFonts w:ascii="Arial" w:hAnsi="Arial" w:cs="Arial"/>
        </w:rPr>
        <w:fldChar w:fldCharType="separate"/>
      </w:r>
      <w:r w:rsidR="0007753A">
        <w:rPr>
          <w:rFonts w:ascii="Arial" w:hAnsi="Arial" w:cs="Arial"/>
          <w:noProof/>
        </w:rPr>
        <w:t>[26]</w:t>
      </w:r>
      <w:r w:rsidR="00234BBA" w:rsidRPr="00343437">
        <w:rPr>
          <w:rFonts w:ascii="Arial" w:hAnsi="Arial" w:cs="Arial"/>
        </w:rPr>
        <w:fldChar w:fldCharType="end"/>
      </w:r>
      <w:r w:rsidR="00234BBA" w:rsidRPr="00343437">
        <w:rPr>
          <w:rFonts w:ascii="Arial" w:hAnsi="Arial" w:cs="Arial"/>
        </w:rPr>
        <w:t xml:space="preserve"> have also been used</w:t>
      </w:r>
      <w:r w:rsidR="00234BBA">
        <w:rPr>
          <w:rFonts w:ascii="Arial" w:hAnsi="Arial" w:cs="Arial"/>
        </w:rPr>
        <w:t>.</w:t>
      </w:r>
      <w:r w:rsidR="00FD520F">
        <w:rPr>
          <w:rFonts w:ascii="Arial" w:hAnsi="Arial" w:cs="Arial"/>
        </w:rPr>
        <w:t xml:space="preserve"> We selected 50%, 70% and 90% as </w:t>
      </w:r>
      <w:r w:rsidR="00CA5503">
        <w:rPr>
          <w:rFonts w:ascii="Arial" w:hAnsi="Arial" w:cs="Arial"/>
        </w:rPr>
        <w:t xml:space="preserve">representative </w:t>
      </w:r>
      <w:r w:rsidR="00D67181">
        <w:rPr>
          <w:rFonts w:ascii="Arial" w:hAnsi="Arial" w:cs="Arial"/>
        </w:rPr>
        <w:t>predominance threshold values</w:t>
      </w:r>
      <w:r w:rsidR="00CA5503">
        <w:rPr>
          <w:rFonts w:ascii="Arial" w:hAnsi="Arial" w:cs="Arial"/>
        </w:rPr>
        <w:t xml:space="preserve"> spanning the range of empirical thresholds to use in our simulation.</w:t>
      </w:r>
      <w:r w:rsidR="00CA5503" w:rsidRPr="00466B32">
        <w:rPr>
          <w:rFonts w:ascii="Arial" w:hAnsi="Arial" w:cs="Arial"/>
        </w:rPr>
        <w:t xml:space="preserve"> </w:t>
      </w:r>
      <w:r w:rsidR="00161F0D" w:rsidRPr="00466B32">
        <w:rPr>
          <w:rFonts w:ascii="Arial" w:hAnsi="Arial" w:cs="Arial"/>
        </w:rPr>
        <w:br w:type="page"/>
      </w:r>
    </w:p>
    <w:p w14:paraId="5659C92A" w14:textId="77777777" w:rsidR="00161F0D" w:rsidRDefault="00161F0D" w:rsidP="00161F0D">
      <w:pPr>
        <w:spacing w:line="360" w:lineRule="auto"/>
        <w:rPr>
          <w:rFonts w:ascii="Arial" w:hAnsi="Arial" w:cs="Arial"/>
          <w:b/>
          <w:bCs/>
        </w:rPr>
      </w:pPr>
      <w:r w:rsidRPr="002404DF">
        <w:rPr>
          <w:rFonts w:ascii="Arial" w:hAnsi="Arial" w:cs="Arial"/>
          <w:b/>
          <w:bCs/>
        </w:rPr>
        <w:lastRenderedPageBreak/>
        <w:t xml:space="preserve">Supplementary Figure 1. </w:t>
      </w:r>
      <w:r>
        <w:rPr>
          <w:rFonts w:ascii="Arial" w:hAnsi="Arial" w:cs="Arial"/>
          <w:b/>
          <w:bCs/>
        </w:rPr>
        <w:t>Normalized estimated biweekly variant-attributed COVID-19 cases among A) early Omicron variants, B) XBB and descendants, and C) JN.1. and descendants</w:t>
      </w:r>
    </w:p>
    <w:p w14:paraId="4D872A52" w14:textId="77777777" w:rsidR="00161F0D" w:rsidRDefault="00161F0D" w:rsidP="00161F0D">
      <w:pPr>
        <w:spacing w:line="360" w:lineRule="auto"/>
        <w:rPr>
          <w:rFonts w:ascii="Arial" w:hAnsi="Arial" w:cs="Arial"/>
          <w:b/>
          <w:bCs/>
        </w:rPr>
      </w:pPr>
    </w:p>
    <w:p w14:paraId="556F725D" w14:textId="77777777" w:rsidR="00161F0D" w:rsidRDefault="00161F0D" w:rsidP="00161F0D">
      <w:pPr>
        <w:spacing w:line="360" w:lineRule="auto"/>
        <w:rPr>
          <w:rFonts w:ascii="Arial" w:hAnsi="Arial" w:cs="Arial"/>
        </w:rPr>
      </w:pPr>
      <w:r w:rsidRPr="009A372A">
        <w:rPr>
          <w:rFonts w:ascii="Arial" w:hAnsi="Arial" w:cs="Arial"/>
        </w:rPr>
        <w:t>(Next page)</w:t>
      </w:r>
    </w:p>
    <w:p w14:paraId="2F834D2D" w14:textId="77777777" w:rsidR="00161F0D" w:rsidRDefault="00161F0D" w:rsidP="00161F0D">
      <w:pPr>
        <w:spacing w:line="360" w:lineRule="auto"/>
        <w:rPr>
          <w:rFonts w:ascii="Arial" w:hAnsi="Arial" w:cs="Arial"/>
        </w:rPr>
      </w:pPr>
    </w:p>
    <w:p w14:paraId="5B3486B2" w14:textId="7D188BE5" w:rsidR="00161F0D" w:rsidRPr="002404DF" w:rsidRDefault="00161F0D" w:rsidP="00161F0D">
      <w:pPr>
        <w:spacing w:line="360" w:lineRule="auto"/>
        <w:rPr>
          <w:rFonts w:ascii="Arial" w:hAnsi="Arial" w:cs="Arial"/>
          <w:b/>
          <w:bCs/>
        </w:rPr>
      </w:pPr>
      <w:r>
        <w:rPr>
          <w:rFonts w:ascii="Arial" w:hAnsi="Arial" w:cs="Arial"/>
        </w:rPr>
        <w:t xml:space="preserve">Data from CDC’s national genomic surveillance program </w:t>
      </w:r>
      <w:r>
        <w:rPr>
          <w:rFonts w:ascii="Arial" w:hAnsi="Arial" w:cs="Arial"/>
        </w:rPr>
        <w:fldChar w:fldCharType="begin" w:fldLock="1"/>
      </w:r>
      <w:r>
        <w:rPr>
          <w:rFonts w:ascii="Arial" w:hAnsi="Arial" w:cs="Arial"/>
        </w:rPr>
        <w:instrText>ADDIN paperpile_citation &lt;clusterId&gt;R851F217U598Y322&lt;/clusterId&gt;&lt;metadata&gt;&lt;citation&gt;&lt;id&gt;ba152cb5-b9b5-4441-88cf-2f7ad67f84bf&lt;/id&gt;&lt;/citation&gt;&lt;/metadata&gt;&lt;data&gt;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&lt;/data&gt; \* MERGEFORMAT</w:instrText>
      </w:r>
      <w:r>
        <w:rPr>
          <w:rFonts w:ascii="Arial" w:hAnsi="Arial" w:cs="Arial"/>
        </w:rPr>
        <w:fldChar w:fldCharType="separate"/>
      </w:r>
      <w:r w:rsidR="00FD520F">
        <w:rPr>
          <w:rFonts w:ascii="Arial" w:hAnsi="Arial" w:cs="Arial"/>
          <w:noProof/>
        </w:rPr>
        <w:t>[1]</w:t>
      </w:r>
      <w:r>
        <w:rPr>
          <w:rFonts w:ascii="Arial" w:hAnsi="Arial" w:cs="Arial"/>
        </w:rPr>
        <w:fldChar w:fldCharType="end"/>
      </w:r>
      <w:r>
        <w:rPr>
          <w:rFonts w:ascii="Arial" w:hAnsi="Arial" w:cs="Arial"/>
        </w:rPr>
        <w:t xml:space="preserve"> were used to estimate COVID-19 cases attributable to variants circulating from July 2021 to September 2024 among</w:t>
      </w:r>
      <w:r w:rsidRPr="008B2427">
        <w:rPr>
          <w:rFonts w:ascii="Arial" w:hAnsi="Arial" w:cs="Arial"/>
        </w:rPr>
        <w:t xml:space="preserve"> previously</w:t>
      </w:r>
      <w:r>
        <w:rPr>
          <w:rFonts w:ascii="Arial" w:hAnsi="Arial" w:cs="Arial"/>
        </w:rPr>
        <w:t xml:space="preserve"> defined SARS-CoV-2 lineage groups </w:t>
      </w:r>
      <w:r>
        <w:rPr>
          <w:rFonts w:ascii="Arial" w:hAnsi="Arial" w:cs="Arial"/>
        </w:rPr>
        <w:fldChar w:fldCharType="begin" w:fldLock="1"/>
      </w:r>
      <w:r w:rsidR="00B16A24">
        <w:rPr>
          <w:rFonts w:ascii="Arial" w:hAnsi="Arial" w:cs="Arial"/>
        </w:rPr>
        <w:instrText>ADDIN paperpile_citation &lt;clusterId&gt;P759D117S587W211&lt;/clusterId&gt;&lt;metadata&gt;&lt;citation&gt;&lt;id&gt;37b5c00e-16ce-4d38-91bc-f22aa621b55c&lt;/id&gt;&lt;/citation&gt;&lt;citation&gt;&lt;id&gt;a98c76e8-7dbe-47c7-9327-75a4e3620ea3&lt;/id&gt;&lt;/citation&gt;&lt;/metadata&gt;&lt;data&gt;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&lt;/data&gt; \* MERGEFORMAT</w:instrText>
      </w:r>
      <w:r>
        <w:rPr>
          <w:rFonts w:ascii="Arial" w:hAnsi="Arial" w:cs="Arial"/>
        </w:rPr>
        <w:fldChar w:fldCharType="separate"/>
      </w:r>
      <w:r w:rsidR="0007753A">
        <w:rPr>
          <w:rFonts w:ascii="Arial" w:hAnsi="Arial" w:cs="Arial"/>
          <w:noProof/>
        </w:rPr>
        <w:t>[2,4]</w:t>
      </w:r>
      <w:r>
        <w:rPr>
          <w:rFonts w:ascii="Arial" w:hAnsi="Arial" w:cs="Arial"/>
        </w:rPr>
        <w:fldChar w:fldCharType="end"/>
      </w:r>
      <w:r>
        <w:rPr>
          <w:rFonts w:ascii="Arial" w:hAnsi="Arial" w:cs="Arial"/>
        </w:rPr>
        <w:t>. We estimated biweekly numbers of COVID-19 infections attributable to these variants by multiplying counts of positive SARS-CoV-2 positive test results from the</w:t>
      </w:r>
      <w:r w:rsidRPr="008E475B">
        <w:rPr>
          <w:rFonts w:ascii="Arial" w:hAnsi="Arial" w:cs="Arial"/>
        </w:rPr>
        <w:t xml:space="preserve"> National Respiratory and Enteric Virus Surveillance System (NREVSS)</w:t>
      </w:r>
      <w:r>
        <w:rPr>
          <w:rFonts w:ascii="Arial" w:hAnsi="Arial" w:cs="Arial"/>
        </w:rPr>
        <w:t xml:space="preserve"> with biweekly variant proportions from genomic surveillance </w:t>
      </w:r>
      <w:r>
        <w:rPr>
          <w:rFonts w:ascii="Arial" w:hAnsi="Arial" w:cs="Arial"/>
        </w:rPr>
        <w:fldChar w:fldCharType="begin" w:fldLock="1"/>
      </w:r>
      <w:r>
        <w:rPr>
          <w:rFonts w:ascii="Arial" w:hAnsi="Arial" w:cs="Arial"/>
        </w:rPr>
        <w:instrText>ADDIN paperpile_citation &lt;clusterId&gt;F773T139P421M114&lt;/clusterId&gt;&lt;metadata&gt;&lt;citation&gt;&lt;id&gt;37b5c00e-16ce-4d38-91bc-f22aa621b55c&lt;/id&gt;&lt;/citation&gt;&lt;/metadata&gt;&lt;data&gt;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&lt;/data&gt; \* MERGEFORMAT</w:instrText>
      </w:r>
      <w:r>
        <w:rPr>
          <w:rFonts w:ascii="Arial" w:hAnsi="Arial" w:cs="Arial"/>
        </w:rPr>
        <w:fldChar w:fldCharType="separate"/>
      </w:r>
      <w:r w:rsidR="0007753A">
        <w:rPr>
          <w:rFonts w:ascii="Arial" w:hAnsi="Arial" w:cs="Arial"/>
          <w:noProof/>
        </w:rPr>
        <w:t>[4]</w:t>
      </w:r>
      <w:r>
        <w:rPr>
          <w:rFonts w:ascii="Arial" w:hAnsi="Arial" w:cs="Arial"/>
        </w:rPr>
        <w:fldChar w:fldCharType="end"/>
      </w:r>
      <w:r>
        <w:rPr>
          <w:rFonts w:ascii="Arial" w:hAnsi="Arial" w:cs="Arial"/>
        </w:rPr>
        <w:t xml:space="preserve">. For each variant, we restricted to biweeks in which it circulated at 0.1% share or greater and normalized to the maximum cases per variant. </w:t>
      </w:r>
    </w:p>
    <w:p w14:paraId="09204238" w14:textId="77777777" w:rsidR="00161F0D" w:rsidRDefault="00161F0D" w:rsidP="00161F0D">
      <w:pPr>
        <w:jc w:val="center"/>
        <w:rPr>
          <w:rFonts w:ascii="Arial" w:hAnsi="Arial" w:cs="Arial"/>
          <w:b/>
          <w:bCs/>
        </w:rPr>
      </w:pPr>
      <w:r>
        <w:rPr>
          <w:noProof/>
        </w:rPr>
        <w:lastRenderedPageBreak/>
        <w:drawing>
          <wp:inline distT="0" distB="0" distL="0" distR="0" wp14:anchorId="214995C7" wp14:editId="1F03C411">
            <wp:extent cx="4114800" cy="8229600"/>
            <wp:effectExtent l="0" t="0" r="0" b="0"/>
            <wp:docPr id="9857605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14800" cy="8229600"/>
                    </a:xfrm>
                    <a:prstGeom prst="rect">
                      <a:avLst/>
                    </a:prstGeom>
                    <a:noFill/>
                    <a:ln>
                      <a:noFill/>
                    </a:ln>
                  </pic:spPr>
                </pic:pic>
              </a:graphicData>
            </a:graphic>
          </wp:inline>
        </w:drawing>
      </w:r>
    </w:p>
    <w:p w14:paraId="359912DF" w14:textId="77777777" w:rsidR="00161F0D" w:rsidRDefault="00161F0D" w:rsidP="00161F0D">
      <w:pPr>
        <w:jc w:val="center"/>
        <w:rPr>
          <w:rFonts w:ascii="Arial" w:hAnsi="Arial" w:cs="Arial"/>
          <w:b/>
          <w:bCs/>
        </w:rPr>
      </w:pPr>
      <w:r>
        <w:rPr>
          <w:noProof/>
        </w:rPr>
        <w:lastRenderedPageBreak/>
        <w:drawing>
          <wp:inline distT="0" distB="0" distL="0" distR="0" wp14:anchorId="6E8592AB" wp14:editId="1558A9CD">
            <wp:extent cx="4937760" cy="8229600"/>
            <wp:effectExtent l="0" t="0" r="0" b="0"/>
            <wp:docPr id="7411307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7760" cy="8229600"/>
                    </a:xfrm>
                    <a:prstGeom prst="rect">
                      <a:avLst/>
                    </a:prstGeom>
                    <a:noFill/>
                    <a:ln>
                      <a:noFill/>
                    </a:ln>
                  </pic:spPr>
                </pic:pic>
              </a:graphicData>
            </a:graphic>
          </wp:inline>
        </w:drawing>
      </w:r>
    </w:p>
    <w:p w14:paraId="4C75B526" w14:textId="77777777" w:rsidR="00161F0D" w:rsidRDefault="00161F0D" w:rsidP="00161F0D">
      <w:pPr>
        <w:jc w:val="center"/>
        <w:rPr>
          <w:rFonts w:ascii="Arial" w:hAnsi="Arial" w:cs="Arial"/>
          <w:b/>
          <w:bCs/>
        </w:rPr>
      </w:pPr>
      <w:r>
        <w:rPr>
          <w:noProof/>
        </w:rPr>
        <w:lastRenderedPageBreak/>
        <w:drawing>
          <wp:inline distT="0" distB="0" distL="0" distR="0" wp14:anchorId="0576E4BC" wp14:editId="3D31A9CF">
            <wp:extent cx="5943600" cy="7924800"/>
            <wp:effectExtent l="0" t="0" r="0" b="0"/>
            <wp:docPr id="628790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14:paraId="5AB35F3A" w14:textId="77777777" w:rsidR="00161F0D" w:rsidRDefault="00161F0D" w:rsidP="00161F0D">
      <w:pPr>
        <w:jc w:val="center"/>
        <w:rPr>
          <w:rFonts w:ascii="Arial" w:hAnsi="Arial" w:cs="Arial"/>
          <w:b/>
          <w:bCs/>
        </w:rPr>
      </w:pPr>
    </w:p>
    <w:p w14:paraId="2E59078B"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2. Counts of simulated cases and controls by variant and vaccination status (top) and proportions of variants (bottom) over time for a range of standard deviations for the variant 2 epidemic curve.</w:t>
      </w:r>
    </w:p>
    <w:p w14:paraId="28832050" w14:textId="77777777" w:rsidR="00161F0D" w:rsidRDefault="00161F0D" w:rsidP="00161F0D">
      <w:pPr>
        <w:spacing w:line="360" w:lineRule="auto"/>
        <w:rPr>
          <w:rFonts w:ascii="Arial" w:hAnsi="Arial" w:cs="Arial"/>
          <w:b/>
          <w:bCs/>
        </w:rPr>
      </w:pPr>
      <w:r>
        <w:rPr>
          <w:noProof/>
        </w:rPr>
        <w:drawing>
          <wp:inline distT="0" distB="0" distL="0" distR="0" wp14:anchorId="354C35CE" wp14:editId="47B8DDE0">
            <wp:extent cx="5943600" cy="6686550"/>
            <wp:effectExtent l="0" t="0" r="0" b="0"/>
            <wp:docPr id="20471136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686550"/>
                    </a:xfrm>
                    <a:prstGeom prst="rect">
                      <a:avLst/>
                    </a:prstGeom>
                    <a:noFill/>
                    <a:ln>
                      <a:noFill/>
                    </a:ln>
                  </pic:spPr>
                </pic:pic>
              </a:graphicData>
            </a:graphic>
          </wp:inline>
        </w:drawing>
      </w:r>
    </w:p>
    <w:p w14:paraId="497B551C" w14:textId="77777777" w:rsidR="00161F0D" w:rsidRDefault="00161F0D" w:rsidP="00161F0D">
      <w:pPr>
        <w:rPr>
          <w:rFonts w:ascii="Arial" w:hAnsi="Arial" w:cs="Arial"/>
          <w:b/>
          <w:bCs/>
        </w:rPr>
      </w:pPr>
      <w:r>
        <w:rPr>
          <w:rFonts w:ascii="Arial" w:hAnsi="Arial" w:cs="Arial"/>
          <w:b/>
          <w:bCs/>
        </w:rPr>
        <w:br w:type="page"/>
      </w:r>
    </w:p>
    <w:p w14:paraId="1B7CE7EB" w14:textId="77777777" w:rsidR="00161F0D" w:rsidRDefault="00161F0D" w:rsidP="00161F0D">
      <w:pPr>
        <w:rPr>
          <w:rFonts w:ascii="Arial" w:hAnsi="Arial" w:cs="Arial"/>
          <w:b/>
          <w:bCs/>
        </w:rPr>
      </w:pPr>
      <w:r>
        <w:rPr>
          <w:noProof/>
        </w:rPr>
        <w:lastRenderedPageBreak/>
        <w:drawing>
          <wp:inline distT="0" distB="0" distL="0" distR="0" wp14:anchorId="1A24C381" wp14:editId="0F6CD946">
            <wp:extent cx="5596255" cy="8229600"/>
            <wp:effectExtent l="0" t="0" r="4445" b="0"/>
            <wp:docPr id="14325970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6255" cy="8229600"/>
                    </a:xfrm>
                    <a:prstGeom prst="rect">
                      <a:avLst/>
                    </a:prstGeom>
                    <a:noFill/>
                    <a:ln>
                      <a:noFill/>
                    </a:ln>
                  </pic:spPr>
                </pic:pic>
              </a:graphicData>
            </a:graphic>
          </wp:inline>
        </w:drawing>
      </w:r>
      <w:r>
        <w:rPr>
          <w:rFonts w:ascii="Arial" w:hAnsi="Arial" w:cs="Arial"/>
          <w:b/>
          <w:bCs/>
        </w:rPr>
        <w:br w:type="page"/>
      </w:r>
    </w:p>
    <w:p w14:paraId="21D9E68F" w14:textId="77777777" w:rsidR="00161F0D" w:rsidRPr="00A2507F" w:rsidRDefault="00161F0D" w:rsidP="00161F0D">
      <w:pPr>
        <w:spacing w:before="240" w:line="360" w:lineRule="auto"/>
        <w:rPr>
          <w:rFonts w:ascii="Arial" w:eastAsiaTheme="minorEastAsia" w:hAnsi="Arial" w:cs="Arial"/>
          <w:bCs/>
        </w:rPr>
      </w:pPr>
      <w:r w:rsidRPr="007F5023">
        <w:rPr>
          <w:rFonts w:ascii="Arial" w:hAnsi="Arial" w:cs="Arial"/>
        </w:rPr>
        <w:lastRenderedPageBreak/>
        <w:t xml:space="preserve">Variant </w:t>
      </w:r>
      <w:r>
        <w:rPr>
          <w:rFonts w:ascii="Arial" w:hAnsi="Arial" w:cs="Arial"/>
        </w:rPr>
        <w:t>co-circulation was modeled using</w:t>
      </w:r>
      <w:r>
        <w:rPr>
          <w:rFonts w:ascii="Arial" w:eastAsiaTheme="minorEastAsia" w:hAnsi="Arial" w:cs="Arial"/>
          <w:bCs/>
        </w:rPr>
        <w:t xml:space="preserve"> symmetric normally-distributed epidemic curves, with the standard deviation of the variant 2 epidemic curve ranging from 2 to 14 weeks. Time-invariant VE was assumed to be 50% against variant 1 and 20% against variant 2, </w:t>
      </w:r>
      <w:r w:rsidRPr="00343437">
        <w:rPr>
          <w:rFonts w:ascii="Arial" w:eastAsiaTheme="minorEastAsia" w:hAnsi="Arial" w:cs="Arial"/>
        </w:rPr>
        <w:t xml:space="preserve">representing approximate </w:t>
      </w:r>
      <w:r>
        <w:rPr>
          <w:rFonts w:ascii="Arial" w:eastAsiaTheme="minorEastAsia" w:hAnsi="Arial" w:cs="Arial"/>
        </w:rPr>
        <w:t>differences in VE</w:t>
      </w:r>
      <w:r w:rsidRPr="00343437">
        <w:rPr>
          <w:rFonts w:ascii="Arial" w:eastAsiaTheme="minorEastAsia" w:hAnsi="Arial" w:cs="Arial"/>
        </w:rPr>
        <w:t xml:space="preserve"> observed empirically against </w:t>
      </w:r>
      <w:r>
        <w:rPr>
          <w:rFonts w:ascii="Arial" w:eastAsiaTheme="minorEastAsia" w:hAnsi="Arial" w:cs="Arial"/>
        </w:rPr>
        <w:t>recent strain-matched</w:t>
      </w:r>
      <w:r w:rsidRPr="00343437">
        <w:rPr>
          <w:rFonts w:ascii="Arial" w:eastAsiaTheme="minorEastAsia" w:hAnsi="Arial" w:cs="Arial"/>
        </w:rPr>
        <w:t xml:space="preserve"> and </w:t>
      </w:r>
      <w:r>
        <w:rPr>
          <w:rFonts w:ascii="Arial" w:eastAsiaTheme="minorEastAsia" w:hAnsi="Arial" w:cs="Arial"/>
        </w:rPr>
        <w:t>divergent</w:t>
      </w:r>
      <w:r w:rsidRPr="00343437">
        <w:rPr>
          <w:rFonts w:ascii="Arial" w:eastAsiaTheme="minorEastAsia" w:hAnsi="Arial" w:cs="Arial"/>
        </w:rPr>
        <w:t xml:space="preserve"> variants, respectively</w:t>
      </w:r>
      <w:r>
        <w:rPr>
          <w:rFonts w:ascii="Arial" w:eastAsiaTheme="minorEastAsia" w:hAnsi="Arial" w:cs="Arial"/>
        </w:rPr>
        <w:t xml:space="preserve">. </w:t>
      </w:r>
      <w:r>
        <w:rPr>
          <w:rFonts w:ascii="Arial" w:eastAsiaTheme="minorEastAsia" w:hAnsi="Arial" w:cs="Arial"/>
          <w:bCs/>
        </w:rPr>
        <w:t xml:space="preserve">Vaccine coverage was assumed to increase linearly from the start of the season before plateauing at 20%, </w:t>
      </w:r>
      <w:r>
        <w:rPr>
          <w:rFonts w:ascii="Arial" w:hAnsi="Arial" w:cs="Arial"/>
        </w:rPr>
        <w:t>derived from empirical trends in vaccination coverage 2023–24 and 2024–25 in the US</w:t>
      </w:r>
      <w:r>
        <w:rPr>
          <w:rFonts w:ascii="Arial" w:eastAsiaTheme="minorEastAsia" w:hAnsi="Arial" w:cs="Arial"/>
          <w:bCs/>
        </w:rPr>
        <w:t>.</w:t>
      </w:r>
      <w:r>
        <w:rPr>
          <w:rFonts w:ascii="Arial" w:hAnsi="Arial" w:cs="Arial"/>
          <w:b/>
          <w:bCs/>
        </w:rPr>
        <w:br w:type="page"/>
      </w:r>
    </w:p>
    <w:p w14:paraId="3F6EBAAA"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3. Time-varying vaccine effectiveness by number of weeks since vaccination for variant 1 and 2.</w:t>
      </w:r>
    </w:p>
    <w:p w14:paraId="15FBE6E0" w14:textId="77777777" w:rsidR="00161F0D" w:rsidRDefault="00161F0D" w:rsidP="00161F0D">
      <w:pPr>
        <w:spacing w:line="360" w:lineRule="auto"/>
        <w:rPr>
          <w:rFonts w:ascii="Arial" w:hAnsi="Arial" w:cs="Arial"/>
          <w:b/>
          <w:bCs/>
        </w:rPr>
      </w:pPr>
      <w:r>
        <w:rPr>
          <w:noProof/>
        </w:rPr>
        <w:drawing>
          <wp:inline distT="0" distB="0" distL="0" distR="0" wp14:anchorId="5DD808C0" wp14:editId="43D4A20A">
            <wp:extent cx="5943600" cy="2971800"/>
            <wp:effectExtent l="0" t="0" r="0" b="0"/>
            <wp:docPr id="1891973388" name="Picture 10"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73388" name="Picture 10" descr="Chart, line char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BD4CE0D" w14:textId="06853BE2" w:rsidR="00161F0D" w:rsidRDefault="00161F0D" w:rsidP="00161F0D">
      <w:pPr>
        <w:spacing w:line="360" w:lineRule="auto"/>
        <w:rPr>
          <w:rFonts w:ascii="Arial" w:hAnsi="Arial" w:cs="Arial"/>
          <w:b/>
          <w:bCs/>
        </w:rPr>
      </w:pPr>
      <w:r>
        <w:rPr>
          <w:rFonts w:ascii="Arial" w:eastAsiaTheme="minorEastAsia" w:hAnsi="Arial" w:cs="Arial"/>
        </w:rPr>
        <w:t xml:space="preserve">Time-varying vaccine effectiveness was defined using the piecewise function approach of Lin et al. </w:t>
      </w:r>
      <w:r>
        <w:rPr>
          <w:rFonts w:ascii="Arial" w:eastAsiaTheme="minorEastAsia" w:hAnsi="Arial" w:cs="Arial"/>
        </w:rPr>
        <w:fldChar w:fldCharType="begin" w:fldLock="1"/>
      </w:r>
      <w:r>
        <w:rPr>
          <w:rFonts w:ascii="Arial" w:eastAsiaTheme="minorEastAsia" w:hAnsi="Arial" w:cs="Arial"/>
        </w:rPr>
        <w:instrText>ADDIN paperpile_citation &lt;clusterId&gt;W349J696F177D771&lt;/clusterId&gt;&lt;metadata&gt;&lt;citation&gt;&lt;id&gt;a7808d85-e4d9-4663-a798-04e4527f5d42&lt;/id&gt;&lt;/citation&gt;&lt;/metadata&gt;&lt;data&gt;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&lt;/data&gt; \* MERGEFORMAT</w:instrText>
      </w:r>
      <w:r>
        <w:rPr>
          <w:rFonts w:ascii="Arial" w:eastAsiaTheme="minorEastAsia" w:hAnsi="Arial" w:cs="Arial"/>
        </w:rPr>
        <w:fldChar w:fldCharType="separate"/>
      </w:r>
      <w:r w:rsidR="0007753A">
        <w:rPr>
          <w:rFonts w:ascii="Arial" w:eastAsiaTheme="minorEastAsia" w:hAnsi="Arial" w:cs="Arial"/>
          <w:noProof/>
        </w:rPr>
        <w:t>[11]</w:t>
      </w:r>
      <w:r>
        <w:rPr>
          <w:rFonts w:ascii="Arial" w:eastAsiaTheme="minorEastAsia" w:hAnsi="Arial" w:cs="Arial"/>
        </w:rPr>
        <w:fldChar w:fldCharType="end"/>
      </w:r>
      <w:r>
        <w:rPr>
          <w:rFonts w:ascii="Arial" w:eastAsiaTheme="minorEastAsia" w:hAnsi="Arial" w:cs="Arial"/>
        </w:rPr>
        <w:t xml:space="preserve">. In this model, VE increases from </w:t>
      </w:r>
      <m:oMath>
        <m:r>
          <w:rPr>
            <w:rFonts w:ascii="Cambria Math" w:eastAsiaTheme="minorEastAsia" w:hAnsi="Cambria Math" w:cs="Arial"/>
          </w:rPr>
          <m:t>τ=0</m:t>
        </m:r>
      </m:oMath>
      <w:r>
        <w:rPr>
          <w:rFonts w:ascii="Arial" w:eastAsiaTheme="minorEastAsia" w:hAnsi="Arial" w:cs="Arial"/>
        </w:rPr>
        <w:t xml:space="preserve"> to a peak at </w:t>
      </w:r>
      <m:oMath>
        <m:r>
          <w:rPr>
            <w:rFonts w:ascii="Cambria Math" w:eastAsiaTheme="minorEastAsia" w:hAnsi="Cambria Math" w:cs="Arial"/>
          </w:rPr>
          <m:t>τ=4</m:t>
        </m:r>
      </m:oMath>
      <w:r>
        <w:rPr>
          <w:rFonts w:ascii="Arial" w:eastAsiaTheme="minorEastAsia" w:hAnsi="Arial" w:cs="Arial"/>
        </w:rPr>
        <w:t xml:space="preserve"> weeks of 50% against variant 1 and 20% against variant 2, representing the mounting of the immune response following vaccination; VE then subsequently wanes to 0%, representing natural waning of immunologic protection over time. </w:t>
      </w:r>
      <w:r w:rsidR="00767940">
        <w:rPr>
          <w:rFonts w:ascii="Arial" w:eastAsiaTheme="minorEastAsia" w:hAnsi="Arial" w:cs="Arial"/>
        </w:rPr>
        <w:t>The rate of waning was defined to be similar for both variants.</w:t>
      </w:r>
      <w:r>
        <w:rPr>
          <w:rFonts w:ascii="Arial" w:hAnsi="Arial" w:cs="Arial"/>
          <w:b/>
          <w:bCs/>
        </w:rPr>
        <w:br w:type="page"/>
      </w:r>
    </w:p>
    <w:p w14:paraId="2DF1CF25"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4. Delay between peak of variant 1 and 2 versus duration of co-circulation in simulated epidemic curves.</w:t>
      </w:r>
      <w:r w:rsidRPr="00AE5768">
        <w:t xml:space="preserve"> </w:t>
      </w:r>
      <w:r>
        <w:rPr>
          <w:noProof/>
        </w:rPr>
        <w:drawing>
          <wp:inline distT="0" distB="0" distL="0" distR="0" wp14:anchorId="4F592FE0" wp14:editId="2B8E80D7">
            <wp:extent cx="5943600" cy="2971800"/>
            <wp:effectExtent l="0" t="0" r="0" b="0"/>
            <wp:docPr id="482408658" name="Picture 7"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08658" name="Picture 7" descr="Chart, line char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0A49330" w14:textId="77777777" w:rsidR="00161F0D" w:rsidRDefault="00161F0D" w:rsidP="00161F0D">
      <w:pPr>
        <w:spacing w:line="360" w:lineRule="auto"/>
        <w:rPr>
          <w:rFonts w:ascii="Arial" w:eastAsiaTheme="minorEastAsia" w:hAnsi="Arial" w:cs="Arial"/>
          <w:bCs/>
        </w:rPr>
      </w:pPr>
      <w:r>
        <w:rPr>
          <w:rFonts w:ascii="Arial" w:hAnsi="Arial" w:cs="Arial"/>
        </w:rPr>
        <w:t xml:space="preserve">Co-circulation was defined as weeks in which both variants had a prevalence of 10% or greater. </w:t>
      </w:r>
      <w:r w:rsidRPr="007F5023">
        <w:rPr>
          <w:rFonts w:ascii="Arial" w:hAnsi="Arial" w:cs="Arial"/>
        </w:rPr>
        <w:t xml:space="preserve">Variant </w:t>
      </w:r>
      <w:r>
        <w:rPr>
          <w:rFonts w:ascii="Arial" w:hAnsi="Arial" w:cs="Arial"/>
        </w:rPr>
        <w:t>co-circulation was modeled using</w:t>
      </w:r>
      <w:r>
        <w:rPr>
          <w:rFonts w:ascii="Arial" w:eastAsiaTheme="minorEastAsia" w:hAnsi="Arial" w:cs="Arial"/>
          <w:bCs/>
        </w:rPr>
        <w:t xml:space="preserve"> symmetric normally-distributed epidemic curves, with the peak of variant 2 circulation occurring a range of 2 to 30 weeks after variant 1.</w:t>
      </w:r>
    </w:p>
    <w:p w14:paraId="34AF5CA0" w14:textId="77777777" w:rsidR="00161F0D" w:rsidRDefault="00161F0D" w:rsidP="00161F0D">
      <w:pPr>
        <w:rPr>
          <w:rFonts w:ascii="Arial" w:hAnsi="Arial" w:cs="Arial"/>
          <w:b/>
          <w:bCs/>
        </w:rPr>
      </w:pPr>
      <w:r>
        <w:rPr>
          <w:rFonts w:ascii="Arial" w:hAnsi="Arial" w:cs="Arial"/>
          <w:b/>
          <w:bCs/>
        </w:rPr>
        <w:br w:type="page"/>
      </w:r>
    </w:p>
    <w:p w14:paraId="468124D7"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5. Point estimates and 95% confidence intervals for period-based vaccine effectiveness estimates across different variant co-circulation scenarios and predominance thresholds with higher variant 2 vaccine effectiveness.</w:t>
      </w:r>
    </w:p>
    <w:p w14:paraId="636F2737" w14:textId="77777777" w:rsidR="00161F0D" w:rsidRDefault="00161F0D" w:rsidP="00161F0D">
      <w:pPr>
        <w:spacing w:line="360" w:lineRule="auto"/>
        <w:jc w:val="center"/>
        <w:rPr>
          <w:rFonts w:ascii="Arial" w:hAnsi="Arial" w:cs="Arial"/>
          <w:b/>
          <w:bCs/>
        </w:rPr>
      </w:pPr>
      <w:r w:rsidRPr="007C21EF">
        <w:t xml:space="preserve"> </w:t>
      </w:r>
      <w:r>
        <w:rPr>
          <w:noProof/>
        </w:rPr>
        <w:drawing>
          <wp:inline distT="0" distB="0" distL="0" distR="0" wp14:anchorId="14F17121" wp14:editId="0D8DBB3C">
            <wp:extent cx="4702628" cy="7267596"/>
            <wp:effectExtent l="0" t="0" r="3175" b="0"/>
            <wp:docPr id="1664422449" name="Picture 10" descr="Chart, bar chart, box and whisk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22449" name="Picture 10" descr="Chart, bar chart, box and whisker char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9997" cy="7294438"/>
                    </a:xfrm>
                    <a:prstGeom prst="rect">
                      <a:avLst/>
                    </a:prstGeom>
                    <a:noFill/>
                    <a:ln>
                      <a:noFill/>
                    </a:ln>
                  </pic:spPr>
                </pic:pic>
              </a:graphicData>
            </a:graphic>
          </wp:inline>
        </w:drawing>
      </w:r>
    </w:p>
    <w:p w14:paraId="3A406463" w14:textId="77777777" w:rsidR="00161F0D" w:rsidRDefault="00161F0D" w:rsidP="00161F0D">
      <w:pPr>
        <w:spacing w:line="360" w:lineRule="auto"/>
        <w:rPr>
          <w:rFonts w:ascii="Arial" w:hAnsi="Arial" w:cs="Arial"/>
        </w:rPr>
      </w:pPr>
      <w:r w:rsidRPr="00115C5F">
        <w:rPr>
          <w:rFonts w:ascii="Arial" w:hAnsi="Arial" w:cs="Arial"/>
        </w:rPr>
        <w:lastRenderedPageBreak/>
        <w:t xml:space="preserve">X = </w:t>
      </w:r>
      <w:r>
        <w:rPr>
          <w:rFonts w:ascii="Arial" w:hAnsi="Arial" w:cs="Arial"/>
        </w:rPr>
        <w:t>scenarios</w:t>
      </w:r>
      <w:r w:rsidRPr="00115C5F">
        <w:rPr>
          <w:rFonts w:ascii="Arial" w:hAnsi="Arial" w:cs="Arial"/>
        </w:rPr>
        <w:t xml:space="preserve"> during which </w:t>
      </w:r>
      <w:r>
        <w:rPr>
          <w:rFonts w:ascii="Arial" w:hAnsi="Arial" w:cs="Arial"/>
        </w:rPr>
        <w:t xml:space="preserve">a predominance threshold was not met or </w:t>
      </w:r>
      <w:r w:rsidRPr="00115C5F">
        <w:rPr>
          <w:rFonts w:ascii="Arial" w:hAnsi="Arial" w:cs="Arial"/>
        </w:rPr>
        <w:t xml:space="preserve">the number of </w:t>
      </w:r>
      <w:r>
        <w:rPr>
          <w:rFonts w:ascii="Arial" w:hAnsi="Arial" w:cs="Arial"/>
        </w:rPr>
        <w:t xml:space="preserve">COVID-19 </w:t>
      </w:r>
      <w:r w:rsidRPr="00115C5F">
        <w:rPr>
          <w:rFonts w:ascii="Arial" w:hAnsi="Arial" w:cs="Arial"/>
        </w:rPr>
        <w:t xml:space="preserve">cases </w:t>
      </w:r>
      <w:r>
        <w:rPr>
          <w:rFonts w:ascii="Arial" w:hAnsi="Arial" w:cs="Arial"/>
        </w:rPr>
        <w:t xml:space="preserve">was </w:t>
      </w:r>
      <w:r w:rsidRPr="00115C5F">
        <w:rPr>
          <w:rFonts w:ascii="Arial" w:hAnsi="Arial" w:cs="Arial"/>
        </w:rPr>
        <w:t xml:space="preserve">&lt;100 </w:t>
      </w:r>
      <w:r>
        <w:rPr>
          <w:rFonts w:ascii="Arial" w:hAnsi="Arial" w:cs="Arial"/>
        </w:rPr>
        <w:t xml:space="preserve">for either variant </w:t>
      </w:r>
      <w:r w:rsidRPr="00115C5F">
        <w:rPr>
          <w:rFonts w:ascii="Arial" w:hAnsi="Arial" w:cs="Arial"/>
        </w:rPr>
        <w:t>and VE could not be estimated.</w:t>
      </w:r>
    </w:p>
    <w:p w14:paraId="53580A06" w14:textId="77777777" w:rsidR="00161F0D" w:rsidRDefault="00161F0D" w:rsidP="00161F0D">
      <w:pPr>
        <w:spacing w:line="360" w:lineRule="auto"/>
        <w:rPr>
          <w:rFonts w:ascii="Arial" w:eastAsiaTheme="minorEastAsia" w:hAnsi="Arial" w:cs="Arial"/>
          <w:bCs/>
        </w:rPr>
      </w:pPr>
      <w:r w:rsidRPr="007F5023">
        <w:rPr>
          <w:rFonts w:ascii="Arial" w:hAnsi="Arial" w:cs="Arial"/>
        </w:rPr>
        <w:t xml:space="preserve">Variant </w:t>
      </w:r>
      <w:r>
        <w:rPr>
          <w:rFonts w:ascii="Arial" w:hAnsi="Arial" w:cs="Arial"/>
        </w:rPr>
        <w:t>co-circulation was modeled using</w:t>
      </w:r>
      <w:r>
        <w:rPr>
          <w:rFonts w:ascii="Arial" w:eastAsiaTheme="minorEastAsia" w:hAnsi="Arial" w:cs="Arial"/>
          <w:bCs/>
        </w:rPr>
        <w:t xml:space="preserve"> symmetric normally-distributed epidemic curves, with the peak of variant 2 circulation occurring a range of 2 to 30 weeks after variant 1. In this sensitivity analysis, time-invariant VE was assumed to be 50% against variant 1 and 35% against variant 2</w:t>
      </w:r>
      <w:r>
        <w:rPr>
          <w:rFonts w:ascii="Arial" w:eastAsiaTheme="minorEastAsia" w:hAnsi="Arial" w:cs="Arial"/>
        </w:rPr>
        <w:t xml:space="preserve">. </w:t>
      </w:r>
      <w:r>
        <w:rPr>
          <w:rFonts w:ascii="Arial" w:eastAsiaTheme="minorEastAsia" w:hAnsi="Arial" w:cs="Arial"/>
          <w:bCs/>
        </w:rPr>
        <w:t xml:space="preserve">Vaccine coverage was assumed to increase linearly from the start of the season before plateauing at 20%, </w:t>
      </w:r>
      <w:r>
        <w:rPr>
          <w:rFonts w:ascii="Arial" w:hAnsi="Arial" w:cs="Arial"/>
        </w:rPr>
        <w:t>derived from empirical trends in vaccination coverage 2023–24 and 2024–25 in the US.</w:t>
      </w:r>
      <w:r>
        <w:rPr>
          <w:rFonts w:ascii="Arial" w:eastAsiaTheme="minorEastAsia" w:hAnsi="Arial" w:cs="Arial"/>
          <w:bCs/>
        </w:rPr>
        <w:t xml:space="preserve"> Using a TND framework, we estimated lineage-specific VE using logistic regression adjusting for calendar time, and we estimated lineage-specific VE using a period-based analysis with different predominance thresholds.</w:t>
      </w:r>
    </w:p>
    <w:p w14:paraId="73855CC5" w14:textId="77777777" w:rsidR="00161F0D" w:rsidRDefault="00161F0D" w:rsidP="00161F0D">
      <w:pPr>
        <w:rPr>
          <w:rFonts w:ascii="Arial" w:hAnsi="Arial" w:cs="Arial"/>
          <w:b/>
          <w:bCs/>
        </w:rPr>
      </w:pPr>
      <w:r>
        <w:rPr>
          <w:rFonts w:ascii="Arial" w:hAnsi="Arial" w:cs="Arial"/>
          <w:b/>
          <w:bCs/>
        </w:rPr>
        <w:br w:type="page"/>
      </w:r>
    </w:p>
    <w:p w14:paraId="5E44F48A"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6. Point estimates and 95% confidence intervals for period-based vaccine effectiveness estimates across different variant co-circulation scenarios and predominance thresholds assuming higher population-wide vaccination coverage.</w:t>
      </w:r>
    </w:p>
    <w:p w14:paraId="16663F75" w14:textId="77777777" w:rsidR="00161F0D" w:rsidRDefault="00161F0D" w:rsidP="00161F0D">
      <w:pPr>
        <w:spacing w:line="360" w:lineRule="auto"/>
        <w:jc w:val="center"/>
        <w:rPr>
          <w:rFonts w:ascii="Arial" w:hAnsi="Arial" w:cs="Arial"/>
          <w:b/>
          <w:bCs/>
        </w:rPr>
      </w:pPr>
      <w:r>
        <w:rPr>
          <w:noProof/>
        </w:rPr>
        <w:drawing>
          <wp:inline distT="0" distB="0" distL="0" distR="0" wp14:anchorId="1154A1C6" wp14:editId="76CEEC83">
            <wp:extent cx="4535351" cy="7009082"/>
            <wp:effectExtent l="0" t="0" r="0" b="1905"/>
            <wp:docPr id="9367800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8191" cy="7013471"/>
                    </a:xfrm>
                    <a:prstGeom prst="rect">
                      <a:avLst/>
                    </a:prstGeom>
                    <a:noFill/>
                    <a:ln>
                      <a:noFill/>
                    </a:ln>
                  </pic:spPr>
                </pic:pic>
              </a:graphicData>
            </a:graphic>
          </wp:inline>
        </w:drawing>
      </w:r>
      <w:r w:rsidRPr="007C21EF">
        <w:t xml:space="preserve"> </w:t>
      </w:r>
    </w:p>
    <w:p w14:paraId="6B9D1F80" w14:textId="77777777" w:rsidR="00161F0D" w:rsidRDefault="00161F0D" w:rsidP="00161F0D">
      <w:pPr>
        <w:spacing w:line="360" w:lineRule="auto"/>
        <w:rPr>
          <w:rFonts w:ascii="Arial" w:hAnsi="Arial" w:cs="Arial"/>
        </w:rPr>
      </w:pPr>
      <w:r w:rsidRPr="00115C5F">
        <w:rPr>
          <w:rFonts w:ascii="Arial" w:hAnsi="Arial" w:cs="Arial"/>
        </w:rPr>
        <w:lastRenderedPageBreak/>
        <w:t xml:space="preserve">X = </w:t>
      </w:r>
      <w:r>
        <w:rPr>
          <w:rFonts w:ascii="Arial" w:hAnsi="Arial" w:cs="Arial"/>
        </w:rPr>
        <w:t>scenarios</w:t>
      </w:r>
      <w:r w:rsidRPr="00115C5F">
        <w:rPr>
          <w:rFonts w:ascii="Arial" w:hAnsi="Arial" w:cs="Arial"/>
        </w:rPr>
        <w:t xml:space="preserve"> during which </w:t>
      </w:r>
      <w:r>
        <w:rPr>
          <w:rFonts w:ascii="Arial" w:hAnsi="Arial" w:cs="Arial"/>
        </w:rPr>
        <w:t xml:space="preserve">a predominance threshold was not met or </w:t>
      </w:r>
      <w:r w:rsidRPr="00115C5F">
        <w:rPr>
          <w:rFonts w:ascii="Arial" w:hAnsi="Arial" w:cs="Arial"/>
        </w:rPr>
        <w:t xml:space="preserve">the number of </w:t>
      </w:r>
      <w:r>
        <w:rPr>
          <w:rFonts w:ascii="Arial" w:hAnsi="Arial" w:cs="Arial"/>
        </w:rPr>
        <w:t xml:space="preserve">COVID-19 </w:t>
      </w:r>
      <w:r w:rsidRPr="00115C5F">
        <w:rPr>
          <w:rFonts w:ascii="Arial" w:hAnsi="Arial" w:cs="Arial"/>
        </w:rPr>
        <w:t xml:space="preserve">cases </w:t>
      </w:r>
      <w:r>
        <w:rPr>
          <w:rFonts w:ascii="Arial" w:hAnsi="Arial" w:cs="Arial"/>
        </w:rPr>
        <w:t xml:space="preserve">was </w:t>
      </w:r>
      <w:r w:rsidRPr="00115C5F">
        <w:rPr>
          <w:rFonts w:ascii="Arial" w:hAnsi="Arial" w:cs="Arial"/>
        </w:rPr>
        <w:t xml:space="preserve">&lt;100 </w:t>
      </w:r>
      <w:r>
        <w:rPr>
          <w:rFonts w:ascii="Arial" w:hAnsi="Arial" w:cs="Arial"/>
        </w:rPr>
        <w:t xml:space="preserve">for either variant </w:t>
      </w:r>
      <w:r w:rsidRPr="00115C5F">
        <w:rPr>
          <w:rFonts w:ascii="Arial" w:hAnsi="Arial" w:cs="Arial"/>
        </w:rPr>
        <w:t>and VE could not be estimated.</w:t>
      </w:r>
    </w:p>
    <w:p w14:paraId="05CE73F4" w14:textId="77777777" w:rsidR="00161F0D" w:rsidRDefault="00161F0D" w:rsidP="00161F0D">
      <w:pPr>
        <w:spacing w:line="360" w:lineRule="auto"/>
        <w:rPr>
          <w:rFonts w:ascii="Arial" w:eastAsiaTheme="minorEastAsia" w:hAnsi="Arial" w:cs="Arial"/>
          <w:bCs/>
        </w:rPr>
      </w:pPr>
      <w:r w:rsidRPr="007F5023">
        <w:rPr>
          <w:rFonts w:ascii="Arial" w:hAnsi="Arial" w:cs="Arial"/>
        </w:rPr>
        <w:t xml:space="preserve">Variant </w:t>
      </w:r>
      <w:r>
        <w:rPr>
          <w:rFonts w:ascii="Arial" w:hAnsi="Arial" w:cs="Arial"/>
        </w:rPr>
        <w:t>co-circulation was modeled using</w:t>
      </w:r>
      <w:r>
        <w:rPr>
          <w:rFonts w:ascii="Arial" w:eastAsiaTheme="minorEastAsia" w:hAnsi="Arial" w:cs="Arial"/>
          <w:bCs/>
        </w:rPr>
        <w:t xml:space="preserve"> symmetric normally-distributed epidemic curves, with the peak of variant 2 circulation occurring a range of 2 to 30 weeks after variant 1. Time-invariant VE was assumed to be 50% against variant 1 and 20% against variant 2, </w:t>
      </w:r>
      <w:r w:rsidRPr="00343437">
        <w:rPr>
          <w:rFonts w:ascii="Arial" w:eastAsiaTheme="minorEastAsia" w:hAnsi="Arial" w:cs="Arial"/>
        </w:rPr>
        <w:t xml:space="preserve">representing approximate </w:t>
      </w:r>
      <w:r>
        <w:rPr>
          <w:rFonts w:ascii="Arial" w:eastAsiaTheme="minorEastAsia" w:hAnsi="Arial" w:cs="Arial"/>
        </w:rPr>
        <w:t>differences in VE</w:t>
      </w:r>
      <w:r w:rsidRPr="00343437">
        <w:rPr>
          <w:rFonts w:ascii="Arial" w:eastAsiaTheme="minorEastAsia" w:hAnsi="Arial" w:cs="Arial"/>
        </w:rPr>
        <w:t xml:space="preserve"> observed empirically against </w:t>
      </w:r>
      <w:r>
        <w:rPr>
          <w:rFonts w:ascii="Arial" w:eastAsiaTheme="minorEastAsia" w:hAnsi="Arial" w:cs="Arial"/>
        </w:rPr>
        <w:t>recent strain-matched</w:t>
      </w:r>
      <w:r w:rsidRPr="00343437">
        <w:rPr>
          <w:rFonts w:ascii="Arial" w:eastAsiaTheme="minorEastAsia" w:hAnsi="Arial" w:cs="Arial"/>
        </w:rPr>
        <w:t xml:space="preserve"> and </w:t>
      </w:r>
      <w:r>
        <w:rPr>
          <w:rFonts w:ascii="Arial" w:eastAsiaTheme="minorEastAsia" w:hAnsi="Arial" w:cs="Arial"/>
        </w:rPr>
        <w:t>divergent</w:t>
      </w:r>
      <w:r w:rsidRPr="00343437">
        <w:rPr>
          <w:rFonts w:ascii="Arial" w:eastAsiaTheme="minorEastAsia" w:hAnsi="Arial" w:cs="Arial"/>
        </w:rPr>
        <w:t xml:space="preserve"> variants, respectively</w:t>
      </w:r>
      <w:r>
        <w:rPr>
          <w:rFonts w:ascii="Arial" w:eastAsiaTheme="minorEastAsia" w:hAnsi="Arial" w:cs="Arial"/>
        </w:rPr>
        <w:t>. In this sensitivity analysis, v</w:t>
      </w:r>
      <w:r>
        <w:rPr>
          <w:rFonts w:ascii="Arial" w:eastAsiaTheme="minorEastAsia" w:hAnsi="Arial" w:cs="Arial"/>
          <w:bCs/>
        </w:rPr>
        <w:t xml:space="preserve">accine coverage was assumed to increase linearly from the start of the season before plateauing at 40%, </w:t>
      </w:r>
      <w:r>
        <w:rPr>
          <w:rFonts w:ascii="Arial" w:hAnsi="Arial" w:cs="Arial"/>
        </w:rPr>
        <w:t>potentially representing higher coverage among a subpopulation with risk factors such as older age.</w:t>
      </w:r>
      <w:r>
        <w:rPr>
          <w:rFonts w:ascii="Arial" w:eastAsiaTheme="minorEastAsia" w:hAnsi="Arial" w:cs="Arial"/>
          <w:bCs/>
        </w:rPr>
        <w:t xml:space="preserve"> Using a TND framework, we estimated lineage-specific VE using logistic regression adjusting for calendar time, and we estimated lineage-specific VE using a period-based analysis with different predominance thresholds.</w:t>
      </w:r>
    </w:p>
    <w:p w14:paraId="5C431442" w14:textId="77777777" w:rsidR="00161F0D" w:rsidRDefault="00161F0D" w:rsidP="00161F0D">
      <w:pPr>
        <w:rPr>
          <w:rFonts w:ascii="Arial" w:hAnsi="Arial" w:cs="Arial"/>
          <w:b/>
          <w:bCs/>
        </w:rPr>
      </w:pPr>
      <w:r>
        <w:rPr>
          <w:rFonts w:ascii="Arial" w:hAnsi="Arial" w:cs="Arial"/>
          <w:b/>
          <w:bCs/>
        </w:rPr>
        <w:br w:type="page"/>
      </w:r>
    </w:p>
    <w:p w14:paraId="146CFFCC" w14:textId="77777777" w:rsidR="00161F0D" w:rsidRDefault="00161F0D" w:rsidP="00161F0D">
      <w:pPr>
        <w:spacing w:line="360" w:lineRule="auto"/>
        <w:rPr>
          <w:rFonts w:ascii="Arial" w:hAnsi="Arial" w:cs="Arial"/>
          <w:b/>
          <w:bCs/>
        </w:rPr>
      </w:pPr>
      <w:r>
        <w:rPr>
          <w:rFonts w:ascii="Arial" w:hAnsi="Arial" w:cs="Arial"/>
          <w:b/>
          <w:bCs/>
        </w:rPr>
        <w:lastRenderedPageBreak/>
        <w:t>Supplementary Figure 7. Point estimates and 95% confidence intervals for (A) sequence-based and (B-D) period-based vaccine effectiveness estimates across different predominance thresholds</w:t>
      </w:r>
      <w:r w:rsidRPr="00E93AFC">
        <w:rPr>
          <w:rFonts w:ascii="Arial" w:hAnsi="Arial" w:cs="Arial"/>
          <w:b/>
          <w:bCs/>
        </w:rPr>
        <w:t xml:space="preserve"> </w:t>
      </w:r>
      <w:r>
        <w:rPr>
          <w:rFonts w:ascii="Arial" w:hAnsi="Arial" w:cs="Arial"/>
          <w:b/>
          <w:bCs/>
        </w:rPr>
        <w:t>by week after variant 2 reaches 50% prevalence allowing for time-varying vaccine effectiveness.</w:t>
      </w:r>
    </w:p>
    <w:p w14:paraId="349DE417" w14:textId="77777777" w:rsidR="00161F0D" w:rsidRDefault="00161F0D" w:rsidP="00161F0D">
      <w:pPr>
        <w:jc w:val="center"/>
        <w:rPr>
          <w:rFonts w:ascii="Arial" w:hAnsi="Arial" w:cs="Arial"/>
          <w:b/>
          <w:bCs/>
        </w:rPr>
      </w:pPr>
      <w:r w:rsidRPr="00A06E0A">
        <w:t xml:space="preserve"> </w:t>
      </w:r>
      <w:r>
        <w:rPr>
          <w:noProof/>
        </w:rPr>
        <w:drawing>
          <wp:inline distT="0" distB="0" distL="0" distR="0" wp14:anchorId="7B5457A5" wp14:editId="6AFC45E4">
            <wp:extent cx="5943600" cy="5094605"/>
            <wp:effectExtent l="0" t="0" r="0" b="0"/>
            <wp:docPr id="1785525039" name="Picture 1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25039" name="Picture 11" descr="Char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094605"/>
                    </a:xfrm>
                    <a:prstGeom prst="rect">
                      <a:avLst/>
                    </a:prstGeom>
                    <a:noFill/>
                    <a:ln>
                      <a:noFill/>
                    </a:ln>
                  </pic:spPr>
                </pic:pic>
              </a:graphicData>
            </a:graphic>
          </wp:inline>
        </w:drawing>
      </w:r>
    </w:p>
    <w:p w14:paraId="28441BED" w14:textId="77777777" w:rsidR="00161F0D" w:rsidRDefault="00161F0D" w:rsidP="00161F0D">
      <w:pPr>
        <w:spacing w:line="360" w:lineRule="auto"/>
        <w:rPr>
          <w:rFonts w:ascii="Arial" w:hAnsi="Arial" w:cs="Arial"/>
        </w:rPr>
      </w:pPr>
      <w:r w:rsidRPr="00115C5F">
        <w:rPr>
          <w:rFonts w:ascii="Arial" w:hAnsi="Arial" w:cs="Arial"/>
        </w:rPr>
        <w:t xml:space="preserve">X = </w:t>
      </w:r>
      <w:r>
        <w:rPr>
          <w:rFonts w:ascii="Arial" w:hAnsi="Arial" w:cs="Arial"/>
        </w:rPr>
        <w:t>scenarios</w:t>
      </w:r>
      <w:r w:rsidRPr="00115C5F">
        <w:rPr>
          <w:rFonts w:ascii="Arial" w:hAnsi="Arial" w:cs="Arial"/>
        </w:rPr>
        <w:t xml:space="preserve"> during which </w:t>
      </w:r>
      <w:r>
        <w:rPr>
          <w:rFonts w:ascii="Arial" w:hAnsi="Arial" w:cs="Arial"/>
        </w:rPr>
        <w:t xml:space="preserve">a predominance threshold was not met or </w:t>
      </w:r>
      <w:r w:rsidRPr="00115C5F">
        <w:rPr>
          <w:rFonts w:ascii="Arial" w:hAnsi="Arial" w:cs="Arial"/>
        </w:rPr>
        <w:t xml:space="preserve">the number of </w:t>
      </w:r>
      <w:r>
        <w:rPr>
          <w:rFonts w:ascii="Arial" w:hAnsi="Arial" w:cs="Arial"/>
        </w:rPr>
        <w:t xml:space="preserve">COVID-19 </w:t>
      </w:r>
      <w:r w:rsidRPr="00115C5F">
        <w:rPr>
          <w:rFonts w:ascii="Arial" w:hAnsi="Arial" w:cs="Arial"/>
        </w:rPr>
        <w:t xml:space="preserve">cases &lt;100 </w:t>
      </w:r>
      <w:r>
        <w:rPr>
          <w:rFonts w:ascii="Arial" w:hAnsi="Arial" w:cs="Arial"/>
        </w:rPr>
        <w:t xml:space="preserve">for either variant </w:t>
      </w:r>
      <w:r w:rsidRPr="00115C5F">
        <w:rPr>
          <w:rFonts w:ascii="Arial" w:hAnsi="Arial" w:cs="Arial"/>
        </w:rPr>
        <w:t>and VE could not be estimated.</w:t>
      </w:r>
    </w:p>
    <w:p w14:paraId="57F01735" w14:textId="136B1ECB" w:rsidR="00161F0D" w:rsidRPr="00A2507F" w:rsidRDefault="00161F0D" w:rsidP="00161F0D">
      <w:pPr>
        <w:spacing w:line="360" w:lineRule="auto"/>
        <w:rPr>
          <w:rFonts w:ascii="Arial" w:hAnsi="Arial" w:cs="Arial"/>
        </w:rPr>
      </w:pPr>
      <w:r w:rsidRPr="007F5023">
        <w:rPr>
          <w:rFonts w:ascii="Arial" w:hAnsi="Arial" w:cs="Arial"/>
        </w:rPr>
        <w:t xml:space="preserve">Variant </w:t>
      </w:r>
      <w:r>
        <w:rPr>
          <w:rFonts w:ascii="Arial" w:hAnsi="Arial" w:cs="Arial"/>
        </w:rPr>
        <w:t>co-circulation was modeled using</w:t>
      </w:r>
      <w:r>
        <w:rPr>
          <w:rFonts w:ascii="Arial" w:eastAsiaTheme="minorEastAsia" w:hAnsi="Arial" w:cs="Arial"/>
          <w:bCs/>
        </w:rPr>
        <w:t xml:space="preserve"> symmetric normally-distributed epidemic curves, with the peak of variant 2 circulation occurring a range of 2 to 30 weeks after variant 1. </w:t>
      </w:r>
      <w:r>
        <w:rPr>
          <w:rFonts w:ascii="Arial" w:eastAsiaTheme="minorEastAsia" w:hAnsi="Arial" w:cs="Arial"/>
        </w:rPr>
        <w:t xml:space="preserve">Time-varying vaccine effectiveness was defined using the piecewise function approach of Lin et al. </w:t>
      </w:r>
      <w:r>
        <w:rPr>
          <w:rFonts w:ascii="Arial" w:eastAsiaTheme="minorEastAsia" w:hAnsi="Arial" w:cs="Arial"/>
        </w:rPr>
        <w:fldChar w:fldCharType="begin" w:fldLock="1"/>
      </w:r>
      <w:r>
        <w:rPr>
          <w:rFonts w:ascii="Arial" w:eastAsiaTheme="minorEastAsia" w:hAnsi="Arial" w:cs="Arial"/>
        </w:rPr>
        <w:instrText>ADDIN paperpile_citation &lt;clusterId&gt;T962H328W619T333&lt;/clusterId&gt;&lt;metadata&gt;&lt;citation&gt;&lt;id&gt;a7808d85-e4d9-4663-a798-04e4527f5d42&lt;/id&gt;&lt;/citation&gt;&lt;/metadata&gt;&lt;data&gt;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&lt;/data&gt; \* MERGEFORMAT</w:instrText>
      </w:r>
      <w:r>
        <w:rPr>
          <w:rFonts w:ascii="Arial" w:eastAsiaTheme="minorEastAsia" w:hAnsi="Arial" w:cs="Arial"/>
        </w:rPr>
        <w:fldChar w:fldCharType="separate"/>
      </w:r>
      <w:r w:rsidR="0007753A">
        <w:rPr>
          <w:rFonts w:ascii="Arial" w:eastAsiaTheme="minorEastAsia" w:hAnsi="Arial" w:cs="Arial"/>
          <w:noProof/>
        </w:rPr>
        <w:t>[11]</w:t>
      </w:r>
      <w:r>
        <w:rPr>
          <w:rFonts w:ascii="Arial" w:eastAsiaTheme="minorEastAsia" w:hAnsi="Arial" w:cs="Arial"/>
        </w:rPr>
        <w:fldChar w:fldCharType="end"/>
      </w:r>
      <w:r>
        <w:rPr>
          <w:rFonts w:ascii="Arial" w:eastAsiaTheme="minorEastAsia" w:hAnsi="Arial" w:cs="Arial"/>
        </w:rPr>
        <w:t xml:space="preserve">. In this model, VE increases from </w:t>
      </w:r>
      <m:oMath>
        <m:r>
          <w:rPr>
            <w:rFonts w:ascii="Cambria Math" w:eastAsiaTheme="minorEastAsia" w:hAnsi="Cambria Math" w:cs="Arial"/>
          </w:rPr>
          <m:t>τ=0</m:t>
        </m:r>
      </m:oMath>
      <w:r>
        <w:rPr>
          <w:rFonts w:ascii="Arial" w:eastAsiaTheme="minorEastAsia" w:hAnsi="Arial" w:cs="Arial"/>
        </w:rPr>
        <w:t xml:space="preserve"> to a peak at </w:t>
      </w:r>
      <m:oMath>
        <m:r>
          <w:rPr>
            <w:rFonts w:ascii="Cambria Math" w:eastAsiaTheme="minorEastAsia" w:hAnsi="Cambria Math" w:cs="Arial"/>
          </w:rPr>
          <m:t>τ=4</m:t>
        </m:r>
      </m:oMath>
      <w:r>
        <w:rPr>
          <w:rFonts w:ascii="Arial" w:eastAsiaTheme="minorEastAsia" w:hAnsi="Arial" w:cs="Arial"/>
        </w:rPr>
        <w:t xml:space="preserve"> weeks of 50% against variant 1 and 20% against variant 2, representing the mounting of the immune response following vaccination; VE </w:t>
      </w:r>
      <w:r>
        <w:rPr>
          <w:rFonts w:ascii="Arial" w:eastAsiaTheme="minorEastAsia" w:hAnsi="Arial" w:cs="Arial"/>
        </w:rPr>
        <w:lastRenderedPageBreak/>
        <w:t xml:space="preserve">then subsequently wanes to 0%, representing natural waning of immunologic protection over time (Supplementary Figure 3). </w:t>
      </w:r>
      <w:r>
        <w:rPr>
          <w:rFonts w:ascii="Arial" w:eastAsiaTheme="minorEastAsia" w:hAnsi="Arial" w:cs="Arial"/>
          <w:bCs/>
        </w:rPr>
        <w:t xml:space="preserve">Vaccine coverage was assumed to increase linearly from the start of the season before plateauing at 20%, </w:t>
      </w:r>
      <w:r>
        <w:rPr>
          <w:rFonts w:ascii="Arial" w:hAnsi="Arial" w:cs="Arial"/>
        </w:rPr>
        <w:t>derived from empirical trends in vaccination coverage 2023–24 and 2024–25 in the US.</w:t>
      </w:r>
      <w:r>
        <w:rPr>
          <w:rFonts w:ascii="Arial" w:eastAsiaTheme="minorEastAsia" w:hAnsi="Arial" w:cs="Arial"/>
          <w:bCs/>
        </w:rPr>
        <w:t xml:space="preserve"> Using a TND framework, we estimated lineage-specific VE using logistic regression adjusting for calendar time, and we estimated lineage-specific VE using a period-based analysis with different predominance thresholds.</w:t>
      </w:r>
      <w:r>
        <w:rPr>
          <w:rFonts w:ascii="Arial" w:hAnsi="Arial" w:cs="Arial"/>
          <w:b/>
          <w:bCs/>
        </w:rPr>
        <w:br w:type="page"/>
      </w:r>
    </w:p>
    <w:p w14:paraId="30B72A5D" w14:textId="77777777" w:rsidR="00161F0D" w:rsidRDefault="00161F0D" w:rsidP="00161F0D">
      <w:pPr>
        <w:spacing w:line="360" w:lineRule="auto"/>
        <w:rPr>
          <w:rFonts w:ascii="Arial" w:hAnsi="Arial" w:cs="Arial"/>
          <w:b/>
          <w:bCs/>
        </w:rPr>
      </w:pPr>
      <w:r>
        <w:rPr>
          <w:rFonts w:ascii="Arial" w:hAnsi="Arial" w:cs="Arial"/>
          <w:b/>
          <w:bCs/>
        </w:rPr>
        <w:lastRenderedPageBreak/>
        <w:t>Supplementary Tables</w:t>
      </w:r>
    </w:p>
    <w:p w14:paraId="7DE11104" w14:textId="77777777" w:rsidR="00161F0D" w:rsidRDefault="00161F0D" w:rsidP="00161F0D">
      <w:pPr>
        <w:spacing w:line="360" w:lineRule="auto"/>
        <w:rPr>
          <w:rFonts w:ascii="Arial" w:hAnsi="Arial" w:cs="Arial"/>
        </w:rPr>
      </w:pPr>
      <w:r>
        <w:rPr>
          <w:rFonts w:ascii="Arial" w:hAnsi="Arial" w:cs="Arial"/>
        </w:rPr>
        <w:t>Supplementary Table 1. Simulation results underlying Figure 2 (</w:t>
      </w:r>
      <w:r w:rsidRPr="00834A32">
        <w:rPr>
          <w:rFonts w:ascii="Arial" w:hAnsi="Arial" w:cs="Arial"/>
        </w:rPr>
        <w:t xml:space="preserve">Point estimates and 95% confidence intervals for period-based </w:t>
      </w:r>
      <w:r>
        <w:rPr>
          <w:rFonts w:ascii="Arial" w:hAnsi="Arial" w:cs="Arial"/>
        </w:rPr>
        <w:t xml:space="preserve">weekly </w:t>
      </w:r>
      <w:r w:rsidRPr="00834A32">
        <w:rPr>
          <w:rFonts w:ascii="Arial" w:hAnsi="Arial" w:cs="Arial"/>
        </w:rPr>
        <w:t>vaccine effectiveness estimates across different variant co-circulation scenarios and predominance thresholds</w:t>
      </w:r>
      <w:r>
        <w:rPr>
          <w:rFonts w:ascii="Arial" w:hAnsi="Arial" w:cs="Arial"/>
        </w:rPr>
        <w:t>).</w:t>
      </w:r>
    </w:p>
    <w:p w14:paraId="3E56C17C" w14:textId="77777777" w:rsidR="00161F0D" w:rsidRPr="0005418C" w:rsidRDefault="00161F0D" w:rsidP="00161F0D">
      <w:pPr>
        <w:spacing w:line="360" w:lineRule="auto"/>
        <w:rPr>
          <w:rFonts w:ascii="Arial" w:hAnsi="Arial" w:cs="Arial"/>
        </w:rPr>
      </w:pPr>
      <w:r>
        <w:rPr>
          <w:rFonts w:ascii="Arial" w:hAnsi="Arial" w:cs="Arial"/>
        </w:rPr>
        <w:t>Supplementary Table 2. Simulation results underlying Figure 3 (</w:t>
      </w:r>
      <w:r w:rsidRPr="00834A32">
        <w:rPr>
          <w:rFonts w:ascii="Arial" w:hAnsi="Arial" w:cs="Arial"/>
        </w:rPr>
        <w:t>Point estimates and 95% confidence intervals for</w:t>
      </w:r>
      <w:r>
        <w:rPr>
          <w:rFonts w:ascii="Arial" w:hAnsi="Arial" w:cs="Arial"/>
        </w:rPr>
        <w:t xml:space="preserve"> s</w:t>
      </w:r>
      <w:r w:rsidRPr="00834A32">
        <w:rPr>
          <w:rFonts w:ascii="Arial" w:hAnsi="Arial" w:cs="Arial"/>
        </w:rPr>
        <w:t xml:space="preserve">equence-based and period-based </w:t>
      </w:r>
      <w:r>
        <w:rPr>
          <w:rFonts w:ascii="Arial" w:hAnsi="Arial" w:cs="Arial"/>
        </w:rPr>
        <w:t xml:space="preserve">weekly </w:t>
      </w:r>
      <w:r w:rsidRPr="00834A32">
        <w:rPr>
          <w:rFonts w:ascii="Arial" w:hAnsi="Arial" w:cs="Arial"/>
        </w:rPr>
        <w:t>vaccine effectiveness estimates across different predominance thresholds by week after variant 2 reaches 50% prevalence</w:t>
      </w:r>
      <w:r>
        <w:rPr>
          <w:rFonts w:ascii="Arial" w:hAnsi="Arial" w:cs="Arial"/>
        </w:rPr>
        <w:t>).</w:t>
      </w:r>
    </w:p>
    <w:p w14:paraId="54922AAB" w14:textId="77777777" w:rsidR="00161F0D" w:rsidRDefault="00161F0D"/>
    <w:p w14:paraId="46F2BAB2" w14:textId="5E48B5C1" w:rsidR="00B16A24" w:rsidRDefault="00B16A24">
      <w:pPr>
        <w:spacing w:line="278" w:lineRule="auto"/>
      </w:pPr>
      <w:r>
        <w:br w:type="page"/>
      </w:r>
    </w:p>
    <w:p w14:paraId="26718B9A" w14:textId="60ED9329" w:rsidR="00B16A24" w:rsidRPr="00B16A24" w:rsidRDefault="00B16A24">
      <w:pPr>
        <w:rPr>
          <w:rFonts w:ascii="Arial" w:hAnsi="Arial" w:cs="Arial"/>
          <w:b/>
          <w:bCs/>
        </w:rPr>
      </w:pPr>
      <w:r w:rsidRPr="00B16A24">
        <w:rPr>
          <w:rFonts w:ascii="Arial" w:hAnsi="Arial" w:cs="Arial"/>
          <w:b/>
          <w:bCs/>
        </w:rPr>
        <w:lastRenderedPageBreak/>
        <w:t>Supplementary References</w:t>
      </w:r>
    </w:p>
    <w:p w14:paraId="02490080" w14:textId="5110E901" w:rsidR="00DF6762" w:rsidRDefault="00B16A24" w:rsidP="00B16A24">
      <w:pPr>
        <w:tabs>
          <w:tab w:val="left" w:pos="440"/>
        </w:tabs>
        <w:spacing w:after="220" w:line="240" w:lineRule="auto"/>
        <w:ind w:left="440" w:hanging="440"/>
        <w:rPr>
          <w:rFonts w:ascii="Arial" w:hAnsi="Arial" w:cs="Arial"/>
          <w:noProof/>
        </w:rPr>
      </w:pPr>
      <w:r w:rsidRPr="00B16A24">
        <w:rPr>
          <w:rFonts w:ascii="Arial" w:hAnsi="Arial" w:cs="Arial"/>
        </w:rPr>
        <w:fldChar w:fldCharType="begin" w:fldLock="1"/>
      </w:r>
      <w:r w:rsidR="00DF6762">
        <w:rPr>
          <w:rFonts w:ascii="Arial" w:hAnsi="Arial" w:cs="Arial"/>
        </w:rPr>
        <w:instrText>ADDIN paperpile_bibliography &lt;pp-bibliography&gt;&lt;first-reference-indices&gt;&lt;formatting&gt;1&lt;/formatting&gt;&lt;space-after&gt;1&lt;/space-after&gt;&lt;/first-reference-indices&gt;&lt;/pp-bibliography&gt; \* MERGEFORMAT</w:instrText>
      </w:r>
      <w:r w:rsidRPr="00B16A24">
        <w:rPr>
          <w:rFonts w:ascii="Arial" w:hAnsi="Arial" w:cs="Arial"/>
        </w:rPr>
        <w:fldChar w:fldCharType="separate"/>
      </w:r>
      <w:r w:rsidR="00DF6762">
        <w:rPr>
          <w:rFonts w:ascii="Arial" w:hAnsi="Arial" w:cs="Arial"/>
          <w:noProof/>
        </w:rPr>
        <w:t xml:space="preserve">1. </w:t>
      </w:r>
      <w:r w:rsidR="00DF6762">
        <w:rPr>
          <w:rFonts w:ascii="Arial" w:hAnsi="Arial" w:cs="Arial"/>
          <w:noProof/>
        </w:rPr>
        <w:tab/>
        <w:t>CDC. COVID Data Tracker Variant Proportions. [cited 16 May 2024]. Available: https://covid.cdc.gov/covid-data-tracker/#variant-proportions</w:t>
      </w:r>
    </w:p>
    <w:p w14:paraId="7603861C"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 </w:t>
      </w:r>
      <w:r>
        <w:rPr>
          <w:rFonts w:ascii="Arial" w:hAnsi="Arial" w:cs="Arial"/>
          <w:noProof/>
        </w:rPr>
        <w:tab/>
        <w:t>Ma KC, Shirk P, Lambrou AS, Hassell N, Zheng X-Y, Payne AB, et al. Genomic Surveillance for SARS-CoV-2 Variants: Circulation of Omicron Lineages - United States, January 2022-May 2023. MMWR Morb Mortal Wkly Rep. 2023;72: 651–656.</w:t>
      </w:r>
    </w:p>
    <w:p w14:paraId="1D7A6D34"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3. </w:t>
      </w:r>
      <w:r>
        <w:rPr>
          <w:rFonts w:ascii="Arial" w:hAnsi="Arial" w:cs="Arial"/>
          <w:noProof/>
        </w:rPr>
        <w:tab/>
        <w:t>Ma KC, Castro J, Lambrou AS, Rose EB, Cook PW, Batra D, et al. Genomic surveillance for SARS-CoV-2 variants: Circulation of Omicron XBB and JN.1 lineages — United States, May 2023–September 2024. Morbidity and Mortality Weekly Report. 2024;73: 938–945.</w:t>
      </w:r>
    </w:p>
    <w:p w14:paraId="3DC48A6A"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4. </w:t>
      </w:r>
      <w:r>
        <w:rPr>
          <w:rFonts w:ascii="Arial" w:hAnsi="Arial" w:cs="Arial"/>
          <w:noProof/>
        </w:rPr>
        <w:tab/>
        <w:t>Ma KC. Genomic surveillance for SARS-CoV-2 variants: Circulation of Omicron XBB and JN.1 lineages — United States, May 2023–September 2024. MMWR Morb Mortal Wkly Rep. 2024;73. doi:10.15585/mmwr.mm7342a1</w:t>
      </w:r>
    </w:p>
    <w:p w14:paraId="4DEAD24B"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5. </w:t>
      </w:r>
      <w:r>
        <w:rPr>
          <w:rFonts w:ascii="Arial" w:hAnsi="Arial" w:cs="Arial"/>
          <w:noProof/>
        </w:rPr>
        <w:tab/>
        <w:t>Bond HS, Sullivan SG, Cowling BJ. Regression approaches in the test-negative study design for assessment of influenza vaccine effectiveness. Epidemiol Infect. 2016;144: 1601–1611.</w:t>
      </w:r>
    </w:p>
    <w:p w14:paraId="40EDC048"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6. </w:t>
      </w:r>
      <w:r>
        <w:rPr>
          <w:rFonts w:ascii="Arial" w:hAnsi="Arial" w:cs="Arial"/>
          <w:noProof/>
        </w:rPr>
        <w:tab/>
        <w:t>COVID-19 Vaccination Coverage and Vaccine Confidence Among Adults. 23 Jan 2024 [cited 25 July 2024]. Available: https://www.cdc.gov/vaccines/imz-managers/coverage/covidvaxview/interactive/adults.html</w:t>
      </w:r>
    </w:p>
    <w:p w14:paraId="06D10AF0"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7. </w:t>
      </w:r>
      <w:r>
        <w:rPr>
          <w:rFonts w:ascii="Arial" w:hAnsi="Arial" w:cs="Arial"/>
          <w:noProof/>
        </w:rPr>
        <w:tab/>
        <w:t>Kirsebom FCM, Stowe J, Lopez Bernal J, Allen A, Andrews N. Effectiveness of autumn 2023 COVID-19 vaccination and residual protection of prior doses against hospitalisation in England, estimated using a test-negative case-control study. J Infect. 2024;89: 106177.</w:t>
      </w:r>
    </w:p>
    <w:p w14:paraId="64B18204"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8. </w:t>
      </w:r>
      <w:r>
        <w:rPr>
          <w:rFonts w:ascii="Arial" w:hAnsi="Arial" w:cs="Arial"/>
          <w:noProof/>
        </w:rPr>
        <w:tab/>
        <w:t>Ma KC, Surie D, Lauring AS, Martin ET, Leis AM, Papalambros L, et al. Effectiveness of updated 2023-2024 (Monovalent XBB.1.5) COVID-19 vaccination against SARS-CoV-2 omicron XBB and BA.2.86/JN.1 lineage hospitalization and a comparison of clinical severity-IVY network, 26 hospitals, October 18, 2023-March 9, 2024. Clin Infect Dis. 2024; ciae405.</w:t>
      </w:r>
    </w:p>
    <w:p w14:paraId="65A1EA40"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9. </w:t>
      </w:r>
      <w:r>
        <w:rPr>
          <w:rFonts w:ascii="Arial" w:hAnsi="Arial" w:cs="Arial"/>
          <w:noProof/>
        </w:rPr>
        <w:tab/>
        <w:t>Carazo S, Skowronski DM, Brousseau NM, Guay C-A, Sauvageau C, Racine É, et al. Monovalent mRNA XBB.1.5 vaccine effectiveness against COVID-19 hospitalization in Quebec, Canada: impact of variant replacement and waning protection during 10-month follow-up. medRxiv; 2024. Available: https://www.medrxiv.org/content/10.1101/2024.11.13.24317190v1.full.pdf</w:t>
      </w:r>
    </w:p>
    <w:p w14:paraId="184CA853"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10. </w:t>
      </w:r>
      <w:r>
        <w:rPr>
          <w:rFonts w:ascii="Arial" w:hAnsi="Arial" w:cs="Arial"/>
          <w:noProof/>
        </w:rPr>
        <w:tab/>
        <w:t>Caffrey AR, Appaneal HJ, Lopes VV, Puzniak L, Zasowski EJ, Jodar L, et al. Effectiveness of BNT162b2 XBB vaccine in the US Veterans Affairs Healthcare System. medRxiv. 2024. p. 2024.04.05.24305063. doi:10.1101/2024.04.05.24305063</w:t>
      </w:r>
    </w:p>
    <w:p w14:paraId="10BC0721"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11. </w:t>
      </w:r>
      <w:r>
        <w:rPr>
          <w:rFonts w:ascii="Arial" w:hAnsi="Arial" w:cs="Arial"/>
          <w:noProof/>
        </w:rPr>
        <w:tab/>
        <w:t>Lin D-Y, Du Y, Xu Y, Paritala S, Donahue M, Maloney P. Durability of XBB.1.5 vaccines against omicron subvariants. N Engl J Med. 2024;390: 2124–2127.</w:t>
      </w:r>
    </w:p>
    <w:p w14:paraId="259FCB68"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12. </w:t>
      </w:r>
      <w:r>
        <w:rPr>
          <w:rFonts w:ascii="Arial" w:hAnsi="Arial" w:cs="Arial"/>
          <w:noProof/>
        </w:rPr>
        <w:tab/>
        <w:t xml:space="preserve">Britton A, Embi PJ, Levy ME, Gaglani M, DeSilva MB, Dixon BE, et al. Effectiveness of COVID-19 mRNA vaccines against COVID-19-associated hospitalizations among immunocompromised adults during SARS-CoV-2 Omicron predominance - VISION </w:t>
      </w:r>
      <w:r>
        <w:rPr>
          <w:rFonts w:ascii="Arial" w:hAnsi="Arial" w:cs="Arial"/>
          <w:noProof/>
        </w:rPr>
        <w:lastRenderedPageBreak/>
        <w:t>Network, 10 states, December 2021-August 2022. MMWR Morb Mortal Wkly Rep. 2022;71: 1335–1342.</w:t>
      </w:r>
    </w:p>
    <w:p w14:paraId="60B65432"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13. </w:t>
      </w:r>
      <w:r>
        <w:rPr>
          <w:rFonts w:ascii="Arial" w:hAnsi="Arial" w:cs="Arial"/>
          <w:noProof/>
        </w:rPr>
        <w:tab/>
        <w:t>Link-Gelles R, Levy ME, Natarajan K, Reese SE, Naleway AL, Grannis SJ, et al. Estimation of COVID-19 mRNA Vaccine Effectiveness and COVID-19 Illness and Severity by Vaccination Status During Omicron BA.4 and BA.5 Sublineage Periods. JAMA Netw Open. 2023;6: e232598.</w:t>
      </w:r>
    </w:p>
    <w:p w14:paraId="4AFB708D"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14. </w:t>
      </w:r>
      <w:r>
        <w:rPr>
          <w:rFonts w:ascii="Arial" w:hAnsi="Arial" w:cs="Arial"/>
          <w:noProof/>
        </w:rPr>
        <w:tab/>
        <w:t>Adams K, Rhoads JP, Surie D, Gaglani M, Ginde AA, McNeal T, et al. Vaccine effectiveness of primary series and booster doses against covid-19 associated hospital admissions in the United States: living test negative design study. BMJ. 2022;379: e072065.</w:t>
      </w:r>
    </w:p>
    <w:p w14:paraId="73F4A0D6"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15. </w:t>
      </w:r>
      <w:r>
        <w:rPr>
          <w:rFonts w:ascii="Arial" w:hAnsi="Arial" w:cs="Arial"/>
          <w:noProof/>
        </w:rPr>
        <w:tab/>
        <w:t>Plumb ID, Feldstein LR, Barkley E, Posner AB, Bregman HS, Hagen MB, et al. Effectiveness of COVID-19 mRNA Vaccination in Preventing COVID-19-Associated Hospitalization Among Adults with Previous SARS-CoV-2 Infection - United States, June 2021-February 2022. MMWR Morb Mortal Wkly Rep. 2022;71: 549–555.</w:t>
      </w:r>
    </w:p>
    <w:p w14:paraId="06B99E99"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16. </w:t>
      </w:r>
      <w:r>
        <w:rPr>
          <w:rFonts w:ascii="Arial" w:hAnsi="Arial" w:cs="Arial"/>
          <w:noProof/>
        </w:rPr>
        <w:tab/>
        <w:t>Lind ML, Copin R, McCarthy S, Coppi A, Warner F, Ferguson D, et al. Use of whole-genome sequencing to estimate the contribution of immune evasion and waning immunity on decreasing COVID-19 vaccine effectiveness. J Infect Dis. 2023;227: 663–674.</w:t>
      </w:r>
    </w:p>
    <w:p w14:paraId="60E7E28C"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17. </w:t>
      </w:r>
      <w:r>
        <w:rPr>
          <w:rFonts w:ascii="Arial" w:hAnsi="Arial" w:cs="Arial"/>
          <w:noProof/>
        </w:rPr>
        <w:tab/>
        <w:t>Schrag SJ, Verani JR, Dixon BE, Page JM, Butterfield KA, Gaglani M, et al. Estimation of COVID-19 mRNA vaccine effectiveness against medically attended COVID-19 in pregnancy during periods of Delta and Omicron variant predominance in the United States. JAMA Netw Open. 2022;5: e2233273.</w:t>
      </w:r>
    </w:p>
    <w:p w14:paraId="3D7C9CCD"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18. </w:t>
      </w:r>
      <w:r>
        <w:rPr>
          <w:rFonts w:ascii="Arial" w:hAnsi="Arial" w:cs="Arial"/>
          <w:noProof/>
        </w:rPr>
        <w:tab/>
        <w:t>Merdrignac L, Lanièce Delaunay C, Verdasca N, Vega-Pirisc L, O’Donnell J, Sève N, et al. Effectiveness of XBB.1.5 Vaccines against Symptomatic SARS-CoV-2 Infection in Older Adults during the JN.1 Lineage-Predominant Period, European VEBIS Primary Care Multicentre Study, 20 November 2023–1 March 2024. 2024. doi:10.2139/ssrn.4883286</w:t>
      </w:r>
    </w:p>
    <w:p w14:paraId="63F710C7"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19. </w:t>
      </w:r>
      <w:r>
        <w:rPr>
          <w:rFonts w:ascii="Arial" w:hAnsi="Arial" w:cs="Arial"/>
          <w:noProof/>
        </w:rPr>
        <w:tab/>
        <w:t>Laniece Delaunay C, Mazagatos C, Martínez-Baz I, Túri G, Goerlitz L, Domegan L, et al. COVID-19 Vaccine Effectiveness in autumn and winter 2022 to 2023 among older Europeans. JAMA Netw Open. 2024;7: e2419258.</w:t>
      </w:r>
    </w:p>
    <w:p w14:paraId="3759CAE1"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20. </w:t>
      </w:r>
      <w:r>
        <w:rPr>
          <w:rFonts w:ascii="Arial" w:hAnsi="Arial" w:cs="Arial"/>
          <w:noProof/>
        </w:rPr>
        <w:tab/>
        <w:t>Antunes L, Rojas-Castro M, Lozano M, Martínez-Baz I, Leroux-Roels I, Borg M-L, et al. Effectiveness of the XBB.1.5 COVID-19 vaccines against SARS-CoV-2 hospitalisation among adults aged ≥ 65 years during the BA.2.86/JN.1 predominant period, VEBIS hospital study, Europe, November 2023 to May 2024. Influenza Other Respi Viruses. 2025;19: e70081.</w:t>
      </w:r>
    </w:p>
    <w:p w14:paraId="5AF2FD81"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21. </w:t>
      </w:r>
      <w:r>
        <w:rPr>
          <w:rFonts w:ascii="Arial" w:hAnsi="Arial" w:cs="Arial"/>
          <w:noProof/>
        </w:rPr>
        <w:tab/>
        <w:t>Nguyen JL, Mitratza M, Volkman HR, de Munter L, Tran TMP, Marques C, et al. Effectiveness of the BNT162b2 XBB.1.5-adapted vaccine against COVID-19 hospitalization related to the JN.1 variant in Europe: a test-negative case-control study using the id.DRIVE platform. EClinicalMedicine. 2025;79: 102995.</w:t>
      </w:r>
    </w:p>
    <w:p w14:paraId="2092EB5C"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22. </w:t>
      </w:r>
      <w:r>
        <w:rPr>
          <w:rFonts w:ascii="Arial" w:hAnsi="Arial" w:cs="Arial"/>
          <w:noProof/>
        </w:rPr>
        <w:tab/>
        <w:t>Oliveira EA, Oliveira MCL, Colosimo EA, Simões E Silva AC, Mak RH, Vasconcelos MA, et al. Vaccine effectiveness against SARS-CoV-2 variants in adolescents from 15 to 90 days after second dose: A population-based test-negative case-control study. J Pediatr. 2023;253: 189-196.e2.</w:t>
      </w:r>
    </w:p>
    <w:p w14:paraId="3744E421"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lastRenderedPageBreak/>
        <w:t xml:space="preserve">23. </w:t>
      </w:r>
      <w:r>
        <w:rPr>
          <w:rFonts w:ascii="Arial" w:hAnsi="Arial" w:cs="Arial"/>
          <w:noProof/>
        </w:rPr>
        <w:tab/>
        <w:t>Tartof SY, Slezak JM, Puzniak L, Frankland TB, Ackerson BK, Jodar L, et al. Effectiveness of BNT162b2 XBB Vaccine against XBB and JN.1 Sub-lineages. medRxiv. 2024. p. 2024.05.04.24306875. doi:10.1101/2024.05.04.24306875</w:t>
      </w:r>
    </w:p>
    <w:p w14:paraId="24A5818F"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24. </w:t>
      </w:r>
      <w:r>
        <w:rPr>
          <w:rFonts w:ascii="Arial" w:hAnsi="Arial" w:cs="Arial"/>
          <w:noProof/>
        </w:rPr>
        <w:tab/>
        <w:t>Rose AM, Nicolay N, Sandonis Martín V, Mazagatos C, Petrović G, Niessen FA, et al. Vaccine effectiveness against COVID-19 hospitalisation in adults (≥ 20 years) during Alpha- and Delta-dominant circulation: I-MOVE-COVID-19 and VEBIS SARI VE networks, Europe, 2021. Euro Surveill. 2023;28. doi:10.2807/1560-7917.ES.2023.28.47.2300186</w:t>
      </w:r>
    </w:p>
    <w:p w14:paraId="3989D100" w14:textId="77777777" w:rsidR="00DF6762" w:rsidRDefault="00DF6762" w:rsidP="00B16A24">
      <w:pPr>
        <w:tabs>
          <w:tab w:val="left" w:pos="440"/>
        </w:tabs>
        <w:spacing w:after="220" w:line="240" w:lineRule="auto"/>
        <w:ind w:left="440" w:hanging="440"/>
        <w:rPr>
          <w:rFonts w:ascii="Arial" w:hAnsi="Arial" w:cs="Arial"/>
          <w:noProof/>
        </w:rPr>
      </w:pPr>
      <w:r>
        <w:rPr>
          <w:rFonts w:ascii="Arial" w:hAnsi="Arial" w:cs="Arial"/>
          <w:noProof/>
        </w:rPr>
        <w:t xml:space="preserve">25. </w:t>
      </w:r>
      <w:r>
        <w:rPr>
          <w:rFonts w:ascii="Arial" w:hAnsi="Arial" w:cs="Arial"/>
          <w:noProof/>
        </w:rPr>
        <w:tab/>
        <w:t>Rose AM, Nicolay N, Sandonis Martín V, Mazagatos C, Petrović G, Baruch J, et al. Vaccine effectiveness against COVID-19 hospitalisation in adults (≥ 20 years) during Omicron-dominant circulation: I-MOVE-COVID-19 and VEBIS SARI VE networks, Europe, 2021 to 2022. Euro Surveill. 2023;28: 2300187.</w:t>
      </w:r>
    </w:p>
    <w:p w14:paraId="032F0B15" w14:textId="33A3EB5D" w:rsidR="00B16A24" w:rsidRDefault="00DF6762" w:rsidP="00B16A24">
      <w:pPr>
        <w:tabs>
          <w:tab w:val="left" w:pos="440"/>
        </w:tabs>
        <w:spacing w:after="220" w:line="240" w:lineRule="auto"/>
        <w:ind w:left="440" w:hanging="440"/>
      </w:pPr>
      <w:r>
        <w:rPr>
          <w:rFonts w:ascii="Arial" w:hAnsi="Arial" w:cs="Arial"/>
          <w:noProof/>
        </w:rPr>
        <w:t xml:space="preserve">26. </w:t>
      </w:r>
      <w:r>
        <w:rPr>
          <w:rFonts w:ascii="Arial" w:hAnsi="Arial" w:cs="Arial"/>
          <w:noProof/>
        </w:rPr>
        <w:tab/>
        <w:t>Britton A, Fleming-Dutra KE, Shang N, Smith ZR, Dorji T, Derado G, et al. Association of COVID-19 vaccination with symptomatic SARS-CoV-2 infection by time since vaccination and Delta variant predominance. JAMA. 2022;327: 1032–1041.</w:t>
      </w:r>
      <w:r w:rsidR="00B16A24" w:rsidRPr="00B16A24">
        <w:rPr>
          <w:rFonts w:ascii="Arial" w:hAnsi="Arial" w:cs="Arial"/>
        </w:rPr>
        <w:fldChar w:fldCharType="end"/>
      </w:r>
    </w:p>
    <w:sectPr w:rsidR="00B16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J268X528M918Q629"/>
    <w:docVar w:name="paperpile-doc-name" w:val="CID Lineage VE Supplement Revised Tracked.docx"/>
    <w:docVar w:name="paperpile-includeDoi" w:val="false"/>
    <w:docVar w:name="paperpile-styleFile" w:val="plos.csl"/>
    <w:docVar w:name="paperpile-styleId" w:val="plos"/>
    <w:docVar w:name="paperpile-styleLabel" w:val="Public Library of Science"/>
    <w:docVar w:name="paperpile-styleLocale" w:val="en-US"/>
  </w:docVars>
  <w:rsids>
    <w:rsidRoot w:val="00161F0D"/>
    <w:rsid w:val="0007753A"/>
    <w:rsid w:val="000D5F8B"/>
    <w:rsid w:val="00152466"/>
    <w:rsid w:val="00161F0D"/>
    <w:rsid w:val="002214D7"/>
    <w:rsid w:val="00234BBA"/>
    <w:rsid w:val="003D3012"/>
    <w:rsid w:val="00466B32"/>
    <w:rsid w:val="004C2B98"/>
    <w:rsid w:val="00767940"/>
    <w:rsid w:val="008203BF"/>
    <w:rsid w:val="00A04305"/>
    <w:rsid w:val="00B1254D"/>
    <w:rsid w:val="00B16A24"/>
    <w:rsid w:val="00BB5F5A"/>
    <w:rsid w:val="00CA5503"/>
    <w:rsid w:val="00CF4AA2"/>
    <w:rsid w:val="00D67181"/>
    <w:rsid w:val="00DF6762"/>
    <w:rsid w:val="00F26FB1"/>
    <w:rsid w:val="00FD5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E867"/>
  <w15:chartTrackingRefBased/>
  <w15:docId w15:val="{96265FC6-B026-4758-BF4D-576F9285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F0D"/>
    <w:pPr>
      <w:spacing w:line="259" w:lineRule="auto"/>
    </w:pPr>
    <w:rPr>
      <w:kern w:val="0"/>
      <w:sz w:val="22"/>
      <w:szCs w:val="22"/>
      <w14:ligatures w14:val="none"/>
    </w:rPr>
  </w:style>
  <w:style w:type="paragraph" w:styleId="Heading1">
    <w:name w:val="heading 1"/>
    <w:basedOn w:val="Normal"/>
    <w:next w:val="Normal"/>
    <w:link w:val="Heading1Char"/>
    <w:uiPriority w:val="9"/>
    <w:qFormat/>
    <w:rsid w:val="00161F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1F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1F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61F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61F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61F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61F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61F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61F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F0D"/>
    <w:rPr>
      <w:rFonts w:eastAsiaTheme="majorEastAsia" w:cstheme="majorBidi"/>
      <w:color w:val="272727" w:themeColor="text1" w:themeTint="D8"/>
    </w:rPr>
  </w:style>
  <w:style w:type="paragraph" w:styleId="Title">
    <w:name w:val="Title"/>
    <w:basedOn w:val="Normal"/>
    <w:next w:val="Normal"/>
    <w:link w:val="TitleChar"/>
    <w:uiPriority w:val="10"/>
    <w:qFormat/>
    <w:rsid w:val="00161F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1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F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61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F0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61F0D"/>
    <w:rPr>
      <w:i/>
      <w:iCs/>
      <w:color w:val="404040" w:themeColor="text1" w:themeTint="BF"/>
    </w:rPr>
  </w:style>
  <w:style w:type="paragraph" w:styleId="ListParagraph">
    <w:name w:val="List Paragraph"/>
    <w:basedOn w:val="Normal"/>
    <w:uiPriority w:val="34"/>
    <w:qFormat/>
    <w:rsid w:val="00161F0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61F0D"/>
    <w:rPr>
      <w:i/>
      <w:iCs/>
      <w:color w:val="0F4761" w:themeColor="accent1" w:themeShade="BF"/>
    </w:rPr>
  </w:style>
  <w:style w:type="paragraph" w:styleId="IntenseQuote">
    <w:name w:val="Intense Quote"/>
    <w:basedOn w:val="Normal"/>
    <w:next w:val="Normal"/>
    <w:link w:val="IntenseQuoteChar"/>
    <w:uiPriority w:val="30"/>
    <w:qFormat/>
    <w:rsid w:val="00161F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61F0D"/>
    <w:rPr>
      <w:i/>
      <w:iCs/>
      <w:color w:val="0F4761" w:themeColor="accent1" w:themeShade="BF"/>
    </w:rPr>
  </w:style>
  <w:style w:type="character" w:styleId="IntenseReference">
    <w:name w:val="Intense Reference"/>
    <w:basedOn w:val="DefaultParagraphFont"/>
    <w:uiPriority w:val="32"/>
    <w:qFormat/>
    <w:rsid w:val="00161F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15325</Words>
  <Characters>92563</Characters>
  <Application>Microsoft Office Word</Application>
  <DocSecurity>0</DocSecurity>
  <Lines>1746</Lines>
  <Paragraphs>459</Paragraphs>
  <ScaleCrop>false</ScaleCrop>
  <Company/>
  <LinksUpToDate>false</LinksUpToDate>
  <CharactersWithSpaces>107429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Kevin (CDC/NCIRD/CORVD)</dc:creator>
  <cp:keywords/>
  <dc:description/>
  <cp:lastModifiedBy>Ma, Kevin (CDC/NCIRD/CORVD)</cp:lastModifiedBy>
  <cp:revision>6</cp:revision>
  <dcterms:created xsi:type="dcterms:W3CDTF">2026-01-15T05:21:00Z</dcterms:created>
  <dcterms:modified xsi:type="dcterms:W3CDTF">2026-01-20T23:16:00Z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2026-01-14T23:42:10Z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7668ee3f-1cb6-4484-b568-b8fa675fb00c</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ies>
</file>