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E204A" w14:textId="77777777" w:rsidR="001B0C63" w:rsidRDefault="005D4829">
      <w:pPr>
        <w:pStyle w:val="Heading1"/>
      </w:pPr>
      <w:r>
        <w:t>Confounder Adjusted Analysis</w:t>
      </w:r>
    </w:p>
    <w:p w14:paraId="26F40222" w14:textId="4801E5A9" w:rsidR="001B0C63" w:rsidRDefault="001B0C63" w:rsidP="095C7A3E"/>
    <w:p w14:paraId="2937CA8F" w14:textId="04F7EA5D" w:rsidR="001B0C63" w:rsidRDefault="0821F918" w:rsidP="095C7A3E">
      <w:r>
        <w:t xml:space="preserve">The decision to circumcise is deeply rooted in </w:t>
      </w:r>
      <w:r w:rsidR="0151A198">
        <w:t xml:space="preserve">an individual’s cultural context. We expect numerous health, social and </w:t>
      </w:r>
      <w:r w:rsidR="1CD21D81">
        <w:t>behavioral</w:t>
      </w:r>
      <w:r w:rsidR="0151A198">
        <w:t xml:space="preserve"> traits to be correlated </w:t>
      </w:r>
      <w:r w:rsidR="75A7A6BA">
        <w:t>with this cultural context. It is thus critical to attempt to adjust for potential confounders when investigating the relationship between circumcision status and HIV infection.</w:t>
      </w:r>
    </w:p>
    <w:p w14:paraId="649906E4" w14:textId="435D566C" w:rsidR="001B0C63" w:rsidRDefault="355006D2" w:rsidP="095C7A3E">
      <w:r>
        <w:t xml:space="preserve">In this appendix we develop a very flexible and general model for confounding and show </w:t>
      </w:r>
      <w:r w:rsidR="43B7B120">
        <w:t xml:space="preserve">how the odds ratio for HIV risk among </w:t>
      </w:r>
      <w:proofErr w:type="spellStart"/>
      <w:r w:rsidR="43B7B120">
        <w:t>insertive</w:t>
      </w:r>
      <w:proofErr w:type="spellEnd"/>
      <w:r w:rsidR="43B7B120">
        <w:t xml:space="preserve"> individuals contains both the real effect of </w:t>
      </w:r>
      <w:r w:rsidR="4C2E80F9">
        <w:t>circumcision</w:t>
      </w:r>
      <w:r w:rsidR="43B7B120">
        <w:t xml:space="preserve"> and the </w:t>
      </w:r>
      <w:r w:rsidR="3AD600CF">
        <w:t xml:space="preserve">effects of </w:t>
      </w:r>
      <w:r w:rsidR="43B7B120">
        <w:t>confound</w:t>
      </w:r>
      <w:r w:rsidR="63E8AD6B">
        <w:t xml:space="preserve">ing </w:t>
      </w:r>
      <w:r w:rsidR="157BC604">
        <w:t xml:space="preserve">variables. By contrast the ratio of odds ratios between </w:t>
      </w:r>
      <w:r w:rsidR="67B46E3C">
        <w:t xml:space="preserve">highly </w:t>
      </w:r>
      <w:proofErr w:type="spellStart"/>
      <w:r w:rsidR="157BC604">
        <w:t>insertive</w:t>
      </w:r>
      <w:proofErr w:type="spellEnd"/>
      <w:r w:rsidR="157BC604">
        <w:t xml:space="preserve"> and less </w:t>
      </w:r>
      <w:proofErr w:type="spellStart"/>
      <w:r w:rsidR="157BC604">
        <w:t>insertive</w:t>
      </w:r>
      <w:proofErr w:type="spellEnd"/>
      <w:r w:rsidR="157BC604">
        <w:t xml:space="preserve"> individuals</w:t>
      </w:r>
      <w:r w:rsidR="33DFE3F9">
        <w:t xml:space="preserve"> is shown to be a conservative estimate of the true effect of circumcision absent the confounding effects.</w:t>
      </w:r>
    </w:p>
    <w:p w14:paraId="7628B42A" w14:textId="0B02B70A" w:rsidR="001B0C63" w:rsidRDefault="005D4829" w:rsidP="095C7A3E">
      <w:r>
        <w:t xml:space="preserve">Let </w:t>
      </w:r>
      <m:oMath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P</m:t>
            </m:r>
          </m:e>
          <m:sup>
            <m:r>
              <w:rPr>
                <w:rFonts w:ascii="Cambria Math" w:hAnsi="Cambria Math"/>
              </w:rPr>
              <m:t>i</m:t>
            </m:r>
          </m:sup>
        </m:sSup>
        <m:d>
          <m:dPr>
            <m:sepChr m:val="∣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H </m:t>
            </m:r>
          </m:e>
          <m:e>
            <m:r>
              <w:rPr>
                <w:rFonts w:ascii="Cambria Math" w:hAnsi="Cambria Math"/>
              </w:rPr>
              <m:t> C, R</m:t>
            </m:r>
          </m:e>
        </m:d>
      </m:oMath>
      <w:r>
        <w:t xml:space="preserve"> be the probability in study population i of HIV positivity (H ∈ {0,1}) given circumcision status (C ∈ {0,1}) and the proportion of unprotected sexual contacts that are insertive (R ∈ [0,1]). We model the odds logistically as</w:t>
      </w:r>
    </w:p>
    <w:p w14:paraId="19885963" w14:textId="7F823167" w:rsidR="001B0C63" w:rsidRDefault="00263F54" w:rsidP="745BDFC2">
      <w:pPr>
        <w:jc w:val="center"/>
      </w:pPr>
      <m:oMathPara>
        <m:oMath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log</m:t>
              </m:r>
            </m:fName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P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i</m:t>
                          </m:r>
                        </m:sup>
                      </m:sSup>
                      <m:d>
                        <m:dPr>
                          <m:ctrlPr>
                            <w:rPr>
                              <w:rFonts w:ascii="Cambria Math" w:hAnsi="Cambria Math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H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C=c,R=r</m:t>
                          </m:r>
                        </m:e>
                      </m:d>
                    </m:num>
                    <m:den>
                      <m:r>
                        <w:rPr>
                          <w:rFonts w:ascii="Cambria Math" w:hAnsi="Cambria Math"/>
                        </w:rPr>
                        <m:t>1-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P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i</m:t>
                          </m:r>
                        </m:sup>
                      </m:sSup>
                      <m:d>
                        <m:dPr>
                          <m:ctrlPr>
                            <w:rPr>
                              <w:rFonts w:ascii="Cambria Math" w:hAnsi="Cambria Math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H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C=c,R=r</m:t>
                          </m:r>
                        </m:e>
                      </m:d>
                    </m:den>
                  </m:f>
                </m:e>
              </m:d>
            </m:e>
          </m:func>
          <m:r>
            <w:rPr>
              <w:rFonts w:ascii="Cambria Math" w:hAnsi="Cambria Math"/>
            </w:rPr>
            <m:t>=</m:t>
          </m:r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w:rPr>
                  <w:rFonts w:ascii="Cambria Math" w:hAnsi="Cambria Math"/>
                </w:rPr>
                <m:t>β</m:t>
              </m:r>
            </m:e>
            <m:sub>
              <m:r>
                <w:rPr>
                  <w:rFonts w:ascii="Cambria Math" w:hAnsi="Cambria Math"/>
                </w:rPr>
                <m:t>0</m:t>
              </m:r>
            </m:sub>
            <m:sup>
              <m:r>
                <w:rPr>
                  <w:rFonts w:ascii="Cambria Math" w:hAnsi="Cambria Math"/>
                </w:rPr>
                <m:t>i</m:t>
              </m:r>
            </m:sup>
          </m:sSubSup>
          <m:r>
            <w:rPr>
              <w:rFonts w:ascii="Cambria Math" w:hAnsi="Cambria Math"/>
            </w:rPr>
            <m:t>+</m:t>
          </m:r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w:rPr>
                  <w:rFonts w:ascii="Cambria Math" w:hAnsi="Cambria Math"/>
                </w:rPr>
                <m:t>β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  <m:sup>
              <m:r>
                <w:rPr>
                  <w:rFonts w:ascii="Cambria Math" w:hAnsi="Cambria Math"/>
                </w:rPr>
                <m:t>i</m:t>
              </m:r>
            </m:sup>
          </m:sSubSup>
          <m:r>
            <w:rPr>
              <w:rFonts w:ascii="Cambria Math" w:hAnsi="Cambria Math"/>
            </w:rPr>
            <m:t>c+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g</m:t>
              </m:r>
            </m:e>
            <m:sup>
              <m:r>
                <w:rPr>
                  <w:rFonts w:ascii="Cambria Math" w:hAnsi="Cambria Math"/>
                </w:rPr>
                <m:t>i</m:t>
              </m:r>
            </m:sup>
          </m:sSup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r</m:t>
              </m:r>
            </m:e>
          </m:d>
          <m:r>
            <w:rPr>
              <w:rFonts w:ascii="Cambria Math" w:hAnsi="Cambria Math"/>
            </w:rPr>
            <m:t>+</m:t>
          </m:r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w:rPr>
                  <w:rFonts w:ascii="Cambria Math" w:hAnsi="Cambria Math"/>
                </w:rPr>
                <m:t>β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  <m:sup>
              <m:r>
                <w:rPr>
                  <w:rFonts w:ascii="Cambria Math" w:hAnsi="Cambria Math"/>
                </w:rPr>
                <m:t>i</m:t>
              </m:r>
            </m:sup>
          </m:sSubSup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f</m:t>
              </m:r>
            </m:e>
            <m:sup>
              <m:r>
                <w:rPr>
                  <w:rFonts w:ascii="Cambria Math" w:hAnsi="Cambria Math"/>
                </w:rPr>
                <m:t>i</m:t>
              </m:r>
            </m:sup>
          </m:sSup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r</m:t>
              </m:r>
            </m:e>
          </m:d>
          <m:r>
            <w:rPr>
              <w:rFonts w:ascii="Cambria Math" w:hAnsi="Cambria Math"/>
            </w:rPr>
            <m:t>c,</m:t>
          </m:r>
        </m:oMath>
      </m:oMathPara>
    </w:p>
    <w:p w14:paraId="766EC633" w14:textId="4BEA9491" w:rsidR="005D4829" w:rsidRDefault="005D4829">
      <w:r>
        <w:t xml:space="preserve">where β₀ⁱ models the baseline risk of HIV, and gⁱ is an arbitrary function representing the effect of </w:t>
      </w:r>
      <w:proofErr w:type="spellStart"/>
      <w:r>
        <w:t>insertivity</w:t>
      </w:r>
      <w:proofErr w:type="spellEnd"/>
      <w:r>
        <w:t xml:space="preserve"> on HIV risk. β₁ⁱ models the protection of circumcision in purely non-</w:t>
      </w:r>
      <w:proofErr w:type="spellStart"/>
      <w:r>
        <w:t>insertive</w:t>
      </w:r>
      <w:proofErr w:type="spellEnd"/>
      <w:r>
        <w:t xml:space="preserve"> individuals. </w:t>
      </w:r>
      <w:proofErr w:type="gramStart"/>
      <w:r>
        <w:t>That is to say the</w:t>
      </w:r>
      <w:proofErr w:type="gramEnd"/>
      <w:r>
        <w:t xml:space="preserve"> social and personal effect of circumcision on HIV risk separate from any real protection during </w:t>
      </w:r>
      <w:proofErr w:type="spellStart"/>
      <w:r>
        <w:t>insertive</w:t>
      </w:r>
      <w:proofErr w:type="spellEnd"/>
      <w:r>
        <w:t xml:space="preserve"> sex. We call this the confounding effect of circumcision.</w:t>
      </w:r>
    </w:p>
    <w:p w14:paraId="1D6B0069" w14:textId="77777777" w:rsidR="001B0C63" w:rsidRDefault="005D4829">
      <w:r>
        <w:t>fⁱ in the last term is a monotonic increasing function from 0 to 1 (</w:t>
      </w:r>
      <w:proofErr w:type="gramStart"/>
      <w:r>
        <w:t>fⁱ(0)=</w:t>
      </w:r>
      <w:proofErr w:type="gramEnd"/>
      <w:r>
        <w:t xml:space="preserve">0 and </w:t>
      </w:r>
      <w:proofErr w:type="gramStart"/>
      <w:r>
        <w:t>fⁱ(1)=</w:t>
      </w:r>
      <w:proofErr w:type="gramEnd"/>
      <w:r>
        <w:t xml:space="preserve">1) mapping the relative protection given to people of mixed sexual roles. β₂ⁱ is then the "unconfounded" effect of circumcision on purely </w:t>
      </w:r>
      <w:proofErr w:type="spellStart"/>
      <w:r>
        <w:t>insertive</w:t>
      </w:r>
      <w:proofErr w:type="spellEnd"/>
      <w:r>
        <w:t xml:space="preserve"> individuals.</w:t>
      </w:r>
    </w:p>
    <w:p w14:paraId="5BC0CCB3" w14:textId="4776110F" w:rsidR="489F3298" w:rsidRDefault="489F3298">
      <w:r>
        <w:t xml:space="preserve">The above model is a very flexible and general model with </w:t>
      </w:r>
      <w:r w:rsidR="346E8869">
        <w:t xml:space="preserve">no </w:t>
      </w:r>
      <w:r w:rsidR="00FC865E">
        <w:t>constraints</w:t>
      </w:r>
      <w:r w:rsidR="346E8869">
        <w:t xml:space="preserve"> put on the functional forms for the relationship between </w:t>
      </w:r>
      <w:proofErr w:type="spellStart"/>
      <w:r w:rsidR="346E8869">
        <w:t>insertivity</w:t>
      </w:r>
      <w:proofErr w:type="spellEnd"/>
      <w:r w:rsidR="346E8869">
        <w:t xml:space="preserve"> and HIV risk (gⁱ) or the drop off in the protective effect of circum</w:t>
      </w:r>
      <w:r w:rsidR="0FA6F899">
        <w:t>cis</w:t>
      </w:r>
      <w:r w:rsidR="346E8869">
        <w:t xml:space="preserve">ion </w:t>
      </w:r>
      <w:r w:rsidR="5F9A6CCE">
        <w:t xml:space="preserve">at lower rates of </w:t>
      </w:r>
      <w:proofErr w:type="spellStart"/>
      <w:r w:rsidR="5F9A6CCE">
        <w:t>insertive</w:t>
      </w:r>
      <w:proofErr w:type="spellEnd"/>
      <w:r w:rsidR="5F9A6CCE">
        <w:t xml:space="preserve"> sex (fⁱ). </w:t>
      </w:r>
      <w:r w:rsidR="34741C04">
        <w:t xml:space="preserve">It makes two main assumptions that will allow us to </w:t>
      </w:r>
      <w:proofErr w:type="gramStart"/>
      <w:r w:rsidR="34741C04">
        <w:t>removing</w:t>
      </w:r>
      <w:proofErr w:type="gramEnd"/>
      <w:r w:rsidR="34741C04">
        <w:t xml:space="preserve"> confounding effects. The first is that circumcision provides no </w:t>
      </w:r>
      <w:r w:rsidR="30B63C13">
        <w:t xml:space="preserve">real </w:t>
      </w:r>
      <w:r w:rsidR="34741C04">
        <w:t>protection to</w:t>
      </w:r>
      <w:r w:rsidR="1AD71D80">
        <w:t xml:space="preserve"> purely non-</w:t>
      </w:r>
      <w:proofErr w:type="spellStart"/>
      <w:r w:rsidR="1AD71D80">
        <w:t>insertive</w:t>
      </w:r>
      <w:proofErr w:type="spellEnd"/>
      <w:r w:rsidR="1D24250A">
        <w:t xml:space="preserve"> MSM, which is reasonable from a biological perspective. The second is that </w:t>
      </w:r>
      <w:r w:rsidR="66404448">
        <w:t xml:space="preserve">any </w:t>
      </w:r>
      <w:r w:rsidR="74EB0E4D">
        <w:t>behavioral</w:t>
      </w:r>
      <w:r w:rsidR="160C41DE">
        <w:t xml:space="preserve"> or social confounders affect </w:t>
      </w:r>
      <w:proofErr w:type="spellStart"/>
      <w:r w:rsidR="500DA7C6">
        <w:t>insertive</w:t>
      </w:r>
      <w:proofErr w:type="spellEnd"/>
      <w:r w:rsidR="500DA7C6">
        <w:t xml:space="preserve"> and non-</w:t>
      </w:r>
      <w:proofErr w:type="spellStart"/>
      <w:r w:rsidR="500DA7C6">
        <w:t>insertive</w:t>
      </w:r>
      <w:proofErr w:type="spellEnd"/>
      <w:r w:rsidR="6BA3FBDA">
        <w:t xml:space="preserve"> similarly (i.e. the confounder effect</w:t>
      </w:r>
      <w:r w:rsidR="3E98B38C">
        <w:t xml:space="preserve"> is β₁ⁱ for all levels of </w:t>
      </w:r>
      <w:proofErr w:type="spellStart"/>
      <w:r w:rsidR="3E98B38C">
        <w:t>insertivity</w:t>
      </w:r>
      <w:proofErr w:type="spellEnd"/>
      <w:r w:rsidR="3E98B38C">
        <w:t>).</w:t>
      </w:r>
    </w:p>
    <w:p w14:paraId="5A29A52E" w14:textId="119DC6E0" w:rsidR="001B0C63" w:rsidRDefault="005D4829">
      <w:r>
        <w:t xml:space="preserve">The first comparison we might </w:t>
      </w:r>
      <w:proofErr w:type="gramStart"/>
      <w:r>
        <w:t>do</w:t>
      </w:r>
      <w:proofErr w:type="gramEnd"/>
      <w:r>
        <w:t xml:space="preserve"> is to look at the log ratio of </w:t>
      </w:r>
      <w:proofErr w:type="spellStart"/>
      <w:r>
        <w:t>insertive</w:t>
      </w:r>
      <w:proofErr w:type="spellEnd"/>
      <w:r>
        <w:t xml:space="preserve"> circumcised versus </w:t>
      </w:r>
      <w:proofErr w:type="spellStart"/>
      <w:r>
        <w:t>insertive</w:t>
      </w:r>
      <w:proofErr w:type="spellEnd"/>
      <w:r>
        <w:t xml:space="preserve"> uncircumcised. In our model this would be represented as</w:t>
      </w:r>
    </w:p>
    <w:p w14:paraId="2811216F" w14:textId="0D8AF6EE" w:rsidR="001B0C63" w:rsidRDefault="00263F54" w:rsidP="745BDFC2">
      <w:pPr>
        <w:jc w:val="center"/>
      </w:pPr>
      <m:oMathPara>
        <m:oMath>
          <m:sSup>
            <m:sSupPr>
              <m:ctrlPr>
                <w:rPr>
                  <w:rFonts w:ascii="Cambria Math" w:hAnsi="Cambria Math"/>
                </w:rPr>
              </m:ctrlPr>
            </m:sSupPr>
            <m:e>
              <w:proofErr w:type="spellStart"/>
              <m:r>
                <m:rPr>
                  <m:nor/>
                </m:rPr>
                <m:t>lr</m:t>
              </m:r>
              <w:proofErr w:type="spellEnd"/>
            </m:e>
            <m:sup>
              <m:r>
                <w:rPr>
                  <w:rFonts w:ascii="Cambria Math" w:hAnsi="Cambria Math"/>
                </w:rPr>
                <m:t>i</m:t>
              </m:r>
            </m:sup>
          </m:sSup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r</m:t>
              </m:r>
            </m:e>
          </m:d>
          <m:r>
            <w:rPr>
              <w:rFonts w:ascii="Cambria Math" w:hAnsi="Cambria Math"/>
            </w:rPr>
            <m:t>=</m:t>
          </m:r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log</m:t>
              </m:r>
            </m:fName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P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i</m:t>
                          </m:r>
                        </m:sup>
                      </m:sSup>
                      <m:d>
                        <m:dPr>
                          <m:ctrlPr>
                            <w:rPr>
                              <w:rFonts w:ascii="Cambria Math" w:hAnsi="Cambria Math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H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C=1,R=r</m:t>
                          </m:r>
                        </m:e>
                      </m:d>
                    </m:num>
                    <m:den>
                      <m:r>
                        <w:rPr>
                          <w:rFonts w:ascii="Cambria Math" w:hAnsi="Cambria Math"/>
                        </w:rPr>
                        <m:t>1-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P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i</m:t>
                          </m:r>
                        </m:sup>
                      </m:sSup>
                      <m:d>
                        <m:dPr>
                          <m:ctrlPr>
                            <w:rPr>
                              <w:rFonts w:ascii="Cambria Math" w:hAnsi="Cambria Math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H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C=1,R=r</m:t>
                          </m:r>
                        </m:e>
                      </m:d>
                    </m:den>
                  </m:f>
                </m:e>
              </m:d>
            </m:e>
          </m:func>
          <m:r>
            <w:rPr>
              <w:rFonts w:ascii="Cambria Math" w:hAnsi="Cambria Math"/>
            </w:rPr>
            <m:t>-</m:t>
          </m:r>
          <m:func>
            <m:funcPr>
              <m:ctrlPr>
                <w:rPr>
                  <w:rFonts w:ascii="Cambria Math" w:hAnsi="Cambria Math"/>
                </w:rPr>
              </m:ctrlPr>
            </m:funcPr>
            <m:fName>
              <m:r>
                <m:rPr>
                  <m:sty m:val="p"/>
                </m:rPr>
                <w:rPr>
                  <w:rFonts w:ascii="Cambria Math" w:hAnsi="Cambria Math"/>
                </w:rPr>
                <m:t>log</m:t>
              </m:r>
            </m:fName>
            <m:e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f>
                    <m:fPr>
                      <m:ctrlPr>
                        <w:rPr>
                          <w:rFonts w:ascii="Cambria Math" w:hAnsi="Cambria Math"/>
                        </w:rPr>
                      </m:ctrlPr>
                    </m:fPr>
                    <m:num>
                      <m:sSup>
                        <m:sSupPr>
                          <m:ctrlPr>
                            <w:rPr>
                              <w:rFonts w:ascii="Cambria Math" w:hAnsi="Cambria Math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P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i</m:t>
                          </m:r>
                        </m:sup>
                      </m:sSup>
                      <m:d>
                        <m:dPr>
                          <m:ctrlPr>
                            <w:rPr>
                              <w:rFonts w:ascii="Cambria Math" w:hAnsi="Cambria Math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H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C=0,R=r</m:t>
                          </m:r>
                        </m:e>
                      </m:d>
                    </m:num>
                    <m:den>
                      <m:r>
                        <w:rPr>
                          <w:rFonts w:ascii="Cambria Math" w:hAnsi="Cambria Math"/>
                        </w:rPr>
                        <m:t>1-</m:t>
                      </m:r>
                      <m:sSup>
                        <m:sSupPr>
                          <m:ctrlPr>
                            <w:rPr>
                              <w:rFonts w:ascii="Cambria Math" w:hAnsi="Cambria Math"/>
                            </w:rPr>
                          </m:ctrlPr>
                        </m:sSupPr>
                        <m:e>
                          <m:r>
                            <w:rPr>
                              <w:rFonts w:ascii="Cambria Math" w:hAnsi="Cambria Math"/>
                            </w:rPr>
                            <m:t>P</m:t>
                          </m:r>
                        </m:e>
                        <m:sup>
                          <m:r>
                            <w:rPr>
                              <w:rFonts w:ascii="Cambria Math" w:hAnsi="Cambria Math"/>
                            </w:rPr>
                            <m:t>i</m:t>
                          </m:r>
                        </m:sup>
                      </m:sSup>
                      <m:d>
                        <m:dPr>
                          <m:ctrlPr>
                            <w:rPr>
                              <w:rFonts w:ascii="Cambria Math" w:hAnsi="Cambria Math"/>
                            </w:rPr>
                          </m:ctrlPr>
                        </m:dPr>
                        <m:e>
                          <m:r>
                            <w:rPr>
                              <w:rFonts w:ascii="Cambria Math" w:hAnsi="Cambria Math"/>
                            </w:rPr>
                            <m:t>H</m:t>
                          </m:r>
                        </m:e>
                        <m:e>
                          <m:r>
                            <w:rPr>
                              <w:rFonts w:ascii="Cambria Math" w:hAnsi="Cambria Math"/>
                            </w:rPr>
                            <m:t>C=0,R=r</m:t>
                          </m:r>
                        </m:e>
                      </m:d>
                    </m:den>
                  </m:f>
                </m:e>
              </m:d>
            </m:e>
          </m:func>
          <m:r>
            <w:rPr>
              <w:rFonts w:ascii="Cambria Math" w:hAnsi="Cambria Math"/>
            </w:rPr>
            <m:t>=</m:t>
          </m:r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w:rPr>
                  <w:rFonts w:ascii="Cambria Math" w:hAnsi="Cambria Math"/>
                </w:rPr>
                <m:t>β</m:t>
              </m:r>
            </m:e>
            <m:sub>
              <m:r>
                <w:rPr>
                  <w:rFonts w:ascii="Cambria Math" w:hAnsi="Cambria Math"/>
                </w:rPr>
                <m:t>1</m:t>
              </m:r>
            </m:sub>
            <m:sup>
              <m:r>
                <w:rPr>
                  <w:rFonts w:ascii="Cambria Math" w:hAnsi="Cambria Math"/>
                </w:rPr>
                <m:t>i</m:t>
              </m:r>
            </m:sup>
          </m:sSubSup>
          <m:r>
            <w:rPr>
              <w:rFonts w:ascii="Cambria Math" w:hAnsi="Cambria Math"/>
            </w:rPr>
            <m:t>+</m:t>
          </m:r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w:rPr>
                  <w:rFonts w:ascii="Cambria Math" w:hAnsi="Cambria Math"/>
                </w:rPr>
                <m:t>β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  <m:sup>
              <m:r>
                <w:rPr>
                  <w:rFonts w:ascii="Cambria Math" w:hAnsi="Cambria Math"/>
                </w:rPr>
                <m:t>i</m:t>
              </m:r>
            </m:sup>
          </m:sSubSup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f</m:t>
              </m:r>
            </m:e>
            <m:sup>
              <m:r>
                <w:rPr>
                  <w:rFonts w:ascii="Cambria Math" w:hAnsi="Cambria Math"/>
                </w:rPr>
                <m:t>i</m:t>
              </m:r>
            </m:sup>
          </m:sSup>
          <m:d>
            <m:dPr>
              <m:ctrlPr>
                <w:rPr>
                  <w:rFonts w:ascii="Cambria Math" w:hAnsi="Cambria Math"/>
                </w:rPr>
              </m:ctrlPr>
            </m:dPr>
            <m:e>
              <m:r>
                <w:rPr>
                  <w:rFonts w:ascii="Cambria Math" w:hAnsi="Cambria Math"/>
                </w:rPr>
                <m:t>r</m:t>
              </m:r>
            </m:e>
          </m:d>
        </m:oMath>
      </m:oMathPara>
    </w:p>
    <w:p w14:paraId="0CF3DED6" w14:textId="3BEB0A2D" w:rsidR="001B0C63" w:rsidRDefault="005D4829">
      <w:r>
        <w:t>We see that the log odds ratio includes the confounding term β₁ⁱ and the true effect term β₂ⁱ reduced by the level of non-</w:t>
      </w:r>
      <w:proofErr w:type="spellStart"/>
      <w:r>
        <w:t>insertivity</w:t>
      </w:r>
      <w:proofErr w:type="spellEnd"/>
      <w:r>
        <w:t xml:space="preserve"> (fⁱ(r)). Having both β terms in the ratio means that we must assume no confounding effects (β₁ⁱ = 0) if we wish to interpret this ratio as the biological effect of circumcision.</w:t>
      </w:r>
    </w:p>
    <w:p w14:paraId="7AB3B4F2" w14:textId="217943C7" w:rsidR="001B0C63" w:rsidRDefault="005D4829">
      <w:proofErr w:type="gramStart"/>
      <w:r>
        <w:t>In order to</w:t>
      </w:r>
      <w:proofErr w:type="gramEnd"/>
      <w:r>
        <w:t xml:space="preserve"> remove the confounding effect, we can look at the log ratio of high </w:t>
      </w:r>
      <w:proofErr w:type="spellStart"/>
      <w:r>
        <w:t>insertivity</w:t>
      </w:r>
      <w:proofErr w:type="spellEnd"/>
      <w:r>
        <w:t xml:space="preserve"> subtracting off the log ratio of a lower </w:t>
      </w:r>
      <w:proofErr w:type="spellStart"/>
      <w:r>
        <w:t>insertivity</w:t>
      </w:r>
      <w:proofErr w:type="spellEnd"/>
      <w:r>
        <w:t xml:space="preserve"> level</w:t>
      </w:r>
    </w:p>
    <w:p w14:paraId="478DE97F" w14:textId="55F79A59" w:rsidR="001B0C63" w:rsidRDefault="005D4829" w:rsidP="095C7A3E">
      <w:pPr>
        <w:jc w:val="center"/>
      </w:pPr>
      <m:oMathPara>
        <m:oMath>
          <m:r>
            <m:rPr>
              <m:nor/>
            </m:rPr>
            <m:t>l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m:rPr>
                  <m:nor/>
                </m:rPr>
                <m:t>r</m:t>
              </m:r>
            </m:e>
            <m:sup>
              <m:r>
                <m:rPr>
                  <m:nor/>
                </m:rPr>
                <m:t>i</m:t>
              </m:r>
            </m:sup>
          </m:sSup>
          <m:d>
            <m:dPr>
              <m:ctrlPr>
                <w:rPr>
                  <w:rFonts w:ascii="Cambria Math" w:hAnsi="Cambria Math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</w:rPr>
                    <m:t>high</m:t>
                  </m:r>
                </m:sub>
              </m:sSub>
            </m:e>
          </m:d>
          <m:r>
            <w:rPr>
              <w:rFonts w:ascii="Cambria Math" w:hAnsi="Cambria Math"/>
            </w:rPr>
            <m:t>-l</m:t>
          </m:r>
          <m:sSup>
            <m:sSupPr>
              <m:ctrlPr>
                <w:rPr>
                  <w:rFonts w:ascii="Cambria Math" w:hAnsi="Cambria Math"/>
                </w:rPr>
              </m:ctrlPr>
            </m:sSupPr>
            <m:e>
              <m:r>
                <w:rPr>
                  <w:rFonts w:ascii="Cambria Math" w:hAnsi="Cambria Math"/>
                </w:rPr>
                <m:t>r</m:t>
              </m:r>
            </m:e>
            <m:sup>
              <m:r>
                <w:rPr>
                  <w:rFonts w:ascii="Cambria Math" w:hAnsi="Cambria Math"/>
                </w:rPr>
                <m:t>i</m:t>
              </m:r>
            </m:sup>
          </m:sSup>
          <m:d>
            <m:dPr>
              <m:ctrlPr>
                <w:rPr>
                  <w:rFonts w:ascii="Cambria Math" w:hAnsi="Cambria Math"/>
                </w:rPr>
              </m:ctrlPr>
            </m:dPr>
            <m:e>
              <m:sSub>
                <m:sSubPr>
                  <m:ctrlPr>
                    <w:rPr>
                      <w:rFonts w:ascii="Cambria Math" w:hAnsi="Cambria Math"/>
                    </w:rPr>
                  </m:ctrlPr>
                </m:sSubPr>
                <m:e>
                  <m:r>
                    <w:rPr>
                      <w:rFonts w:ascii="Cambria Math" w:hAnsi="Cambria Math"/>
                    </w:rPr>
                    <m:t>r</m:t>
                  </m:r>
                </m:e>
                <m:sub>
                  <m:r>
                    <w:rPr>
                      <w:rFonts w:ascii="Cambria Math" w:hAnsi="Cambria Math"/>
                    </w:rPr>
                    <m:t>low</m:t>
                  </m:r>
                </m:sub>
              </m:sSub>
            </m:e>
          </m:d>
          <m:r>
            <w:rPr>
              <w:rFonts w:ascii="Cambria Math" w:hAnsi="Cambria Math"/>
            </w:rPr>
            <m:t> = </m:t>
          </m:r>
          <m:sSubSup>
            <m:sSubSupPr>
              <m:ctrlPr>
                <w:rPr>
                  <w:rFonts w:ascii="Cambria Math" w:hAnsi="Cambria Math"/>
                </w:rPr>
              </m:ctrlPr>
            </m:sSubSupPr>
            <m:e>
              <m:r>
                <w:rPr>
                  <w:rFonts w:ascii="Cambria Math" w:hAnsi="Cambria Math"/>
                </w:rPr>
                <m:t>β</m:t>
              </m:r>
            </m:e>
            <m:sub>
              <m:r>
                <w:rPr>
                  <w:rFonts w:ascii="Cambria Math" w:hAnsi="Cambria Math"/>
                </w:rPr>
                <m:t>2</m:t>
              </m:r>
            </m:sub>
            <m:sup>
              <m:r>
                <w:rPr>
                  <w:rFonts w:ascii="Cambria Math" w:hAnsi="Cambria Math"/>
                </w:rPr>
                <m:t>i</m:t>
              </m:r>
            </m:sup>
          </m:sSubSup>
          <m:d>
            <m:dPr>
              <m:ctrlPr>
                <w:rPr>
                  <w:rFonts w:ascii="Cambria Math" w:hAnsi="Cambria Math"/>
                </w:rPr>
              </m:ctrlPr>
            </m:dPr>
            <m:e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p>
                  <m:r>
                    <w:rPr>
                      <w:rFonts w:ascii="Cambria Math" w:hAnsi="Cambria Math"/>
                    </w:rPr>
                    <m:t>i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high</m:t>
                      </m:r>
                    </m:sub>
                  </m:sSub>
                </m:e>
              </m:d>
              <m:r>
                <w:rPr>
                  <w:rFonts w:ascii="Cambria Math" w:hAnsi="Cambria Math"/>
                </w:rPr>
                <m:t>-</m:t>
              </m:r>
              <m:sSup>
                <m:sSupPr>
                  <m:ctrlPr>
                    <w:rPr>
                      <w:rFonts w:ascii="Cambria Math" w:hAnsi="Cambria Math"/>
                    </w:rPr>
                  </m:ctrlPr>
                </m:sSupPr>
                <m:e>
                  <m:r>
                    <w:rPr>
                      <w:rFonts w:ascii="Cambria Math" w:hAnsi="Cambria Math"/>
                    </w:rPr>
                    <m:t>f</m:t>
                  </m:r>
                </m:e>
                <m:sup>
                  <m:r>
                    <w:rPr>
                      <w:rFonts w:ascii="Cambria Math" w:hAnsi="Cambria Math"/>
                    </w:rPr>
                    <m:t>i</m:t>
                  </m:r>
                </m:sup>
              </m:sSup>
              <m:d>
                <m:dPr>
                  <m:ctrlPr>
                    <w:rPr>
                      <w:rFonts w:ascii="Cambria Math" w:hAnsi="Cambria Math"/>
                    </w:rPr>
                  </m:ctrlPr>
                </m:dPr>
                <m:e>
                  <m:sSub>
                    <m:sSubPr>
                      <m:ctrlPr>
                        <w:rPr>
                          <w:rFonts w:ascii="Cambria Math" w:hAnsi="Cambria Math"/>
                        </w:rPr>
                      </m:ctrlPr>
                    </m:sSubPr>
                    <m:e>
                      <m:r>
                        <w:rPr>
                          <w:rFonts w:ascii="Cambria Math" w:hAnsi="Cambria Math"/>
                        </w:rPr>
                        <m:t>r</m:t>
                      </m:r>
                    </m:e>
                    <m:sub>
                      <m:r>
                        <w:rPr>
                          <w:rFonts w:ascii="Cambria Math" w:hAnsi="Cambria Math"/>
                        </w:rPr>
                        <m:t>low</m:t>
                      </m:r>
                    </m:sub>
                  </m:sSub>
                </m:e>
              </m:d>
            </m:e>
          </m:d>
          <m:r>
            <w:rPr>
              <w:rFonts w:ascii="Cambria Math" w:hAnsi="Cambria Math"/>
            </w:rPr>
            <m:t> .</m:t>
          </m:r>
        </m:oMath>
      </m:oMathPara>
    </w:p>
    <w:p w14:paraId="3C18F98A" w14:textId="12097CCB" w:rsidR="005D4829" w:rsidRDefault="005D4829" w:rsidP="5C4F5797">
      <w:r>
        <w:t xml:space="preserve">This term includes only the real effect of circumcision β₂ⁱ, removing the confounding effect β₁ⁱ. The full magnitude of the β₂ⁱ effect does not translate to the log ratio of ratios, rather its magnitude is reduced by a factor of </w:t>
      </w:r>
      <m:oMath>
        <m:r>
          <w:rPr>
            <w:rFonts w:ascii="Cambria Math" w:hAnsi="Cambria Math"/>
          </w:rPr>
          <m:t>0 ≤ 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f</m:t>
            </m:r>
          </m:e>
          <m:sup>
            <m:r>
              <w:rPr>
                <w:rFonts w:ascii="Cambria Math" w:hAnsi="Cambria Math"/>
              </w:rPr>
              <m:t>i</m:t>
            </m:r>
          </m:sup>
        </m:sSup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high</m:t>
                </m:r>
              </m:sub>
            </m:sSub>
          </m:e>
        </m:d>
        <m:r>
          <w:rPr>
            <w:rFonts w:ascii="Cambria Math" w:hAnsi="Cambria Math"/>
          </w:rPr>
          <m:t>-</m:t>
        </m:r>
        <m:sSup>
          <m:sSupPr>
            <m:ctrlPr>
              <w:rPr>
                <w:rFonts w:ascii="Cambria Math" w:hAnsi="Cambria Math"/>
              </w:rPr>
            </m:ctrlPr>
          </m:sSupPr>
          <m:e>
            <m:r>
              <w:rPr>
                <w:rFonts w:ascii="Cambria Math" w:hAnsi="Cambria Math"/>
              </w:rPr>
              <m:t>f</m:t>
            </m:r>
          </m:e>
          <m:sup>
            <m:r>
              <w:rPr>
                <w:rFonts w:ascii="Cambria Math" w:hAnsi="Cambria Math"/>
              </w:rPr>
              <m:t>i</m:t>
            </m:r>
          </m:sup>
        </m:sSup>
        <m:d>
          <m:dPr>
            <m:ctrlPr>
              <w:rPr>
                <w:rFonts w:ascii="Cambria Math" w:hAnsi="Cambria Math"/>
              </w:rPr>
            </m:ctrlPr>
          </m:dPr>
          <m:e>
            <m:sSub>
              <m:sSubPr>
                <m:ctrlPr>
                  <w:rPr>
                    <w:rFonts w:ascii="Cambria Math" w:hAnsi="Cambria Math"/>
                  </w:rPr>
                </m:ctrlPr>
              </m:sSubPr>
              <m:e>
                <m:r>
                  <w:rPr>
                    <w:rFonts w:ascii="Cambria Math" w:hAnsi="Cambria Math"/>
                  </w:rPr>
                  <m:t>r</m:t>
                </m:r>
              </m:e>
              <m:sub>
                <m:r>
                  <w:rPr>
                    <w:rFonts w:ascii="Cambria Math" w:hAnsi="Cambria Math"/>
                  </w:rPr>
                  <m:t>low</m:t>
                </m:r>
              </m:sub>
            </m:sSub>
          </m:e>
        </m:d>
        <m:r>
          <w:rPr>
            <w:rFonts w:ascii="Cambria Math" w:hAnsi="Cambria Math"/>
          </w:rPr>
          <m:t> ≤ 1</m:t>
        </m:r>
      </m:oMath>
      <w:r w:rsidR="735A1977">
        <w:t>; thus the difference in log ratios is an underes</w:t>
      </w:r>
      <w:proofErr w:type="spellStart"/>
      <w:r w:rsidR="2920A312">
        <w:t>timate</w:t>
      </w:r>
      <w:proofErr w:type="spellEnd"/>
      <w:r w:rsidR="2920A312">
        <w:t xml:space="preserve"> of the true effect</w:t>
      </w:r>
    </w:p>
    <w:p w14:paraId="331AA0DA" w14:textId="2F70F66F" w:rsidR="5C4F5797" w:rsidRDefault="00263F54" w:rsidP="5C4F5797">
      <w:pPr>
        <w:jc w:val="center"/>
      </w:pPr>
      <m:oMath>
        <m:d>
          <m:dPr>
            <m:begChr m:val="|"/>
            <m:endChr m:val="|"/>
            <m:ctrlPr>
              <w:rPr>
                <w:rFonts w:ascii="Cambria Math" w:hAnsi="Cambria Math"/>
              </w:rPr>
            </m:ctrlPr>
          </m:dPr>
          <m:e>
            <m:r>
              <w:rPr>
                <w:rFonts w:ascii="Cambria Math" w:hAnsi="Cambria Math"/>
              </w:rPr>
              <m:t> l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r</m:t>
                </m:r>
              </m:e>
              <m:sup>
                <m:r>
                  <w:rPr>
                    <w:rFonts w:ascii="Cambria Math" w:hAnsi="Cambria Math"/>
                  </w:rPr>
                  <m:t>i</m:t>
                </m:r>
              </m:sup>
            </m:sSup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high</m:t>
                    </m:r>
                  </m:sub>
                </m:sSub>
              </m:e>
            </m:d>
            <m:r>
              <w:rPr>
                <w:rFonts w:ascii="Cambria Math" w:hAnsi="Cambria Math"/>
              </w:rPr>
              <m:t>-l</m:t>
            </m:r>
            <m:sSup>
              <m:sSupPr>
                <m:ctrlPr>
                  <w:rPr>
                    <w:rFonts w:ascii="Cambria Math" w:hAnsi="Cambria Math"/>
                  </w:rPr>
                </m:ctrlPr>
              </m:sSupPr>
              <m:e>
                <m:r>
                  <w:rPr>
                    <w:rFonts w:ascii="Cambria Math" w:hAnsi="Cambria Math"/>
                  </w:rPr>
                  <m:t>r</m:t>
                </m:r>
              </m:e>
              <m:sup>
                <m:r>
                  <w:rPr>
                    <w:rFonts w:ascii="Cambria Math" w:hAnsi="Cambria Math"/>
                  </w:rPr>
                  <m:t>i</m:t>
                </m:r>
              </m:sup>
            </m:sSup>
            <m:d>
              <m:dPr>
                <m:ctrlPr>
                  <w:rPr>
                    <w:rFonts w:ascii="Cambria Math" w:hAnsi="Cambria Math"/>
                  </w:rPr>
                </m:ctrlPr>
              </m:dPr>
              <m:e>
                <m:sSub>
                  <m:sSubPr>
                    <m:ctrlPr>
                      <w:rPr>
                        <w:rFonts w:ascii="Cambria Math" w:hAnsi="Cambria Math"/>
                      </w:rPr>
                    </m:ctrlPr>
                  </m:sSubPr>
                  <m:e>
                    <m:r>
                      <w:rPr>
                        <w:rFonts w:ascii="Cambria Math" w:hAnsi="Cambria Math"/>
                      </w:rPr>
                      <m:t>r</m:t>
                    </m:r>
                  </m:e>
                  <m:sub>
                    <m:r>
                      <w:rPr>
                        <w:rFonts w:ascii="Cambria Math" w:hAnsi="Cambria Math"/>
                      </w:rPr>
                      <m:t>low</m:t>
                    </m:r>
                  </m:sub>
                </m:sSub>
              </m:e>
            </m:d>
            <m:r>
              <w:rPr>
                <w:rFonts w:ascii="Cambria Math" w:hAnsi="Cambria Math"/>
              </w:rPr>
              <m:t> </m:t>
            </m:r>
          </m:e>
        </m:d>
        <m:r>
          <w:rPr>
            <w:rFonts w:ascii="Cambria Math" w:hAnsi="Cambria Math"/>
          </w:rPr>
          <m:t> ≤ </m:t>
        </m:r>
        <m:sSubSup>
          <m:sSubSupPr>
            <m:ctrlPr>
              <w:rPr>
                <w:rFonts w:ascii="Cambria Math" w:hAnsi="Cambria Math"/>
              </w:rPr>
            </m:ctrlPr>
          </m:sSubSupPr>
          <m:e>
            <m:r>
              <w:rPr>
                <w:rFonts w:ascii="Cambria Math" w:hAnsi="Cambria Math"/>
              </w:rPr>
              <m:t>β</m:t>
            </m:r>
          </m:e>
          <m:sub>
            <m:r>
              <w:rPr>
                <w:rFonts w:ascii="Cambria Math" w:hAnsi="Cambria Math"/>
              </w:rPr>
              <m:t>2</m:t>
            </m:r>
          </m:sub>
          <m:sup>
            <m:r>
              <w:rPr>
                <w:rFonts w:ascii="Cambria Math" w:hAnsi="Cambria Math"/>
              </w:rPr>
              <m:t>i</m:t>
            </m:r>
          </m:sup>
        </m:sSubSup>
      </m:oMath>
      <w:r w:rsidR="6D007324">
        <w:t>.</w:t>
      </w:r>
    </w:p>
    <w:p w14:paraId="7EBE1463" w14:textId="492B4E85" w:rsidR="005D4829" w:rsidRDefault="005D4829">
      <w:r>
        <w:t>For</w:t>
      </w:r>
      <w:r w:rsidR="745BDE72">
        <w:t xml:space="preserve"> our meta</w:t>
      </w:r>
      <w:r w:rsidR="78B2F1F4">
        <w:t>-</w:t>
      </w:r>
      <w:r w:rsidR="745BDE72">
        <w:t>analysis</w:t>
      </w:r>
      <w:r>
        <w:t xml:space="preserve"> we calculate the difference of log odds ratios between the most and least </w:t>
      </w:r>
      <w:proofErr w:type="spellStart"/>
      <w:r>
        <w:t>insertive</w:t>
      </w:r>
      <w:proofErr w:type="spellEnd"/>
      <w:r>
        <w:t xml:space="preserve"> groups reported</w:t>
      </w:r>
      <w:r w:rsidR="046F17E0">
        <w:t xml:space="preserve"> by each study</w:t>
      </w:r>
      <w:r>
        <w:t>. The variance of this difference is calculated assuming independence, which is exactly true when the odds ratios are calculated from counts and approximately true otherwise.</w:t>
      </w:r>
    </w:p>
    <w:sectPr w:rsidR="005D4829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674407975">
    <w:abstractNumId w:val="8"/>
  </w:num>
  <w:num w:numId="2" w16cid:durableId="1331056749">
    <w:abstractNumId w:val="6"/>
  </w:num>
  <w:num w:numId="3" w16cid:durableId="1443300366">
    <w:abstractNumId w:val="5"/>
  </w:num>
  <w:num w:numId="4" w16cid:durableId="1772583964">
    <w:abstractNumId w:val="4"/>
  </w:num>
  <w:num w:numId="5" w16cid:durableId="1236093229">
    <w:abstractNumId w:val="7"/>
  </w:num>
  <w:num w:numId="6" w16cid:durableId="154227648">
    <w:abstractNumId w:val="3"/>
  </w:num>
  <w:num w:numId="7" w16cid:durableId="2144233574">
    <w:abstractNumId w:val="2"/>
  </w:num>
  <w:num w:numId="8" w16cid:durableId="691149156">
    <w:abstractNumId w:val="1"/>
  </w:num>
  <w:num w:numId="9" w16cid:durableId="5543185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97A61"/>
    <w:rsid w:val="0015074B"/>
    <w:rsid w:val="001B0C63"/>
    <w:rsid w:val="00263F54"/>
    <w:rsid w:val="0029639D"/>
    <w:rsid w:val="00326F90"/>
    <w:rsid w:val="005D4829"/>
    <w:rsid w:val="006E6A52"/>
    <w:rsid w:val="00AA1D8D"/>
    <w:rsid w:val="00B47730"/>
    <w:rsid w:val="00C73818"/>
    <w:rsid w:val="00CB0664"/>
    <w:rsid w:val="00EC531E"/>
    <w:rsid w:val="00EC84AC"/>
    <w:rsid w:val="00FC693F"/>
    <w:rsid w:val="00FC865E"/>
    <w:rsid w:val="00FD74A1"/>
    <w:rsid w:val="0151A198"/>
    <w:rsid w:val="046F17E0"/>
    <w:rsid w:val="04F1404A"/>
    <w:rsid w:val="05C34A62"/>
    <w:rsid w:val="05DB4D35"/>
    <w:rsid w:val="066680F2"/>
    <w:rsid w:val="0821F918"/>
    <w:rsid w:val="0935F93E"/>
    <w:rsid w:val="095C7A3E"/>
    <w:rsid w:val="0E872BC5"/>
    <w:rsid w:val="0F0AFC72"/>
    <w:rsid w:val="0FA6F899"/>
    <w:rsid w:val="11BA10CC"/>
    <w:rsid w:val="1506847B"/>
    <w:rsid w:val="157BC604"/>
    <w:rsid w:val="160C41DE"/>
    <w:rsid w:val="1619F237"/>
    <w:rsid w:val="17AE9D1B"/>
    <w:rsid w:val="185C6824"/>
    <w:rsid w:val="18E190DB"/>
    <w:rsid w:val="1AD71D80"/>
    <w:rsid w:val="1B11C634"/>
    <w:rsid w:val="1C2AC863"/>
    <w:rsid w:val="1CA43281"/>
    <w:rsid w:val="1CD21D81"/>
    <w:rsid w:val="1D24250A"/>
    <w:rsid w:val="1F54D2E0"/>
    <w:rsid w:val="21755928"/>
    <w:rsid w:val="23183AD4"/>
    <w:rsid w:val="2748EA30"/>
    <w:rsid w:val="2920A312"/>
    <w:rsid w:val="29F0D1D4"/>
    <w:rsid w:val="2A46713B"/>
    <w:rsid w:val="2D7A1644"/>
    <w:rsid w:val="30B63C13"/>
    <w:rsid w:val="3317235C"/>
    <w:rsid w:val="33DFE3F9"/>
    <w:rsid w:val="342D1B98"/>
    <w:rsid w:val="346E8869"/>
    <w:rsid w:val="34741C04"/>
    <w:rsid w:val="34B360E0"/>
    <w:rsid w:val="355006D2"/>
    <w:rsid w:val="377069EC"/>
    <w:rsid w:val="39A871D1"/>
    <w:rsid w:val="3AD600CF"/>
    <w:rsid w:val="3B591C2C"/>
    <w:rsid w:val="3BB4CCD5"/>
    <w:rsid w:val="3DB84898"/>
    <w:rsid w:val="3E98B38C"/>
    <w:rsid w:val="3F3E2E1D"/>
    <w:rsid w:val="42D1DC54"/>
    <w:rsid w:val="43B7B120"/>
    <w:rsid w:val="47AACAFF"/>
    <w:rsid w:val="489F3298"/>
    <w:rsid w:val="4C2E80F9"/>
    <w:rsid w:val="4C9E96DD"/>
    <w:rsid w:val="4DADBF50"/>
    <w:rsid w:val="4EACE819"/>
    <w:rsid w:val="500DA7C6"/>
    <w:rsid w:val="507F7780"/>
    <w:rsid w:val="50B49E7C"/>
    <w:rsid w:val="53CF03A8"/>
    <w:rsid w:val="54DBB2CF"/>
    <w:rsid w:val="559F5930"/>
    <w:rsid w:val="58307479"/>
    <w:rsid w:val="592D61B2"/>
    <w:rsid w:val="59942499"/>
    <w:rsid w:val="5A2C4511"/>
    <w:rsid w:val="5B55DC27"/>
    <w:rsid w:val="5C383B9A"/>
    <w:rsid w:val="5C3A6094"/>
    <w:rsid w:val="5C4F5797"/>
    <w:rsid w:val="5F9A6CCE"/>
    <w:rsid w:val="63E8AD6B"/>
    <w:rsid w:val="64232A1D"/>
    <w:rsid w:val="645BBB4D"/>
    <w:rsid w:val="646EED0D"/>
    <w:rsid w:val="66404448"/>
    <w:rsid w:val="67B46E3C"/>
    <w:rsid w:val="68203040"/>
    <w:rsid w:val="6BA3FBDA"/>
    <w:rsid w:val="6CE7757B"/>
    <w:rsid w:val="6D007324"/>
    <w:rsid w:val="6E74F3B6"/>
    <w:rsid w:val="71B89EFC"/>
    <w:rsid w:val="735A1977"/>
    <w:rsid w:val="745BDE72"/>
    <w:rsid w:val="745BDFC2"/>
    <w:rsid w:val="74EB0E4D"/>
    <w:rsid w:val="7514FF05"/>
    <w:rsid w:val="75A7A6BA"/>
    <w:rsid w:val="76775EE5"/>
    <w:rsid w:val="76DB26C7"/>
    <w:rsid w:val="78B2F1F4"/>
    <w:rsid w:val="798C92DE"/>
    <w:rsid w:val="7BAAE545"/>
    <w:rsid w:val="7C0FD35F"/>
    <w:rsid w:val="7C901A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C818C8EE-71B7-4889-B225-36CB96A4F3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604</Words>
  <Characters>3448</Characters>
  <Application>Microsoft Office Word</Application>
  <DocSecurity>0</DocSecurity>
  <Lines>28</Lines>
  <Paragraphs>8</Paragraphs>
  <ScaleCrop>false</ScaleCrop>
  <Manager/>
  <Company/>
  <LinksUpToDate>false</LinksUpToDate>
  <CharactersWithSpaces>4044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Fellows, Ian (CDC/GHC/DGHT) (CTR)</cp:lastModifiedBy>
  <cp:revision>2</cp:revision>
  <dcterms:created xsi:type="dcterms:W3CDTF">2025-10-21T16:04:00Z</dcterms:created>
  <dcterms:modified xsi:type="dcterms:W3CDTF">2025-10-21T16:04:00Z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2025-10-17T20:06:59Z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2146e2a2-c3f6-4f9b-b336-c3f451b2a31d</vt:lpwstr>
  </property>
  <property fmtid="{D5CDD505-2E9C-101B-9397-08002B2CF9AE}" pid="8" name="MSIP_Label_7b94a7b8-f06c-4dfe-bdcc-9b548fd58c31_ContentBits">
    <vt:lpwstr>0</vt:lpwstr>
  </property>
  <property fmtid="{D5CDD505-2E9C-101B-9397-08002B2CF9AE}" pid="9" name="MSIP_Label_7b94a7b8-f06c-4dfe-bdcc-9b548fd58c31_Tag">
    <vt:lpwstr>10, 0, 1, 2</vt:lpwstr>
  </property>
</Properties>
</file>