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27BD2" w14:textId="77777777" w:rsidR="007173DF" w:rsidRPr="00D6401B" w:rsidRDefault="007173DF" w:rsidP="007173DF">
      <w:pPr>
        <w:rPr>
          <w:rFonts w:ascii="Garamond" w:hAnsi="Garamond"/>
          <w:sz w:val="24"/>
          <w:szCs w:val="24"/>
        </w:rPr>
      </w:pPr>
      <w:r w:rsidRPr="00D6401B">
        <w:rPr>
          <w:rFonts w:ascii="Garamond" w:hAnsi="Garamond"/>
          <w:b/>
          <w:bCs/>
          <w:sz w:val="24"/>
          <w:szCs w:val="24"/>
        </w:rPr>
        <w:t>Supplementary Table: Laboratory values at admission of patients with Bundibugyo Ebola virus disease admitted to the Mulago Ebola Treatment Unit (N = 18), Uganda, 2026</w:t>
      </w:r>
    </w:p>
    <w:p w14:paraId="0AA4E7F5" w14:textId="77777777" w:rsidR="007173DF" w:rsidRPr="00D6401B" w:rsidRDefault="007173DF" w:rsidP="007173DF">
      <w:pPr>
        <w:rPr>
          <w:rFonts w:ascii="Garamond" w:hAnsi="Garamond"/>
          <w:sz w:val="24"/>
          <w:szCs w:val="24"/>
        </w:rPr>
      </w:pPr>
    </w:p>
    <w:tbl>
      <w:tblPr>
        <w:tblStyle w:val="TableGrid"/>
        <w:tblW w:w="9663" w:type="dxa"/>
        <w:tblLook w:val="04A0" w:firstRow="1" w:lastRow="0" w:firstColumn="1" w:lastColumn="0" w:noHBand="0" w:noVBand="1"/>
      </w:tblPr>
      <w:tblGrid>
        <w:gridCol w:w="3544"/>
        <w:gridCol w:w="2255"/>
        <w:gridCol w:w="1932"/>
        <w:gridCol w:w="1932"/>
      </w:tblGrid>
      <w:tr w:rsidR="007173DF" w:rsidRPr="00D6401B" w14:paraId="726ED5E1" w14:textId="77777777" w:rsidTr="00C719BA">
        <w:trPr>
          <w:trHeight w:val="611"/>
        </w:trPr>
        <w:tc>
          <w:tcPr>
            <w:tcW w:w="3544" w:type="dxa"/>
          </w:tcPr>
          <w:p w14:paraId="73634C1C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b/>
                <w:bCs/>
                <w:sz w:val="24"/>
                <w:szCs w:val="24"/>
              </w:rPr>
              <w:t>Laboratory parameter</w:t>
            </w:r>
          </w:p>
        </w:tc>
        <w:tc>
          <w:tcPr>
            <w:tcW w:w="2255" w:type="dxa"/>
          </w:tcPr>
          <w:p w14:paraId="436BD185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b/>
                <w:bCs/>
                <w:sz w:val="24"/>
                <w:szCs w:val="24"/>
              </w:rPr>
              <w:t>Median level at admission</w:t>
            </w:r>
          </w:p>
        </w:tc>
        <w:tc>
          <w:tcPr>
            <w:tcW w:w="1932" w:type="dxa"/>
          </w:tcPr>
          <w:p w14:paraId="1A51C531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>R</w:t>
            </w:r>
            <w:r w:rsidRPr="00D6401B">
              <w:rPr>
                <w:rFonts w:ascii="Garamond" w:hAnsi="Garamond"/>
                <w:b/>
                <w:bCs/>
                <w:sz w:val="24"/>
                <w:szCs w:val="24"/>
              </w:rPr>
              <w:t>ange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t xml:space="preserve"> of laboratory values at admission</w:t>
            </w:r>
          </w:p>
        </w:tc>
        <w:tc>
          <w:tcPr>
            <w:tcW w:w="1932" w:type="dxa"/>
          </w:tcPr>
          <w:p w14:paraId="4E06B587" w14:textId="77777777" w:rsidR="007173DF" w:rsidRDefault="007173DF" w:rsidP="00C719BA">
            <w:pPr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  <w:r>
              <w:rPr>
                <w:rFonts w:ascii="Garamond" w:hAnsi="Garamond"/>
                <w:b/>
                <w:bCs/>
                <w:sz w:val="24"/>
                <w:szCs w:val="24"/>
              </w:rPr>
              <w:t>Normal Range</w:t>
            </w:r>
            <w:r>
              <w:rPr>
                <w:rFonts w:ascii="Garamond" w:hAnsi="Garamond"/>
                <w:b/>
                <w:bCs/>
                <w:sz w:val="24"/>
                <w:szCs w:val="24"/>
              </w:rPr>
              <w:br/>
              <w:t>(According to CERSL)</w:t>
            </w:r>
          </w:p>
        </w:tc>
      </w:tr>
      <w:tr w:rsidR="007173DF" w:rsidRPr="00D6401B" w14:paraId="0ABBB8C2" w14:textId="77777777" w:rsidTr="00C719BA">
        <w:trPr>
          <w:trHeight w:val="165"/>
        </w:trPr>
        <w:tc>
          <w:tcPr>
            <w:tcW w:w="7731" w:type="dxa"/>
            <w:gridSpan w:val="3"/>
          </w:tcPr>
          <w:p w14:paraId="211010C7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b/>
                <w:bCs/>
                <w:i/>
                <w:iCs/>
                <w:sz w:val="24"/>
                <w:szCs w:val="24"/>
              </w:rPr>
              <w:t>Hematology</w:t>
            </w:r>
          </w:p>
        </w:tc>
        <w:tc>
          <w:tcPr>
            <w:tcW w:w="1932" w:type="dxa"/>
          </w:tcPr>
          <w:p w14:paraId="00605579" w14:textId="77777777" w:rsidR="007173DF" w:rsidRPr="00D6401B" w:rsidRDefault="007173DF" w:rsidP="00C719BA">
            <w:pPr>
              <w:rPr>
                <w:rFonts w:ascii="Garamond" w:hAnsi="Garamond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7173DF" w:rsidRPr="00D6401B" w14:paraId="196C8CF0" w14:textId="77777777" w:rsidTr="00C719BA">
        <w:trPr>
          <w:trHeight w:val="165"/>
        </w:trPr>
        <w:tc>
          <w:tcPr>
            <w:tcW w:w="3544" w:type="dxa"/>
          </w:tcPr>
          <w:p w14:paraId="5EABADFD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Hemoglobin (g/dl)</w:t>
            </w:r>
          </w:p>
        </w:tc>
        <w:tc>
          <w:tcPr>
            <w:tcW w:w="2255" w:type="dxa"/>
          </w:tcPr>
          <w:p w14:paraId="7B3E9E03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12.5</w:t>
            </w:r>
          </w:p>
        </w:tc>
        <w:tc>
          <w:tcPr>
            <w:tcW w:w="1932" w:type="dxa"/>
          </w:tcPr>
          <w:p w14:paraId="2C40C537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11–15</w:t>
            </w:r>
          </w:p>
        </w:tc>
        <w:tc>
          <w:tcPr>
            <w:tcW w:w="1932" w:type="dxa"/>
          </w:tcPr>
          <w:p w14:paraId="4BDA86A7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10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20</w:t>
            </w:r>
          </w:p>
        </w:tc>
      </w:tr>
      <w:tr w:rsidR="007173DF" w:rsidRPr="00D6401B" w14:paraId="0D7BDE79" w14:textId="77777777" w:rsidTr="00C719BA">
        <w:trPr>
          <w:trHeight w:val="331"/>
        </w:trPr>
        <w:tc>
          <w:tcPr>
            <w:tcW w:w="3544" w:type="dxa"/>
          </w:tcPr>
          <w:p w14:paraId="7467859D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White blood cell count (x10³/L)</w:t>
            </w:r>
          </w:p>
        </w:tc>
        <w:tc>
          <w:tcPr>
            <w:tcW w:w="2255" w:type="dxa"/>
          </w:tcPr>
          <w:p w14:paraId="427DBB3E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6.4</w:t>
            </w:r>
          </w:p>
        </w:tc>
        <w:tc>
          <w:tcPr>
            <w:tcW w:w="1932" w:type="dxa"/>
          </w:tcPr>
          <w:p w14:paraId="6C84FFE1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1.5–9.1</w:t>
            </w:r>
          </w:p>
        </w:tc>
        <w:tc>
          <w:tcPr>
            <w:tcW w:w="1932" w:type="dxa"/>
          </w:tcPr>
          <w:p w14:paraId="45594A15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17</w:t>
            </w:r>
          </w:p>
        </w:tc>
      </w:tr>
      <w:tr w:rsidR="007173DF" w:rsidRPr="00D6401B" w14:paraId="3A355CD7" w14:textId="77777777" w:rsidTr="00C719BA">
        <w:trPr>
          <w:trHeight w:val="165"/>
        </w:trPr>
        <w:tc>
          <w:tcPr>
            <w:tcW w:w="3544" w:type="dxa"/>
          </w:tcPr>
          <w:p w14:paraId="64128F70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Monocyte count</w:t>
            </w:r>
          </w:p>
        </w:tc>
        <w:tc>
          <w:tcPr>
            <w:tcW w:w="2255" w:type="dxa"/>
          </w:tcPr>
          <w:p w14:paraId="3715A078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0.79</w:t>
            </w:r>
          </w:p>
        </w:tc>
        <w:tc>
          <w:tcPr>
            <w:tcW w:w="1932" w:type="dxa"/>
          </w:tcPr>
          <w:p w14:paraId="53B9DAD5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0.11–1.50</w:t>
            </w:r>
          </w:p>
        </w:tc>
        <w:tc>
          <w:tcPr>
            <w:tcW w:w="1932" w:type="dxa"/>
          </w:tcPr>
          <w:p w14:paraId="1C0D02E9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0.7</w:t>
            </w:r>
          </w:p>
        </w:tc>
      </w:tr>
      <w:tr w:rsidR="007173DF" w:rsidRPr="00D6401B" w14:paraId="02B1C4D0" w14:textId="77777777" w:rsidTr="00C719BA">
        <w:trPr>
          <w:trHeight w:val="165"/>
        </w:trPr>
        <w:tc>
          <w:tcPr>
            <w:tcW w:w="3544" w:type="dxa"/>
          </w:tcPr>
          <w:p w14:paraId="2C3786CA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Platelet count (x10³/L)</w:t>
            </w:r>
          </w:p>
        </w:tc>
        <w:tc>
          <w:tcPr>
            <w:tcW w:w="2255" w:type="dxa"/>
          </w:tcPr>
          <w:p w14:paraId="693AAF53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294</w:t>
            </w:r>
          </w:p>
        </w:tc>
        <w:tc>
          <w:tcPr>
            <w:tcW w:w="1932" w:type="dxa"/>
          </w:tcPr>
          <w:p w14:paraId="0B64E8FC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62–446</w:t>
            </w:r>
          </w:p>
        </w:tc>
        <w:tc>
          <w:tcPr>
            <w:tcW w:w="1932" w:type="dxa"/>
          </w:tcPr>
          <w:p w14:paraId="394AB941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130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635</w:t>
            </w:r>
          </w:p>
        </w:tc>
      </w:tr>
      <w:tr w:rsidR="007173DF" w:rsidRPr="00D6401B" w14:paraId="6E94FC2F" w14:textId="77777777" w:rsidTr="00C719BA">
        <w:trPr>
          <w:trHeight w:val="165"/>
        </w:trPr>
        <w:tc>
          <w:tcPr>
            <w:tcW w:w="7731" w:type="dxa"/>
            <w:gridSpan w:val="3"/>
          </w:tcPr>
          <w:p w14:paraId="78D81D00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b/>
                <w:bCs/>
                <w:i/>
                <w:iCs/>
                <w:sz w:val="24"/>
                <w:szCs w:val="24"/>
              </w:rPr>
              <w:t>Chemistry</w:t>
            </w:r>
          </w:p>
        </w:tc>
        <w:tc>
          <w:tcPr>
            <w:tcW w:w="1932" w:type="dxa"/>
          </w:tcPr>
          <w:p w14:paraId="15DD871C" w14:textId="77777777" w:rsidR="007173DF" w:rsidRPr="00D6401B" w:rsidRDefault="007173DF" w:rsidP="00C719BA">
            <w:pPr>
              <w:rPr>
                <w:rFonts w:ascii="Garamond" w:hAnsi="Garamond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7173DF" w:rsidRPr="00D6401B" w14:paraId="6250E659" w14:textId="77777777" w:rsidTr="00C719BA">
        <w:trPr>
          <w:trHeight w:val="165"/>
        </w:trPr>
        <w:tc>
          <w:tcPr>
            <w:tcW w:w="3544" w:type="dxa"/>
          </w:tcPr>
          <w:p w14:paraId="649B8E0F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Albumin (g/L)</w:t>
            </w:r>
          </w:p>
        </w:tc>
        <w:tc>
          <w:tcPr>
            <w:tcW w:w="2255" w:type="dxa"/>
          </w:tcPr>
          <w:p w14:paraId="3EA5C05F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3.3</w:t>
            </w:r>
          </w:p>
        </w:tc>
        <w:tc>
          <w:tcPr>
            <w:tcW w:w="1932" w:type="dxa"/>
          </w:tcPr>
          <w:p w14:paraId="77D1DE11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1.3–3.4</w:t>
            </w:r>
          </w:p>
        </w:tc>
        <w:tc>
          <w:tcPr>
            <w:tcW w:w="1932" w:type="dxa"/>
          </w:tcPr>
          <w:p w14:paraId="49411F0C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39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54</w:t>
            </w:r>
          </w:p>
        </w:tc>
      </w:tr>
      <w:tr w:rsidR="007173DF" w:rsidRPr="00D6401B" w14:paraId="02015EC7" w14:textId="77777777" w:rsidTr="00C719BA">
        <w:trPr>
          <w:trHeight w:val="331"/>
        </w:trPr>
        <w:tc>
          <w:tcPr>
            <w:tcW w:w="3544" w:type="dxa"/>
          </w:tcPr>
          <w:p w14:paraId="54A1E01D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Alanine aminotransferase (U/L)</w:t>
            </w:r>
          </w:p>
        </w:tc>
        <w:tc>
          <w:tcPr>
            <w:tcW w:w="2255" w:type="dxa"/>
          </w:tcPr>
          <w:p w14:paraId="611F9512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84</w:t>
            </w:r>
          </w:p>
        </w:tc>
        <w:tc>
          <w:tcPr>
            <w:tcW w:w="1932" w:type="dxa"/>
          </w:tcPr>
          <w:p w14:paraId="13A6B9E5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21–255</w:t>
            </w:r>
          </w:p>
        </w:tc>
        <w:tc>
          <w:tcPr>
            <w:tcW w:w="1932" w:type="dxa"/>
          </w:tcPr>
          <w:p w14:paraId="7E363E4F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7.2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43.3</w:t>
            </w:r>
          </w:p>
        </w:tc>
      </w:tr>
      <w:tr w:rsidR="007173DF" w:rsidRPr="00D6401B" w14:paraId="477F69BB" w14:textId="77777777" w:rsidTr="00C719BA">
        <w:trPr>
          <w:trHeight w:val="331"/>
        </w:trPr>
        <w:tc>
          <w:tcPr>
            <w:tcW w:w="3544" w:type="dxa"/>
          </w:tcPr>
          <w:p w14:paraId="099DB85C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Aspartate aminotransferase (U/L)</w:t>
            </w:r>
          </w:p>
        </w:tc>
        <w:tc>
          <w:tcPr>
            <w:tcW w:w="2255" w:type="dxa"/>
          </w:tcPr>
          <w:p w14:paraId="02B66085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92</w:t>
            </w:r>
          </w:p>
        </w:tc>
        <w:tc>
          <w:tcPr>
            <w:tcW w:w="1932" w:type="dxa"/>
          </w:tcPr>
          <w:p w14:paraId="29A1702D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37–616</w:t>
            </w:r>
          </w:p>
        </w:tc>
        <w:tc>
          <w:tcPr>
            <w:tcW w:w="1932" w:type="dxa"/>
          </w:tcPr>
          <w:p w14:paraId="31593CD4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13.2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35.9</w:t>
            </w:r>
          </w:p>
        </w:tc>
      </w:tr>
      <w:tr w:rsidR="007173DF" w:rsidRPr="00D6401B" w14:paraId="7B339E15" w14:textId="77777777" w:rsidTr="00C719BA">
        <w:trPr>
          <w:trHeight w:val="331"/>
        </w:trPr>
        <w:tc>
          <w:tcPr>
            <w:tcW w:w="3544" w:type="dxa"/>
          </w:tcPr>
          <w:p w14:paraId="7E08072B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Blood sugar, random (mmol/L)</w:t>
            </w:r>
          </w:p>
        </w:tc>
        <w:tc>
          <w:tcPr>
            <w:tcW w:w="2255" w:type="dxa"/>
          </w:tcPr>
          <w:p w14:paraId="1507ED77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4.0</w:t>
            </w:r>
          </w:p>
        </w:tc>
        <w:tc>
          <w:tcPr>
            <w:tcW w:w="1932" w:type="dxa"/>
          </w:tcPr>
          <w:p w14:paraId="6C2DB6FC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3.2–18.1</w:t>
            </w:r>
          </w:p>
        </w:tc>
        <w:tc>
          <w:tcPr>
            <w:tcW w:w="1932" w:type="dxa"/>
          </w:tcPr>
          <w:p w14:paraId="30D1C9B3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3.2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6.7</w:t>
            </w:r>
          </w:p>
        </w:tc>
      </w:tr>
      <w:tr w:rsidR="007173DF" w:rsidRPr="00D6401B" w14:paraId="02DE48A3" w14:textId="77777777" w:rsidTr="00C719BA">
        <w:trPr>
          <w:trHeight w:val="165"/>
        </w:trPr>
        <w:tc>
          <w:tcPr>
            <w:tcW w:w="3544" w:type="dxa"/>
          </w:tcPr>
          <w:p w14:paraId="06448577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C-reactive protein (U/L)</w:t>
            </w:r>
          </w:p>
        </w:tc>
        <w:tc>
          <w:tcPr>
            <w:tcW w:w="2255" w:type="dxa"/>
          </w:tcPr>
          <w:p w14:paraId="0DC0E732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7.9</w:t>
            </w:r>
          </w:p>
        </w:tc>
        <w:tc>
          <w:tcPr>
            <w:tcW w:w="1932" w:type="dxa"/>
          </w:tcPr>
          <w:p w14:paraId="3C722F26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2.0–44.9</w:t>
            </w:r>
          </w:p>
        </w:tc>
        <w:tc>
          <w:tcPr>
            <w:tcW w:w="1932" w:type="dxa"/>
          </w:tcPr>
          <w:p w14:paraId="0387914F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0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7.5</w:t>
            </w:r>
          </w:p>
        </w:tc>
      </w:tr>
      <w:tr w:rsidR="007173DF" w:rsidRPr="00D6401B" w14:paraId="46B3F74D" w14:textId="77777777" w:rsidTr="00C719BA">
        <w:trPr>
          <w:trHeight w:val="165"/>
        </w:trPr>
        <w:tc>
          <w:tcPr>
            <w:tcW w:w="3544" w:type="dxa"/>
          </w:tcPr>
          <w:p w14:paraId="24954CE3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Potassium (mmol/L)</w:t>
            </w:r>
          </w:p>
        </w:tc>
        <w:tc>
          <w:tcPr>
            <w:tcW w:w="2255" w:type="dxa"/>
          </w:tcPr>
          <w:p w14:paraId="0EB378BC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4.6</w:t>
            </w:r>
          </w:p>
        </w:tc>
        <w:tc>
          <w:tcPr>
            <w:tcW w:w="1932" w:type="dxa"/>
          </w:tcPr>
          <w:p w14:paraId="162B8DBB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3.2–6.3</w:t>
            </w:r>
          </w:p>
        </w:tc>
        <w:tc>
          <w:tcPr>
            <w:tcW w:w="1932" w:type="dxa"/>
          </w:tcPr>
          <w:p w14:paraId="1FE8F2B6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3.4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4.8</w:t>
            </w:r>
          </w:p>
        </w:tc>
      </w:tr>
      <w:tr w:rsidR="007173DF" w:rsidRPr="00D6401B" w14:paraId="191FD155" w14:textId="77777777" w:rsidTr="00C719BA">
        <w:trPr>
          <w:trHeight w:val="165"/>
        </w:trPr>
        <w:tc>
          <w:tcPr>
            <w:tcW w:w="3544" w:type="dxa"/>
          </w:tcPr>
          <w:p w14:paraId="01230DE2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Sodium (mmol/L)</w:t>
            </w:r>
          </w:p>
        </w:tc>
        <w:tc>
          <w:tcPr>
            <w:tcW w:w="2255" w:type="dxa"/>
          </w:tcPr>
          <w:p w14:paraId="38D84076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131</w:t>
            </w:r>
          </w:p>
        </w:tc>
        <w:tc>
          <w:tcPr>
            <w:tcW w:w="1932" w:type="dxa"/>
          </w:tcPr>
          <w:p w14:paraId="5B2DD2E5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125–134</w:t>
            </w:r>
          </w:p>
        </w:tc>
        <w:tc>
          <w:tcPr>
            <w:tcW w:w="1932" w:type="dxa"/>
          </w:tcPr>
          <w:p w14:paraId="0800934E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136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148</w:t>
            </w:r>
          </w:p>
        </w:tc>
      </w:tr>
      <w:tr w:rsidR="007173DF" w:rsidRPr="00D6401B" w14:paraId="3CDC346E" w14:textId="77777777" w:rsidTr="00C719BA">
        <w:trPr>
          <w:trHeight w:val="165"/>
        </w:trPr>
        <w:tc>
          <w:tcPr>
            <w:tcW w:w="3544" w:type="dxa"/>
          </w:tcPr>
          <w:p w14:paraId="74AE73FB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Urea (mg/dL)</w:t>
            </w:r>
          </w:p>
        </w:tc>
        <w:tc>
          <w:tcPr>
            <w:tcW w:w="2255" w:type="dxa"/>
          </w:tcPr>
          <w:p w14:paraId="63A456AC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10</w:t>
            </w:r>
          </w:p>
        </w:tc>
        <w:tc>
          <w:tcPr>
            <w:tcW w:w="1932" w:type="dxa"/>
          </w:tcPr>
          <w:p w14:paraId="329DF34E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6–118</w:t>
            </w:r>
          </w:p>
        </w:tc>
        <w:tc>
          <w:tcPr>
            <w:tcW w:w="1932" w:type="dxa"/>
          </w:tcPr>
          <w:p w14:paraId="708BC39C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4.7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15.8</w:t>
            </w:r>
          </w:p>
        </w:tc>
      </w:tr>
      <w:tr w:rsidR="007173DF" w:rsidRPr="00D6401B" w14:paraId="4CC7E0FF" w14:textId="77777777" w:rsidTr="00C719BA">
        <w:trPr>
          <w:trHeight w:val="165"/>
        </w:trPr>
        <w:tc>
          <w:tcPr>
            <w:tcW w:w="3544" w:type="dxa"/>
          </w:tcPr>
          <w:p w14:paraId="66D42412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Creatinine (</w:t>
            </w:r>
            <w:proofErr w:type="spellStart"/>
            <w:r w:rsidRPr="00D6401B">
              <w:rPr>
                <w:rFonts w:ascii="Garamond" w:hAnsi="Garamond"/>
                <w:sz w:val="24"/>
                <w:szCs w:val="24"/>
              </w:rPr>
              <w:t>μmol</w:t>
            </w:r>
            <w:proofErr w:type="spellEnd"/>
            <w:r w:rsidRPr="00D6401B">
              <w:rPr>
                <w:rFonts w:ascii="Garamond" w:hAnsi="Garamond"/>
                <w:sz w:val="24"/>
                <w:szCs w:val="24"/>
              </w:rPr>
              <w:t>/L)</w:t>
            </w:r>
          </w:p>
        </w:tc>
        <w:tc>
          <w:tcPr>
            <w:tcW w:w="2255" w:type="dxa"/>
          </w:tcPr>
          <w:p w14:paraId="7378A4A5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76</w:t>
            </w:r>
          </w:p>
        </w:tc>
        <w:tc>
          <w:tcPr>
            <w:tcW w:w="1932" w:type="dxa"/>
          </w:tcPr>
          <w:p w14:paraId="76515389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6–158</w:t>
            </w:r>
          </w:p>
        </w:tc>
        <w:tc>
          <w:tcPr>
            <w:tcW w:w="1932" w:type="dxa"/>
          </w:tcPr>
          <w:p w14:paraId="28FEA9E1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53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106</w:t>
            </w:r>
          </w:p>
        </w:tc>
      </w:tr>
      <w:tr w:rsidR="007173DF" w:rsidRPr="00D6401B" w14:paraId="051CA6F8" w14:textId="77777777" w:rsidTr="00C719BA">
        <w:trPr>
          <w:trHeight w:val="165"/>
        </w:trPr>
        <w:tc>
          <w:tcPr>
            <w:tcW w:w="3544" w:type="dxa"/>
          </w:tcPr>
          <w:p w14:paraId="2B0F82AF" w14:textId="77777777" w:rsidR="007173DF" w:rsidRPr="00D6401B" w:rsidRDefault="007173DF" w:rsidP="00C719BA">
            <w:pPr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Creatinine Kinase (U/L)</w:t>
            </w:r>
          </w:p>
        </w:tc>
        <w:tc>
          <w:tcPr>
            <w:tcW w:w="2255" w:type="dxa"/>
          </w:tcPr>
          <w:p w14:paraId="0D154A92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200</w:t>
            </w:r>
          </w:p>
        </w:tc>
        <w:tc>
          <w:tcPr>
            <w:tcW w:w="1932" w:type="dxa"/>
          </w:tcPr>
          <w:p w14:paraId="04DA7219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D6401B">
              <w:rPr>
                <w:rFonts w:ascii="Garamond" w:hAnsi="Garamond"/>
                <w:sz w:val="24"/>
                <w:szCs w:val="24"/>
              </w:rPr>
              <w:t>86–786</w:t>
            </w:r>
          </w:p>
        </w:tc>
        <w:tc>
          <w:tcPr>
            <w:tcW w:w="1932" w:type="dxa"/>
          </w:tcPr>
          <w:p w14:paraId="4B57DF41" w14:textId="77777777" w:rsidR="007173DF" w:rsidRPr="00D6401B" w:rsidRDefault="007173DF" w:rsidP="00C719BA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>
              <w:rPr>
                <w:rFonts w:ascii="Garamond" w:hAnsi="Garamond"/>
                <w:sz w:val="24"/>
                <w:szCs w:val="24"/>
              </w:rPr>
              <w:t>39</w:t>
            </w:r>
            <w:r w:rsidRPr="00D6401B">
              <w:rPr>
                <w:rFonts w:ascii="Garamond" w:hAnsi="Garamond"/>
                <w:sz w:val="24"/>
                <w:szCs w:val="24"/>
              </w:rPr>
              <w:t>–</w:t>
            </w:r>
            <w:r>
              <w:rPr>
                <w:rFonts w:ascii="Garamond" w:hAnsi="Garamond"/>
                <w:sz w:val="24"/>
                <w:szCs w:val="24"/>
              </w:rPr>
              <w:t>309</w:t>
            </w:r>
          </w:p>
        </w:tc>
      </w:tr>
    </w:tbl>
    <w:p w14:paraId="373E3037" w14:textId="77777777" w:rsidR="007173DF" w:rsidRPr="00D6401B" w:rsidRDefault="007173DF" w:rsidP="007173DF">
      <w:pPr>
        <w:spacing w:after="40"/>
        <w:rPr>
          <w:rFonts w:ascii="Garamond" w:hAnsi="Garamond"/>
          <w:i/>
          <w:iCs/>
          <w:sz w:val="21"/>
          <w:szCs w:val="21"/>
        </w:rPr>
      </w:pPr>
      <w:r w:rsidRPr="00662EF2">
        <w:rPr>
          <w:rFonts w:ascii="Garamond" w:hAnsi="Garamond"/>
          <w:i/>
          <w:iCs/>
          <w:sz w:val="24"/>
          <w:szCs w:val="24"/>
        </w:rPr>
        <w:t>CERSL = Central Emergency Response and Surveillance Laboratory</w:t>
      </w:r>
      <w:r>
        <w:rPr>
          <w:rFonts w:ascii="Garamond" w:hAnsi="Garamond"/>
          <w:i/>
          <w:iCs/>
          <w:sz w:val="24"/>
          <w:szCs w:val="24"/>
        </w:rPr>
        <w:t>, Uganda</w:t>
      </w:r>
    </w:p>
    <w:p w14:paraId="67CC89B1" w14:textId="77777777" w:rsidR="007173DF" w:rsidRDefault="007173DF" w:rsidP="007173DF">
      <w:pPr>
        <w:spacing w:after="40"/>
      </w:pPr>
    </w:p>
    <w:p w14:paraId="3C892E60" w14:textId="77777777" w:rsidR="00B2506A" w:rsidRPr="00DE4CB6" w:rsidRDefault="00B2506A">
      <w:pPr>
        <w:rPr>
          <w:rFonts w:ascii="Calibri" w:hAnsi="Calibri" w:cs="Calibri"/>
          <w:sz w:val="20"/>
          <w:szCs w:val="20"/>
        </w:rPr>
      </w:pPr>
    </w:p>
    <w:sectPr w:rsidR="00B2506A" w:rsidRPr="00DE4C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506A"/>
    <w:rsid w:val="000A2167"/>
    <w:rsid w:val="001A2ECD"/>
    <w:rsid w:val="004E7B9E"/>
    <w:rsid w:val="005C102A"/>
    <w:rsid w:val="007173DF"/>
    <w:rsid w:val="007F3ACA"/>
    <w:rsid w:val="00AD55E5"/>
    <w:rsid w:val="00B2506A"/>
    <w:rsid w:val="00C537D2"/>
    <w:rsid w:val="00D17656"/>
    <w:rsid w:val="00D76A89"/>
    <w:rsid w:val="00DE4CB6"/>
    <w:rsid w:val="00F10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3978E"/>
  <w15:chartTrackingRefBased/>
  <w15:docId w15:val="{D8C825D8-53B7-4E6C-96CD-1E2E726095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506A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50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0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06A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06A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06A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06A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06A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06A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06A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0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0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0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0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0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0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0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0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0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25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06A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25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506A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250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06A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250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0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0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06A"/>
    <w:rPr>
      <w:b/>
      <w:bCs/>
      <w:smallCaps/>
      <w:color w:val="0F4761" w:themeColor="accent1" w:themeShade="BF"/>
      <w:spacing w:val="5"/>
    </w:rPr>
  </w:style>
  <w:style w:type="table" w:customStyle="1" w:styleId="Style1">
    <w:name w:val="Style1"/>
    <w:basedOn w:val="TableNormal"/>
    <w:uiPriority w:val="99"/>
    <w:rsid w:val="00B2506A"/>
    <w:pPr>
      <w:spacing w:after="0" w:line="240" w:lineRule="auto"/>
    </w:pPr>
    <w:rPr>
      <w:rFonts w:ascii="Arial" w:hAnsi="Arial" w:cs="Arial"/>
      <w:kern w:val="0"/>
      <w:sz w:val="22"/>
      <w:szCs w:val="22"/>
      <w14:ligatures w14:val="none"/>
    </w:rPr>
    <w:tblPr/>
  </w:style>
  <w:style w:type="character" w:styleId="CommentReference">
    <w:name w:val="annotation reference"/>
    <w:basedOn w:val="DefaultParagraphFont"/>
    <w:uiPriority w:val="99"/>
    <w:semiHidden/>
    <w:unhideWhenUsed/>
    <w:rsid w:val="00DE4C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CB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CB6"/>
    <w:rPr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C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CB6"/>
    <w:rPr>
      <w:b/>
      <w:bCs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7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3DF"/>
    <w:rPr>
      <w:rFonts w:ascii="Segoe UI" w:hAnsi="Segoe UI" w:cs="Segoe UI"/>
      <w:kern w:val="0"/>
      <w:sz w:val="18"/>
      <w:szCs w:val="18"/>
      <w14:ligatures w14:val="none"/>
    </w:rPr>
  </w:style>
  <w:style w:type="table" w:styleId="TableGrid">
    <w:name w:val="Table Grid"/>
    <w:basedOn w:val="TableNormal"/>
    <w:uiPriority w:val="39"/>
    <w:rsid w:val="007173DF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C537D2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823</Characters>
  <Application>Microsoft Office Word</Application>
  <DocSecurity>0</DocSecurity>
  <Lines>75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Julie (CDC/GHC/DGHP)</dc:creator>
  <cp:keywords/>
  <dc:description/>
  <cp:lastModifiedBy>Harris, Julie (CDC/GHC/DGHP)</cp:lastModifiedBy>
  <cp:revision>2</cp:revision>
  <dcterms:created xsi:type="dcterms:W3CDTF">2026-08-24T17:07:00Z</dcterms:created>
  <dcterms:modified xsi:type="dcterms:W3CDTF">2026-08-24T17:07:00Z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b94a7b8-f06c-4dfe-bdcc-9b548fd58c31_Enabled">
    <vt:lpwstr>true</vt:lpwstr>
  </property>
  <property fmtid="{D5CDD505-2E9C-101B-9397-08002B2CF9AE}" pid="3" name="MSIP_Label_7b94a7b8-f06c-4dfe-bdcc-9b548fd58c31_SetDate">
    <vt:lpwstr>2026-07-27T05:58:13Z</vt:lpwstr>
  </property>
  <property fmtid="{D5CDD505-2E9C-101B-9397-08002B2CF9AE}" pid="4" name="MSIP_Label_7b94a7b8-f06c-4dfe-bdcc-9b548fd58c31_Method">
    <vt:lpwstr>Privileged</vt:lpwstr>
  </property>
  <property fmtid="{D5CDD505-2E9C-101B-9397-08002B2CF9AE}" pid="5" name="MSIP_Label_7b94a7b8-f06c-4dfe-bdcc-9b548fd58c31_Name">
    <vt:lpwstr>7b94a7b8-f06c-4dfe-bdcc-9b548fd58c31</vt:lpwstr>
  </property>
  <property fmtid="{D5CDD505-2E9C-101B-9397-08002B2CF9AE}" pid="6" name="MSIP_Label_7b94a7b8-f06c-4dfe-bdcc-9b548fd58c31_SiteId">
    <vt:lpwstr>9ce70869-60db-44fd-abe8-d2767077fc8f</vt:lpwstr>
  </property>
  <property fmtid="{D5CDD505-2E9C-101B-9397-08002B2CF9AE}" pid="7" name="MSIP_Label_7b94a7b8-f06c-4dfe-bdcc-9b548fd58c31_ActionId">
    <vt:lpwstr>0dc0db59-29d3-4bc1-bf07-0a759e7b9a89</vt:lpwstr>
  </property>
  <property fmtid="{D5CDD505-2E9C-101B-9397-08002B2CF9AE}" pid="8" name="MSIP_Label_7b94a7b8-f06c-4dfe-bdcc-9b548fd58c31_ContentBits">
    <vt:lpwstr>0</vt:lpwstr>
  </property>
  <property fmtid="{D5CDD505-2E9C-101B-9397-08002B2CF9AE}" pid="9" name="MSIP_Label_7b94a7b8-f06c-4dfe-bdcc-9b548fd58c31_Tag">
    <vt:lpwstr>10, 0, 1, 1</vt:lpwstr>
  </property>
</Properties>
</file>