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24" w:type="dxa"/>
        <w:tblInd w:w="93" w:type="dxa"/>
        <w:tblLook w:val="04A0" w:firstRow="1" w:lastRow="0" w:firstColumn="1" w:lastColumn="0" w:noHBand="0" w:noVBand="1"/>
      </w:tblPr>
      <w:tblGrid>
        <w:gridCol w:w="740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C71826" w:rsidRPr="00D27D76" w:rsidTr="00000A8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rPr>
                <w:rFonts w:ascii="Courier" w:eastAsia="Times New Roman" w:hAnsi="Courier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rPr>
                <w:rFonts w:ascii="Courier" w:eastAsia="Times New Roman" w:hAnsi="Courier" w:cs="Arial"/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26" w:rsidRDefault="00C71826" w:rsidP="00000A82">
            <w:pPr>
              <w:spacing w:after="0" w:line="240" w:lineRule="auto"/>
              <w:rPr>
                <w:rFonts w:ascii="Courier" w:eastAsia="Times New Roman" w:hAnsi="Courier" w:cs="Arial"/>
                <w:sz w:val="24"/>
                <w:szCs w:val="24"/>
              </w:rPr>
            </w:pPr>
            <w:r w:rsidRPr="00D27D76">
              <w:rPr>
                <w:rFonts w:ascii="Courier" w:eastAsia="Times New Roman" w:hAnsi="Courier" w:cs="Arial"/>
                <w:sz w:val="24"/>
                <w:szCs w:val="24"/>
              </w:rPr>
              <w:t>Internal Standard Counts</w:t>
            </w:r>
            <w:r>
              <w:rPr>
                <w:rFonts w:ascii="Courier" w:eastAsia="Times New Roman" w:hAnsi="Courier" w:cs="Arial"/>
                <w:sz w:val="24"/>
                <w:szCs w:val="24"/>
              </w:rPr>
              <w:t>(Base,1 mL)</w:t>
            </w:r>
          </w:p>
          <w:p w:rsidR="00C71826" w:rsidRPr="00D22C79" w:rsidRDefault="00C71826" w:rsidP="00000A82">
            <w:pPr>
              <w:spacing w:after="0" w:line="240" w:lineRule="auto"/>
              <w:rPr>
                <w:rFonts w:ascii="Courier" w:eastAsia="Times New Roman" w:hAnsi="Courier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rPr>
                <w:rFonts w:ascii="Courier" w:eastAsia="Times New Roman" w:hAnsi="Courier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rPr>
                <w:rFonts w:ascii="Courier" w:eastAsia="Times New Roman" w:hAnsi="Courier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rPr>
                <w:rFonts w:ascii="Courier" w:eastAsia="Times New Roman" w:hAnsi="Courier" w:cs="Arial"/>
                <w:sz w:val="24"/>
                <w:szCs w:val="24"/>
              </w:rPr>
            </w:pPr>
          </w:p>
        </w:tc>
      </w:tr>
      <w:tr w:rsidR="00C71826" w:rsidRPr="00D27D76" w:rsidTr="00000A8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rPr>
                <w:rFonts w:ascii="Courier" w:eastAsia="Times New Roman" w:hAnsi="Courier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rPr>
                <w:rFonts w:ascii="Courier" w:eastAsia="Times New Roman" w:hAnsi="Courier" w:cs="Arial"/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rPr>
                <w:rFonts w:ascii="Courier" w:eastAsia="Times New Roman" w:hAnsi="Courier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rPr>
                <w:rFonts w:ascii="Courier" w:eastAsia="Times New Roman" w:hAnsi="Courier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rPr>
                <w:rFonts w:ascii="Courier" w:eastAsia="Times New Roman" w:hAnsi="Courier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rPr>
                <w:rFonts w:ascii="Courier" w:eastAsia="Times New Roman" w:hAnsi="Courier" w:cs="Arial"/>
                <w:sz w:val="24"/>
                <w:szCs w:val="24"/>
              </w:rPr>
            </w:pPr>
          </w:p>
        </w:tc>
      </w:tr>
      <w:tr w:rsidR="00C71826" w:rsidRPr="00D27D76" w:rsidTr="00000A82">
        <w:trPr>
          <w:trHeight w:val="16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C71826" w:rsidRPr="00D27D76" w:rsidRDefault="00C71826" w:rsidP="00000A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7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Actone</w:t>
            </w:r>
            <w:proofErr w:type="spellEnd"/>
            <w:r w:rsidRPr="00D27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Added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C71826" w:rsidRPr="00D27D76" w:rsidRDefault="00C71826" w:rsidP="00000A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Cotinine oxide: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C71826" w:rsidRPr="00D27D76" w:rsidRDefault="00C71826" w:rsidP="00000A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Cotinine: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C71826" w:rsidRPr="00D27D76" w:rsidRDefault="00C71826" w:rsidP="00000A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Nicotine Oxide: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C71826" w:rsidRPr="00D27D76" w:rsidRDefault="00C71826" w:rsidP="00000A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Nicotine: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C71826" w:rsidRPr="00D27D76" w:rsidRDefault="00C71826" w:rsidP="00000A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Norcotinine</w:t>
            </w:r>
            <w:proofErr w:type="spellEnd"/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C71826" w:rsidRPr="00D27D76" w:rsidRDefault="00C71826" w:rsidP="00000A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Nornicotine</w:t>
            </w:r>
            <w:proofErr w:type="spellEnd"/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C71826" w:rsidRPr="00D27D76" w:rsidRDefault="00C71826" w:rsidP="00000A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Hydroxycotine</w:t>
            </w:r>
            <w:proofErr w:type="spellEnd"/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C71826" w:rsidRPr="00D27D76" w:rsidRDefault="00C71826" w:rsidP="00000A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Anabasine</w:t>
            </w:r>
            <w:proofErr w:type="spellEnd"/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C71826" w:rsidRPr="00D27D76" w:rsidRDefault="00C71826" w:rsidP="00000A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Anatabine</w:t>
            </w:r>
            <w:proofErr w:type="spellEnd"/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71826" w:rsidRPr="00D27D76" w:rsidTr="00000A8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826" w:rsidRPr="00D27D76" w:rsidTr="00000A8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 ml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71826" w:rsidRPr="00D27D76" w:rsidTr="00000A8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 ml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67%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98%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122%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108%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101%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104%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102%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109%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106%</w:t>
            </w:r>
          </w:p>
        </w:tc>
      </w:tr>
      <w:tr w:rsidR="00C71826" w:rsidRPr="00D27D76" w:rsidTr="00000A8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3 ml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108%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139%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120%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115%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115%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108%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116%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113%</w:t>
            </w:r>
          </w:p>
        </w:tc>
      </w:tr>
      <w:tr w:rsidR="00C71826" w:rsidRPr="00D27D76" w:rsidTr="00000A8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4 ml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109%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144%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124%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110%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116%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112%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115%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117%</w:t>
            </w:r>
          </w:p>
        </w:tc>
      </w:tr>
      <w:tr w:rsidR="00C71826" w:rsidRPr="00D27D76" w:rsidTr="00000A8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5 ml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114%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142%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130%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113%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113%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105%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123%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26" w:rsidRPr="00D27D76" w:rsidRDefault="00C71826" w:rsidP="0000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76">
              <w:rPr>
                <w:rFonts w:ascii="Times New Roman" w:eastAsia="Times New Roman" w:hAnsi="Times New Roman" w:cs="Times New Roman"/>
                <w:sz w:val="24"/>
                <w:szCs w:val="24"/>
              </w:rPr>
              <w:t>121%</w:t>
            </w:r>
          </w:p>
        </w:tc>
      </w:tr>
    </w:tbl>
    <w:p w:rsidR="00C71826" w:rsidRPr="00735F74" w:rsidRDefault="00C71826" w:rsidP="00C71826">
      <w:pPr>
        <w:pStyle w:val="List2"/>
        <w:tabs>
          <w:tab w:val="left" w:pos="-108"/>
        </w:tabs>
        <w:ind w:left="0" w:firstLine="0"/>
        <w:rPr>
          <w:sz w:val="20"/>
          <w:szCs w:val="20"/>
        </w:rPr>
      </w:pPr>
    </w:p>
    <w:p w:rsidR="00C71826" w:rsidRDefault="00C71826" w:rsidP="00C71826">
      <w:pPr>
        <w:pStyle w:val="List2"/>
        <w:tabs>
          <w:tab w:val="left" w:pos="-108"/>
        </w:tabs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 mL of acetone is used for precipitation in this method.</w:t>
      </w:r>
    </w:p>
    <w:p w:rsidR="00C71826" w:rsidRDefault="00C71826" w:rsidP="00C71826">
      <w:pPr>
        <w:pStyle w:val="List2"/>
        <w:tabs>
          <w:tab w:val="left" w:pos="-108"/>
        </w:tabs>
        <w:ind w:left="0" w:firstLine="0"/>
        <w:rPr>
          <w:b/>
          <w:sz w:val="20"/>
          <w:szCs w:val="20"/>
        </w:rPr>
      </w:pPr>
    </w:p>
    <w:p w:rsidR="00C71826" w:rsidRDefault="00C71826" w:rsidP="00C71826">
      <w:pPr>
        <w:pStyle w:val="List2"/>
        <w:tabs>
          <w:tab w:val="left" w:pos="-108"/>
        </w:tabs>
        <w:ind w:left="0" w:firstLine="0"/>
        <w:rPr>
          <w:b/>
          <w:sz w:val="20"/>
          <w:szCs w:val="20"/>
        </w:rPr>
      </w:pPr>
    </w:p>
    <w:p w:rsidR="00C71826" w:rsidRDefault="00C71826" w:rsidP="00C71826">
      <w:pPr>
        <w:pStyle w:val="List2"/>
        <w:tabs>
          <w:tab w:val="left" w:pos="-108"/>
        </w:tabs>
        <w:ind w:left="0" w:firstLine="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10AA3">
        <w:rPr>
          <w:sz w:val="20"/>
          <w:szCs w:val="20"/>
        </w:rPr>
        <w:t xml:space="preserve">As the volume of acetone </w:t>
      </w:r>
      <w:r>
        <w:rPr>
          <w:sz w:val="20"/>
          <w:szCs w:val="20"/>
        </w:rPr>
        <w:t xml:space="preserve">used for precipitation </w:t>
      </w:r>
      <w:r w:rsidRPr="00D10AA3">
        <w:rPr>
          <w:sz w:val="20"/>
          <w:szCs w:val="20"/>
        </w:rPr>
        <w:t xml:space="preserve">increases, the volume of urine removed by sampling 380 </w:t>
      </w:r>
      <w:proofErr w:type="spellStart"/>
      <w:r w:rsidRPr="00D10AA3">
        <w:rPr>
          <w:sz w:val="20"/>
          <w:szCs w:val="20"/>
        </w:rPr>
        <w:t>uL</w:t>
      </w:r>
      <w:proofErr w:type="spellEnd"/>
      <w:r w:rsidRPr="00D10AA3">
        <w:rPr>
          <w:sz w:val="20"/>
          <w:szCs w:val="20"/>
        </w:rPr>
        <w:t xml:space="preserve"> of the urine/acetone mixture is diminished. Thus</w:t>
      </w:r>
      <w:r>
        <w:rPr>
          <w:sz w:val="20"/>
          <w:szCs w:val="20"/>
        </w:rPr>
        <w:t xml:space="preserve"> </w:t>
      </w:r>
      <w:r w:rsidRPr="00D10AA3">
        <w:rPr>
          <w:sz w:val="20"/>
          <w:szCs w:val="20"/>
        </w:rPr>
        <w:t xml:space="preserve">before dry down, when 20 </w:t>
      </w:r>
      <w:proofErr w:type="spellStart"/>
      <w:r w:rsidRPr="00D10AA3">
        <w:rPr>
          <w:sz w:val="20"/>
          <w:szCs w:val="20"/>
        </w:rPr>
        <w:t>uL</w:t>
      </w:r>
      <w:proofErr w:type="spellEnd"/>
      <w:r w:rsidRPr="00D10AA3">
        <w:rPr>
          <w:sz w:val="20"/>
          <w:szCs w:val="20"/>
        </w:rPr>
        <w:t xml:space="preserve"> of </w:t>
      </w:r>
      <w:proofErr w:type="spellStart"/>
      <w:r w:rsidRPr="00D10AA3">
        <w:rPr>
          <w:sz w:val="20"/>
          <w:szCs w:val="20"/>
        </w:rPr>
        <w:t>methanolic</w:t>
      </w:r>
      <w:proofErr w:type="spellEnd"/>
      <w:r w:rsidRPr="00D10AA3">
        <w:rPr>
          <w:sz w:val="20"/>
          <w:szCs w:val="20"/>
        </w:rPr>
        <w:t xml:space="preserve"> HCL is added to the injector vial </w:t>
      </w:r>
      <w:r>
        <w:rPr>
          <w:sz w:val="20"/>
          <w:szCs w:val="20"/>
        </w:rPr>
        <w:t>containing 380uL of urine/acetone mixture</w:t>
      </w:r>
      <w:r w:rsidRPr="00D10AA3">
        <w:rPr>
          <w:sz w:val="20"/>
          <w:szCs w:val="20"/>
        </w:rPr>
        <w:t xml:space="preserve">, a progressively greater dilution results between the urine and the </w:t>
      </w:r>
      <w:proofErr w:type="spellStart"/>
      <w:r w:rsidRPr="00D10AA3">
        <w:rPr>
          <w:sz w:val="20"/>
          <w:szCs w:val="20"/>
        </w:rPr>
        <w:t>methanolic</w:t>
      </w:r>
      <w:proofErr w:type="spellEnd"/>
      <w:r w:rsidRPr="00D10AA3">
        <w:rPr>
          <w:sz w:val="20"/>
          <w:szCs w:val="20"/>
        </w:rPr>
        <w:t xml:space="preserve"> HCL. This dilution is partially the cause of the increase in recovery demonstrated by increasing the acetone </w:t>
      </w:r>
      <w:r>
        <w:rPr>
          <w:sz w:val="20"/>
          <w:szCs w:val="20"/>
        </w:rPr>
        <w:t xml:space="preserve">volume used </w:t>
      </w:r>
      <w:r w:rsidRPr="00D10AA3">
        <w:rPr>
          <w:sz w:val="20"/>
          <w:szCs w:val="20"/>
        </w:rPr>
        <w:t xml:space="preserve">for precipitation. </w:t>
      </w:r>
      <w:r>
        <w:rPr>
          <w:sz w:val="20"/>
          <w:szCs w:val="20"/>
        </w:rPr>
        <w:t xml:space="preserve">The acetone dry-down has some concentrating effect; thus, there is a general increase in relative recovery with increasing acetone. </w:t>
      </w:r>
      <w:r w:rsidRPr="00D10AA3">
        <w:rPr>
          <w:sz w:val="20"/>
          <w:szCs w:val="20"/>
        </w:rPr>
        <w:t xml:space="preserve">Increasing the dilution of the sample </w:t>
      </w:r>
      <w:r>
        <w:rPr>
          <w:sz w:val="20"/>
          <w:szCs w:val="20"/>
        </w:rPr>
        <w:t>may</w:t>
      </w:r>
      <w:r w:rsidRPr="00D10AA3">
        <w:rPr>
          <w:sz w:val="20"/>
          <w:szCs w:val="20"/>
        </w:rPr>
        <w:t xml:space="preserve"> increase recovery of the spiking internal standard when an ion suppressive component is present. But, increasing the acetone may concentrate the suppressive components-causing increased ion suppression. </w:t>
      </w:r>
      <w:r>
        <w:rPr>
          <w:sz w:val="20"/>
          <w:szCs w:val="20"/>
        </w:rPr>
        <w:t>E</w:t>
      </w:r>
      <w:r w:rsidRPr="00D10AA3">
        <w:rPr>
          <w:sz w:val="20"/>
          <w:szCs w:val="20"/>
        </w:rPr>
        <w:t>n</w:t>
      </w:r>
      <w:r>
        <w:rPr>
          <w:sz w:val="20"/>
          <w:szCs w:val="20"/>
        </w:rPr>
        <w:t xml:space="preserve">hanced </w:t>
      </w:r>
      <w:r w:rsidRPr="00D10AA3">
        <w:rPr>
          <w:sz w:val="20"/>
          <w:szCs w:val="20"/>
        </w:rPr>
        <w:t xml:space="preserve">ion suppression </w:t>
      </w:r>
      <w:r>
        <w:rPr>
          <w:sz w:val="20"/>
          <w:szCs w:val="20"/>
        </w:rPr>
        <w:t xml:space="preserve">by increasing the volume of acetone used for precipitation </w:t>
      </w:r>
      <w:r w:rsidRPr="00D10AA3">
        <w:rPr>
          <w:sz w:val="20"/>
          <w:szCs w:val="20"/>
        </w:rPr>
        <w:t xml:space="preserve">is demonstrated by cotinine oxide. </w:t>
      </w:r>
      <w:r>
        <w:rPr>
          <w:sz w:val="20"/>
          <w:szCs w:val="20"/>
        </w:rPr>
        <w:t xml:space="preserve">Acetone appears to concentrate the ion suppressing interferences for cotinine oxide. Ion suppression is more frequently observed in the early part of a chromatograph. Cotinine oxide, being the first eluting </w:t>
      </w:r>
      <w:proofErr w:type="spellStart"/>
      <w:r>
        <w:rPr>
          <w:sz w:val="20"/>
          <w:szCs w:val="20"/>
        </w:rPr>
        <w:t>analyte</w:t>
      </w:r>
      <w:proofErr w:type="spellEnd"/>
      <w:r>
        <w:rPr>
          <w:sz w:val="20"/>
          <w:szCs w:val="20"/>
        </w:rPr>
        <w:t xml:space="preserve">, demonstrates the adverse effects ion suppression may have on recovery. </w:t>
      </w:r>
    </w:p>
    <w:p w:rsidR="00C71826" w:rsidRDefault="00C71826" w:rsidP="00C71826">
      <w:pPr>
        <w:pStyle w:val="List2"/>
        <w:tabs>
          <w:tab w:val="left" w:pos="-108"/>
        </w:tabs>
        <w:ind w:left="0" w:firstLine="0"/>
        <w:rPr>
          <w:b/>
          <w:sz w:val="20"/>
          <w:szCs w:val="20"/>
        </w:rPr>
      </w:pPr>
    </w:p>
    <w:p w:rsidR="00A01EE2" w:rsidRDefault="00A01EE2">
      <w:bookmarkStart w:id="0" w:name="_GoBack"/>
      <w:bookmarkEnd w:id="0"/>
    </w:p>
    <w:sectPr w:rsidR="00A0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26"/>
    <w:rsid w:val="00A01EE2"/>
    <w:rsid w:val="00C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C71826"/>
    <w:pPr>
      <w:suppressAutoHyphens/>
      <w:autoSpaceDN w:val="0"/>
      <w:spacing w:after="0" w:line="240" w:lineRule="auto"/>
      <w:ind w:left="720" w:hanging="360"/>
      <w:textAlignment w:val="baseline"/>
    </w:pPr>
    <w:rPr>
      <w:rFonts w:ascii="Arial" w:eastAsia="Times New Roman" w:hAnsi="Arial" w:cs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C71826"/>
    <w:pPr>
      <w:suppressAutoHyphens/>
      <w:autoSpaceDN w:val="0"/>
      <w:spacing w:after="0" w:line="240" w:lineRule="auto"/>
      <w:ind w:left="720" w:hanging="360"/>
      <w:textAlignment w:val="baseline"/>
    </w:pPr>
    <w:rPr>
      <w:rFonts w:ascii="Arial" w:eastAsia="Times New Roman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2014-03-27T20:00:00Z</dcterms:created>
  <dcterms:modified xsi:type="dcterms:W3CDTF">2014-03-27T20:00:00Z</dcterms:modified>
</cp:coreProperties>
</file>