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DFFB" w14:textId="7094C7CF" w:rsidR="003D1280" w:rsidRDefault="003D1280" w:rsidP="00054F2F">
      <w:pPr>
        <w:rPr>
          <w:b/>
          <w:bCs/>
        </w:rPr>
      </w:pPr>
      <w:r>
        <w:rPr>
          <w:b/>
          <w:bCs/>
        </w:rPr>
        <w:t>Supplementary Material: Recommendations</w:t>
      </w:r>
      <w:r w:rsidR="00C50B1D">
        <w:rPr>
          <w:b/>
          <w:bCs/>
        </w:rPr>
        <w:t>, Implementation Considerations,</w:t>
      </w:r>
      <w:r>
        <w:rPr>
          <w:b/>
          <w:bCs/>
        </w:rPr>
        <w:t xml:space="preserve"> and GRADE Summary of Findings</w:t>
      </w:r>
    </w:p>
    <w:p w14:paraId="478B291A" w14:textId="5A001FB2" w:rsidR="00054F2F" w:rsidRPr="0010329D" w:rsidRDefault="00054F2F" w:rsidP="00054F2F">
      <w:pPr>
        <w:rPr>
          <w:b/>
          <w:bCs/>
        </w:rPr>
      </w:pPr>
      <w:r w:rsidRPr="0010329D">
        <w:rPr>
          <w:b/>
          <w:bCs/>
        </w:rPr>
        <w:t>Recommendation 1:</w:t>
      </w:r>
    </w:p>
    <w:p w14:paraId="18BC735E" w14:textId="23A34C83" w:rsidR="00054F2F" w:rsidRDefault="00293E36" w:rsidP="005348E8">
      <w:r>
        <w:t xml:space="preserve">In </w:t>
      </w:r>
      <w:r w:rsidR="00B2287B">
        <w:t>people diagnosed with tularemia, CDC recommends first</w:t>
      </w:r>
      <w:r w:rsidR="00B321A3">
        <w:t>-</w:t>
      </w:r>
      <w:r w:rsidR="00B2287B">
        <w:t xml:space="preserve">line antimicrobial </w:t>
      </w:r>
      <w:r w:rsidR="00B321A3">
        <w:t xml:space="preserve">therapy </w:t>
      </w:r>
      <w:r w:rsidR="00B2287B">
        <w:t>with</w:t>
      </w:r>
      <w:r w:rsidR="00B2287B" w:rsidRPr="00B2287B">
        <w:t xml:space="preserve"> </w:t>
      </w:r>
      <w:r w:rsidR="00B2287B">
        <w:t xml:space="preserve">ciprofloxacin, </w:t>
      </w:r>
      <w:r w:rsidR="00DA0E60">
        <w:t xml:space="preserve">levofloxacin, </w:t>
      </w:r>
      <w:r w:rsidR="00B2287B">
        <w:t>doxycycline</w:t>
      </w:r>
      <w:r w:rsidR="00B321A3">
        <w:t>,</w:t>
      </w:r>
      <w:r w:rsidR="00B2287B">
        <w:t xml:space="preserve"> </w:t>
      </w:r>
      <w:r w:rsidR="00DA0E60">
        <w:t xml:space="preserve">or </w:t>
      </w:r>
      <w:r w:rsidR="00B2287B">
        <w:t xml:space="preserve">gentamicin for </w:t>
      </w:r>
      <w:r>
        <w:t xml:space="preserve">adults and </w:t>
      </w:r>
      <w:r w:rsidR="00264C32">
        <w:t>children</w:t>
      </w:r>
      <w:r w:rsidR="00BC29BE">
        <w:t xml:space="preserve"> </w:t>
      </w:r>
      <w:r w:rsidR="00B321A3" w:rsidRPr="000C51A6">
        <w:rPr>
          <w:u w:val="single"/>
        </w:rPr>
        <w:t>&gt;</w:t>
      </w:r>
      <w:r w:rsidR="00BC29BE">
        <w:t xml:space="preserve">1 month </w:t>
      </w:r>
      <w:r w:rsidR="00B321A3">
        <w:t>of age</w:t>
      </w:r>
      <w:r w:rsidR="00264C32">
        <w:t>,</w:t>
      </w:r>
      <w:r w:rsidR="00B2287B" w:rsidRPr="00B2287B">
        <w:t xml:space="preserve"> </w:t>
      </w:r>
      <w:r w:rsidR="00B2287B">
        <w:t xml:space="preserve">and </w:t>
      </w:r>
      <w:r w:rsidR="00DA0E60">
        <w:t>ciprofloxacin</w:t>
      </w:r>
      <w:r w:rsidR="00B2287B" w:rsidRPr="00C306C5">
        <w:t xml:space="preserve"> or gentamicin</w:t>
      </w:r>
      <w:r w:rsidR="00B2287B">
        <w:t xml:space="preserve"> for </w:t>
      </w:r>
      <w:r w:rsidR="00C306C5" w:rsidRPr="00C306C5">
        <w:t>neonates (</w:t>
      </w:r>
      <w:r w:rsidR="00C306C5" w:rsidRPr="000C51A6">
        <w:rPr>
          <w:u w:val="single"/>
        </w:rPr>
        <w:t>&lt;</w:t>
      </w:r>
      <w:r w:rsidR="00B321A3">
        <w:t>28 days of age</w:t>
      </w:r>
      <w:r w:rsidR="00C306C5" w:rsidRPr="00C306C5">
        <w:t>)</w:t>
      </w:r>
      <w:r w:rsidR="00B2287B">
        <w:t>.</w:t>
      </w:r>
      <w:r w:rsidR="00A759C1">
        <w:t xml:space="preserve"> </w:t>
      </w:r>
      <w:r w:rsidR="00F307BA">
        <w:t>(</w:t>
      </w:r>
      <w:r w:rsidR="00B321A3">
        <w:t>S</w:t>
      </w:r>
      <w:r w:rsidR="00F307BA">
        <w:t>trong recommendation, moderate certainty)</w:t>
      </w:r>
    </w:p>
    <w:p w14:paraId="49320F69" w14:textId="46F88D4C" w:rsidR="00F307BA" w:rsidRPr="0010329D" w:rsidRDefault="00F307BA" w:rsidP="005348E8">
      <w:pPr>
        <w:rPr>
          <w:b/>
          <w:bCs/>
        </w:rPr>
      </w:pPr>
      <w:r w:rsidRPr="0010329D">
        <w:rPr>
          <w:b/>
          <w:bCs/>
        </w:rPr>
        <w:t>Implementation considerations:</w:t>
      </w:r>
    </w:p>
    <w:p w14:paraId="306FB081" w14:textId="62005ECF" w:rsidR="00B266F0" w:rsidRDefault="00B266F0" w:rsidP="00B266F0">
      <w:pPr>
        <w:pStyle w:val="ListParagraph"/>
        <w:numPr>
          <w:ilvl w:val="1"/>
          <w:numId w:val="2"/>
        </w:numPr>
      </w:pPr>
      <w:r>
        <w:t>The choice between antimicrobials depends on severity of disease, availability of the drug</w:t>
      </w:r>
      <w:r w:rsidR="00B321A3">
        <w:t>,</w:t>
      </w:r>
      <w:r>
        <w:t xml:space="preserve"> and shared</w:t>
      </w:r>
      <w:r w:rsidR="00BB74CC">
        <w:t xml:space="preserve"> </w:t>
      </w:r>
      <w:r>
        <w:t>decision making</w:t>
      </w:r>
      <w:r w:rsidR="00BB74CC">
        <w:t>, including</w:t>
      </w:r>
      <w:r>
        <w:t xml:space="preserve"> </w:t>
      </w:r>
      <w:r w:rsidR="00BB74CC">
        <w:t xml:space="preserve">discussion of the </w:t>
      </w:r>
      <w:r>
        <w:t xml:space="preserve">route of administration and side effect </w:t>
      </w:r>
      <w:r w:rsidR="00985602">
        <w:t>profile</w:t>
      </w:r>
      <w:r>
        <w:t>.</w:t>
      </w:r>
    </w:p>
    <w:p w14:paraId="61F7E710" w14:textId="5BD2B5B8" w:rsidR="00BB74CC" w:rsidRDefault="00BF2F20" w:rsidP="00BB74CC">
      <w:pPr>
        <w:pStyle w:val="ListParagraph"/>
        <w:numPr>
          <w:ilvl w:val="1"/>
          <w:numId w:val="2"/>
        </w:numPr>
      </w:pPr>
      <w:r>
        <w:t xml:space="preserve">For </w:t>
      </w:r>
      <w:r w:rsidR="00BB74CC">
        <w:t>severe disease or when intentional release is suspected, dual antimicrobial therapy is recommended</w:t>
      </w:r>
      <w:r w:rsidR="000C51A6">
        <w:t xml:space="preserve"> for initial treatment</w:t>
      </w:r>
      <w:r w:rsidR="00BB74CC">
        <w:t>.</w:t>
      </w:r>
    </w:p>
    <w:p w14:paraId="46363E24" w14:textId="140D24F5" w:rsidR="0095240E" w:rsidRDefault="00BB74CC" w:rsidP="0095240E">
      <w:pPr>
        <w:pStyle w:val="ListParagraph"/>
        <w:numPr>
          <w:ilvl w:val="1"/>
          <w:numId w:val="2"/>
        </w:numPr>
      </w:pPr>
      <w:r>
        <w:t>W</w:t>
      </w:r>
      <w:r w:rsidR="0095240E">
        <w:t xml:space="preserve">hen treatment </w:t>
      </w:r>
      <w:r w:rsidR="00B321A3">
        <w:t xml:space="preserve">initiation </w:t>
      </w:r>
      <w:r w:rsidR="0095240E">
        <w:t>is delayed, ciprofloxacin</w:t>
      </w:r>
      <w:r w:rsidR="00DA0E60">
        <w:t>, levofloxacin, or</w:t>
      </w:r>
      <w:r w:rsidR="0095240E">
        <w:t xml:space="preserve"> gentamicin </w:t>
      </w:r>
      <w:r w:rsidR="00DA0E60">
        <w:t>is</w:t>
      </w:r>
      <w:r w:rsidR="0095240E">
        <w:t xml:space="preserve"> preferred over doxycycline.</w:t>
      </w:r>
    </w:p>
    <w:p w14:paraId="1FA2DBF8" w14:textId="0DB18B5C" w:rsidR="00B204E1" w:rsidRDefault="00B204E1" w:rsidP="00B204E1">
      <w:pPr>
        <w:pStyle w:val="ListParagraph"/>
        <w:numPr>
          <w:ilvl w:val="1"/>
          <w:numId w:val="2"/>
        </w:numPr>
      </w:pPr>
      <w:r>
        <w:t xml:space="preserve">Treatment duration is </w:t>
      </w:r>
      <w:r w:rsidR="00322420">
        <w:t>7-</w:t>
      </w:r>
      <w:r>
        <w:t xml:space="preserve">10 days for </w:t>
      </w:r>
      <w:r w:rsidRPr="00B204E1">
        <w:t>ciprofloxacin</w:t>
      </w:r>
      <w:r w:rsidR="00DA0E60">
        <w:t xml:space="preserve">, levofloxacin, or </w:t>
      </w:r>
      <w:r w:rsidRPr="00B204E1">
        <w:t>gentamicin</w:t>
      </w:r>
      <w:r w:rsidR="0010329D">
        <w:t xml:space="preserve"> and </w:t>
      </w:r>
      <w:r w:rsidR="00BB74CC">
        <w:t>14</w:t>
      </w:r>
      <w:r w:rsidR="0010329D">
        <w:t>-21 days for doxycycline.</w:t>
      </w:r>
    </w:p>
    <w:p w14:paraId="2F843252" w14:textId="77777777" w:rsidR="0010329D" w:rsidRDefault="0010329D" w:rsidP="0010329D">
      <w:pPr>
        <w:pStyle w:val="ListParagraph"/>
        <w:ind w:left="390"/>
      </w:pPr>
    </w:p>
    <w:p w14:paraId="483332E1" w14:textId="77777777" w:rsidR="0010329D" w:rsidRDefault="0010329D" w:rsidP="0010329D">
      <w:pPr>
        <w:pStyle w:val="ListParagraph"/>
        <w:ind w:left="390"/>
      </w:pPr>
    </w:p>
    <w:p w14:paraId="1F768097" w14:textId="30F1804F" w:rsidR="0010329D" w:rsidRPr="00CF2D11" w:rsidRDefault="00224039" w:rsidP="0010329D">
      <w:pPr>
        <w:pStyle w:val="ListParagraph"/>
        <w:ind w:left="390"/>
        <w:rPr>
          <w:b/>
          <w:bCs/>
        </w:rPr>
      </w:pPr>
      <w:r w:rsidRPr="00CF2D11">
        <w:rPr>
          <w:b/>
          <w:bCs/>
        </w:rPr>
        <w:t xml:space="preserve">GRADE Summary of </w:t>
      </w:r>
      <w:r w:rsidR="00335F8F">
        <w:rPr>
          <w:b/>
          <w:bCs/>
        </w:rPr>
        <w:t>F</w:t>
      </w:r>
      <w:r w:rsidRPr="00CF2D11">
        <w:rPr>
          <w:b/>
          <w:bCs/>
        </w:rPr>
        <w:t xml:space="preserve">indings </w:t>
      </w:r>
    </w:p>
    <w:p w14:paraId="06E7C159" w14:textId="77777777" w:rsidR="00224039" w:rsidRDefault="00224039" w:rsidP="0010329D">
      <w:pPr>
        <w:pStyle w:val="ListParagraph"/>
        <w:ind w:left="390"/>
      </w:pPr>
    </w:p>
    <w:tbl>
      <w:tblPr>
        <w:tblStyle w:val="TableGrid"/>
        <w:tblW w:w="9618" w:type="dxa"/>
        <w:tblInd w:w="390" w:type="dxa"/>
        <w:tblLook w:val="04A0" w:firstRow="1" w:lastRow="0" w:firstColumn="1" w:lastColumn="0" w:noHBand="0" w:noVBand="1"/>
      </w:tblPr>
      <w:tblGrid>
        <w:gridCol w:w="5388"/>
        <w:gridCol w:w="4230"/>
      </w:tblGrid>
      <w:tr w:rsidR="002C2050" w:rsidRPr="000C5353" w14:paraId="4CDCF890" w14:textId="77777777" w:rsidTr="002C2050">
        <w:tc>
          <w:tcPr>
            <w:tcW w:w="5388" w:type="dxa"/>
          </w:tcPr>
          <w:p w14:paraId="5049F108" w14:textId="1C500360" w:rsidR="002C2050" w:rsidRPr="000C5353" w:rsidRDefault="00005DAA" w:rsidP="0010329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4230" w:type="dxa"/>
          </w:tcPr>
          <w:p w14:paraId="032F5532" w14:textId="49DD508C" w:rsidR="002C2050" w:rsidRPr="000C5353" w:rsidRDefault="00005DAA" w:rsidP="0010329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Certainty of Evidence</w:t>
            </w:r>
          </w:p>
        </w:tc>
      </w:tr>
      <w:tr w:rsidR="00005DAA" w14:paraId="0F9858AD" w14:textId="77777777" w:rsidTr="00D52A5A">
        <w:tc>
          <w:tcPr>
            <w:tcW w:w="9618" w:type="dxa"/>
            <w:gridSpan w:val="2"/>
          </w:tcPr>
          <w:p w14:paraId="108D162C" w14:textId="47B6F1B0" w:rsidR="00005DAA" w:rsidRDefault="00795703" w:rsidP="00005DAA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>Fa</w:t>
            </w:r>
            <w:r w:rsidR="00005DAA" w:rsidRPr="000C5353">
              <w:rPr>
                <w:b/>
                <w:bCs/>
              </w:rPr>
              <w:t>tality</w:t>
            </w:r>
            <w:r>
              <w:rPr>
                <w:b/>
                <w:bCs/>
              </w:rPr>
              <w:t xml:space="preserve"> </w:t>
            </w:r>
            <w:r w:rsidR="008938FD">
              <w:rPr>
                <w:b/>
                <w:bCs/>
              </w:rPr>
              <w:t>r</w:t>
            </w:r>
            <w:r>
              <w:rPr>
                <w:b/>
                <w:bCs/>
              </w:rPr>
              <w:t>ates</w:t>
            </w:r>
          </w:p>
        </w:tc>
      </w:tr>
      <w:tr w:rsidR="002C2050" w14:paraId="6CFAAB8A" w14:textId="77777777" w:rsidTr="002C2050">
        <w:tc>
          <w:tcPr>
            <w:tcW w:w="5388" w:type="dxa"/>
          </w:tcPr>
          <w:p w14:paraId="3CF5F156" w14:textId="24740FDD" w:rsidR="004D5E3F" w:rsidRDefault="004D5E3F" w:rsidP="00CC55F2">
            <w:r>
              <w:t xml:space="preserve">Systematic </w:t>
            </w:r>
            <w:r w:rsidR="00FA7997">
              <w:t>L</w:t>
            </w:r>
            <w:r>
              <w:t xml:space="preserve">iterature </w:t>
            </w:r>
            <w:r w:rsidR="00FA7997">
              <w:t>R</w:t>
            </w:r>
            <w:r>
              <w:t>eview:</w:t>
            </w:r>
          </w:p>
          <w:p w14:paraId="796C7FE3" w14:textId="058C2B06" w:rsidR="002C2050" w:rsidRDefault="002C2050" w:rsidP="00CC55F2">
            <w:r w:rsidRPr="00F53C41">
              <w:t>870 cases from 1993 to 2023</w:t>
            </w:r>
            <w:r>
              <w:t xml:space="preserve"> </w:t>
            </w:r>
          </w:p>
          <w:p w14:paraId="5F0EEE2E" w14:textId="5CA010E3" w:rsidR="002C2050" w:rsidRDefault="002C2050" w:rsidP="000C5353">
            <w:r>
              <w:t>Fatality rates: aminoglycosides (0.7%), fluoroquinolones (0.9%), doxycycline (1.2%)</w:t>
            </w:r>
          </w:p>
          <w:p w14:paraId="56625DCB" w14:textId="64DCD0D7" w:rsidR="000C51A6" w:rsidRPr="001833B7" w:rsidRDefault="000C51A6" w:rsidP="000C5353">
            <w:pPr>
              <w:rPr>
                <w:vertAlign w:val="superscript"/>
              </w:rPr>
            </w:pPr>
            <w:r>
              <w:t>Fatality rates among patients who received monotherapy (i.e. only one effective antibiotic): aminoglycosides (1.1%), fluoroquinolones (1.2%), doxycycline (2.3%)</w:t>
            </w:r>
            <w:r w:rsidR="001833B7">
              <w:rPr>
                <w:vertAlign w:val="superscript"/>
              </w:rPr>
              <w:t>1</w:t>
            </w:r>
          </w:p>
          <w:p w14:paraId="7ED3686B" w14:textId="77777777" w:rsidR="002C2050" w:rsidRDefault="002C2050" w:rsidP="000C5353"/>
          <w:p w14:paraId="32EC5CF6" w14:textId="7A996CC4" w:rsidR="004D5E3F" w:rsidRDefault="002C2050" w:rsidP="009B7FE6">
            <w:r w:rsidRPr="002C2050">
              <w:t>U</w:t>
            </w:r>
            <w:r w:rsidR="008938FD">
              <w:t>.</w:t>
            </w:r>
            <w:r w:rsidRPr="002C2050">
              <w:t>S</w:t>
            </w:r>
            <w:r w:rsidR="008938FD">
              <w:t>.</w:t>
            </w:r>
            <w:r w:rsidRPr="002C2050">
              <w:t xml:space="preserve"> Surveillance Data</w:t>
            </w:r>
            <w:r w:rsidR="004D5E3F">
              <w:t>:</w:t>
            </w:r>
            <w:r w:rsidRPr="002C2050">
              <w:t xml:space="preserve"> </w:t>
            </w:r>
          </w:p>
          <w:p w14:paraId="4D2AE516" w14:textId="2E6EA21A" w:rsidR="004D5E3F" w:rsidRDefault="00A71B2D" w:rsidP="009B7FE6">
            <w:r>
              <w:t>1163 cases</w:t>
            </w:r>
            <w:r w:rsidR="004D5E3F">
              <w:t xml:space="preserve"> from </w:t>
            </w:r>
            <w:r w:rsidR="004D5E3F" w:rsidRPr="002C2050">
              <w:t>2006–2021</w:t>
            </w:r>
            <w:r w:rsidR="002C2050">
              <w:t xml:space="preserve"> </w:t>
            </w:r>
          </w:p>
          <w:p w14:paraId="1959A281" w14:textId="35F3FFEF" w:rsidR="002C2050" w:rsidRPr="001833B7" w:rsidRDefault="00A71B2D" w:rsidP="009B7FE6">
            <w:pPr>
              <w:rPr>
                <w:vertAlign w:val="superscript"/>
              </w:rPr>
            </w:pPr>
            <w:r>
              <w:t>A</w:t>
            </w:r>
            <w:r w:rsidR="002C2050">
              <w:t>djusted odds ratios for survival:</w:t>
            </w:r>
            <w:r w:rsidR="009B7FE6">
              <w:t xml:space="preserve"> </w:t>
            </w:r>
            <w:r w:rsidR="004D5E3F">
              <w:t>a</w:t>
            </w:r>
            <w:r w:rsidR="002C2050" w:rsidRPr="002C2050">
              <w:t>minoglycosides</w:t>
            </w:r>
            <w:r w:rsidR="002C2050">
              <w:t xml:space="preserve"> </w:t>
            </w:r>
            <w:r w:rsidR="002C2050" w:rsidRPr="002C2050">
              <w:t>3.9 (1.05–14.7)</w:t>
            </w:r>
            <w:r w:rsidR="009B7FE6">
              <w:t xml:space="preserve">, </w:t>
            </w:r>
            <w:r w:rsidR="004D5E3F">
              <w:t>f</w:t>
            </w:r>
            <w:r w:rsidR="002C2050" w:rsidRPr="002C2050">
              <w:t>luoroquinolones</w:t>
            </w:r>
            <w:r w:rsidR="002C2050">
              <w:t xml:space="preserve"> </w:t>
            </w:r>
            <w:r w:rsidR="002C2050" w:rsidRPr="002C2050">
              <w:t>5.3 (1.7–16.4)</w:t>
            </w:r>
            <w:r w:rsidR="009B7FE6">
              <w:t xml:space="preserve">, </w:t>
            </w:r>
            <w:r w:rsidR="004D5E3F">
              <w:t>t</w:t>
            </w:r>
            <w:r w:rsidR="002C2050" w:rsidRPr="002C2050">
              <w:t>etracyclines 4.9 (1.9–12.6)</w:t>
            </w:r>
            <w:r w:rsidR="001833B7">
              <w:rPr>
                <w:vertAlign w:val="superscript"/>
              </w:rPr>
              <w:t>2</w:t>
            </w:r>
          </w:p>
        </w:tc>
        <w:tc>
          <w:tcPr>
            <w:tcW w:w="4230" w:type="dxa"/>
          </w:tcPr>
          <w:p w14:paraId="667E556C" w14:textId="6522C09A" w:rsidR="002C2050" w:rsidRDefault="002C2050" w:rsidP="0010329D">
            <w:pPr>
              <w:pStyle w:val="ListParagraph"/>
              <w:ind w:left="0"/>
            </w:pPr>
            <w:r>
              <w:t>Moderate certainty</w:t>
            </w:r>
            <w:r w:rsidR="009E2461">
              <w:t xml:space="preserve">. </w:t>
            </w:r>
            <w:r w:rsidR="00511720">
              <w:t>H</w:t>
            </w:r>
            <w:r w:rsidR="004D5E3F">
              <w:t xml:space="preserve">uman </w:t>
            </w:r>
            <w:r w:rsidR="009E2461">
              <w:t xml:space="preserve">evidence </w:t>
            </w:r>
            <w:r w:rsidR="00511720">
              <w:t xml:space="preserve">for efficacy </w:t>
            </w:r>
            <w:r w:rsidR="009E2461">
              <w:t xml:space="preserve">includes </w:t>
            </w:r>
            <w:r w:rsidR="004D5E3F">
              <w:t xml:space="preserve">primarily </w:t>
            </w:r>
            <w:r>
              <w:t>nonrandomized studies</w:t>
            </w:r>
            <w:r w:rsidR="009E2461">
              <w:t xml:space="preserve">. The </w:t>
            </w:r>
            <w:r w:rsidR="00D9201E">
              <w:t>certainty can</w:t>
            </w:r>
            <w:r w:rsidR="00C30FCC">
              <w:t xml:space="preserve"> b</w:t>
            </w:r>
            <w:r w:rsidR="00D9201E">
              <w:t>e raised due to the large treatment effect</w:t>
            </w:r>
            <w:r w:rsidR="003A55B8">
              <w:t xml:space="preserve"> and supporting indirect evidence from </w:t>
            </w:r>
            <w:r w:rsidR="004D5E3F">
              <w:t xml:space="preserve">numerous </w:t>
            </w:r>
            <w:r w:rsidR="003A55B8">
              <w:t>in vitro and animal studies.</w:t>
            </w:r>
          </w:p>
        </w:tc>
      </w:tr>
      <w:tr w:rsidR="00385364" w:rsidRPr="000C5353" w14:paraId="5A3B421C" w14:textId="77777777" w:rsidTr="00D52A5A">
        <w:tc>
          <w:tcPr>
            <w:tcW w:w="9618" w:type="dxa"/>
            <w:gridSpan w:val="2"/>
          </w:tcPr>
          <w:p w14:paraId="59C3B6D3" w14:textId="2B6EA439" w:rsidR="00385364" w:rsidRPr="000C5353" w:rsidRDefault="00FA5B78" w:rsidP="0038536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385364" w:rsidRPr="000C5353">
              <w:rPr>
                <w:b/>
                <w:bCs/>
              </w:rPr>
              <w:t xml:space="preserve">erious </w:t>
            </w:r>
            <w:r w:rsidR="004D5E3F">
              <w:rPr>
                <w:b/>
                <w:bCs/>
              </w:rPr>
              <w:t>a</w:t>
            </w:r>
            <w:r w:rsidR="00385364" w:rsidRPr="000C5353">
              <w:rPr>
                <w:b/>
                <w:bCs/>
              </w:rPr>
              <w:t>dverse events</w:t>
            </w:r>
            <w:r>
              <w:rPr>
                <w:b/>
                <w:bCs/>
              </w:rPr>
              <w:t xml:space="preserve"> associated with antimicrobial use</w:t>
            </w:r>
          </w:p>
        </w:tc>
      </w:tr>
      <w:tr w:rsidR="002C2050" w14:paraId="63DBDA97" w14:textId="77777777" w:rsidTr="002C2050">
        <w:tc>
          <w:tcPr>
            <w:tcW w:w="5388" w:type="dxa"/>
          </w:tcPr>
          <w:p w14:paraId="175944EB" w14:textId="28976B39" w:rsidR="002C2050" w:rsidRDefault="002C2050" w:rsidP="00257FDD">
            <w:pPr>
              <w:pStyle w:val="ListParagraph"/>
              <w:ind w:left="0"/>
            </w:pPr>
            <w:r w:rsidRPr="009C5A89">
              <w:t>Fluoroquinolones</w:t>
            </w:r>
            <w:r>
              <w:t>:</w:t>
            </w:r>
            <w:r w:rsidR="0040402F">
              <w:t xml:space="preserve"> </w:t>
            </w:r>
            <w:r w:rsidR="009B0019">
              <w:t xml:space="preserve">Up to </w:t>
            </w:r>
            <w:r w:rsidR="00D73B9E">
              <w:t xml:space="preserve">1% each: cardiovascular, hypoglycemia, musculoskeletal including </w:t>
            </w:r>
            <w:r w:rsidR="009B0019">
              <w:t xml:space="preserve">tendinitis and </w:t>
            </w:r>
            <w:r w:rsidR="00D73B9E">
              <w:t>tendon rupture, psychiatric including hallucinations, and neurologic</w:t>
            </w:r>
            <w:r w:rsidR="0040402F">
              <w:t>.</w:t>
            </w:r>
            <w:r w:rsidR="009B0019" w:rsidRPr="009B0019">
              <w:rPr>
                <w:vertAlign w:val="superscript"/>
              </w:rPr>
              <w:t>3</w:t>
            </w:r>
            <w:r w:rsidR="0040402F">
              <w:t xml:space="preserve"> </w:t>
            </w:r>
            <w:r w:rsidR="00732095">
              <w:t xml:space="preserve">Meta-analysis of 17 RCTs found higher risk of CNS- and GI-related </w:t>
            </w:r>
            <w:r w:rsidR="00985602">
              <w:t xml:space="preserve">adverse events </w:t>
            </w:r>
            <w:r w:rsidR="00732095">
              <w:t xml:space="preserve">compared with other antimicrobials </w:t>
            </w:r>
            <w:r w:rsidR="006D5C02">
              <w:t xml:space="preserve">(no distinction between mild, moderate, &amp; severe </w:t>
            </w:r>
            <w:r w:rsidR="00985602">
              <w:t>adverse event</w:t>
            </w:r>
            <w:r w:rsidR="006D5C02">
              <w:t>s though)</w:t>
            </w:r>
            <w:r w:rsidR="00306411">
              <w:t>.</w:t>
            </w:r>
            <w:r w:rsidR="009B0019">
              <w:rPr>
                <w:vertAlign w:val="superscript"/>
              </w:rPr>
              <w:t>4</w:t>
            </w:r>
            <w:r w:rsidR="00732095">
              <w:t xml:space="preserve"> </w:t>
            </w:r>
          </w:p>
          <w:p w14:paraId="102BA18D" w14:textId="77777777" w:rsidR="002C2050" w:rsidRDefault="002C2050" w:rsidP="00257FDD">
            <w:pPr>
              <w:pStyle w:val="ListParagraph"/>
              <w:ind w:left="0"/>
            </w:pPr>
          </w:p>
          <w:p w14:paraId="160A20DC" w14:textId="4585AD4B" w:rsidR="002C2050" w:rsidRPr="00A42B14" w:rsidRDefault="002C2050" w:rsidP="001D0816">
            <w:pPr>
              <w:pStyle w:val="ListParagraph"/>
              <w:ind w:left="0"/>
              <w:rPr>
                <w:vertAlign w:val="superscript"/>
              </w:rPr>
            </w:pPr>
            <w:r w:rsidRPr="009C5A89">
              <w:t xml:space="preserve">Doxycycline: </w:t>
            </w:r>
            <w:r w:rsidR="00EE25B8">
              <w:t xml:space="preserve">review of 12 RCTs found </w:t>
            </w:r>
            <w:r w:rsidR="00727C08">
              <w:t>0-14%</w:t>
            </w:r>
            <w:r w:rsidRPr="009C5A89">
              <w:t xml:space="preserve"> </w:t>
            </w:r>
            <w:r w:rsidR="00727C08">
              <w:t>severe side effects or</w:t>
            </w:r>
            <w:r w:rsidRPr="009C5A89">
              <w:t xml:space="preserve"> adverse events</w:t>
            </w:r>
            <w:r w:rsidR="00EE25B8">
              <w:t xml:space="preserve"> with</w:t>
            </w:r>
            <w:r w:rsidRPr="009C5A89">
              <w:t xml:space="preserve"> prolonged use</w:t>
            </w:r>
            <w:r w:rsidR="00EE25B8">
              <w:t xml:space="preserve"> (</w:t>
            </w:r>
            <w:r w:rsidR="00EE25B8" w:rsidRPr="00EE25B8">
              <w:rPr>
                <w:u w:val="single"/>
              </w:rPr>
              <w:t>&gt;</w:t>
            </w:r>
            <w:r w:rsidR="00EE25B8">
              <w:t>8 weeks), although 14%</w:t>
            </w:r>
            <w:r w:rsidR="0040402F">
              <w:t xml:space="preserve"> is</w:t>
            </w:r>
            <w:r w:rsidR="00EE25B8">
              <w:t xml:space="preserve"> likely an overestimate due to study populations with underlying conditions</w:t>
            </w:r>
            <w:r w:rsidR="00A42B14">
              <w:t>.</w:t>
            </w:r>
            <w:r w:rsidR="009B0019">
              <w:rPr>
                <w:vertAlign w:val="superscript"/>
              </w:rPr>
              <w:t>5-6</w:t>
            </w:r>
          </w:p>
          <w:p w14:paraId="763DCB05" w14:textId="1F564448" w:rsidR="002C2050" w:rsidRDefault="002C2050" w:rsidP="00465FBA">
            <w:pPr>
              <w:pStyle w:val="ListParagraph"/>
              <w:ind w:left="0"/>
              <w:rPr>
                <w:sz w:val="20"/>
                <w:szCs w:val="20"/>
              </w:rPr>
            </w:pPr>
            <w:r w:rsidRPr="009C5A89">
              <w:br/>
            </w:r>
            <w:r>
              <w:t>A</w:t>
            </w:r>
            <w:r w:rsidRPr="00F96A11">
              <w:t>minoglycosides</w:t>
            </w:r>
            <w:r>
              <w:t xml:space="preserve">: reversible </w:t>
            </w:r>
            <w:r w:rsidRPr="00065D2A">
              <w:t>nephrotoxicity</w:t>
            </w:r>
            <w:r>
              <w:t xml:space="preserve"> and </w:t>
            </w:r>
            <w:r w:rsidRPr="0021418F">
              <w:t>ototoxicity</w:t>
            </w:r>
            <w:r>
              <w:t xml:space="preserve"> 10-20%. </w:t>
            </w:r>
            <w:r w:rsidRPr="00EE44B4">
              <w:t>Neuromuscular blockade</w:t>
            </w:r>
            <w:r>
              <w:t xml:space="preserve"> very rare.</w:t>
            </w:r>
            <w:r w:rsidR="009B0019">
              <w:rPr>
                <w:sz w:val="20"/>
                <w:szCs w:val="20"/>
                <w:vertAlign w:val="superscript"/>
              </w:rPr>
              <w:t>7-9</w:t>
            </w:r>
            <w:r w:rsidR="00A42B14" w:rsidRPr="00A42B14">
              <w:rPr>
                <w:sz w:val="20"/>
                <w:szCs w:val="20"/>
              </w:rPr>
              <w:t xml:space="preserve"> </w:t>
            </w:r>
          </w:p>
          <w:p w14:paraId="73AB635C" w14:textId="342A9A35" w:rsidR="0075402B" w:rsidRPr="009C5A89" w:rsidRDefault="0075402B" w:rsidP="00465FBA">
            <w:pPr>
              <w:pStyle w:val="ListParagraph"/>
              <w:ind w:left="0"/>
            </w:pPr>
          </w:p>
        </w:tc>
        <w:tc>
          <w:tcPr>
            <w:tcW w:w="4230" w:type="dxa"/>
          </w:tcPr>
          <w:p w14:paraId="052D7FFC" w14:textId="5B9E65F3" w:rsidR="002C2050" w:rsidRDefault="002C2050" w:rsidP="001D0816">
            <w:pPr>
              <w:pStyle w:val="ListParagraph"/>
              <w:ind w:left="0"/>
            </w:pPr>
            <w:r>
              <w:lastRenderedPageBreak/>
              <w:t xml:space="preserve">Moderate </w:t>
            </w:r>
            <w:r w:rsidR="00D5106E">
              <w:t xml:space="preserve">to high </w:t>
            </w:r>
            <w:r>
              <w:t>certainty</w:t>
            </w:r>
          </w:p>
        </w:tc>
      </w:tr>
      <w:tr w:rsidR="00AA338A" w:rsidRPr="00AA338A" w14:paraId="57166953" w14:textId="77777777" w:rsidTr="00D52A5A">
        <w:tc>
          <w:tcPr>
            <w:tcW w:w="9618" w:type="dxa"/>
            <w:gridSpan w:val="2"/>
          </w:tcPr>
          <w:p w14:paraId="14A4A4DA" w14:textId="6126D710" w:rsidR="00AA338A" w:rsidRPr="00AA338A" w:rsidRDefault="00AA338A" w:rsidP="00AA338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A338A">
              <w:rPr>
                <w:b/>
                <w:bCs/>
              </w:rPr>
              <w:t>Symptom resolution/infection clearance</w:t>
            </w:r>
          </w:p>
        </w:tc>
      </w:tr>
      <w:tr w:rsidR="002C2050" w14:paraId="700573A9" w14:textId="77777777" w:rsidTr="002C2050">
        <w:tc>
          <w:tcPr>
            <w:tcW w:w="5388" w:type="dxa"/>
          </w:tcPr>
          <w:p w14:paraId="6DD7D13E" w14:textId="6755255D" w:rsidR="00DF3F93" w:rsidRDefault="00DF3F93" w:rsidP="001D0816">
            <w:pPr>
              <w:pStyle w:val="ListParagraph"/>
              <w:ind w:left="0"/>
            </w:pPr>
            <w:r>
              <w:t>Systematic Literature Review:</w:t>
            </w:r>
          </w:p>
          <w:p w14:paraId="755065E6" w14:textId="7A0261CE" w:rsidR="00DF3F93" w:rsidRDefault="00DF3F93" w:rsidP="001D0816">
            <w:pPr>
              <w:pStyle w:val="ListParagraph"/>
              <w:ind w:left="0"/>
            </w:pPr>
            <w:r>
              <w:t>Fever recurrence rates (</w:t>
            </w:r>
            <w:r>
              <w:rPr>
                <w:rFonts w:cstheme="minorHAnsi"/>
              </w:rPr>
              <w:t xml:space="preserve">≥2 </w:t>
            </w:r>
            <w:r>
              <w:t>days after defervescence):</w:t>
            </w:r>
          </w:p>
          <w:p w14:paraId="23381D47" w14:textId="6921EA7F" w:rsidR="00DF3F93" w:rsidRDefault="00DF3F93" w:rsidP="00DF3F93">
            <w:pPr>
              <w:pStyle w:val="ListParagraph"/>
              <w:numPr>
                <w:ilvl w:val="0"/>
                <w:numId w:val="7"/>
              </w:numPr>
              <w:ind w:left="237" w:hanging="180"/>
            </w:pPr>
            <w:r>
              <w:t>Adults</w:t>
            </w:r>
            <w:r w:rsidR="00611ACF">
              <w:t xml:space="preserve"> treated with monotherapy </w:t>
            </w:r>
            <w:r w:rsidR="00611ACF" w:rsidRPr="004561B5">
              <w:rPr>
                <w:u w:val="single"/>
              </w:rPr>
              <w:t>or</w:t>
            </w:r>
            <w:r w:rsidR="00611ACF">
              <w:t xml:space="preserve"> a combination of antibiotic classes</w:t>
            </w:r>
            <w:r>
              <w:t>: c</w:t>
            </w:r>
            <w:r w:rsidRPr="00DF3F93">
              <w:t>iprofloxacin (3.9%),</w:t>
            </w:r>
            <w:r w:rsidR="00660151">
              <w:t xml:space="preserve"> levofloxacin (4.0%),</w:t>
            </w:r>
            <w:r w:rsidRPr="00DF3F93">
              <w:t xml:space="preserve"> </w:t>
            </w:r>
            <w:r>
              <w:t>d</w:t>
            </w:r>
            <w:r w:rsidRPr="00DF3F93">
              <w:t xml:space="preserve">oxycycline (4.8%), </w:t>
            </w:r>
            <w:r>
              <w:t>g</w:t>
            </w:r>
            <w:r w:rsidRPr="00DF3F93">
              <w:t>entamicin (4.8%)</w:t>
            </w:r>
          </w:p>
          <w:p w14:paraId="5374CB05" w14:textId="17D2BF43" w:rsidR="00611ACF" w:rsidRDefault="00611ACF" w:rsidP="00DF3F93">
            <w:pPr>
              <w:pStyle w:val="ListParagraph"/>
              <w:numPr>
                <w:ilvl w:val="0"/>
                <w:numId w:val="7"/>
              </w:numPr>
              <w:ind w:left="237" w:hanging="180"/>
            </w:pPr>
            <w:r>
              <w:t>Adults treated with monotherapy (only one effective antibiotic class): a</w:t>
            </w:r>
            <w:r w:rsidRPr="00611ACF">
              <w:t xml:space="preserve">minoglycosides 2/93 (2.2%), </w:t>
            </w:r>
            <w:r>
              <w:t>f</w:t>
            </w:r>
            <w:r w:rsidRPr="00611ACF">
              <w:t xml:space="preserve">luoroquinolones 3/121 (2.5%), </w:t>
            </w:r>
            <w:r>
              <w:t>t</w:t>
            </w:r>
            <w:r w:rsidRPr="00611ACF">
              <w:t>etracyclines 6/134 (4.5%</w:t>
            </w:r>
            <w:r w:rsidR="007E6A7D">
              <w:t>)</w:t>
            </w:r>
          </w:p>
          <w:p w14:paraId="6D879213" w14:textId="4E61D4A4" w:rsidR="00DF3F93" w:rsidRPr="0040402F" w:rsidRDefault="004561B5">
            <w:pPr>
              <w:pStyle w:val="ListParagraph"/>
              <w:numPr>
                <w:ilvl w:val="0"/>
                <w:numId w:val="7"/>
              </w:numPr>
              <w:ind w:left="237" w:hanging="180"/>
            </w:pPr>
            <w:r>
              <w:t xml:space="preserve">Children </w:t>
            </w:r>
            <w:r w:rsidR="00DF3F93">
              <w:t>&lt;18 years old</w:t>
            </w:r>
            <w:r w:rsidR="00611ACF">
              <w:t xml:space="preserve"> treated with monotherapy </w:t>
            </w:r>
            <w:r w:rsidR="00611ACF" w:rsidRPr="004561B5">
              <w:rPr>
                <w:u w:val="single"/>
              </w:rPr>
              <w:t>or</w:t>
            </w:r>
            <w:r w:rsidR="00611ACF">
              <w:t xml:space="preserve"> a combination of antibiotic classes</w:t>
            </w:r>
            <w:r w:rsidR="00DF3F93">
              <w:t>: c</w:t>
            </w:r>
            <w:r w:rsidR="00DF3F93" w:rsidRPr="0040402F">
              <w:rPr>
                <w:rFonts w:ascii="Calibri" w:hAnsi="Calibri" w:cs="Calibri"/>
              </w:rPr>
              <w:t xml:space="preserve">iprofloxacin (8.3%), </w:t>
            </w:r>
            <w:r w:rsidR="00660151">
              <w:rPr>
                <w:rFonts w:ascii="Calibri" w:hAnsi="Calibri" w:cs="Calibri"/>
              </w:rPr>
              <w:t xml:space="preserve">levofloxacin (0%), </w:t>
            </w:r>
            <w:r w:rsidR="00DF3F93" w:rsidRPr="0040402F">
              <w:rPr>
                <w:rFonts w:ascii="Calibri" w:hAnsi="Calibri" w:cs="Calibri"/>
              </w:rPr>
              <w:t>doxycycline (6.7%), gentamicin (3.9%)</w:t>
            </w:r>
          </w:p>
          <w:p w14:paraId="04B57EAC" w14:textId="31843049" w:rsidR="00611ACF" w:rsidRPr="00DF3F93" w:rsidRDefault="004561B5" w:rsidP="0040402F">
            <w:pPr>
              <w:pStyle w:val="ListParagraph"/>
              <w:numPr>
                <w:ilvl w:val="0"/>
                <w:numId w:val="7"/>
              </w:numPr>
              <w:ind w:left="237" w:hanging="180"/>
            </w:pPr>
            <w:r>
              <w:t xml:space="preserve">Children </w:t>
            </w:r>
            <w:r w:rsidR="00611ACF">
              <w:t xml:space="preserve">&lt;18 years old treated with monotherapy (only one effective antibiotic class): </w:t>
            </w:r>
            <w:r w:rsidR="00611ACF">
              <w:rPr>
                <w:rFonts w:ascii="Calibri" w:hAnsi="Calibri" w:cs="Calibri"/>
              </w:rPr>
              <w:t xml:space="preserve">aminoglycosides 1/81 (1.2%), </w:t>
            </w:r>
            <w:r w:rsidR="007E6A7D">
              <w:rPr>
                <w:rFonts w:ascii="Calibri" w:hAnsi="Calibri" w:cs="Calibri"/>
              </w:rPr>
              <w:t>f</w:t>
            </w:r>
            <w:r w:rsidR="00611ACF">
              <w:rPr>
                <w:rFonts w:ascii="Calibri" w:hAnsi="Calibri" w:cs="Calibri"/>
              </w:rPr>
              <w:t>luoroquinolones 2/32 (6.3%), tetracyclines 1/23 (4.4%)</w:t>
            </w:r>
          </w:p>
          <w:p w14:paraId="2967CF11" w14:textId="29CF2226" w:rsidR="00DF3F93" w:rsidRDefault="00FA7997" w:rsidP="001D0816">
            <w:pPr>
              <w:pStyle w:val="ListParagraph"/>
              <w:ind w:left="0"/>
            </w:pPr>
            <w:r>
              <w:t>Complications</w:t>
            </w:r>
            <w:r w:rsidR="00DF3F93">
              <w:t>:</w:t>
            </w:r>
          </w:p>
          <w:p w14:paraId="35DB8F47" w14:textId="2CB3B6DE" w:rsidR="00DF3F93" w:rsidRDefault="00DF3F93" w:rsidP="00DF3F93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Lymph node spontaneous rupture: aminoglycosides (6.0%), fluoroquinolones (5.5%), tetracyclines (7.8%)</w:t>
            </w:r>
          </w:p>
          <w:p w14:paraId="79904CB7" w14:textId="47B6103F" w:rsidR="00DF3F93" w:rsidRDefault="00DF3F93" w:rsidP="00DF3F93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Thoracentesis/pleural effusion drainage: aminoglycosides (4.5%), fluoroquinolones (2.6%), tetracyclines (2.8%)</w:t>
            </w:r>
          </w:p>
          <w:p w14:paraId="676EEF6E" w14:textId="2567E125" w:rsidR="00DF3F93" w:rsidRDefault="00DF3F93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 xml:space="preserve">Similar rates among the 3 </w:t>
            </w:r>
            <w:r w:rsidR="00FA7997">
              <w:t xml:space="preserve">antibiotic </w:t>
            </w:r>
            <w:r>
              <w:t xml:space="preserve">classes of lymph node aspiration, lymph node excision, intubation/respiratory support, and </w:t>
            </w:r>
            <w:r w:rsidR="00FA7997">
              <w:t xml:space="preserve">receipt of </w:t>
            </w:r>
            <w:r>
              <w:t>blood product</w:t>
            </w:r>
            <w:r w:rsidR="00FA7997">
              <w:t>s</w:t>
            </w:r>
            <w:r>
              <w:t xml:space="preserve"> during treatment.</w:t>
            </w:r>
            <w:r w:rsidR="00A42B14">
              <w:rPr>
                <w:vertAlign w:val="superscript"/>
              </w:rPr>
              <w:t>1</w:t>
            </w:r>
          </w:p>
          <w:p w14:paraId="4D284595" w14:textId="77777777" w:rsidR="00FA7997" w:rsidRDefault="00FA7997" w:rsidP="00FA7997"/>
          <w:p w14:paraId="273727AC" w14:textId="488CF424" w:rsidR="00FA7997" w:rsidRDefault="004850D8" w:rsidP="007E6A7D">
            <w:r>
              <w:t xml:space="preserve">There </w:t>
            </w:r>
            <w:r w:rsidR="005146FF">
              <w:t>are</w:t>
            </w:r>
            <w:r>
              <w:t xml:space="preserve"> m</w:t>
            </w:r>
            <w:r w:rsidR="00FA7997">
              <w:t xml:space="preserve">inimal human data on differences in infection clearance according to antibiotic used.  </w:t>
            </w:r>
          </w:p>
        </w:tc>
        <w:tc>
          <w:tcPr>
            <w:tcW w:w="4230" w:type="dxa"/>
          </w:tcPr>
          <w:p w14:paraId="0471A58B" w14:textId="77777777" w:rsidR="002C2050" w:rsidRDefault="002C2050" w:rsidP="001D0816">
            <w:pPr>
              <w:pStyle w:val="ListParagraph"/>
              <w:ind w:left="0"/>
            </w:pPr>
          </w:p>
        </w:tc>
      </w:tr>
    </w:tbl>
    <w:p w14:paraId="168096DD" w14:textId="77777777" w:rsidR="00770C25" w:rsidRDefault="00770C25" w:rsidP="0010329D">
      <w:pPr>
        <w:pStyle w:val="ListParagraph"/>
        <w:ind w:left="390"/>
      </w:pPr>
    </w:p>
    <w:p w14:paraId="53459D92" w14:textId="77777777" w:rsidR="00224039" w:rsidRDefault="00224039" w:rsidP="0010329D">
      <w:pPr>
        <w:pStyle w:val="ListParagraph"/>
        <w:ind w:left="390"/>
      </w:pPr>
    </w:p>
    <w:p w14:paraId="0AE1DEEB" w14:textId="4754C3D3" w:rsidR="00224039" w:rsidRPr="00CF2D11" w:rsidRDefault="00224039" w:rsidP="0010329D">
      <w:pPr>
        <w:pStyle w:val="ListParagraph"/>
        <w:ind w:left="390"/>
        <w:rPr>
          <w:b/>
          <w:bCs/>
        </w:rPr>
      </w:pPr>
      <w:r w:rsidRPr="00CF2D11">
        <w:rPr>
          <w:b/>
          <w:bCs/>
        </w:rPr>
        <w:t>GRADE Evidence to</w:t>
      </w:r>
      <w:r w:rsidR="00770C25" w:rsidRPr="00CF2D11">
        <w:rPr>
          <w:b/>
          <w:bCs/>
        </w:rPr>
        <w:t xml:space="preserve"> </w:t>
      </w:r>
      <w:r w:rsidR="00335F8F">
        <w:rPr>
          <w:b/>
          <w:bCs/>
        </w:rPr>
        <w:t>D</w:t>
      </w:r>
      <w:r w:rsidR="00770C25" w:rsidRPr="00CF2D11">
        <w:rPr>
          <w:b/>
          <w:bCs/>
        </w:rPr>
        <w:t xml:space="preserve">ecision </w:t>
      </w:r>
      <w:r w:rsidR="00985602">
        <w:rPr>
          <w:b/>
          <w:bCs/>
        </w:rPr>
        <w:t>F</w:t>
      </w:r>
      <w:r w:rsidR="00985602" w:rsidRPr="00CF2D11">
        <w:rPr>
          <w:b/>
          <w:bCs/>
        </w:rPr>
        <w:t>ramework</w:t>
      </w:r>
    </w:p>
    <w:tbl>
      <w:tblPr>
        <w:tblStyle w:val="TableGrid"/>
        <w:tblW w:w="9854" w:type="dxa"/>
        <w:tblInd w:w="390" w:type="dxa"/>
        <w:tblLook w:val="04A0" w:firstRow="1" w:lastRow="0" w:firstColumn="1" w:lastColumn="0" w:noHBand="0" w:noVBand="1"/>
      </w:tblPr>
      <w:tblGrid>
        <w:gridCol w:w="3678"/>
        <w:gridCol w:w="6176"/>
      </w:tblGrid>
      <w:tr w:rsidR="00A96A10" w:rsidRPr="00A96A10" w14:paraId="3816AEB1" w14:textId="77777777" w:rsidTr="00223516">
        <w:tc>
          <w:tcPr>
            <w:tcW w:w="3678" w:type="dxa"/>
          </w:tcPr>
          <w:p w14:paraId="6DAE4C08" w14:textId="11D32069" w:rsidR="00A96A10" w:rsidRPr="00A96A10" w:rsidRDefault="00A96A10" w:rsidP="00D52A5A">
            <w:pPr>
              <w:pStyle w:val="ListParagraph"/>
              <w:ind w:left="0"/>
              <w:rPr>
                <w:b/>
                <w:bCs/>
              </w:rPr>
            </w:pPr>
            <w:r w:rsidRPr="00A96A10">
              <w:rPr>
                <w:b/>
                <w:bCs/>
              </w:rPr>
              <w:t>Criteri</w:t>
            </w:r>
            <w:r w:rsidR="00335F8F">
              <w:rPr>
                <w:b/>
                <w:bCs/>
              </w:rPr>
              <w:t>a</w:t>
            </w:r>
          </w:p>
        </w:tc>
        <w:tc>
          <w:tcPr>
            <w:tcW w:w="6176" w:type="dxa"/>
          </w:tcPr>
          <w:p w14:paraId="52A7B4A8" w14:textId="328370AA" w:rsidR="00A96A10" w:rsidRPr="00A96A10" w:rsidRDefault="00A96A10" w:rsidP="00D52A5A">
            <w:pPr>
              <w:pStyle w:val="ListParagraph"/>
              <w:ind w:left="0"/>
              <w:rPr>
                <w:b/>
                <w:bCs/>
              </w:rPr>
            </w:pPr>
            <w:r w:rsidRPr="00A96A10">
              <w:rPr>
                <w:b/>
                <w:bCs/>
              </w:rPr>
              <w:t>Judgment</w:t>
            </w:r>
          </w:p>
        </w:tc>
      </w:tr>
      <w:tr w:rsidR="00A96A10" w14:paraId="4CC627B9" w14:textId="77777777" w:rsidTr="00223516">
        <w:tc>
          <w:tcPr>
            <w:tcW w:w="3678" w:type="dxa"/>
          </w:tcPr>
          <w:p w14:paraId="59389145" w14:textId="3CE6FB3C" w:rsidR="00A96A10" w:rsidRDefault="00A96A10" w:rsidP="00D52A5A">
            <w:pPr>
              <w:pStyle w:val="ListParagraph"/>
              <w:ind w:left="0"/>
            </w:pPr>
            <w:r>
              <w:t xml:space="preserve">Magnitude of </w:t>
            </w:r>
            <w:r w:rsidR="00223516">
              <w:t>desirable effects</w:t>
            </w:r>
          </w:p>
        </w:tc>
        <w:tc>
          <w:tcPr>
            <w:tcW w:w="6176" w:type="dxa"/>
          </w:tcPr>
          <w:p w14:paraId="6A29DD27" w14:textId="54006676" w:rsidR="00A96A10" w:rsidRDefault="004D5E3F" w:rsidP="00D52A5A">
            <w:pPr>
              <w:pStyle w:val="ListParagraph"/>
              <w:ind w:left="0"/>
            </w:pPr>
            <w:r>
              <w:t>L</w:t>
            </w:r>
            <w:r w:rsidR="00223516">
              <w:t>arge</w:t>
            </w:r>
          </w:p>
        </w:tc>
      </w:tr>
      <w:tr w:rsidR="00223516" w14:paraId="31243F53" w14:textId="77777777" w:rsidTr="00223516">
        <w:tc>
          <w:tcPr>
            <w:tcW w:w="3678" w:type="dxa"/>
          </w:tcPr>
          <w:p w14:paraId="68EEB25B" w14:textId="05F9DAEF" w:rsidR="00223516" w:rsidRDefault="00223516" w:rsidP="00223516">
            <w:pPr>
              <w:pStyle w:val="ListParagraph"/>
              <w:ind w:left="0"/>
            </w:pPr>
            <w:r>
              <w:t>Magnitude of undesirable effects</w:t>
            </w:r>
          </w:p>
        </w:tc>
        <w:tc>
          <w:tcPr>
            <w:tcW w:w="6176" w:type="dxa"/>
          </w:tcPr>
          <w:p w14:paraId="283D3835" w14:textId="252F4A53" w:rsidR="00223516" w:rsidRDefault="00D5106E" w:rsidP="00223516">
            <w:pPr>
              <w:pStyle w:val="ListParagraph"/>
              <w:ind w:left="0"/>
            </w:pPr>
            <w:r>
              <w:t>S</w:t>
            </w:r>
            <w:r w:rsidR="00223516">
              <w:t>mall</w:t>
            </w:r>
            <w:r>
              <w:t>, particularly with short</w:t>
            </w:r>
            <w:r w:rsidR="00D465AC">
              <w:t>-</w:t>
            </w:r>
            <w:r>
              <w:t>term</w:t>
            </w:r>
            <w:r w:rsidR="00C4094C">
              <w:t xml:space="preserve"> antibiotic exposure</w:t>
            </w:r>
            <w:r w:rsidR="00A81D8B">
              <w:t>.</w:t>
            </w:r>
            <w:r w:rsidR="0045622C">
              <w:t xml:space="preserve"> However, if hundreds or thousands of people receive antibiotics for treatmen</w:t>
            </w:r>
            <w:r w:rsidR="00F671A9">
              <w:t>t</w:t>
            </w:r>
            <w:r w:rsidR="007E6A7D">
              <w:t xml:space="preserve">, </w:t>
            </w:r>
            <w:r w:rsidR="007E6A7D">
              <w:lastRenderedPageBreak/>
              <w:t>the burden of undesirable effects could be substantial.</w:t>
            </w:r>
            <w:r w:rsidR="00A81D8B">
              <w:t xml:space="preserve"> </w:t>
            </w:r>
            <w:r w:rsidR="00A70438">
              <w:t xml:space="preserve">There is little concern of natural development of antimicrobial resistance during treatment since human-to-human transmission and </w:t>
            </w:r>
            <w:r w:rsidR="00FA5B78">
              <w:t xml:space="preserve">natural development of </w:t>
            </w:r>
            <w:r w:rsidR="00A70438">
              <w:t>resistance has not been seen.</w:t>
            </w:r>
          </w:p>
        </w:tc>
      </w:tr>
      <w:tr w:rsidR="003954EF" w14:paraId="399B69CF" w14:textId="77777777" w:rsidTr="00D52A5A">
        <w:tc>
          <w:tcPr>
            <w:tcW w:w="3678" w:type="dxa"/>
          </w:tcPr>
          <w:p w14:paraId="735565AE" w14:textId="43FAE184" w:rsidR="007514E7" w:rsidRPr="008938FD" w:rsidRDefault="003954EF" w:rsidP="00D52A5A">
            <w:pPr>
              <w:pStyle w:val="ListParagraph"/>
              <w:ind w:left="0"/>
            </w:pPr>
            <w:r>
              <w:lastRenderedPageBreak/>
              <w:t>Patient values</w:t>
            </w:r>
          </w:p>
        </w:tc>
        <w:tc>
          <w:tcPr>
            <w:tcW w:w="6176" w:type="dxa"/>
          </w:tcPr>
          <w:p w14:paraId="2E2AC384" w14:textId="73557A03" w:rsidR="003954EF" w:rsidRDefault="00C4094C" w:rsidP="00D52A5A">
            <w:pPr>
              <w:pStyle w:val="ListParagraph"/>
              <w:ind w:left="0"/>
            </w:pPr>
            <w:r>
              <w:t>Probably n</w:t>
            </w:r>
            <w:r w:rsidR="003954EF">
              <w:t xml:space="preserve">o important </w:t>
            </w:r>
            <w:r w:rsidR="000D7A31">
              <w:t>variability</w:t>
            </w:r>
          </w:p>
        </w:tc>
      </w:tr>
      <w:tr w:rsidR="003954EF" w14:paraId="0226B29A" w14:textId="77777777" w:rsidTr="00223516">
        <w:tc>
          <w:tcPr>
            <w:tcW w:w="3678" w:type="dxa"/>
          </w:tcPr>
          <w:p w14:paraId="0E47F4C0" w14:textId="508610C6" w:rsidR="003954EF" w:rsidRDefault="000D7A31" w:rsidP="00223516">
            <w:pPr>
              <w:pStyle w:val="ListParagraph"/>
              <w:ind w:left="0"/>
            </w:pPr>
            <w:r>
              <w:t>Cost of recommended action</w:t>
            </w:r>
          </w:p>
        </w:tc>
        <w:tc>
          <w:tcPr>
            <w:tcW w:w="6176" w:type="dxa"/>
          </w:tcPr>
          <w:p w14:paraId="79851940" w14:textId="281D2AA8" w:rsidR="003954EF" w:rsidRDefault="004D5E3F" w:rsidP="00223516">
            <w:pPr>
              <w:pStyle w:val="ListParagraph"/>
              <w:ind w:left="0"/>
            </w:pPr>
            <w:r>
              <w:t>S</w:t>
            </w:r>
            <w:r w:rsidR="000D7A31">
              <w:t>mall</w:t>
            </w:r>
          </w:p>
        </w:tc>
      </w:tr>
      <w:tr w:rsidR="003954EF" w14:paraId="1A1EEE06" w14:textId="77777777" w:rsidTr="00223516">
        <w:tc>
          <w:tcPr>
            <w:tcW w:w="3678" w:type="dxa"/>
          </w:tcPr>
          <w:p w14:paraId="5577CFBE" w14:textId="22C94837" w:rsidR="003954EF" w:rsidRDefault="000D7A31" w:rsidP="00223516">
            <w:pPr>
              <w:pStyle w:val="ListParagraph"/>
              <w:ind w:left="0"/>
            </w:pPr>
            <w:r>
              <w:t>Cost effectiveness</w:t>
            </w:r>
          </w:p>
        </w:tc>
        <w:tc>
          <w:tcPr>
            <w:tcW w:w="6176" w:type="dxa"/>
          </w:tcPr>
          <w:p w14:paraId="70697E4B" w14:textId="41918B8C" w:rsidR="003954EF" w:rsidRDefault="000D7A31" w:rsidP="00223516">
            <w:pPr>
              <w:pStyle w:val="ListParagraph"/>
              <w:ind w:left="0"/>
            </w:pPr>
            <w:r>
              <w:t>No studies</w:t>
            </w:r>
            <w:r w:rsidR="00612ADD">
              <w:t xml:space="preserve"> but expected to result in</w:t>
            </w:r>
            <w:r w:rsidR="002A69D6">
              <w:t xml:space="preserve"> small </w:t>
            </w:r>
            <w:r w:rsidR="0045622C" w:rsidRPr="0045622C">
              <w:t>incremental cost-effectiveness ratio</w:t>
            </w:r>
            <w:r w:rsidR="0045622C">
              <w:t xml:space="preserve"> (</w:t>
            </w:r>
            <w:r w:rsidR="002A69D6">
              <w:t>ICER</w:t>
            </w:r>
            <w:r w:rsidR="0045622C">
              <w:t>)</w:t>
            </w:r>
            <w:r w:rsidR="002A69D6">
              <w:t xml:space="preserve"> or</w:t>
            </w:r>
            <w:r w:rsidR="00612ADD">
              <w:t xml:space="preserve"> savings.</w:t>
            </w:r>
          </w:p>
        </w:tc>
      </w:tr>
      <w:tr w:rsidR="003954EF" w14:paraId="61355DC4" w14:textId="77777777" w:rsidTr="00223516">
        <w:tc>
          <w:tcPr>
            <w:tcW w:w="3678" w:type="dxa"/>
          </w:tcPr>
          <w:p w14:paraId="0C09BDC4" w14:textId="2526100C" w:rsidR="003954EF" w:rsidRDefault="009E02D9" w:rsidP="00223516">
            <w:pPr>
              <w:pStyle w:val="ListParagraph"/>
              <w:ind w:left="0"/>
            </w:pPr>
            <w:r>
              <w:t>Feasibility</w:t>
            </w:r>
          </w:p>
        </w:tc>
        <w:tc>
          <w:tcPr>
            <w:tcW w:w="6176" w:type="dxa"/>
          </w:tcPr>
          <w:p w14:paraId="6CC1C87D" w14:textId="3C581BAA" w:rsidR="003954EF" w:rsidRDefault="003F70BD" w:rsidP="00223516">
            <w:pPr>
              <w:pStyle w:val="ListParagraph"/>
              <w:ind w:left="0"/>
            </w:pPr>
            <w:r>
              <w:t>The recommended antimicrobial</w:t>
            </w:r>
            <w:r w:rsidR="0097786B">
              <w:t>s</w:t>
            </w:r>
            <w:r>
              <w:t xml:space="preserve"> are feasible to administer, more </w:t>
            </w:r>
            <w:r w:rsidR="00A105F6">
              <w:t xml:space="preserve">so </w:t>
            </w:r>
            <w:r>
              <w:t xml:space="preserve">for </w:t>
            </w:r>
            <w:r w:rsidR="0097786B">
              <w:t xml:space="preserve">ones administered </w:t>
            </w:r>
            <w:r>
              <w:t>oral</w:t>
            </w:r>
            <w:r w:rsidR="0097786B">
              <w:t>ly</w:t>
            </w:r>
            <w:r w:rsidR="00203A5F">
              <w:t>. S</w:t>
            </w:r>
            <w:r w:rsidR="0045622C">
              <w:t>hortages and s</w:t>
            </w:r>
            <w:r w:rsidR="00203A5F">
              <w:t xml:space="preserve">tockpiling </w:t>
            </w:r>
            <w:r w:rsidR="0045622C">
              <w:t>by the public</w:t>
            </w:r>
            <w:r w:rsidR="00203A5F">
              <w:t xml:space="preserve"> are expected with </w:t>
            </w:r>
            <w:r w:rsidR="00203A5F" w:rsidRPr="008938FD">
              <w:t>intentional release situations</w:t>
            </w:r>
            <w:r w:rsidR="00203A5F">
              <w:t xml:space="preserve">. </w:t>
            </w:r>
          </w:p>
        </w:tc>
      </w:tr>
      <w:tr w:rsidR="00203A5F" w14:paraId="3E312EDC" w14:textId="77777777" w:rsidTr="00223516">
        <w:tc>
          <w:tcPr>
            <w:tcW w:w="3678" w:type="dxa"/>
          </w:tcPr>
          <w:p w14:paraId="06ECDC85" w14:textId="54634C5D" w:rsidR="00203A5F" w:rsidRDefault="00203A5F" w:rsidP="00203A5F">
            <w:pPr>
              <w:pStyle w:val="ListParagraph"/>
              <w:ind w:left="0"/>
            </w:pPr>
            <w:r>
              <w:t>Acceptability</w:t>
            </w:r>
          </w:p>
        </w:tc>
        <w:tc>
          <w:tcPr>
            <w:tcW w:w="6176" w:type="dxa"/>
          </w:tcPr>
          <w:p w14:paraId="47D47FA1" w14:textId="46150555" w:rsidR="00203A5F" w:rsidRDefault="00203A5F" w:rsidP="00203A5F">
            <w:pPr>
              <w:pStyle w:val="ListParagraph"/>
              <w:ind w:left="0"/>
            </w:pPr>
            <w:r>
              <w:t xml:space="preserve">The recommended antimicrobials are </w:t>
            </w:r>
            <w:r w:rsidR="00A759C1">
              <w:t xml:space="preserve">generally </w:t>
            </w:r>
            <w:r>
              <w:t>acceptable to</w:t>
            </w:r>
            <w:r w:rsidR="00F671A9">
              <w:t xml:space="preserve"> </w:t>
            </w:r>
            <w:r>
              <w:t>stakeholders, more so for ones administered orally</w:t>
            </w:r>
            <w:r w:rsidR="00805030">
              <w:t>. Individuals concerned about adverse events</w:t>
            </w:r>
            <w:r w:rsidR="00966106">
              <w:t xml:space="preserve"> </w:t>
            </w:r>
            <w:r w:rsidR="00E2273F">
              <w:t xml:space="preserve">from one </w:t>
            </w:r>
            <w:r w:rsidR="00FA38F6">
              <w:t xml:space="preserve">first-line antimicrobial </w:t>
            </w:r>
            <w:r w:rsidR="00966106">
              <w:t xml:space="preserve">can opt </w:t>
            </w:r>
            <w:r w:rsidR="00FA38F6">
              <w:t>for one of the other recommend</w:t>
            </w:r>
            <w:r w:rsidR="009E02D9">
              <w:t>ed antimicrobials</w:t>
            </w:r>
            <w:r w:rsidR="00FA38F6">
              <w:t>.</w:t>
            </w:r>
            <w:r w:rsidR="00805030">
              <w:t xml:space="preserve"> </w:t>
            </w:r>
          </w:p>
        </w:tc>
      </w:tr>
      <w:tr w:rsidR="00203A5F" w14:paraId="1E841B1E" w14:textId="77777777" w:rsidTr="00223516">
        <w:tc>
          <w:tcPr>
            <w:tcW w:w="3678" w:type="dxa"/>
          </w:tcPr>
          <w:p w14:paraId="062EDE09" w14:textId="79749413" w:rsidR="00203A5F" w:rsidRDefault="00B83737" w:rsidP="00203A5F">
            <w:pPr>
              <w:pStyle w:val="ListParagraph"/>
              <w:ind w:left="0"/>
            </w:pPr>
            <w:r>
              <w:t>Access</w:t>
            </w:r>
          </w:p>
        </w:tc>
        <w:tc>
          <w:tcPr>
            <w:tcW w:w="6176" w:type="dxa"/>
          </w:tcPr>
          <w:p w14:paraId="4F08C541" w14:textId="1061F2EF" w:rsidR="00203A5F" w:rsidRDefault="00203A5F" w:rsidP="00513FEE">
            <w:r>
              <w:t xml:space="preserve">No </w:t>
            </w:r>
            <w:r w:rsidR="00A759C1">
              <w:t xml:space="preserve">perceived </w:t>
            </w:r>
            <w:r>
              <w:t xml:space="preserve">impact on </w:t>
            </w:r>
            <w:r w:rsidR="00B83737">
              <w:t xml:space="preserve">medication access </w:t>
            </w:r>
            <w:r>
              <w:t xml:space="preserve">is anticipated </w:t>
            </w:r>
            <w:r w:rsidR="00573AE9">
              <w:t xml:space="preserve">when this recommendation is implemented. </w:t>
            </w:r>
            <w:r w:rsidR="00573AE9" w:rsidRPr="00F97DFC">
              <w:rPr>
                <w:color w:val="000000"/>
              </w:rPr>
              <w:t>G6PD deficiency is more common in people of African, Mediterranean, or Asian descent</w:t>
            </w:r>
            <w:r w:rsidR="00573AE9">
              <w:rPr>
                <w:color w:val="000000"/>
              </w:rPr>
              <w:t xml:space="preserve"> and can</w:t>
            </w:r>
            <w:r w:rsidR="00FB7A6F">
              <w:rPr>
                <w:color w:val="000000"/>
              </w:rPr>
              <w:t xml:space="preserve"> have</w:t>
            </w:r>
            <w:r w:rsidR="00573AE9">
              <w:rPr>
                <w:color w:val="000000"/>
              </w:rPr>
              <w:t xml:space="preserve"> impact on use of f</w:t>
            </w:r>
            <w:r w:rsidR="00573AE9" w:rsidRPr="00F97DFC">
              <w:rPr>
                <w:color w:val="000000"/>
              </w:rPr>
              <w:t>luoroquinolones</w:t>
            </w:r>
            <w:r w:rsidR="00603D47">
              <w:rPr>
                <w:color w:val="000000"/>
              </w:rPr>
              <w:t>. Recommending</w:t>
            </w:r>
            <w:r w:rsidR="008938FD">
              <w:rPr>
                <w:color w:val="000000"/>
              </w:rPr>
              <w:t xml:space="preserve"> </w:t>
            </w:r>
            <w:r w:rsidR="00FB7A6F">
              <w:rPr>
                <w:color w:val="000000"/>
              </w:rPr>
              <w:t>multiple</w:t>
            </w:r>
            <w:r w:rsidR="00603D47">
              <w:rPr>
                <w:color w:val="000000"/>
              </w:rPr>
              <w:t xml:space="preserve"> options </w:t>
            </w:r>
            <w:r w:rsidR="00FA5B78">
              <w:rPr>
                <w:color w:val="000000"/>
              </w:rPr>
              <w:t>for</w:t>
            </w:r>
            <w:r w:rsidR="00603D47">
              <w:rPr>
                <w:color w:val="000000"/>
              </w:rPr>
              <w:t xml:space="preserve"> treatment can mitigate </w:t>
            </w:r>
            <w:r w:rsidR="00B83737">
              <w:rPr>
                <w:color w:val="000000"/>
              </w:rPr>
              <w:t>differences in medication access</w:t>
            </w:r>
            <w:r w:rsidR="00603D47">
              <w:rPr>
                <w:color w:val="000000"/>
              </w:rPr>
              <w:t xml:space="preserve"> </w:t>
            </w:r>
            <w:r w:rsidR="00513FEE">
              <w:rPr>
                <w:color w:val="000000"/>
              </w:rPr>
              <w:t xml:space="preserve">better than recommending </w:t>
            </w:r>
            <w:r w:rsidR="00A759C1">
              <w:rPr>
                <w:color w:val="000000"/>
              </w:rPr>
              <w:t xml:space="preserve">1 or 2 </w:t>
            </w:r>
            <w:r w:rsidR="00513FEE">
              <w:rPr>
                <w:color w:val="000000"/>
              </w:rPr>
              <w:t>preferred option</w:t>
            </w:r>
            <w:r w:rsidR="00A759C1">
              <w:rPr>
                <w:color w:val="000000"/>
              </w:rPr>
              <w:t>s</w:t>
            </w:r>
            <w:r w:rsidR="00513FEE">
              <w:rPr>
                <w:color w:val="000000"/>
              </w:rPr>
              <w:t xml:space="preserve"> if access is restricted</w:t>
            </w:r>
            <w:r w:rsidR="00FA38F6">
              <w:rPr>
                <w:color w:val="000000"/>
              </w:rPr>
              <w:t xml:space="preserve"> due to </w:t>
            </w:r>
            <w:r w:rsidR="00FA5B78">
              <w:rPr>
                <w:color w:val="000000"/>
              </w:rPr>
              <w:t>shortages.</w:t>
            </w:r>
          </w:p>
        </w:tc>
      </w:tr>
    </w:tbl>
    <w:p w14:paraId="7168E32C" w14:textId="77777777" w:rsidR="006C5C0B" w:rsidRDefault="006C5C0B" w:rsidP="004E17CD"/>
    <w:p w14:paraId="1E56AD18" w14:textId="77777777" w:rsidR="009F529A" w:rsidRDefault="009F529A">
      <w:pPr>
        <w:rPr>
          <w:b/>
          <w:bCs/>
        </w:rPr>
      </w:pPr>
      <w:r>
        <w:rPr>
          <w:b/>
          <w:bCs/>
        </w:rPr>
        <w:br w:type="page"/>
      </w:r>
    </w:p>
    <w:p w14:paraId="2276F363" w14:textId="38793E45" w:rsidR="00336EF2" w:rsidRPr="0010329D" w:rsidRDefault="00336EF2" w:rsidP="00336EF2">
      <w:pPr>
        <w:rPr>
          <w:b/>
          <w:bCs/>
        </w:rPr>
      </w:pPr>
      <w:r w:rsidRPr="0010329D">
        <w:rPr>
          <w:b/>
          <w:bCs/>
        </w:rPr>
        <w:lastRenderedPageBreak/>
        <w:t xml:space="preserve">Recommendation </w:t>
      </w:r>
      <w:r w:rsidR="005F2057">
        <w:rPr>
          <w:b/>
          <w:bCs/>
        </w:rPr>
        <w:t>2</w:t>
      </w:r>
      <w:r w:rsidRPr="0010329D">
        <w:rPr>
          <w:b/>
          <w:bCs/>
        </w:rPr>
        <w:t>:</w:t>
      </w:r>
    </w:p>
    <w:p w14:paraId="13BBC17E" w14:textId="78D1EE0E" w:rsidR="00E746B3" w:rsidRDefault="00336EF2" w:rsidP="00095578">
      <w:r>
        <w:t xml:space="preserve">In </w:t>
      </w:r>
      <w:r w:rsidR="00283D5A" w:rsidRPr="00283D5A">
        <w:t xml:space="preserve">pregnant </w:t>
      </w:r>
      <w:r w:rsidR="00B83737">
        <w:t>women</w:t>
      </w:r>
      <w:r w:rsidR="00A7793C">
        <w:t xml:space="preserve"> </w:t>
      </w:r>
      <w:r>
        <w:t>diagnosed with tularemia, CDC recommends first</w:t>
      </w:r>
      <w:r w:rsidR="00A759C1">
        <w:t>-</w:t>
      </w:r>
      <w:r>
        <w:t xml:space="preserve">line antimicrobial management with </w:t>
      </w:r>
      <w:r w:rsidR="009E02D9">
        <w:t>ciprofloxacin, levofloxacin,</w:t>
      </w:r>
      <w:r w:rsidR="00707CBB">
        <w:t xml:space="preserve"> or gentamicin</w:t>
      </w:r>
      <w:r>
        <w:t>. (</w:t>
      </w:r>
      <w:r w:rsidR="00A759C1">
        <w:t>S</w:t>
      </w:r>
      <w:r>
        <w:t>trong recommendation, moderate certainty).</w:t>
      </w:r>
    </w:p>
    <w:p w14:paraId="0CA6B824" w14:textId="77777777" w:rsidR="00FC76C4" w:rsidRPr="0010329D" w:rsidRDefault="00FC76C4" w:rsidP="00FC76C4">
      <w:pPr>
        <w:rPr>
          <w:b/>
          <w:bCs/>
        </w:rPr>
      </w:pPr>
      <w:r w:rsidRPr="0010329D">
        <w:rPr>
          <w:b/>
          <w:bCs/>
        </w:rPr>
        <w:t>Implementation considerations:</w:t>
      </w:r>
    </w:p>
    <w:p w14:paraId="24481707" w14:textId="5F25992E" w:rsidR="00F3410B" w:rsidRDefault="00F3410B" w:rsidP="00F3410B">
      <w:pPr>
        <w:pStyle w:val="ListParagraph"/>
        <w:numPr>
          <w:ilvl w:val="1"/>
          <w:numId w:val="2"/>
        </w:numPr>
      </w:pPr>
      <w:r>
        <w:t>The choice between the 3 antimicrobials depends on severity of disease, availability of the drug</w:t>
      </w:r>
      <w:r w:rsidR="00A759C1">
        <w:t>,</w:t>
      </w:r>
      <w:r>
        <w:t xml:space="preserve"> and shared</w:t>
      </w:r>
      <w:r w:rsidR="00A759C1">
        <w:t xml:space="preserve"> </w:t>
      </w:r>
      <w:r>
        <w:t>decision</w:t>
      </w:r>
      <w:r w:rsidR="00A759C1">
        <w:t>-</w:t>
      </w:r>
      <w:r>
        <w:t xml:space="preserve">making </w:t>
      </w:r>
      <w:r w:rsidR="00A759C1">
        <w:t xml:space="preserve">including discussion of the </w:t>
      </w:r>
      <w:r>
        <w:t>route of administration and side effect profile.</w:t>
      </w:r>
    </w:p>
    <w:p w14:paraId="580781A7" w14:textId="068D88CE" w:rsidR="00F3410B" w:rsidRDefault="009811D5" w:rsidP="00F3410B">
      <w:pPr>
        <w:pStyle w:val="ListParagraph"/>
        <w:numPr>
          <w:ilvl w:val="1"/>
          <w:numId w:val="2"/>
        </w:numPr>
      </w:pPr>
      <w:r>
        <w:t xml:space="preserve">For </w:t>
      </w:r>
      <w:r w:rsidR="00F3410B">
        <w:t xml:space="preserve">severe disease or when </w:t>
      </w:r>
      <w:r w:rsidR="00F3410B" w:rsidRPr="008938FD">
        <w:t>intentional release is suspected</w:t>
      </w:r>
      <w:r w:rsidR="00F3410B">
        <w:t>, dual antimicrobial therapy is recommended.</w:t>
      </w:r>
    </w:p>
    <w:p w14:paraId="3305BBDC" w14:textId="3AE874E6" w:rsidR="00F3410B" w:rsidRDefault="00F3410B" w:rsidP="00F3410B">
      <w:pPr>
        <w:pStyle w:val="ListParagraph"/>
        <w:numPr>
          <w:ilvl w:val="1"/>
          <w:numId w:val="2"/>
        </w:numPr>
      </w:pPr>
      <w:r>
        <w:t xml:space="preserve">Dosage and treatment duration for ciprofloxacin, gentamicin, and levofloxacin are the same </w:t>
      </w:r>
      <w:r w:rsidR="00A933B0">
        <w:t xml:space="preserve">as for the </w:t>
      </w:r>
      <w:r w:rsidR="00FB7A6F">
        <w:t xml:space="preserve">nonpregnant </w:t>
      </w:r>
      <w:r w:rsidR="00A933B0">
        <w:t xml:space="preserve">adult population. </w:t>
      </w:r>
    </w:p>
    <w:p w14:paraId="704AA37E" w14:textId="77777777" w:rsidR="00FC76C4" w:rsidRDefault="00FC76C4" w:rsidP="00095578"/>
    <w:p w14:paraId="752F54CD" w14:textId="22FE6027" w:rsidR="000A472A" w:rsidRDefault="00335F8F" w:rsidP="000A472A">
      <w:pPr>
        <w:pStyle w:val="ListParagraph"/>
        <w:ind w:left="390"/>
        <w:rPr>
          <w:b/>
          <w:bCs/>
        </w:rPr>
      </w:pPr>
      <w:r w:rsidRPr="00CF2D11">
        <w:rPr>
          <w:b/>
          <w:bCs/>
        </w:rPr>
        <w:t xml:space="preserve">GRADE Summary of </w:t>
      </w:r>
      <w:r>
        <w:rPr>
          <w:b/>
          <w:bCs/>
        </w:rPr>
        <w:t>F</w:t>
      </w:r>
      <w:r w:rsidRPr="00CF2D11">
        <w:rPr>
          <w:b/>
          <w:bCs/>
        </w:rPr>
        <w:t>indings</w:t>
      </w:r>
    </w:p>
    <w:p w14:paraId="13041273" w14:textId="77777777" w:rsidR="00335F8F" w:rsidRDefault="00335F8F" w:rsidP="000A472A">
      <w:pPr>
        <w:pStyle w:val="ListParagraph"/>
        <w:ind w:left="390"/>
      </w:pPr>
    </w:p>
    <w:tbl>
      <w:tblPr>
        <w:tblStyle w:val="TableGrid"/>
        <w:tblW w:w="9618" w:type="dxa"/>
        <w:tblInd w:w="390" w:type="dxa"/>
        <w:tblLook w:val="04A0" w:firstRow="1" w:lastRow="0" w:firstColumn="1" w:lastColumn="0" w:noHBand="0" w:noVBand="1"/>
      </w:tblPr>
      <w:tblGrid>
        <w:gridCol w:w="5388"/>
        <w:gridCol w:w="4230"/>
      </w:tblGrid>
      <w:tr w:rsidR="000A472A" w:rsidRPr="000C5353" w14:paraId="460550A1" w14:textId="77777777" w:rsidTr="00D52A5A">
        <w:tc>
          <w:tcPr>
            <w:tcW w:w="5388" w:type="dxa"/>
          </w:tcPr>
          <w:p w14:paraId="33D52765" w14:textId="77777777" w:rsidR="000A472A" w:rsidRPr="000C5353" w:rsidRDefault="000A472A" w:rsidP="00D52A5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4230" w:type="dxa"/>
          </w:tcPr>
          <w:p w14:paraId="13552F53" w14:textId="77777777" w:rsidR="000A472A" w:rsidRPr="000C5353" w:rsidRDefault="000A472A" w:rsidP="00D52A5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Certainty of Evidence</w:t>
            </w:r>
          </w:p>
        </w:tc>
      </w:tr>
      <w:tr w:rsidR="000A472A" w14:paraId="09D1D659" w14:textId="77777777" w:rsidTr="00D52A5A">
        <w:tc>
          <w:tcPr>
            <w:tcW w:w="9618" w:type="dxa"/>
            <w:gridSpan w:val="2"/>
          </w:tcPr>
          <w:p w14:paraId="54F30348" w14:textId="397C400B" w:rsidR="000A472A" w:rsidRDefault="00795703" w:rsidP="00D52A5A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>Fa</w:t>
            </w:r>
            <w:r w:rsidR="000A472A" w:rsidRPr="000C5353">
              <w:rPr>
                <w:b/>
                <w:bCs/>
              </w:rPr>
              <w:t>tality</w:t>
            </w:r>
            <w:r>
              <w:rPr>
                <w:b/>
                <w:bCs/>
              </w:rPr>
              <w:t xml:space="preserve"> </w:t>
            </w:r>
            <w:r w:rsidR="008938FD">
              <w:rPr>
                <w:b/>
                <w:bCs/>
              </w:rPr>
              <w:t>r</w:t>
            </w:r>
            <w:r>
              <w:rPr>
                <w:b/>
                <w:bCs/>
              </w:rPr>
              <w:t>ates</w:t>
            </w:r>
          </w:p>
        </w:tc>
      </w:tr>
      <w:tr w:rsidR="000A472A" w14:paraId="604E7386" w14:textId="77777777" w:rsidTr="00D52A5A">
        <w:tc>
          <w:tcPr>
            <w:tcW w:w="5388" w:type="dxa"/>
          </w:tcPr>
          <w:p w14:paraId="59844BD3" w14:textId="2F9EC205" w:rsidR="00DB23A9" w:rsidRDefault="00DB23A9" w:rsidP="00DB23A9">
            <w:r>
              <w:t>Systematic Literature Review on Tularemia in Pregnancy:</w:t>
            </w:r>
          </w:p>
          <w:p w14:paraId="22EF575C" w14:textId="05AF9E7F" w:rsidR="000A472A" w:rsidRDefault="00FF5FF6" w:rsidP="00FF5FF6">
            <w:pPr>
              <w:pStyle w:val="ListParagraph"/>
              <w:numPr>
                <w:ilvl w:val="0"/>
                <w:numId w:val="4"/>
              </w:numPr>
            </w:pPr>
            <w:r>
              <w:t xml:space="preserve">52 </w:t>
            </w:r>
            <w:r w:rsidR="00FE5ACF">
              <w:t xml:space="preserve">worldwide </w:t>
            </w:r>
            <w:r>
              <w:t>cases from 1930 to 2023</w:t>
            </w:r>
          </w:p>
          <w:p w14:paraId="61E5538D" w14:textId="77777777" w:rsidR="00FE5ACF" w:rsidRDefault="00FE5ACF" w:rsidP="00FF5FF6">
            <w:pPr>
              <w:pStyle w:val="ListParagraph"/>
              <w:numPr>
                <w:ilvl w:val="1"/>
                <w:numId w:val="4"/>
              </w:numPr>
            </w:pPr>
            <w:r>
              <w:t xml:space="preserve">Majority (46%) of infections occurred during the second trimester </w:t>
            </w:r>
          </w:p>
          <w:p w14:paraId="4FDFD13B" w14:textId="06DAFC4A" w:rsidR="00FF5FF6" w:rsidRDefault="00FF5FF6" w:rsidP="00FF5FF6">
            <w:pPr>
              <w:pStyle w:val="ListParagraph"/>
              <w:numPr>
                <w:ilvl w:val="1"/>
                <w:numId w:val="4"/>
              </w:numPr>
            </w:pPr>
            <w:r>
              <w:t xml:space="preserve">Fatality rates: no </w:t>
            </w:r>
            <w:r w:rsidR="00FE5ACF">
              <w:t xml:space="preserve">maternal </w:t>
            </w:r>
            <w:r w:rsidR="00276EB9">
              <w:t>deaths</w:t>
            </w:r>
            <w:r>
              <w:t xml:space="preserve"> reported, regardless of antimicrobial treatment</w:t>
            </w:r>
          </w:p>
          <w:p w14:paraId="6D42C345" w14:textId="54FFCBF4" w:rsidR="00FE5ACF" w:rsidRDefault="00FE5ACF" w:rsidP="00FE5ACF">
            <w:pPr>
              <w:pStyle w:val="ListParagraph"/>
              <w:numPr>
                <w:ilvl w:val="2"/>
                <w:numId w:val="4"/>
              </w:numPr>
            </w:pPr>
            <w:r>
              <w:t>24 (46%) patients received no antimicrobial treatment</w:t>
            </w:r>
            <w:r w:rsidR="00DA62E6">
              <w:t>.</w:t>
            </w:r>
          </w:p>
          <w:p w14:paraId="38172E41" w14:textId="41CCE089" w:rsidR="00FE5ACF" w:rsidRDefault="00FE5ACF" w:rsidP="00FE5ACF">
            <w:pPr>
              <w:pStyle w:val="ListParagraph"/>
              <w:numPr>
                <w:ilvl w:val="2"/>
                <w:numId w:val="4"/>
              </w:numPr>
            </w:pPr>
            <w:r>
              <w:t>28 (54%) patients received antimicrobial treatment</w:t>
            </w:r>
            <w:r w:rsidR="00DA62E6">
              <w:t>.</w:t>
            </w:r>
            <w:r w:rsidR="00A42B14">
              <w:rPr>
                <w:vertAlign w:val="superscript"/>
              </w:rPr>
              <w:t>1</w:t>
            </w:r>
          </w:p>
          <w:p w14:paraId="7BBF9B6F" w14:textId="77777777" w:rsidR="00DB23A9" w:rsidRDefault="00DB23A9" w:rsidP="00DB23A9"/>
          <w:p w14:paraId="359C51AA" w14:textId="42DBDE4F" w:rsidR="00FF5FF6" w:rsidRDefault="00DB23A9" w:rsidP="00DB23A9">
            <w:r>
              <w:t xml:space="preserve">One additional </w:t>
            </w:r>
            <w:r w:rsidR="00FF5FF6">
              <w:t xml:space="preserve">case published </w:t>
            </w:r>
            <w:r>
              <w:t>in 2024</w:t>
            </w:r>
            <w:r w:rsidR="00A42B14">
              <w:t>:</w:t>
            </w:r>
          </w:p>
          <w:p w14:paraId="2DCE650A" w14:textId="4304898D" w:rsidR="00CC39AF" w:rsidRDefault="00CC39AF" w:rsidP="00CC39AF">
            <w:pPr>
              <w:pStyle w:val="ListParagraph"/>
              <w:numPr>
                <w:ilvl w:val="1"/>
                <w:numId w:val="4"/>
              </w:numPr>
            </w:pPr>
            <w:r>
              <w:t>Pregnant patient from Austria presented at 20 weeks gestation</w:t>
            </w:r>
            <w:r w:rsidR="00DA62E6">
              <w:t>.</w:t>
            </w:r>
          </w:p>
          <w:p w14:paraId="3A3A4099" w14:textId="7B216E2B" w:rsidR="00CC39AF" w:rsidRDefault="00CC39AF" w:rsidP="00FF5FF6">
            <w:pPr>
              <w:pStyle w:val="ListParagraph"/>
              <w:numPr>
                <w:ilvl w:val="1"/>
                <w:numId w:val="4"/>
              </w:numPr>
            </w:pPr>
            <w:r>
              <w:t>Initial treatment consisted of penicillin and amoxicillin but was switched to IV azithromycin</w:t>
            </w:r>
            <w:r w:rsidR="00DA62E6">
              <w:t>.</w:t>
            </w:r>
          </w:p>
          <w:p w14:paraId="417DA391" w14:textId="07EC51E5" w:rsidR="00CC39AF" w:rsidRDefault="00FA6993" w:rsidP="00FF5FF6">
            <w:pPr>
              <w:pStyle w:val="ListParagraph"/>
              <w:numPr>
                <w:ilvl w:val="1"/>
                <w:numId w:val="4"/>
              </w:numPr>
            </w:pPr>
            <w:r>
              <w:t>She delivered a healthy child with no complications</w:t>
            </w:r>
            <w:r w:rsidR="00DA62E6">
              <w:t>.</w:t>
            </w:r>
            <w:r w:rsidR="00A42B14">
              <w:rPr>
                <w:vertAlign w:val="superscript"/>
              </w:rPr>
              <w:t>2</w:t>
            </w:r>
          </w:p>
        </w:tc>
        <w:tc>
          <w:tcPr>
            <w:tcW w:w="4230" w:type="dxa"/>
          </w:tcPr>
          <w:p w14:paraId="71C34605" w14:textId="0C73FD34" w:rsidR="000A472A" w:rsidRDefault="00FF5FF6" w:rsidP="00D52A5A">
            <w:pPr>
              <w:pStyle w:val="ListParagraph"/>
              <w:ind w:left="0"/>
            </w:pPr>
            <w:r>
              <w:t xml:space="preserve">Moderate certainty. The body of evidence includes only nonrandomized studies. </w:t>
            </w:r>
          </w:p>
          <w:p w14:paraId="0BF8BBEF" w14:textId="071B29D2" w:rsidR="00FF5FF6" w:rsidRDefault="00FF5FF6" w:rsidP="00D52A5A">
            <w:pPr>
              <w:pStyle w:val="ListParagraph"/>
              <w:ind w:left="0"/>
            </w:pPr>
          </w:p>
        </w:tc>
      </w:tr>
      <w:tr w:rsidR="000A472A" w:rsidRPr="000C5353" w14:paraId="30D32B01" w14:textId="77777777" w:rsidTr="00D52A5A">
        <w:tc>
          <w:tcPr>
            <w:tcW w:w="9618" w:type="dxa"/>
            <w:gridSpan w:val="2"/>
          </w:tcPr>
          <w:p w14:paraId="3CB2C242" w14:textId="1415532D" w:rsidR="000A472A" w:rsidRPr="000C5353" w:rsidRDefault="00FA5B78" w:rsidP="00D52A5A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0C5353">
              <w:rPr>
                <w:b/>
                <w:bCs/>
              </w:rPr>
              <w:t xml:space="preserve">erious </w:t>
            </w:r>
            <w:r>
              <w:rPr>
                <w:b/>
                <w:bCs/>
              </w:rPr>
              <w:t>a</w:t>
            </w:r>
            <w:r w:rsidRPr="000C5353">
              <w:rPr>
                <w:b/>
                <w:bCs/>
              </w:rPr>
              <w:t>dverse events</w:t>
            </w:r>
            <w:r>
              <w:rPr>
                <w:b/>
                <w:bCs/>
              </w:rPr>
              <w:t xml:space="preserve"> associated with antimicrobial use</w:t>
            </w:r>
          </w:p>
        </w:tc>
      </w:tr>
      <w:tr w:rsidR="000A472A" w14:paraId="4784BEB3" w14:textId="77777777" w:rsidTr="00D52A5A">
        <w:tc>
          <w:tcPr>
            <w:tcW w:w="5388" w:type="dxa"/>
          </w:tcPr>
          <w:p w14:paraId="3E79122E" w14:textId="0F51BB18" w:rsidR="000A472A" w:rsidRDefault="00FF5FF6" w:rsidP="00FF5FF6">
            <w:pPr>
              <w:pStyle w:val="ListParagraph"/>
              <w:numPr>
                <w:ilvl w:val="0"/>
                <w:numId w:val="5"/>
              </w:numPr>
            </w:pPr>
            <w:r>
              <w:t>Fluoroquinolones</w:t>
            </w:r>
          </w:p>
          <w:p w14:paraId="1AA4AAAC" w14:textId="4C3DE92D" w:rsidR="00FF5FF6" w:rsidRDefault="00FF5FF6" w:rsidP="00AA37AF">
            <w:pPr>
              <w:pStyle w:val="ListParagraph"/>
              <w:numPr>
                <w:ilvl w:val="1"/>
                <w:numId w:val="5"/>
              </w:numPr>
            </w:pPr>
            <w:r>
              <w:t>No clear association with birth defects</w:t>
            </w:r>
            <w:r w:rsidR="00AA37AF">
              <w:t xml:space="preserve"> or adverse effects in human pregnancy. </w:t>
            </w:r>
            <w:r w:rsidR="009E02D9">
              <w:t>In some animal studies, fl</w:t>
            </w:r>
            <w:r w:rsidR="00FA509D">
              <w:t xml:space="preserve">uoroquinolones </w:t>
            </w:r>
            <w:r w:rsidR="009E02D9">
              <w:t xml:space="preserve">have been shown to be </w:t>
            </w:r>
            <w:r w:rsidR="00FA509D">
              <w:t xml:space="preserve">toxic to developing cartilage, </w:t>
            </w:r>
            <w:r w:rsidR="009E02D9">
              <w:t xml:space="preserve">but adverse </w:t>
            </w:r>
            <w:r w:rsidR="00661355">
              <w:t>events related to connective tissue</w:t>
            </w:r>
            <w:r w:rsidR="009E02D9">
              <w:t xml:space="preserve"> ha</w:t>
            </w:r>
            <w:r w:rsidR="00661355">
              <w:t>ve</w:t>
            </w:r>
            <w:r w:rsidR="009E02D9">
              <w:t xml:space="preserve"> not been identified among humans</w:t>
            </w:r>
            <w:r w:rsidR="00FA509D">
              <w:t>.</w:t>
            </w:r>
            <w:r w:rsidR="00A42B14">
              <w:rPr>
                <w:vertAlign w:val="superscript"/>
              </w:rPr>
              <w:t>3-5</w:t>
            </w:r>
          </w:p>
          <w:p w14:paraId="1A169635" w14:textId="77777777" w:rsidR="00FF5FF6" w:rsidRDefault="00FD0906" w:rsidP="00FD0906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Gentamicin</w:t>
            </w:r>
          </w:p>
          <w:p w14:paraId="52A36C7E" w14:textId="2EA9697C" w:rsidR="00FD0906" w:rsidRPr="009C5A89" w:rsidRDefault="00FD0906" w:rsidP="00AA37AF">
            <w:pPr>
              <w:pStyle w:val="ListParagraph"/>
              <w:numPr>
                <w:ilvl w:val="1"/>
                <w:numId w:val="5"/>
              </w:numPr>
            </w:pPr>
            <w:r>
              <w:t>Ototoxicity and nephrotoxicity in the fetus are theoretical possibilities, but these have not been documented clinically</w:t>
            </w:r>
            <w:r w:rsidR="00AA37AF">
              <w:t>.</w:t>
            </w:r>
            <w:r w:rsidR="00D228F6" w:rsidRPr="00D228F6">
              <w:rPr>
                <w:vertAlign w:val="superscript"/>
              </w:rPr>
              <w:t>3</w:t>
            </w:r>
            <w:r w:rsidR="002F5BFD">
              <w:t xml:space="preserve"> </w:t>
            </w:r>
          </w:p>
        </w:tc>
        <w:tc>
          <w:tcPr>
            <w:tcW w:w="4230" w:type="dxa"/>
          </w:tcPr>
          <w:p w14:paraId="6285F13E" w14:textId="102C81A3" w:rsidR="000A472A" w:rsidRDefault="00AA37AF" w:rsidP="00D52A5A">
            <w:pPr>
              <w:pStyle w:val="ListParagraph"/>
              <w:ind w:left="0"/>
            </w:pPr>
            <w:r>
              <w:lastRenderedPageBreak/>
              <w:t xml:space="preserve">Moderate </w:t>
            </w:r>
            <w:r w:rsidR="001A3190">
              <w:t xml:space="preserve">to high </w:t>
            </w:r>
            <w:r>
              <w:t>certainty</w:t>
            </w:r>
          </w:p>
        </w:tc>
      </w:tr>
      <w:tr w:rsidR="000A472A" w:rsidRPr="00AA338A" w14:paraId="464E186E" w14:textId="77777777" w:rsidTr="00D52A5A">
        <w:tc>
          <w:tcPr>
            <w:tcW w:w="9618" w:type="dxa"/>
            <w:gridSpan w:val="2"/>
          </w:tcPr>
          <w:p w14:paraId="4A94B770" w14:textId="77777777" w:rsidR="000A472A" w:rsidRPr="00AA338A" w:rsidRDefault="000A472A" w:rsidP="00D52A5A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A338A">
              <w:rPr>
                <w:b/>
                <w:bCs/>
              </w:rPr>
              <w:t>Symptom resolution/infection clearance</w:t>
            </w:r>
          </w:p>
        </w:tc>
      </w:tr>
      <w:tr w:rsidR="000A472A" w14:paraId="709B3F1D" w14:textId="77777777" w:rsidTr="00D52A5A">
        <w:tc>
          <w:tcPr>
            <w:tcW w:w="5388" w:type="dxa"/>
          </w:tcPr>
          <w:p w14:paraId="77D35F7C" w14:textId="6706232B" w:rsidR="009A09C1" w:rsidRDefault="009A09C1" w:rsidP="009A09C1">
            <w:pPr>
              <w:pStyle w:val="ListParagraph"/>
              <w:ind w:left="0"/>
            </w:pPr>
            <w:r>
              <w:t>Among the 23 patients treated with effective antimicrobials</w:t>
            </w:r>
            <w:r w:rsidR="00281E10">
              <w:t xml:space="preserve"> identified in the pregnancy systematic review:</w:t>
            </w:r>
          </w:p>
          <w:p w14:paraId="4D2FF3FE" w14:textId="4A1CFDEC" w:rsidR="002D6503" w:rsidRDefault="005F1433" w:rsidP="009A09C1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8</w:t>
            </w:r>
            <w:r w:rsidR="002D6503">
              <w:t xml:space="preserve"> </w:t>
            </w:r>
            <w:r w:rsidR="00347AF6">
              <w:t xml:space="preserve">(35%) </w:t>
            </w:r>
            <w:r w:rsidR="002D6503">
              <w:t>required lymph node aspiration</w:t>
            </w:r>
          </w:p>
          <w:p w14:paraId="721B0539" w14:textId="2500A462" w:rsidR="002D6503" w:rsidRDefault="005F1433" w:rsidP="009A09C1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9</w:t>
            </w:r>
            <w:r w:rsidR="00347AF6">
              <w:t xml:space="preserve"> (39%)</w:t>
            </w:r>
            <w:r w:rsidR="002D6503">
              <w:t xml:space="preserve"> required lymph node excision</w:t>
            </w:r>
          </w:p>
          <w:p w14:paraId="61E9AC23" w14:textId="7886068A" w:rsidR="002D6503" w:rsidRDefault="005F1433" w:rsidP="009A09C1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1</w:t>
            </w:r>
            <w:r w:rsidR="002D6503">
              <w:t xml:space="preserve"> </w:t>
            </w:r>
            <w:r w:rsidR="00347AF6">
              <w:t xml:space="preserve">(4%) </w:t>
            </w:r>
            <w:r>
              <w:t>experienced</w:t>
            </w:r>
            <w:r w:rsidR="002D6503">
              <w:t xml:space="preserve"> spontaneous lymph node rupture</w:t>
            </w:r>
            <w:r w:rsidR="003B4DAE">
              <w:rPr>
                <w:vertAlign w:val="superscript"/>
              </w:rPr>
              <w:t>1</w:t>
            </w:r>
          </w:p>
          <w:p w14:paraId="67DD6DE2" w14:textId="28D4E3A0" w:rsidR="002D6503" w:rsidRDefault="002D6503" w:rsidP="00347AF6">
            <w:pPr>
              <w:ind w:left="57"/>
            </w:pPr>
          </w:p>
          <w:p w14:paraId="05292859" w14:textId="65118B31" w:rsidR="00347AF6" w:rsidRDefault="00347AF6" w:rsidP="00347AF6">
            <w:pPr>
              <w:ind w:left="57"/>
            </w:pPr>
            <w:r>
              <w:t>Among the 29 remaining patients not treated with effective antimicrobials:</w:t>
            </w:r>
          </w:p>
          <w:p w14:paraId="667074D2" w14:textId="0D741CAB" w:rsidR="00347AF6" w:rsidRDefault="00347AF6" w:rsidP="00347AF6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2 (7%) required lymph node aspiration</w:t>
            </w:r>
          </w:p>
          <w:p w14:paraId="033E8485" w14:textId="4DC5A8CF" w:rsidR="00347AF6" w:rsidRDefault="00347AF6" w:rsidP="00347AF6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4 (14%) required lymph node excision</w:t>
            </w:r>
          </w:p>
          <w:p w14:paraId="106E88D5" w14:textId="71801B1C" w:rsidR="00347AF6" w:rsidRDefault="00347AF6" w:rsidP="00347AF6">
            <w:pPr>
              <w:pStyle w:val="ListParagraph"/>
              <w:numPr>
                <w:ilvl w:val="0"/>
                <w:numId w:val="8"/>
              </w:numPr>
              <w:ind w:left="237" w:hanging="180"/>
            </w:pPr>
            <w:r>
              <w:t>4 (14%) experienced spontaneous lymph node rupture</w:t>
            </w:r>
            <w:r w:rsidR="003B4DAE">
              <w:rPr>
                <w:vertAlign w:val="superscript"/>
              </w:rPr>
              <w:t>1</w:t>
            </w:r>
          </w:p>
          <w:p w14:paraId="3EE47A70" w14:textId="444465C8" w:rsidR="000A472A" w:rsidRDefault="00276EB9" w:rsidP="00347AF6">
            <w:pPr>
              <w:ind w:left="57"/>
            </w:pPr>
            <w:r>
              <w:t>Note these data are likely biased by differences in disease severity and other factors. Furthermore, missing data on timing of treatment and low case numbers limit interpretation.</w:t>
            </w:r>
          </w:p>
          <w:p w14:paraId="2ACF3AFF" w14:textId="3EEF27B7" w:rsidR="00276EB9" w:rsidRDefault="00276EB9" w:rsidP="00347AF6">
            <w:pPr>
              <w:ind w:left="57"/>
            </w:pPr>
          </w:p>
        </w:tc>
        <w:tc>
          <w:tcPr>
            <w:tcW w:w="4230" w:type="dxa"/>
          </w:tcPr>
          <w:p w14:paraId="6B171C08" w14:textId="14AA1CAA" w:rsidR="000A472A" w:rsidRDefault="00347AF6" w:rsidP="00D52A5A">
            <w:pPr>
              <w:pStyle w:val="ListParagraph"/>
              <w:ind w:left="0"/>
            </w:pPr>
            <w:r>
              <w:t>Low certainty</w:t>
            </w:r>
          </w:p>
        </w:tc>
      </w:tr>
      <w:tr w:rsidR="000A472A" w:rsidRPr="00AA338A" w14:paraId="2BB430F3" w14:textId="77777777" w:rsidTr="00D52A5A">
        <w:tc>
          <w:tcPr>
            <w:tcW w:w="9618" w:type="dxa"/>
            <w:gridSpan w:val="2"/>
          </w:tcPr>
          <w:p w14:paraId="4A975C13" w14:textId="1F94E293" w:rsidR="000A472A" w:rsidRPr="00AA338A" w:rsidRDefault="000B44AD" w:rsidP="00D52A5A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Maternal</w:t>
            </w:r>
            <w:r w:rsidR="00C77866">
              <w:rPr>
                <w:b/>
                <w:bCs/>
              </w:rPr>
              <w:t>-</w:t>
            </w:r>
            <w:r>
              <w:rPr>
                <w:b/>
                <w:bCs/>
              </w:rPr>
              <w:t>fetal outcomes</w:t>
            </w:r>
          </w:p>
        </w:tc>
      </w:tr>
      <w:tr w:rsidR="000A472A" w14:paraId="5CD66765" w14:textId="77777777" w:rsidTr="00D52A5A">
        <w:tc>
          <w:tcPr>
            <w:tcW w:w="5388" w:type="dxa"/>
          </w:tcPr>
          <w:p w14:paraId="3F62B938" w14:textId="65A71A20" w:rsidR="00D77B68" w:rsidRDefault="00D77B68" w:rsidP="005527A6">
            <w:pPr>
              <w:pStyle w:val="ListParagraph"/>
              <w:numPr>
                <w:ilvl w:val="0"/>
                <w:numId w:val="6"/>
              </w:numPr>
            </w:pPr>
            <w:r>
              <w:t xml:space="preserve">Of the </w:t>
            </w:r>
            <w:r w:rsidR="00B41E8A">
              <w:t>23</w:t>
            </w:r>
            <w:r>
              <w:t xml:space="preserve"> </w:t>
            </w:r>
            <w:r w:rsidR="00152CA7">
              <w:t xml:space="preserve">patients </w:t>
            </w:r>
            <w:r>
              <w:t xml:space="preserve">who received </w:t>
            </w:r>
            <w:r w:rsidR="005527A6">
              <w:t>effective antimicrobials</w:t>
            </w:r>
            <w:r>
              <w:t>, 1 experienced pregnancy loss</w:t>
            </w:r>
          </w:p>
          <w:p w14:paraId="4E74A07C" w14:textId="7EB859E1" w:rsidR="00D77B68" w:rsidRDefault="00C27698" w:rsidP="00276EB9">
            <w:pPr>
              <w:pStyle w:val="ListParagraph"/>
              <w:numPr>
                <w:ilvl w:val="1"/>
                <w:numId w:val="6"/>
              </w:numPr>
            </w:pPr>
            <w:r>
              <w:t xml:space="preserve">This was a spontaneous abortion that occurred in a patient treated </w:t>
            </w:r>
            <w:r w:rsidR="005527A6">
              <w:t xml:space="preserve">with streptomycin </w:t>
            </w:r>
            <w:r>
              <w:t>&gt;2 months after illness onset. Pathologic examination of the fetus and placenta showed no evidence that the pregnancy loss was due to streptomycin therapy.</w:t>
            </w:r>
            <w:r w:rsidR="003B4DAE">
              <w:rPr>
                <w:vertAlign w:val="superscript"/>
              </w:rPr>
              <w:t>1</w:t>
            </w:r>
            <w:r>
              <w:t xml:space="preserve"> </w:t>
            </w:r>
          </w:p>
          <w:p w14:paraId="5F038A7F" w14:textId="0A476830" w:rsidR="00B968F8" w:rsidRDefault="00B968F8" w:rsidP="00B968F8">
            <w:pPr>
              <w:pStyle w:val="ListParagraph"/>
              <w:numPr>
                <w:ilvl w:val="0"/>
                <w:numId w:val="6"/>
              </w:numPr>
            </w:pPr>
            <w:r>
              <w:t>Among 24 untreated patients, there was 1 pregnancy loss</w:t>
            </w:r>
            <w:r w:rsidR="007B26C9">
              <w:t xml:space="preserve">, </w:t>
            </w:r>
            <w:r>
              <w:t>3 fetal deaths</w:t>
            </w:r>
            <w:r w:rsidR="007B26C9">
              <w:t>, and 1 birth defect</w:t>
            </w:r>
          </w:p>
          <w:p w14:paraId="5208D5E0" w14:textId="77777777" w:rsidR="00B968F8" w:rsidRPr="007B26C9" w:rsidRDefault="00B968F8" w:rsidP="00B968F8">
            <w:pPr>
              <w:pStyle w:val="ListParagraph"/>
              <w:numPr>
                <w:ilvl w:val="1"/>
                <w:numId w:val="6"/>
              </w:numPr>
            </w:pPr>
            <w:r>
              <w:t xml:space="preserve">One of </w:t>
            </w:r>
            <w:r w:rsidR="007B26C9">
              <w:t>the losses</w:t>
            </w:r>
            <w:r>
              <w:t xml:space="preserve"> was associated with possible transplacental transmission: organisms consistent with </w:t>
            </w:r>
            <w:r w:rsidRPr="00B968F8">
              <w:rPr>
                <w:i/>
                <w:iCs/>
              </w:rPr>
              <w:t>F. tularensis</w:t>
            </w:r>
            <w:r>
              <w:t xml:space="preserve"> were identified on fetal autopsy in the placenta and spleen.</w:t>
            </w:r>
            <w:r w:rsidR="003B4DAE">
              <w:rPr>
                <w:vertAlign w:val="superscript"/>
              </w:rPr>
              <w:t>6</w:t>
            </w:r>
          </w:p>
          <w:p w14:paraId="03F067E4" w14:textId="7ABB359C" w:rsidR="007B26C9" w:rsidRPr="007B26C9" w:rsidRDefault="007B26C9" w:rsidP="00B968F8">
            <w:pPr>
              <w:pStyle w:val="ListParagraph"/>
              <w:numPr>
                <w:ilvl w:val="1"/>
                <w:numId w:val="6"/>
              </w:numPr>
            </w:pPr>
            <w:r>
              <w:t>There was one case of hydranencephaly reported. However, the unclear timing of the mother’s illness, as well a</w:t>
            </w:r>
            <w:r w:rsidR="00276EB9">
              <w:t>s a history of</w:t>
            </w:r>
            <w:r>
              <w:t xml:space="preserve"> alcohol abuse throughout the first trimester, make any association between maternal infection and hydranencephaly questionable. </w:t>
            </w:r>
            <w:r w:rsidRPr="007B26C9">
              <w:rPr>
                <w:i/>
                <w:iCs/>
              </w:rPr>
              <w:t>F. tularensis</w:t>
            </w:r>
            <w:r>
              <w:t xml:space="preserve"> testing of the infant yielded negative results.</w:t>
            </w:r>
            <w:r w:rsidR="00A56EEE">
              <w:rPr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4230" w:type="dxa"/>
          </w:tcPr>
          <w:p w14:paraId="38CE4914" w14:textId="6AF90405" w:rsidR="000A472A" w:rsidRDefault="00D77B68" w:rsidP="00D52A5A">
            <w:pPr>
              <w:pStyle w:val="ListParagraph"/>
              <w:ind w:left="0"/>
            </w:pPr>
            <w:r>
              <w:t>Low certainty</w:t>
            </w:r>
          </w:p>
        </w:tc>
      </w:tr>
    </w:tbl>
    <w:p w14:paraId="3B118FED" w14:textId="64DCAEE2" w:rsidR="000A472A" w:rsidRDefault="000A472A" w:rsidP="000A472A">
      <w:pPr>
        <w:pStyle w:val="ListParagraph"/>
        <w:ind w:left="390"/>
        <w:rPr>
          <w:b/>
          <w:bCs/>
        </w:rPr>
      </w:pPr>
      <w:r w:rsidRPr="00CF2D11">
        <w:rPr>
          <w:b/>
          <w:bCs/>
        </w:rPr>
        <w:lastRenderedPageBreak/>
        <w:t xml:space="preserve">GRADE Evidence to </w:t>
      </w:r>
      <w:r w:rsidR="00335F8F">
        <w:rPr>
          <w:b/>
          <w:bCs/>
        </w:rPr>
        <w:t>D</w:t>
      </w:r>
      <w:r w:rsidRPr="00CF2D11">
        <w:rPr>
          <w:b/>
          <w:bCs/>
        </w:rPr>
        <w:t xml:space="preserve">ecision </w:t>
      </w:r>
      <w:r w:rsidR="00335F8F">
        <w:rPr>
          <w:b/>
          <w:bCs/>
        </w:rPr>
        <w:t>F</w:t>
      </w:r>
      <w:r w:rsidRPr="00CF2D11">
        <w:rPr>
          <w:b/>
          <w:bCs/>
        </w:rPr>
        <w:t>ramework</w:t>
      </w:r>
    </w:p>
    <w:p w14:paraId="30468717" w14:textId="77777777" w:rsidR="00335F8F" w:rsidRPr="00CF2D11" w:rsidRDefault="00335F8F" w:rsidP="000A472A">
      <w:pPr>
        <w:pStyle w:val="ListParagraph"/>
        <w:ind w:left="390"/>
        <w:rPr>
          <w:b/>
          <w:bCs/>
        </w:rPr>
      </w:pPr>
    </w:p>
    <w:tbl>
      <w:tblPr>
        <w:tblStyle w:val="TableGrid"/>
        <w:tblW w:w="9854" w:type="dxa"/>
        <w:tblInd w:w="390" w:type="dxa"/>
        <w:tblLook w:val="04A0" w:firstRow="1" w:lastRow="0" w:firstColumn="1" w:lastColumn="0" w:noHBand="0" w:noVBand="1"/>
      </w:tblPr>
      <w:tblGrid>
        <w:gridCol w:w="3678"/>
        <w:gridCol w:w="6176"/>
      </w:tblGrid>
      <w:tr w:rsidR="000A472A" w:rsidRPr="00A96A10" w14:paraId="44BC0128" w14:textId="77777777" w:rsidTr="00D52A5A">
        <w:tc>
          <w:tcPr>
            <w:tcW w:w="3678" w:type="dxa"/>
          </w:tcPr>
          <w:p w14:paraId="2BCB53C9" w14:textId="2BFA3971" w:rsidR="000A472A" w:rsidRPr="00A96A10" w:rsidRDefault="000A472A" w:rsidP="00D52A5A">
            <w:pPr>
              <w:pStyle w:val="ListParagraph"/>
              <w:ind w:left="0"/>
              <w:rPr>
                <w:b/>
                <w:bCs/>
              </w:rPr>
            </w:pPr>
            <w:r w:rsidRPr="00A96A10">
              <w:rPr>
                <w:b/>
                <w:bCs/>
              </w:rPr>
              <w:t>Criteri</w:t>
            </w:r>
            <w:r w:rsidR="00335F8F">
              <w:rPr>
                <w:b/>
                <w:bCs/>
              </w:rPr>
              <w:t>a</w:t>
            </w:r>
          </w:p>
        </w:tc>
        <w:tc>
          <w:tcPr>
            <w:tcW w:w="6176" w:type="dxa"/>
          </w:tcPr>
          <w:p w14:paraId="325A13F2" w14:textId="77777777" w:rsidR="000A472A" w:rsidRPr="00A96A10" w:rsidRDefault="000A472A" w:rsidP="00D52A5A">
            <w:pPr>
              <w:pStyle w:val="ListParagraph"/>
              <w:ind w:left="0"/>
              <w:rPr>
                <w:b/>
                <w:bCs/>
              </w:rPr>
            </w:pPr>
            <w:r w:rsidRPr="00A96A10">
              <w:rPr>
                <w:b/>
                <w:bCs/>
              </w:rPr>
              <w:t>Judgment</w:t>
            </w:r>
          </w:p>
        </w:tc>
      </w:tr>
      <w:tr w:rsidR="000A472A" w14:paraId="6A5411B6" w14:textId="77777777" w:rsidTr="00D52A5A">
        <w:tc>
          <w:tcPr>
            <w:tcW w:w="3678" w:type="dxa"/>
          </w:tcPr>
          <w:p w14:paraId="7B8537FD" w14:textId="77777777" w:rsidR="000A472A" w:rsidRDefault="000A472A" w:rsidP="00D52A5A">
            <w:pPr>
              <w:pStyle w:val="ListParagraph"/>
              <w:ind w:left="0"/>
            </w:pPr>
            <w:r>
              <w:t>Magnitude of desirable effects</w:t>
            </w:r>
          </w:p>
        </w:tc>
        <w:tc>
          <w:tcPr>
            <w:tcW w:w="6176" w:type="dxa"/>
          </w:tcPr>
          <w:p w14:paraId="40C1EAA8" w14:textId="0865CA38" w:rsidR="000A472A" w:rsidRDefault="006875FE" w:rsidP="00D52A5A">
            <w:pPr>
              <w:pStyle w:val="ListParagraph"/>
              <w:ind w:left="0"/>
            </w:pPr>
            <w:r>
              <w:t>Large</w:t>
            </w:r>
          </w:p>
        </w:tc>
      </w:tr>
      <w:tr w:rsidR="000A472A" w14:paraId="59B997E1" w14:textId="77777777" w:rsidTr="00D52A5A">
        <w:tc>
          <w:tcPr>
            <w:tcW w:w="3678" w:type="dxa"/>
          </w:tcPr>
          <w:p w14:paraId="3638556D" w14:textId="77777777" w:rsidR="000A472A" w:rsidRDefault="000A472A" w:rsidP="00D52A5A">
            <w:pPr>
              <w:pStyle w:val="ListParagraph"/>
              <w:ind w:left="0"/>
            </w:pPr>
            <w:r>
              <w:t>Magnitude of undesirable effects</w:t>
            </w:r>
          </w:p>
        </w:tc>
        <w:tc>
          <w:tcPr>
            <w:tcW w:w="6176" w:type="dxa"/>
          </w:tcPr>
          <w:p w14:paraId="2A31F610" w14:textId="46368470" w:rsidR="000A472A" w:rsidRDefault="006875FE" w:rsidP="00D52A5A">
            <w:pPr>
              <w:pStyle w:val="ListParagraph"/>
              <w:ind w:left="0"/>
            </w:pPr>
            <w:r>
              <w:t>Small, based on the safety profiles of ciprofloxacin, levofloxacin</w:t>
            </w:r>
            <w:r w:rsidR="00BC0901">
              <w:t xml:space="preserve"> in animal studies</w:t>
            </w:r>
            <w:r>
              <w:t xml:space="preserve">, and gentamicin use during pregnancy. </w:t>
            </w:r>
          </w:p>
        </w:tc>
      </w:tr>
      <w:tr w:rsidR="000A472A" w14:paraId="60A8A83F" w14:textId="77777777" w:rsidTr="00D52A5A">
        <w:tc>
          <w:tcPr>
            <w:tcW w:w="3678" w:type="dxa"/>
          </w:tcPr>
          <w:p w14:paraId="40048B4C" w14:textId="77777777" w:rsidR="000A472A" w:rsidRDefault="000A472A" w:rsidP="00D52A5A">
            <w:pPr>
              <w:pStyle w:val="ListParagraph"/>
              <w:ind w:left="0"/>
            </w:pPr>
            <w:r>
              <w:t>Patient values</w:t>
            </w:r>
          </w:p>
        </w:tc>
        <w:tc>
          <w:tcPr>
            <w:tcW w:w="6176" w:type="dxa"/>
          </w:tcPr>
          <w:p w14:paraId="0960C66B" w14:textId="1610656D" w:rsidR="000A472A" w:rsidRDefault="006875FE" w:rsidP="00D52A5A">
            <w:pPr>
              <w:pStyle w:val="ListParagraph"/>
              <w:ind w:left="0"/>
            </w:pPr>
            <w:r>
              <w:t>Probably no important variability</w:t>
            </w:r>
          </w:p>
        </w:tc>
      </w:tr>
      <w:tr w:rsidR="000A472A" w14:paraId="359051A9" w14:textId="77777777" w:rsidTr="00D52A5A">
        <w:tc>
          <w:tcPr>
            <w:tcW w:w="3678" w:type="dxa"/>
          </w:tcPr>
          <w:p w14:paraId="414B6DA0" w14:textId="77777777" w:rsidR="000A472A" w:rsidRDefault="000A472A" w:rsidP="00D52A5A">
            <w:pPr>
              <w:pStyle w:val="ListParagraph"/>
              <w:ind w:left="0"/>
            </w:pPr>
            <w:r>
              <w:t>Cost of recommended action</w:t>
            </w:r>
          </w:p>
        </w:tc>
        <w:tc>
          <w:tcPr>
            <w:tcW w:w="6176" w:type="dxa"/>
          </w:tcPr>
          <w:p w14:paraId="05B96CD1" w14:textId="085B4766" w:rsidR="000A472A" w:rsidRDefault="006875FE" w:rsidP="00D52A5A">
            <w:pPr>
              <w:pStyle w:val="ListParagraph"/>
              <w:ind w:left="0"/>
            </w:pPr>
            <w:r>
              <w:t>Small</w:t>
            </w:r>
          </w:p>
        </w:tc>
      </w:tr>
      <w:tr w:rsidR="006875FE" w14:paraId="1CABF6C4" w14:textId="77777777" w:rsidTr="00D52A5A">
        <w:tc>
          <w:tcPr>
            <w:tcW w:w="3678" w:type="dxa"/>
          </w:tcPr>
          <w:p w14:paraId="7C99A206" w14:textId="77777777" w:rsidR="006875FE" w:rsidRDefault="006875FE" w:rsidP="006875FE">
            <w:pPr>
              <w:pStyle w:val="ListParagraph"/>
              <w:ind w:left="0"/>
            </w:pPr>
            <w:r>
              <w:t>Cost effectiveness</w:t>
            </w:r>
          </w:p>
        </w:tc>
        <w:tc>
          <w:tcPr>
            <w:tcW w:w="6176" w:type="dxa"/>
          </w:tcPr>
          <w:p w14:paraId="2CE9B405" w14:textId="117FC56F" w:rsidR="006875FE" w:rsidRDefault="006875FE" w:rsidP="006875FE">
            <w:pPr>
              <w:pStyle w:val="ListParagraph"/>
              <w:ind w:left="0"/>
            </w:pPr>
            <w:r>
              <w:t>No studies but expected to result in small ICER or savings.</w:t>
            </w:r>
          </w:p>
        </w:tc>
      </w:tr>
      <w:tr w:rsidR="006875FE" w14:paraId="05BF9D3B" w14:textId="77777777" w:rsidTr="00D52A5A">
        <w:tc>
          <w:tcPr>
            <w:tcW w:w="3678" w:type="dxa"/>
          </w:tcPr>
          <w:p w14:paraId="0C26739B" w14:textId="77777777" w:rsidR="006875FE" w:rsidRDefault="006875FE" w:rsidP="006875FE">
            <w:pPr>
              <w:pStyle w:val="ListParagraph"/>
              <w:ind w:left="0"/>
            </w:pPr>
            <w:r>
              <w:t>Feasibility</w:t>
            </w:r>
          </w:p>
        </w:tc>
        <w:tc>
          <w:tcPr>
            <w:tcW w:w="6176" w:type="dxa"/>
          </w:tcPr>
          <w:p w14:paraId="3A2DAFD7" w14:textId="499F33D4" w:rsidR="006875FE" w:rsidRDefault="006875FE" w:rsidP="006875FE">
            <w:pPr>
              <w:pStyle w:val="ListParagraph"/>
              <w:ind w:left="0"/>
            </w:pPr>
            <w:r>
              <w:t>The recommended antimicrobials are feasible to administer, more so for ones administered orally. Shortages</w:t>
            </w:r>
            <w:r w:rsidR="00BA3DF5">
              <w:t xml:space="preserve"> and stockpiling by the public</w:t>
            </w:r>
            <w:r>
              <w:t xml:space="preserve"> are expected with </w:t>
            </w:r>
            <w:r w:rsidRPr="008938FD">
              <w:t>intentional release situations</w:t>
            </w:r>
            <w:r>
              <w:t xml:space="preserve">. </w:t>
            </w:r>
          </w:p>
        </w:tc>
      </w:tr>
      <w:tr w:rsidR="006875FE" w14:paraId="238A3F72" w14:textId="77777777" w:rsidTr="00D52A5A">
        <w:tc>
          <w:tcPr>
            <w:tcW w:w="3678" w:type="dxa"/>
          </w:tcPr>
          <w:p w14:paraId="22FF96E9" w14:textId="77777777" w:rsidR="006875FE" w:rsidRDefault="006875FE" w:rsidP="006875FE">
            <w:pPr>
              <w:pStyle w:val="ListParagraph"/>
              <w:ind w:left="0"/>
            </w:pPr>
            <w:r>
              <w:t>Acceptability</w:t>
            </w:r>
          </w:p>
        </w:tc>
        <w:tc>
          <w:tcPr>
            <w:tcW w:w="6176" w:type="dxa"/>
          </w:tcPr>
          <w:p w14:paraId="424D1E25" w14:textId="7798012B" w:rsidR="006875FE" w:rsidRDefault="006875FE" w:rsidP="006875FE">
            <w:pPr>
              <w:pStyle w:val="ListParagraph"/>
              <w:ind w:left="0"/>
            </w:pPr>
            <w:r>
              <w:t xml:space="preserve">The recommended antimicrobials are </w:t>
            </w:r>
            <w:r w:rsidR="00BA3DF5">
              <w:t xml:space="preserve">generally </w:t>
            </w:r>
            <w:r>
              <w:t xml:space="preserve">acceptable to stakeholders, more so for ones administered orally. </w:t>
            </w:r>
          </w:p>
        </w:tc>
      </w:tr>
      <w:tr w:rsidR="006875FE" w14:paraId="75EF73F7" w14:textId="77777777" w:rsidTr="00D52A5A">
        <w:tc>
          <w:tcPr>
            <w:tcW w:w="3678" w:type="dxa"/>
          </w:tcPr>
          <w:p w14:paraId="09B0AF44" w14:textId="4E45C7C9" w:rsidR="006875FE" w:rsidRDefault="00B83737" w:rsidP="006875FE">
            <w:pPr>
              <w:pStyle w:val="ListParagraph"/>
              <w:ind w:left="0"/>
            </w:pPr>
            <w:r>
              <w:t>Access</w:t>
            </w:r>
          </w:p>
        </w:tc>
        <w:tc>
          <w:tcPr>
            <w:tcW w:w="6176" w:type="dxa"/>
          </w:tcPr>
          <w:p w14:paraId="5A4075AE" w14:textId="4E1CEBC6" w:rsidR="006875FE" w:rsidRDefault="00B83737" w:rsidP="006875FE">
            <w:r>
              <w:t xml:space="preserve">No perceived impact on medication access is anticipated when this recommendation is implemented. </w:t>
            </w:r>
            <w:r w:rsidRPr="00F97DFC">
              <w:rPr>
                <w:color w:val="000000"/>
              </w:rPr>
              <w:t>G6PD deficiency is more common in people of African, Mediterranean, or Asian descent</w:t>
            </w:r>
            <w:r>
              <w:rPr>
                <w:color w:val="000000"/>
              </w:rPr>
              <w:t xml:space="preserve"> and can have impact on use of f</w:t>
            </w:r>
            <w:r w:rsidRPr="00F97DFC">
              <w:rPr>
                <w:color w:val="000000"/>
              </w:rPr>
              <w:t>luoroquinolones</w:t>
            </w:r>
            <w:r>
              <w:rPr>
                <w:color w:val="000000"/>
              </w:rPr>
              <w:t>. Recommending multiple options for treatment can mitigate differences in medication access better than recommending 1 or 2 preferred options if access is restricted due to shortages.</w:t>
            </w:r>
          </w:p>
        </w:tc>
      </w:tr>
    </w:tbl>
    <w:p w14:paraId="08399EEA" w14:textId="77777777" w:rsidR="000A472A" w:rsidRDefault="000A472A" w:rsidP="00095578"/>
    <w:p w14:paraId="24825EBD" w14:textId="77777777" w:rsidR="009F529A" w:rsidRDefault="009F529A">
      <w:pPr>
        <w:rPr>
          <w:b/>
          <w:bCs/>
        </w:rPr>
      </w:pPr>
      <w:r>
        <w:rPr>
          <w:b/>
          <w:bCs/>
        </w:rPr>
        <w:br w:type="page"/>
      </w:r>
    </w:p>
    <w:p w14:paraId="160D080E" w14:textId="43F837D2" w:rsidR="00E746B3" w:rsidRPr="0010329D" w:rsidRDefault="00E746B3" w:rsidP="00E746B3">
      <w:pPr>
        <w:rPr>
          <w:b/>
          <w:bCs/>
        </w:rPr>
      </w:pPr>
      <w:r w:rsidRPr="0010329D">
        <w:rPr>
          <w:b/>
          <w:bCs/>
        </w:rPr>
        <w:lastRenderedPageBreak/>
        <w:t xml:space="preserve">Recommendation </w:t>
      </w:r>
      <w:r w:rsidR="005F2057">
        <w:rPr>
          <w:b/>
          <w:bCs/>
        </w:rPr>
        <w:t>3</w:t>
      </w:r>
      <w:r w:rsidRPr="0010329D">
        <w:rPr>
          <w:b/>
          <w:bCs/>
        </w:rPr>
        <w:t>:</w:t>
      </w:r>
    </w:p>
    <w:p w14:paraId="0CFAD1A3" w14:textId="500AD418" w:rsidR="00E746B3" w:rsidRDefault="0022321A" w:rsidP="00E746B3">
      <w:r>
        <w:t xml:space="preserve">For </w:t>
      </w:r>
      <w:r w:rsidR="0006672E">
        <w:t>p</w:t>
      </w:r>
      <w:r w:rsidRPr="00676E62">
        <w:t>ost</w:t>
      </w:r>
      <w:r w:rsidR="005146FF">
        <w:t>-</w:t>
      </w:r>
      <w:r w:rsidRPr="00676E62">
        <w:t xml:space="preserve">exposure prophylaxis </w:t>
      </w:r>
      <w:r w:rsidR="00F47E1F">
        <w:t xml:space="preserve">(PEP) </w:t>
      </w:r>
      <w:r w:rsidRPr="00676E62">
        <w:t xml:space="preserve">for adults and children potentially exposed to </w:t>
      </w:r>
      <w:r w:rsidRPr="00D2655A">
        <w:rPr>
          <w:i/>
          <w:iCs/>
        </w:rPr>
        <w:t>F. tularensis</w:t>
      </w:r>
      <w:r w:rsidR="00E746B3">
        <w:t xml:space="preserve">, CDC recommends </w:t>
      </w:r>
      <w:r w:rsidR="0006672E">
        <w:t>using</w:t>
      </w:r>
      <w:r w:rsidR="00E746B3">
        <w:t xml:space="preserve"> ciprofloxacin</w:t>
      </w:r>
      <w:r w:rsidR="00BD5492">
        <w:t>, doxycycline, or levofloxacin</w:t>
      </w:r>
      <w:r w:rsidR="00FA6D25">
        <w:t xml:space="preserve"> for </w:t>
      </w:r>
      <w:r w:rsidR="001424A1">
        <w:t xml:space="preserve">nonpregnant </w:t>
      </w:r>
      <w:r w:rsidR="00FA6D25">
        <w:t>adults</w:t>
      </w:r>
      <w:r w:rsidR="00E21359">
        <w:t xml:space="preserve">, </w:t>
      </w:r>
      <w:r w:rsidR="00FA6D25">
        <w:t xml:space="preserve">children, </w:t>
      </w:r>
      <w:r w:rsidR="00E21359">
        <w:t xml:space="preserve">and neonates, </w:t>
      </w:r>
      <w:r w:rsidR="001424A1">
        <w:t xml:space="preserve">and </w:t>
      </w:r>
      <w:r w:rsidR="006A62EA">
        <w:t xml:space="preserve">ciprofloxacin </w:t>
      </w:r>
      <w:r w:rsidR="00E746B3">
        <w:t>or levofloxacin</w:t>
      </w:r>
      <w:r w:rsidR="006A62EA">
        <w:t xml:space="preserve"> </w:t>
      </w:r>
      <w:r w:rsidR="00E21359">
        <w:t>for</w:t>
      </w:r>
      <w:r w:rsidR="006A62EA">
        <w:t xml:space="preserve"> pregnant </w:t>
      </w:r>
      <w:r w:rsidR="00B83737">
        <w:t>women</w:t>
      </w:r>
      <w:r w:rsidR="00E746B3">
        <w:t>. (</w:t>
      </w:r>
      <w:r w:rsidR="00D465AC">
        <w:t>S</w:t>
      </w:r>
      <w:r w:rsidR="00E746B3">
        <w:t>trong recommendation, moderate certainty)</w:t>
      </w:r>
    </w:p>
    <w:p w14:paraId="7A6F0A96" w14:textId="77777777" w:rsidR="00FC76C4" w:rsidRPr="0010329D" w:rsidRDefault="00FC76C4" w:rsidP="00FC76C4">
      <w:pPr>
        <w:rPr>
          <w:b/>
          <w:bCs/>
        </w:rPr>
      </w:pPr>
      <w:r w:rsidRPr="0010329D">
        <w:rPr>
          <w:b/>
          <w:bCs/>
        </w:rPr>
        <w:t>Implementation considerations:</w:t>
      </w:r>
    </w:p>
    <w:p w14:paraId="197A2DD7" w14:textId="679C7A4E" w:rsidR="00F47E1F" w:rsidRDefault="00F47E1F" w:rsidP="00F47E1F">
      <w:pPr>
        <w:pStyle w:val="ListParagraph"/>
        <w:numPr>
          <w:ilvl w:val="1"/>
          <w:numId w:val="3"/>
        </w:numPr>
      </w:pPr>
      <w:r>
        <w:t xml:space="preserve">PEP should not be delayed if the preferred </w:t>
      </w:r>
      <w:r w:rsidR="00356CDB">
        <w:t xml:space="preserve">antimicrobial </w:t>
      </w:r>
      <w:r>
        <w:t xml:space="preserve">is not immediately available. Providers should begin </w:t>
      </w:r>
      <w:r w:rsidR="00356CDB">
        <w:t xml:space="preserve">prophylaxis </w:t>
      </w:r>
      <w:r>
        <w:t xml:space="preserve">with an available alternative </w:t>
      </w:r>
      <w:r w:rsidR="00356CDB">
        <w:t xml:space="preserve">antimicrobial </w:t>
      </w:r>
      <w:r>
        <w:t xml:space="preserve">until the preferred therapy is available. </w:t>
      </w:r>
    </w:p>
    <w:p w14:paraId="70AFE96E" w14:textId="1543A02B" w:rsidR="00F47E1F" w:rsidRDefault="00F47E1F" w:rsidP="00F47E1F">
      <w:pPr>
        <w:pStyle w:val="ListParagraph"/>
        <w:numPr>
          <w:ilvl w:val="1"/>
          <w:numId w:val="3"/>
        </w:numPr>
      </w:pPr>
      <w:r>
        <w:t xml:space="preserve">PEP duration </w:t>
      </w:r>
      <w:r w:rsidRPr="00D465AC">
        <w:t xml:space="preserve">is 7 days for ciprofloxacin and </w:t>
      </w:r>
      <w:r w:rsidR="00356CDB" w:rsidRPr="00D465AC">
        <w:t xml:space="preserve">levofloxacin </w:t>
      </w:r>
      <w:r w:rsidRPr="00D465AC">
        <w:t>and 10</w:t>
      </w:r>
      <w:r w:rsidR="00BD5492">
        <w:t>-14</w:t>
      </w:r>
      <w:r w:rsidRPr="00D465AC">
        <w:t xml:space="preserve"> days</w:t>
      </w:r>
      <w:r>
        <w:t xml:space="preserve"> for doxycycline.</w:t>
      </w:r>
    </w:p>
    <w:p w14:paraId="4C39301A" w14:textId="77777777" w:rsidR="00FC76C4" w:rsidRDefault="00FC76C4" w:rsidP="00095578"/>
    <w:p w14:paraId="37DE9ACF" w14:textId="421C564B" w:rsidR="003A4E35" w:rsidRDefault="00335F8F" w:rsidP="003A4E35">
      <w:pPr>
        <w:pStyle w:val="ListParagraph"/>
        <w:ind w:left="390"/>
        <w:rPr>
          <w:b/>
          <w:bCs/>
        </w:rPr>
      </w:pPr>
      <w:r w:rsidRPr="00CF2D11">
        <w:rPr>
          <w:b/>
          <w:bCs/>
        </w:rPr>
        <w:t xml:space="preserve">GRADE Summary of </w:t>
      </w:r>
      <w:r>
        <w:rPr>
          <w:b/>
          <w:bCs/>
        </w:rPr>
        <w:t>F</w:t>
      </w:r>
      <w:r w:rsidRPr="00CF2D11">
        <w:rPr>
          <w:b/>
          <w:bCs/>
        </w:rPr>
        <w:t>indings</w:t>
      </w:r>
    </w:p>
    <w:p w14:paraId="6A050EF8" w14:textId="77777777" w:rsidR="00335F8F" w:rsidRDefault="00335F8F" w:rsidP="003A4E35">
      <w:pPr>
        <w:pStyle w:val="ListParagraph"/>
        <w:ind w:left="390"/>
      </w:pPr>
    </w:p>
    <w:tbl>
      <w:tblPr>
        <w:tblStyle w:val="TableGrid"/>
        <w:tblW w:w="9618" w:type="dxa"/>
        <w:tblInd w:w="390" w:type="dxa"/>
        <w:tblLook w:val="04A0" w:firstRow="1" w:lastRow="0" w:firstColumn="1" w:lastColumn="0" w:noHBand="0" w:noVBand="1"/>
      </w:tblPr>
      <w:tblGrid>
        <w:gridCol w:w="5388"/>
        <w:gridCol w:w="4230"/>
      </w:tblGrid>
      <w:tr w:rsidR="003A4E35" w:rsidRPr="000C5353" w14:paraId="735EA971" w14:textId="77777777" w:rsidTr="00D52A5A">
        <w:tc>
          <w:tcPr>
            <w:tcW w:w="5388" w:type="dxa"/>
          </w:tcPr>
          <w:p w14:paraId="71E5DAED" w14:textId="77777777" w:rsidR="003A4E35" w:rsidRPr="000C5353" w:rsidRDefault="003A4E35" w:rsidP="00D52A5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4230" w:type="dxa"/>
          </w:tcPr>
          <w:p w14:paraId="1A0CAD3C" w14:textId="77777777" w:rsidR="003A4E35" w:rsidRPr="000C5353" w:rsidRDefault="003A4E35" w:rsidP="00D52A5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Certainty of Evidence</w:t>
            </w:r>
          </w:p>
        </w:tc>
      </w:tr>
      <w:tr w:rsidR="003A4E35" w14:paraId="71CADE7F" w14:textId="77777777" w:rsidTr="00D52A5A">
        <w:tc>
          <w:tcPr>
            <w:tcW w:w="9618" w:type="dxa"/>
            <w:gridSpan w:val="2"/>
          </w:tcPr>
          <w:p w14:paraId="11973B4E" w14:textId="74AE7722" w:rsidR="003A4E35" w:rsidRDefault="00194565" w:rsidP="00D52A5A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 xml:space="preserve">Efficacy of </w:t>
            </w:r>
            <w:r w:rsidR="008938FD">
              <w:rPr>
                <w:b/>
                <w:bCs/>
              </w:rPr>
              <w:t>p</w:t>
            </w:r>
            <w:r>
              <w:rPr>
                <w:b/>
                <w:bCs/>
              </w:rPr>
              <w:t>ost-</w:t>
            </w:r>
            <w:r w:rsidR="008938FD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xposure </w:t>
            </w:r>
            <w:r w:rsidR="008938FD">
              <w:rPr>
                <w:b/>
                <w:bCs/>
              </w:rPr>
              <w:t>p</w:t>
            </w:r>
            <w:r>
              <w:rPr>
                <w:b/>
                <w:bCs/>
              </w:rPr>
              <w:t>rophylaxis</w:t>
            </w:r>
          </w:p>
        </w:tc>
      </w:tr>
      <w:tr w:rsidR="00F47E1F" w14:paraId="07CC790A" w14:textId="77777777" w:rsidTr="00D52A5A">
        <w:tc>
          <w:tcPr>
            <w:tcW w:w="5388" w:type="dxa"/>
          </w:tcPr>
          <w:p w14:paraId="199D4587" w14:textId="76FA7DF8" w:rsidR="00115C4B" w:rsidRDefault="00401624" w:rsidP="00F47E1F">
            <w:r>
              <w:t xml:space="preserve">Controlled </w:t>
            </w:r>
            <w:r w:rsidR="00115C4B">
              <w:t>t</w:t>
            </w:r>
            <w:r>
              <w:t xml:space="preserve">rial with </w:t>
            </w:r>
            <w:r w:rsidR="00115C4B">
              <w:t>tetracycline</w:t>
            </w:r>
            <w:r w:rsidR="000D5241">
              <w:t xml:space="preserve"> PEP</w:t>
            </w:r>
            <w:r w:rsidR="00BD2F30">
              <w:t xml:space="preserve">: </w:t>
            </w:r>
          </w:p>
          <w:p w14:paraId="5D36C2D9" w14:textId="0EB4DF2B" w:rsidR="00115C4B" w:rsidRDefault="00115C4B" w:rsidP="00F47E1F">
            <w:r>
              <w:t>29</w:t>
            </w:r>
            <w:r w:rsidR="0028062C">
              <w:t xml:space="preserve"> </w:t>
            </w:r>
            <w:r w:rsidR="00F47E1F" w:rsidRPr="00D465AC">
              <w:rPr>
                <w:i/>
                <w:iCs/>
              </w:rPr>
              <w:t>Macaca mulatta</w:t>
            </w:r>
            <w:r w:rsidR="0028062C">
              <w:rPr>
                <w:i/>
                <w:iCs/>
              </w:rPr>
              <w:t xml:space="preserve"> </w:t>
            </w:r>
            <w:r w:rsidR="0028062C" w:rsidRPr="00D465AC">
              <w:t>were</w:t>
            </w:r>
            <w:r w:rsidR="0028062C">
              <w:rPr>
                <w:i/>
                <w:iCs/>
              </w:rPr>
              <w:t xml:space="preserve"> </w:t>
            </w:r>
            <w:r w:rsidR="0028062C" w:rsidRPr="00D465AC">
              <w:t xml:space="preserve">exposed to aerosolized </w:t>
            </w:r>
            <w:r w:rsidR="0053733C">
              <w:t>Schu</w:t>
            </w:r>
            <w:r w:rsidR="00FB7A6F">
              <w:t xml:space="preserve"> </w:t>
            </w:r>
            <w:r w:rsidR="0053733C">
              <w:t xml:space="preserve">S4 </w:t>
            </w:r>
            <w:r w:rsidR="0028062C">
              <w:t xml:space="preserve">and provided </w:t>
            </w:r>
            <w:r>
              <w:t xml:space="preserve">the first dose of tetracycline </w:t>
            </w:r>
            <w:r w:rsidR="0028062C">
              <w:t xml:space="preserve">prophylaxis (200 mg) </w:t>
            </w:r>
            <w:r>
              <w:t>24 hours after exposure</w:t>
            </w:r>
            <w:r w:rsidR="0028062C">
              <w:t xml:space="preserve">. </w:t>
            </w:r>
            <w:r w:rsidR="00096297">
              <w:t xml:space="preserve">Tetracycline was </w:t>
            </w:r>
            <w:r w:rsidR="00D465AC">
              <w:t>given</w:t>
            </w:r>
            <w:r w:rsidR="00096297">
              <w:t xml:space="preserve"> for 13 days, and survival was assessed 70 days after exposure.</w:t>
            </w:r>
          </w:p>
          <w:p w14:paraId="08DC1E69" w14:textId="4EEFE305" w:rsidR="00115C4B" w:rsidRDefault="00096297" w:rsidP="000D5241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0/</w:t>
            </w:r>
            <w:r w:rsidR="00115C4B">
              <w:t xml:space="preserve">5 animals </w:t>
            </w:r>
            <w:r>
              <w:t xml:space="preserve">who </w:t>
            </w:r>
            <w:r w:rsidR="00115C4B">
              <w:t>receiv</w:t>
            </w:r>
            <w:r>
              <w:t>ed</w:t>
            </w:r>
            <w:r w:rsidR="00115C4B">
              <w:t xml:space="preserve"> tetracycline every 24 hours </w:t>
            </w:r>
            <w:r>
              <w:t>died.</w:t>
            </w:r>
          </w:p>
          <w:p w14:paraId="37DDF4D6" w14:textId="28BB44E6" w:rsidR="00115C4B" w:rsidRDefault="00096297" w:rsidP="000E6271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1/</w:t>
            </w:r>
            <w:r w:rsidR="00115C4B">
              <w:t xml:space="preserve"> 6 </w:t>
            </w:r>
            <w:r w:rsidR="00D465AC">
              <w:t xml:space="preserve">animals </w:t>
            </w:r>
            <w:r>
              <w:t>who received</w:t>
            </w:r>
            <w:r w:rsidR="00115C4B">
              <w:t xml:space="preserve"> tetracycline every 36 hours </w:t>
            </w:r>
            <w:r>
              <w:t>d</w:t>
            </w:r>
            <w:r w:rsidR="00115C4B">
              <w:t>ied</w:t>
            </w:r>
            <w:r>
              <w:t>.</w:t>
            </w:r>
          </w:p>
          <w:p w14:paraId="4E6F9085" w14:textId="02BF7C42" w:rsidR="00115C4B" w:rsidRDefault="00096297" w:rsidP="002165D7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1/6</w:t>
            </w:r>
            <w:r w:rsidR="00115C4B">
              <w:t xml:space="preserve"> </w:t>
            </w:r>
            <w:r>
              <w:t>animals</w:t>
            </w:r>
            <w:r w:rsidR="00115C4B">
              <w:t xml:space="preserve"> </w:t>
            </w:r>
            <w:r>
              <w:t>who received</w:t>
            </w:r>
            <w:r w:rsidR="00115C4B">
              <w:t xml:space="preserve"> tetracycline every 48 hours died</w:t>
            </w:r>
            <w:r>
              <w:t>.</w:t>
            </w:r>
          </w:p>
          <w:p w14:paraId="51199622" w14:textId="5FC8BA59" w:rsidR="00115C4B" w:rsidRDefault="00096297" w:rsidP="00C94288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0/</w:t>
            </w:r>
            <w:r w:rsidR="00115C4B">
              <w:t>6 animals who received tetracycline every 72 hours</w:t>
            </w:r>
            <w:r>
              <w:t xml:space="preserve"> died.</w:t>
            </w:r>
          </w:p>
          <w:p w14:paraId="7D5B7B9C" w14:textId="6A091CA0" w:rsidR="00F47E1F" w:rsidRDefault="00096297" w:rsidP="00D465AC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0/</w:t>
            </w:r>
            <w:r w:rsidR="00115C4B">
              <w:t xml:space="preserve">6 </w:t>
            </w:r>
            <w:r w:rsidR="00D465AC">
              <w:t xml:space="preserve">animals </w:t>
            </w:r>
            <w:r w:rsidR="00115C4B">
              <w:t>who received an intermittent tetracycline schedule (days 1-3, 6-8, and 11-13</w:t>
            </w:r>
            <w:r>
              <w:t xml:space="preserve"> died</w:t>
            </w:r>
            <w:r w:rsidR="003B4DAE">
              <w:t>.</w:t>
            </w:r>
            <w:r w:rsidR="003B4DAE">
              <w:rPr>
                <w:vertAlign w:val="superscript"/>
              </w:rPr>
              <w:t>1</w:t>
            </w:r>
          </w:p>
          <w:p w14:paraId="39A2016A" w14:textId="77777777" w:rsidR="00F47E1F" w:rsidRDefault="00F47E1F" w:rsidP="00F47E1F"/>
          <w:p w14:paraId="2973EAB9" w14:textId="23E1F96F" w:rsidR="000E6271" w:rsidRDefault="000E6271" w:rsidP="00F47E1F">
            <w:r>
              <w:t xml:space="preserve">Controlled trial </w:t>
            </w:r>
            <w:r w:rsidR="00D465AC">
              <w:t xml:space="preserve">with </w:t>
            </w:r>
            <w:r>
              <w:t>d</w:t>
            </w:r>
            <w:r w:rsidR="00BD2F30">
              <w:t>oxycycline</w:t>
            </w:r>
            <w:r>
              <w:t xml:space="preserve"> PEP</w:t>
            </w:r>
            <w:r w:rsidR="00BD2F30">
              <w:t xml:space="preserve">: </w:t>
            </w:r>
          </w:p>
          <w:p w14:paraId="0B531B1B" w14:textId="28F6D088" w:rsidR="000E6271" w:rsidRDefault="000E6271" w:rsidP="00F47E1F">
            <w:r>
              <w:t>White mice exposed to aerosol LD</w:t>
            </w:r>
            <w:r w:rsidR="0053733C" w:rsidRPr="00FB7A6F">
              <w:rPr>
                <w:sz w:val="16"/>
                <w:szCs w:val="16"/>
              </w:rPr>
              <w:t>50</w:t>
            </w:r>
            <w:r>
              <w:t xml:space="preserve"> (ALD</w:t>
            </w:r>
            <w:r w:rsidRPr="00FB7A6F">
              <w:rPr>
                <w:sz w:val="16"/>
                <w:szCs w:val="16"/>
              </w:rPr>
              <w:t>50</w:t>
            </w:r>
            <w:r>
              <w:t xml:space="preserve">) were given PEP with doxycycline. </w:t>
            </w:r>
          </w:p>
          <w:p w14:paraId="49245C77" w14:textId="116C3E2C" w:rsidR="000E6271" w:rsidRDefault="000E6271" w:rsidP="000E6271">
            <w:pPr>
              <w:pStyle w:val="ListParagraph"/>
              <w:numPr>
                <w:ilvl w:val="0"/>
                <w:numId w:val="10"/>
              </w:numPr>
              <w:ind w:left="237" w:hanging="180"/>
            </w:pPr>
            <w:r>
              <w:t xml:space="preserve">All </w:t>
            </w:r>
            <w:r w:rsidR="00F47E1F">
              <w:t xml:space="preserve">9 mice given doxycycline </w:t>
            </w:r>
            <w:r w:rsidR="00BD2F30">
              <w:t>(4.8 mg/mouse</w:t>
            </w:r>
            <w:r>
              <w:t>/day</w:t>
            </w:r>
            <w:r w:rsidR="00BD2F30">
              <w:t xml:space="preserve">) </w:t>
            </w:r>
            <w:r w:rsidR="00F47E1F">
              <w:t xml:space="preserve">starting the day after exposure </w:t>
            </w:r>
            <w:r w:rsidR="0053733C">
              <w:t xml:space="preserve">x7 days </w:t>
            </w:r>
            <w:r w:rsidR="00F47E1F">
              <w:t xml:space="preserve">survived. </w:t>
            </w:r>
          </w:p>
          <w:p w14:paraId="01146DB1" w14:textId="4EE17A75" w:rsidR="000E6271" w:rsidRDefault="00F47E1F" w:rsidP="000E6271">
            <w:pPr>
              <w:pStyle w:val="ListParagraph"/>
              <w:numPr>
                <w:ilvl w:val="0"/>
                <w:numId w:val="10"/>
              </w:numPr>
              <w:ind w:left="237" w:hanging="180"/>
            </w:pPr>
            <w:r>
              <w:t xml:space="preserve">Survival decreased to 8/9 </w:t>
            </w:r>
            <w:r w:rsidR="000E6271">
              <w:t xml:space="preserve">(89%) </w:t>
            </w:r>
            <w:r>
              <w:t>mice when therapy start</w:t>
            </w:r>
            <w:r w:rsidR="00BD2F30">
              <w:t>ed</w:t>
            </w:r>
            <w:r>
              <w:t xml:space="preserve"> 3 days after exposure, duration of therapy decreased to 3 days, or therapy was decreased to 0.2 mg/mouse for 7 days. </w:t>
            </w:r>
          </w:p>
          <w:p w14:paraId="5DC9B0C5" w14:textId="646B06A1" w:rsidR="000E6271" w:rsidRDefault="00BD2F30" w:rsidP="000E6271">
            <w:pPr>
              <w:pStyle w:val="ListParagraph"/>
              <w:numPr>
                <w:ilvl w:val="0"/>
                <w:numId w:val="10"/>
              </w:numPr>
              <w:ind w:left="237" w:hanging="180"/>
            </w:pPr>
            <w:r>
              <w:lastRenderedPageBreak/>
              <w:t>89% of mice survived higher exposure (</w:t>
            </w:r>
            <w:r w:rsidR="00F47E1F">
              <w:t>100 ALD</w:t>
            </w:r>
            <w:r w:rsidR="00F47E1F" w:rsidRPr="000E6271">
              <w:rPr>
                <w:sz w:val="16"/>
                <w:szCs w:val="16"/>
              </w:rPr>
              <w:t>50</w:t>
            </w:r>
            <w:r w:rsidRPr="000E6271">
              <w:rPr>
                <w:sz w:val="16"/>
                <w:szCs w:val="16"/>
              </w:rPr>
              <w:t xml:space="preserve">) </w:t>
            </w:r>
            <w:r w:rsidRPr="00BD2F30">
              <w:t>when therapy was</w:t>
            </w:r>
            <w:r w:rsidR="00F47E1F">
              <w:t xml:space="preserve"> 2.5 mg/mouse</w:t>
            </w:r>
            <w:r w:rsidR="003B4DAE">
              <w:t>/day</w:t>
            </w:r>
            <w:r w:rsidR="00F47E1F">
              <w:t xml:space="preserve"> for five days, starting 2 days after exposure</w:t>
            </w:r>
            <w:r>
              <w:t xml:space="preserve">. </w:t>
            </w:r>
          </w:p>
          <w:p w14:paraId="7F171B68" w14:textId="5C483191" w:rsidR="000E6271" w:rsidRDefault="00F47E1F" w:rsidP="000E6271">
            <w:pPr>
              <w:pStyle w:val="ListParagraph"/>
              <w:numPr>
                <w:ilvl w:val="0"/>
                <w:numId w:val="10"/>
              </w:numPr>
              <w:ind w:left="237" w:hanging="180"/>
            </w:pPr>
            <w:r>
              <w:t xml:space="preserve">Survival was reduced with </w:t>
            </w:r>
            <w:r w:rsidR="000E6271">
              <w:t xml:space="preserve">higher </w:t>
            </w:r>
            <w:r>
              <w:t>exposure</w:t>
            </w:r>
            <w:r w:rsidR="000E6271">
              <w:t xml:space="preserve"> levels or different</w:t>
            </w:r>
            <w:r>
              <w:t xml:space="preserve"> initiation date</w:t>
            </w:r>
            <w:r w:rsidR="000E6271">
              <w:t>s</w:t>
            </w:r>
            <w:r>
              <w:t xml:space="preserve">, </w:t>
            </w:r>
            <w:r w:rsidR="000E6271">
              <w:t xml:space="preserve">doxycycline </w:t>
            </w:r>
            <w:r>
              <w:t>dosage</w:t>
            </w:r>
            <w:r w:rsidR="000E6271">
              <w:t>s</w:t>
            </w:r>
            <w:r>
              <w:t xml:space="preserve">, and duration combinations. </w:t>
            </w:r>
          </w:p>
          <w:p w14:paraId="171D0F29" w14:textId="13A35B04" w:rsidR="00F47E1F" w:rsidRPr="00AE230A" w:rsidRDefault="00F47E1F" w:rsidP="00D465AC">
            <w:pPr>
              <w:pStyle w:val="ListParagraph"/>
              <w:numPr>
                <w:ilvl w:val="0"/>
                <w:numId w:val="10"/>
              </w:numPr>
              <w:ind w:left="237" w:hanging="180"/>
            </w:pPr>
            <w:r>
              <w:t>Optimal duration of PEP was 6-8 days for doxycycline</w:t>
            </w:r>
            <w:r w:rsidR="00276EB9">
              <w:t xml:space="preserve">. </w:t>
            </w:r>
            <w:r>
              <w:t>PEP with doxycycline was ineffective a</w:t>
            </w:r>
            <w:r w:rsidR="00276EB9">
              <w:t>fter</w:t>
            </w:r>
            <w:r>
              <w:t xml:space="preserve"> high </w:t>
            </w:r>
            <w:r w:rsidR="00276EB9">
              <w:t xml:space="preserve">dose </w:t>
            </w:r>
            <w:r>
              <w:t>exposure (10,000 ALD</w:t>
            </w:r>
            <w:r w:rsidRPr="000E6271">
              <w:rPr>
                <w:sz w:val="16"/>
                <w:szCs w:val="16"/>
              </w:rPr>
              <w:t>50</w:t>
            </w:r>
            <w:r>
              <w:t>)</w:t>
            </w:r>
            <w:r w:rsidR="003B4DAE">
              <w:t>.</w:t>
            </w:r>
            <w:r w:rsidR="003B4DAE">
              <w:rPr>
                <w:vertAlign w:val="superscript"/>
              </w:rPr>
              <w:t>2</w:t>
            </w:r>
          </w:p>
          <w:p w14:paraId="067650CB" w14:textId="77777777" w:rsidR="00F47E1F" w:rsidRDefault="00F47E1F" w:rsidP="00F47E1F"/>
          <w:p w14:paraId="2C6B9689" w14:textId="7CD149C6" w:rsidR="002165D7" w:rsidRDefault="002165D7" w:rsidP="00F47E1F">
            <w:r>
              <w:t>Controlled trial with f</w:t>
            </w:r>
            <w:r w:rsidR="00BD2F30">
              <w:t>luoroquinolone</w:t>
            </w:r>
            <w:r>
              <w:t xml:space="preserve"> PEP</w:t>
            </w:r>
            <w:r w:rsidR="00BD2F30">
              <w:t xml:space="preserve">: </w:t>
            </w:r>
          </w:p>
          <w:p w14:paraId="6E66B38A" w14:textId="3489B5BE" w:rsidR="00C94288" w:rsidRDefault="002165D7" w:rsidP="00C94288">
            <w:r>
              <w:t xml:space="preserve">240 female BALB/c mice were exposed to </w:t>
            </w:r>
            <w:r w:rsidRPr="0053733C">
              <w:rPr>
                <w:i/>
                <w:iCs/>
              </w:rPr>
              <w:t>F. tularensis</w:t>
            </w:r>
            <w:r>
              <w:t xml:space="preserve"> type A Schu</w:t>
            </w:r>
            <w:r w:rsidR="00FB7A6F">
              <w:t xml:space="preserve"> </w:t>
            </w:r>
            <w:r>
              <w:t>S4</w:t>
            </w:r>
            <w:r w:rsidR="00C94288">
              <w:t xml:space="preserve">. The mice were given prophylaxis with </w:t>
            </w:r>
            <w:r w:rsidR="00241D8C">
              <w:t>100 mg/kg</w:t>
            </w:r>
            <w:r w:rsidR="00BD2F30">
              <w:t xml:space="preserve"> </w:t>
            </w:r>
            <w:r w:rsidR="00241D8C">
              <w:t>of ciprofloxacin, gatifloxacin, or moxifloxacin twice daily for 14 days</w:t>
            </w:r>
            <w:r w:rsidR="009D2FC7">
              <w:t xml:space="preserve"> starting</w:t>
            </w:r>
            <w:r w:rsidR="00241D8C">
              <w:t xml:space="preserve"> 6 hours post-exposure. </w:t>
            </w:r>
            <w:r w:rsidR="00C94288">
              <w:t>Survival was assessed 42 days after exposure.</w:t>
            </w:r>
          </w:p>
          <w:p w14:paraId="5650EC57" w14:textId="6ACDC3A7" w:rsidR="00C94288" w:rsidRDefault="00241D8C" w:rsidP="00C94288">
            <w:pPr>
              <w:pStyle w:val="ListParagraph"/>
              <w:numPr>
                <w:ilvl w:val="0"/>
                <w:numId w:val="12"/>
              </w:numPr>
              <w:ind w:left="237" w:hanging="180"/>
            </w:pPr>
            <w:r>
              <w:t xml:space="preserve">There was no significant difference </w:t>
            </w:r>
            <w:r w:rsidR="00BD2F30">
              <w:t xml:space="preserve">in survival </w:t>
            </w:r>
            <w:r>
              <w:t>between ciprofloxacin</w:t>
            </w:r>
            <w:r w:rsidR="009D2FC7">
              <w:t xml:space="preserve"> (94%)</w:t>
            </w:r>
            <w:r>
              <w:t xml:space="preserve">, gatifloxacin (100%), and moxifloxacin (100%). </w:t>
            </w:r>
          </w:p>
          <w:p w14:paraId="4A1BE96C" w14:textId="02639C75" w:rsidR="00C94288" w:rsidRDefault="00BD2F30" w:rsidP="00C94288">
            <w:pPr>
              <w:pStyle w:val="ListParagraph"/>
              <w:numPr>
                <w:ilvl w:val="0"/>
                <w:numId w:val="12"/>
              </w:numPr>
              <w:ind w:left="237" w:hanging="180"/>
            </w:pPr>
            <w:r>
              <w:t xml:space="preserve">When started 24 hours post-exposure, </w:t>
            </w:r>
            <w:r w:rsidR="0053733C">
              <w:t xml:space="preserve">survival of mice treated with </w:t>
            </w:r>
            <w:r>
              <w:t xml:space="preserve">ciprofloxacin (67%) was significantly </w:t>
            </w:r>
            <w:r w:rsidR="0053733C">
              <w:t xml:space="preserve">lower than </w:t>
            </w:r>
            <w:r w:rsidR="00241D8C">
              <w:t>gatifl</w:t>
            </w:r>
            <w:r w:rsidR="00F671A9">
              <w:t>o</w:t>
            </w:r>
            <w:r w:rsidR="00241D8C">
              <w:t>x</w:t>
            </w:r>
            <w:r w:rsidR="00F671A9">
              <w:t>a</w:t>
            </w:r>
            <w:r w:rsidR="00241D8C">
              <w:t xml:space="preserve">cin (96%) and moxifloxacin (100%). </w:t>
            </w:r>
          </w:p>
          <w:p w14:paraId="0EC6B310" w14:textId="4275F8B0" w:rsidR="002F214C" w:rsidRDefault="00241D8C" w:rsidP="0053733C">
            <w:pPr>
              <w:pStyle w:val="ListParagraph"/>
              <w:numPr>
                <w:ilvl w:val="0"/>
                <w:numId w:val="12"/>
              </w:numPr>
              <w:ind w:left="237" w:hanging="180"/>
            </w:pPr>
            <w:r>
              <w:t>All ciprofloxacin</w:t>
            </w:r>
            <w:r w:rsidR="0053733C">
              <w:t>-</w:t>
            </w:r>
            <w:r>
              <w:t>treated mice were culled due to disease severity when therapy was initiated 48 hours post-exposure</w:t>
            </w:r>
            <w:r w:rsidR="003B4DAE">
              <w:t>.</w:t>
            </w:r>
            <w:r w:rsidR="003B4DAE">
              <w:rPr>
                <w:vertAlign w:val="superscript"/>
              </w:rPr>
              <w:t>3</w:t>
            </w:r>
          </w:p>
        </w:tc>
        <w:tc>
          <w:tcPr>
            <w:tcW w:w="4230" w:type="dxa"/>
          </w:tcPr>
          <w:p w14:paraId="77D02947" w14:textId="50DB4E97" w:rsidR="00F47E1F" w:rsidRDefault="00F47E1F" w:rsidP="00F47E1F">
            <w:pPr>
              <w:pStyle w:val="ListParagraph"/>
              <w:ind w:left="0"/>
            </w:pPr>
            <w:r>
              <w:lastRenderedPageBreak/>
              <w:t>High certainty</w:t>
            </w:r>
          </w:p>
        </w:tc>
      </w:tr>
      <w:tr w:rsidR="00F47E1F" w:rsidRPr="000C5353" w14:paraId="6741051E" w14:textId="77777777" w:rsidTr="00D52A5A">
        <w:tc>
          <w:tcPr>
            <w:tcW w:w="9618" w:type="dxa"/>
            <w:gridSpan w:val="2"/>
          </w:tcPr>
          <w:p w14:paraId="4A4C2C01" w14:textId="65DD9B69" w:rsidR="00F47E1F" w:rsidRPr="000C5353" w:rsidRDefault="00F47E1F" w:rsidP="00F47E1F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C5353">
              <w:rPr>
                <w:b/>
                <w:bCs/>
              </w:rPr>
              <w:t xml:space="preserve">Serious </w:t>
            </w:r>
            <w:r w:rsidR="00356CDB">
              <w:rPr>
                <w:b/>
                <w:bCs/>
              </w:rPr>
              <w:t>a</w:t>
            </w:r>
            <w:r w:rsidRPr="000C5353">
              <w:rPr>
                <w:b/>
                <w:bCs/>
              </w:rPr>
              <w:t>dverse events</w:t>
            </w:r>
            <w:r w:rsidR="00194565">
              <w:rPr>
                <w:b/>
                <w:bCs/>
              </w:rPr>
              <w:t xml:space="preserve"> associated with antimicrobial use</w:t>
            </w:r>
          </w:p>
        </w:tc>
      </w:tr>
      <w:tr w:rsidR="00F47E1F" w14:paraId="76D010BE" w14:textId="77777777" w:rsidTr="00D52A5A">
        <w:tc>
          <w:tcPr>
            <w:tcW w:w="5388" w:type="dxa"/>
          </w:tcPr>
          <w:p w14:paraId="479987BE" w14:textId="4FEF646B" w:rsidR="003B4DAE" w:rsidRPr="003B4DAE" w:rsidRDefault="003B4DAE" w:rsidP="003B4DAE">
            <w:pPr>
              <w:pStyle w:val="ListParagraph"/>
              <w:ind w:left="0"/>
              <w:rPr>
                <w:vertAlign w:val="superscript"/>
              </w:rPr>
            </w:pPr>
            <w:r w:rsidRPr="009C5A89">
              <w:t>Fluoroquinolones</w:t>
            </w:r>
            <w:r>
              <w:t>:</w:t>
            </w:r>
            <w:r w:rsidR="00194565">
              <w:t xml:space="preserve"> Up to 1% each: cardiovascular, hypoglycemia, musculoskeletal including tendinitis and tendon rupture, psychiatric including hallucinations, and neurologic</w:t>
            </w:r>
            <w:r>
              <w:rPr>
                <w:vertAlign w:val="superscript"/>
              </w:rPr>
              <w:t>4</w:t>
            </w:r>
            <w:r w:rsidR="00194565">
              <w:rPr>
                <w:vertAlign w:val="superscript"/>
              </w:rPr>
              <w:t xml:space="preserve"> </w:t>
            </w:r>
            <w:r w:rsidR="00194565">
              <w:t>Meta-analysis of 17 RCTs found higher risk of CNS- and GI-related adverse events compared with other antimicrobials (no distinction between mild, moderate, &amp; severe adverse events though).</w:t>
            </w:r>
            <w:r w:rsidR="00194565" w:rsidRPr="000903C3">
              <w:rPr>
                <w:vertAlign w:val="superscript"/>
              </w:rPr>
              <w:t>5</w:t>
            </w:r>
          </w:p>
          <w:p w14:paraId="67F95625" w14:textId="77777777" w:rsidR="003B4DAE" w:rsidRDefault="003B4DAE" w:rsidP="003B4DAE">
            <w:pPr>
              <w:pStyle w:val="ListParagraph"/>
              <w:ind w:left="0"/>
            </w:pPr>
          </w:p>
          <w:p w14:paraId="446E392C" w14:textId="2DEC3417" w:rsidR="003B4DAE" w:rsidRPr="000903C3" w:rsidRDefault="00194565" w:rsidP="003B4DAE">
            <w:pPr>
              <w:pStyle w:val="ListParagraph"/>
              <w:ind w:left="0"/>
              <w:rPr>
                <w:vertAlign w:val="superscript"/>
              </w:rPr>
            </w:pPr>
            <w:r w:rsidRPr="009C5A89">
              <w:t>Doxycycline</w:t>
            </w:r>
            <w:r w:rsidR="003B4DAE" w:rsidRPr="009C5A89">
              <w:t xml:space="preserve">: </w:t>
            </w:r>
            <w:r w:rsidR="005C79EF">
              <w:t>R</w:t>
            </w:r>
            <w:r w:rsidR="003B4DAE">
              <w:t>eview of 12 RCTs found 0-14%</w:t>
            </w:r>
            <w:r w:rsidR="003B4DAE" w:rsidRPr="009C5A89">
              <w:t xml:space="preserve"> </w:t>
            </w:r>
            <w:r w:rsidR="003B4DAE">
              <w:t>severe side effects or</w:t>
            </w:r>
            <w:r w:rsidR="003B4DAE" w:rsidRPr="009C5A89">
              <w:t xml:space="preserve"> adverse events</w:t>
            </w:r>
            <w:r w:rsidR="003B4DAE">
              <w:t xml:space="preserve"> with</w:t>
            </w:r>
            <w:r w:rsidR="003B4DAE" w:rsidRPr="009C5A89">
              <w:t xml:space="preserve"> prolonged use</w:t>
            </w:r>
            <w:r w:rsidR="003B4DAE">
              <w:t xml:space="preserve"> (</w:t>
            </w:r>
            <w:r w:rsidR="003B4DAE" w:rsidRPr="00EE25B8">
              <w:rPr>
                <w:u w:val="single"/>
              </w:rPr>
              <w:t>&gt;</w:t>
            </w:r>
            <w:r w:rsidR="003B4DAE">
              <w:t>8 weeks), although 14% is likely an overestimate due to study populations with underlying conditions.</w:t>
            </w:r>
            <w:r w:rsidR="000903C3">
              <w:rPr>
                <w:vertAlign w:val="superscript"/>
              </w:rPr>
              <w:t xml:space="preserve">6-7 </w:t>
            </w:r>
            <w:r w:rsidR="000903C3">
              <w:t>(Pregnancy considerations are not included here since doxycycline is not a first-line PEP recommendation for pregnant women.)</w:t>
            </w:r>
          </w:p>
        </w:tc>
        <w:tc>
          <w:tcPr>
            <w:tcW w:w="4230" w:type="dxa"/>
          </w:tcPr>
          <w:p w14:paraId="53942EB1" w14:textId="59EB9450" w:rsidR="00F47E1F" w:rsidRDefault="00F47E1F" w:rsidP="00F47E1F">
            <w:pPr>
              <w:pStyle w:val="ListParagraph"/>
              <w:ind w:left="0"/>
            </w:pPr>
            <w:r>
              <w:t>Moderate to high certainty</w:t>
            </w:r>
          </w:p>
        </w:tc>
      </w:tr>
      <w:tr w:rsidR="00F47E1F" w:rsidRPr="00AA338A" w14:paraId="749CBB29" w14:textId="77777777" w:rsidTr="00D52A5A">
        <w:tc>
          <w:tcPr>
            <w:tcW w:w="9618" w:type="dxa"/>
            <w:gridSpan w:val="2"/>
          </w:tcPr>
          <w:p w14:paraId="271F3E10" w14:textId="72586912" w:rsidR="00F47E1F" w:rsidRPr="00AA338A" w:rsidRDefault="00771429" w:rsidP="00F47E1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F47E1F" w:rsidRPr="00AA338A">
              <w:rPr>
                <w:b/>
                <w:bCs/>
              </w:rPr>
              <w:t>nfection clearance</w:t>
            </w:r>
          </w:p>
        </w:tc>
      </w:tr>
      <w:tr w:rsidR="00F47E1F" w14:paraId="06967338" w14:textId="77777777" w:rsidTr="00D52A5A">
        <w:tc>
          <w:tcPr>
            <w:tcW w:w="5388" w:type="dxa"/>
          </w:tcPr>
          <w:p w14:paraId="2443D9D3" w14:textId="43AC46F0" w:rsidR="00115C4B" w:rsidRDefault="00115C4B" w:rsidP="00E3520B">
            <w:pPr>
              <w:pStyle w:val="ListParagraph"/>
              <w:ind w:left="0"/>
            </w:pPr>
            <w:r>
              <w:t>Controlled trial with t</w:t>
            </w:r>
            <w:r w:rsidR="00E3520B">
              <w:t>etracycline</w:t>
            </w:r>
            <w:r w:rsidR="000D5241">
              <w:t xml:space="preserve"> PEP</w:t>
            </w:r>
            <w:r w:rsidR="00E3520B">
              <w:t xml:space="preserve">: </w:t>
            </w:r>
          </w:p>
          <w:p w14:paraId="6E91B5C8" w14:textId="1BD9B326" w:rsidR="00537D2A" w:rsidRDefault="00E3520B" w:rsidP="00E3520B">
            <w:pPr>
              <w:pStyle w:val="ListParagraph"/>
              <w:ind w:left="0"/>
            </w:pPr>
            <w:r>
              <w:t xml:space="preserve">34 human volunteers </w:t>
            </w:r>
            <w:r w:rsidR="00537D2A">
              <w:t xml:space="preserve">nasally </w:t>
            </w:r>
            <w:r w:rsidR="009355DB">
              <w:t xml:space="preserve">inhaled </w:t>
            </w:r>
            <w:r w:rsidR="0053733C">
              <w:t>Schu</w:t>
            </w:r>
            <w:r w:rsidR="00FB7A6F">
              <w:t xml:space="preserve"> </w:t>
            </w:r>
            <w:r w:rsidR="0053733C">
              <w:t xml:space="preserve">S4 </w:t>
            </w:r>
            <w:r w:rsidR="009355DB">
              <w:t xml:space="preserve">and </w:t>
            </w:r>
            <w:r w:rsidR="0053733C">
              <w:t>received</w:t>
            </w:r>
            <w:r w:rsidR="009355DB">
              <w:t xml:space="preserve"> prophylaxis with tetracycline </w:t>
            </w:r>
            <w:r w:rsidR="0053733C">
              <w:t xml:space="preserve">starting </w:t>
            </w:r>
            <w:r w:rsidR="009355DB">
              <w:t xml:space="preserve">24 hours after exposure. </w:t>
            </w:r>
          </w:p>
          <w:p w14:paraId="04B62D96" w14:textId="731B860E" w:rsidR="000903C3" w:rsidRDefault="000903C3" w:rsidP="000903C3">
            <w:pPr>
              <w:pStyle w:val="ListParagraph"/>
              <w:numPr>
                <w:ilvl w:val="0"/>
                <w:numId w:val="9"/>
              </w:numPr>
              <w:ind w:left="237" w:hanging="180"/>
            </w:pPr>
            <w:r>
              <w:t>2/10 individuals who received tetracycline (1 g/daily) for 14 days became ill after PEP ended.</w:t>
            </w:r>
          </w:p>
          <w:p w14:paraId="50E5DA36" w14:textId="64E76B28" w:rsidR="000D5241" w:rsidRDefault="000D5241" w:rsidP="0053733C">
            <w:pPr>
              <w:pStyle w:val="ListParagraph"/>
              <w:numPr>
                <w:ilvl w:val="0"/>
                <w:numId w:val="9"/>
              </w:numPr>
              <w:ind w:left="237" w:hanging="180"/>
            </w:pPr>
            <w:r>
              <w:lastRenderedPageBreak/>
              <w:t>8/</w:t>
            </w:r>
            <w:r w:rsidR="00537D2A">
              <w:t>8 individuals who received tetracycl</w:t>
            </w:r>
            <w:r>
              <w:t>i</w:t>
            </w:r>
            <w:r w:rsidR="00537D2A">
              <w:t>n</w:t>
            </w:r>
            <w:r>
              <w:t>e</w:t>
            </w:r>
            <w:r w:rsidR="00537D2A">
              <w:t xml:space="preserve"> (1 g/daily) for 28 days remained well after </w:t>
            </w:r>
            <w:r>
              <w:t>PEP ended.</w:t>
            </w:r>
          </w:p>
          <w:p w14:paraId="2064B00D" w14:textId="6C2EB086" w:rsidR="000D5241" w:rsidRDefault="000D5241" w:rsidP="0053733C">
            <w:pPr>
              <w:pStyle w:val="ListParagraph"/>
              <w:numPr>
                <w:ilvl w:val="0"/>
                <w:numId w:val="9"/>
              </w:numPr>
              <w:ind w:left="237" w:hanging="180"/>
            </w:pPr>
            <w:r>
              <w:t xml:space="preserve">8/8 individuals who received 2g/daily tetracycline for 14 days remained well after PEP ended. </w:t>
            </w:r>
          </w:p>
          <w:p w14:paraId="073BE2BD" w14:textId="07A2B610" w:rsidR="00E3520B" w:rsidRDefault="000D5241" w:rsidP="0053733C">
            <w:pPr>
              <w:pStyle w:val="ListParagraph"/>
              <w:numPr>
                <w:ilvl w:val="0"/>
                <w:numId w:val="9"/>
              </w:numPr>
              <w:ind w:left="237" w:hanging="180"/>
            </w:pPr>
            <w:r>
              <w:t>Of the 8 people who received tetracycline (1 g) every other day for 19 days, 2 became ill during PEP</w:t>
            </w:r>
            <w:r w:rsidR="00537D2A">
              <w:t xml:space="preserve"> </w:t>
            </w:r>
            <w:r>
              <w:t>and all 8 were ill after PEP ended.</w:t>
            </w:r>
            <w:r w:rsidR="00FB754F">
              <w:rPr>
                <w:vertAlign w:val="superscript"/>
              </w:rPr>
              <w:t>1</w:t>
            </w:r>
          </w:p>
          <w:p w14:paraId="0FDE85DC" w14:textId="77777777" w:rsidR="00E3520B" w:rsidRDefault="00E3520B" w:rsidP="00F47E1F"/>
          <w:p w14:paraId="3B302699" w14:textId="77777777" w:rsidR="00096297" w:rsidRDefault="00096297" w:rsidP="00096297">
            <w:r>
              <w:t xml:space="preserve">Controlled trial with tetracycline PEP: </w:t>
            </w:r>
          </w:p>
          <w:p w14:paraId="41459ABE" w14:textId="3DE5A8E4" w:rsidR="00096297" w:rsidRDefault="00096297" w:rsidP="00096297">
            <w:r>
              <w:t xml:space="preserve">29 </w:t>
            </w:r>
            <w:r w:rsidRPr="00BB3A1F">
              <w:rPr>
                <w:i/>
                <w:iCs/>
              </w:rPr>
              <w:t>Macaca mulatta</w:t>
            </w:r>
            <w:r>
              <w:rPr>
                <w:i/>
                <w:iCs/>
              </w:rPr>
              <w:t xml:space="preserve"> </w:t>
            </w:r>
            <w:r w:rsidRPr="00BB3A1F">
              <w:t>were</w:t>
            </w:r>
            <w:r>
              <w:rPr>
                <w:i/>
                <w:iCs/>
              </w:rPr>
              <w:t xml:space="preserve"> </w:t>
            </w:r>
            <w:r w:rsidRPr="00BB3A1F">
              <w:t xml:space="preserve">exposed to aerosolized </w:t>
            </w:r>
            <w:r w:rsidR="0053733C">
              <w:t>Schu</w:t>
            </w:r>
            <w:r w:rsidR="00FB7A6F">
              <w:t xml:space="preserve"> </w:t>
            </w:r>
            <w:r w:rsidR="0053733C">
              <w:t xml:space="preserve">S4 </w:t>
            </w:r>
            <w:r>
              <w:t>and provided the first dose of tetracycline prophylaxis (200 mg) 24 hours after exposure. Tetracycline was provided for 13 days, and the monkeys were observed for 70 days.</w:t>
            </w:r>
          </w:p>
          <w:p w14:paraId="264E38BA" w14:textId="4CE2BA04" w:rsidR="00096297" w:rsidRDefault="00096297" w:rsidP="00096297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 xml:space="preserve">Of 5 animals receiving tetracycline every 24 hours, 1 developed illness during PEP and all 5 </w:t>
            </w:r>
            <w:r w:rsidR="0035437D">
              <w:t>became</w:t>
            </w:r>
            <w:r>
              <w:t xml:space="preserve"> ill after </w:t>
            </w:r>
            <w:r w:rsidR="0035437D">
              <w:t>tetracycline was stopped</w:t>
            </w:r>
            <w:r>
              <w:t xml:space="preserve">. </w:t>
            </w:r>
          </w:p>
          <w:p w14:paraId="21E2F8E9" w14:textId="4DA7D1A7" w:rsidR="00096297" w:rsidRDefault="00096297" w:rsidP="00096297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Of the 6 receiving tetracycline every 36 hours, all animals remained well during PEP</w:t>
            </w:r>
            <w:r w:rsidR="0035437D">
              <w:t xml:space="preserve"> and</w:t>
            </w:r>
            <w:r>
              <w:t xml:space="preserve"> 4 </w:t>
            </w:r>
            <w:r w:rsidR="0035437D">
              <w:t xml:space="preserve">became </w:t>
            </w:r>
            <w:r>
              <w:t xml:space="preserve">ill after </w:t>
            </w:r>
            <w:r w:rsidR="0035437D">
              <w:t>tetracycline was stopped.</w:t>
            </w:r>
            <w:r>
              <w:t xml:space="preserve"> </w:t>
            </w:r>
          </w:p>
          <w:p w14:paraId="1B73C51C" w14:textId="350FFA9E" w:rsidR="00096297" w:rsidRDefault="00096297" w:rsidP="00096297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 xml:space="preserve">Of 6 monkeys receiving tetracycline every 48 hours, all became </w:t>
            </w:r>
            <w:r w:rsidR="000903C3">
              <w:t xml:space="preserve">ill </w:t>
            </w:r>
            <w:r>
              <w:t>during PEP</w:t>
            </w:r>
            <w:r w:rsidR="0035437D">
              <w:t>.</w:t>
            </w:r>
          </w:p>
          <w:p w14:paraId="435D7B12" w14:textId="2BF5B4C9" w:rsidR="00096297" w:rsidRDefault="00096297" w:rsidP="00096297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Of the 6 animals who received tetracycline every 72 hours, all became ill during PEP</w:t>
            </w:r>
            <w:r w:rsidR="0035437D">
              <w:t>.</w:t>
            </w:r>
          </w:p>
          <w:p w14:paraId="74472858" w14:textId="13C8EE13" w:rsidR="00096297" w:rsidRDefault="00096297" w:rsidP="00096297">
            <w:pPr>
              <w:pStyle w:val="ListParagraph"/>
              <w:numPr>
                <w:ilvl w:val="0"/>
                <w:numId w:val="6"/>
              </w:numPr>
              <w:ind w:left="237" w:hanging="180"/>
            </w:pPr>
            <w:r>
              <w:t>Of the 6 monkeys who received an intermittent tetracycline schedule (days 1-3, 6-8, and 11-13), 4 became ill during PEP</w:t>
            </w:r>
            <w:r w:rsidR="00FB754F">
              <w:t>.</w:t>
            </w:r>
            <w:r w:rsidR="00FB754F">
              <w:rPr>
                <w:vertAlign w:val="superscript"/>
              </w:rPr>
              <w:t>1</w:t>
            </w:r>
          </w:p>
          <w:p w14:paraId="52929482" w14:textId="77777777" w:rsidR="00F47E1F" w:rsidRDefault="00F47E1F" w:rsidP="00F47E1F">
            <w:pPr>
              <w:pStyle w:val="ListParagraph"/>
              <w:ind w:left="0"/>
            </w:pPr>
          </w:p>
          <w:p w14:paraId="3BC4FB72" w14:textId="450F1317" w:rsidR="00241D8C" w:rsidRDefault="00241D8C" w:rsidP="00F47E1F">
            <w:pPr>
              <w:pStyle w:val="ListParagraph"/>
              <w:ind w:left="0"/>
            </w:pPr>
          </w:p>
        </w:tc>
        <w:tc>
          <w:tcPr>
            <w:tcW w:w="4230" w:type="dxa"/>
          </w:tcPr>
          <w:p w14:paraId="0EEF1F75" w14:textId="3A30F993" w:rsidR="00F47E1F" w:rsidRDefault="00F47E1F" w:rsidP="00F47E1F">
            <w:pPr>
              <w:pStyle w:val="ListParagraph"/>
              <w:ind w:left="0"/>
            </w:pPr>
            <w:r>
              <w:lastRenderedPageBreak/>
              <w:t>Moderate to high certainty</w:t>
            </w:r>
          </w:p>
        </w:tc>
      </w:tr>
    </w:tbl>
    <w:p w14:paraId="18644640" w14:textId="77777777" w:rsidR="003A4E35" w:rsidRDefault="003A4E35" w:rsidP="003A4E35">
      <w:pPr>
        <w:pStyle w:val="ListParagraph"/>
        <w:ind w:left="390"/>
      </w:pPr>
    </w:p>
    <w:p w14:paraId="59E7D3D9" w14:textId="77777777" w:rsidR="003A4E35" w:rsidRDefault="003A4E35" w:rsidP="003A4E35">
      <w:pPr>
        <w:pStyle w:val="ListParagraph"/>
        <w:ind w:left="390"/>
      </w:pPr>
    </w:p>
    <w:p w14:paraId="2DB71A6D" w14:textId="5BF3B48E" w:rsidR="003A4E35" w:rsidRPr="00CF2D11" w:rsidRDefault="003A4E35" w:rsidP="003A4E35">
      <w:pPr>
        <w:pStyle w:val="ListParagraph"/>
        <w:ind w:left="390"/>
        <w:rPr>
          <w:b/>
          <w:bCs/>
        </w:rPr>
      </w:pPr>
      <w:r w:rsidRPr="00CF2D11">
        <w:rPr>
          <w:b/>
          <w:bCs/>
        </w:rPr>
        <w:t xml:space="preserve">GRADE Evidence to </w:t>
      </w:r>
      <w:r w:rsidR="00335F8F">
        <w:rPr>
          <w:b/>
          <w:bCs/>
        </w:rPr>
        <w:t>D</w:t>
      </w:r>
      <w:r w:rsidRPr="00CF2D11">
        <w:rPr>
          <w:b/>
          <w:bCs/>
        </w:rPr>
        <w:t xml:space="preserve">ecision </w:t>
      </w:r>
      <w:r w:rsidR="00335F8F">
        <w:rPr>
          <w:b/>
          <w:bCs/>
        </w:rPr>
        <w:t>F</w:t>
      </w:r>
      <w:r w:rsidRPr="00CF2D11">
        <w:rPr>
          <w:b/>
          <w:bCs/>
        </w:rPr>
        <w:t>ramework</w:t>
      </w:r>
    </w:p>
    <w:tbl>
      <w:tblPr>
        <w:tblStyle w:val="TableGrid"/>
        <w:tblW w:w="9854" w:type="dxa"/>
        <w:tblInd w:w="390" w:type="dxa"/>
        <w:tblLook w:val="04A0" w:firstRow="1" w:lastRow="0" w:firstColumn="1" w:lastColumn="0" w:noHBand="0" w:noVBand="1"/>
      </w:tblPr>
      <w:tblGrid>
        <w:gridCol w:w="3678"/>
        <w:gridCol w:w="6176"/>
      </w:tblGrid>
      <w:tr w:rsidR="003A4E35" w:rsidRPr="00A96A10" w14:paraId="05858021" w14:textId="77777777" w:rsidTr="00D52A5A">
        <w:tc>
          <w:tcPr>
            <w:tcW w:w="3678" w:type="dxa"/>
          </w:tcPr>
          <w:p w14:paraId="647DA555" w14:textId="1101ED53" w:rsidR="003A4E35" w:rsidRPr="00A96A10" w:rsidRDefault="003A4E35" w:rsidP="00D52A5A">
            <w:pPr>
              <w:pStyle w:val="ListParagraph"/>
              <w:ind w:left="0"/>
              <w:rPr>
                <w:b/>
                <w:bCs/>
              </w:rPr>
            </w:pPr>
            <w:r w:rsidRPr="00A96A10">
              <w:rPr>
                <w:b/>
                <w:bCs/>
              </w:rPr>
              <w:t>Criteri</w:t>
            </w:r>
            <w:r w:rsidR="00335F8F">
              <w:rPr>
                <w:b/>
                <w:bCs/>
              </w:rPr>
              <w:t>a</w:t>
            </w:r>
          </w:p>
        </w:tc>
        <w:tc>
          <w:tcPr>
            <w:tcW w:w="6176" w:type="dxa"/>
          </w:tcPr>
          <w:p w14:paraId="433C90A2" w14:textId="77777777" w:rsidR="003A4E35" w:rsidRPr="00A96A10" w:rsidRDefault="003A4E35" w:rsidP="00D52A5A">
            <w:pPr>
              <w:pStyle w:val="ListParagraph"/>
              <w:ind w:left="0"/>
              <w:rPr>
                <w:b/>
                <w:bCs/>
              </w:rPr>
            </w:pPr>
            <w:r w:rsidRPr="00A96A10">
              <w:rPr>
                <w:b/>
                <w:bCs/>
              </w:rPr>
              <w:t>Judgment</w:t>
            </w:r>
          </w:p>
        </w:tc>
      </w:tr>
      <w:tr w:rsidR="00650F91" w14:paraId="071E40E8" w14:textId="77777777" w:rsidTr="00D52A5A">
        <w:tc>
          <w:tcPr>
            <w:tcW w:w="3678" w:type="dxa"/>
          </w:tcPr>
          <w:p w14:paraId="6D912D54" w14:textId="77777777" w:rsidR="00650F91" w:rsidRDefault="00650F91" w:rsidP="00650F91">
            <w:pPr>
              <w:pStyle w:val="ListParagraph"/>
              <w:ind w:left="0"/>
            </w:pPr>
            <w:r>
              <w:t>Magnitude of desirable effects</w:t>
            </w:r>
          </w:p>
        </w:tc>
        <w:tc>
          <w:tcPr>
            <w:tcW w:w="6176" w:type="dxa"/>
          </w:tcPr>
          <w:p w14:paraId="7584EA52" w14:textId="40410AFD" w:rsidR="00650F91" w:rsidRDefault="00650F91" w:rsidP="00650F91">
            <w:pPr>
              <w:pStyle w:val="ListParagraph"/>
              <w:ind w:left="0"/>
            </w:pPr>
            <w:r>
              <w:t>Large</w:t>
            </w:r>
          </w:p>
        </w:tc>
      </w:tr>
      <w:tr w:rsidR="00650F91" w14:paraId="35A53371" w14:textId="77777777" w:rsidTr="00D52A5A">
        <w:tc>
          <w:tcPr>
            <w:tcW w:w="3678" w:type="dxa"/>
          </w:tcPr>
          <w:p w14:paraId="2EACB429" w14:textId="77777777" w:rsidR="00650F91" w:rsidRDefault="00650F91" w:rsidP="00650F91">
            <w:pPr>
              <w:pStyle w:val="ListParagraph"/>
              <w:ind w:left="0"/>
            </w:pPr>
            <w:r>
              <w:t>Magnitude of undesirable effects</w:t>
            </w:r>
          </w:p>
        </w:tc>
        <w:tc>
          <w:tcPr>
            <w:tcW w:w="6176" w:type="dxa"/>
          </w:tcPr>
          <w:p w14:paraId="3288655B" w14:textId="6DD7254D" w:rsidR="00650F91" w:rsidRDefault="00650F91" w:rsidP="00650F91">
            <w:pPr>
              <w:pStyle w:val="ListParagraph"/>
              <w:ind w:left="0"/>
            </w:pPr>
            <w:r>
              <w:t xml:space="preserve">Small, based on the safety profiles of ciprofloxacin, levofloxacin, and </w:t>
            </w:r>
            <w:r w:rsidR="00356CDB">
              <w:t xml:space="preserve">doxycycline </w:t>
            </w:r>
            <w:r>
              <w:t xml:space="preserve">use </w:t>
            </w:r>
            <w:r w:rsidR="00E91224">
              <w:t xml:space="preserve">in the general population and </w:t>
            </w:r>
            <w:r>
              <w:t xml:space="preserve">during pregnancy. </w:t>
            </w:r>
            <w:r w:rsidR="00D465AC">
              <w:t>However, if hundreds or thousands of people receive antibiotics for treatment, the burden of undesirable effects could be substantial.</w:t>
            </w:r>
          </w:p>
        </w:tc>
      </w:tr>
      <w:tr w:rsidR="00650F91" w14:paraId="7EE40018" w14:textId="77777777" w:rsidTr="00D52A5A">
        <w:tc>
          <w:tcPr>
            <w:tcW w:w="3678" w:type="dxa"/>
          </w:tcPr>
          <w:p w14:paraId="1DB358A9" w14:textId="77777777" w:rsidR="00650F91" w:rsidRDefault="00650F91" w:rsidP="00650F91">
            <w:pPr>
              <w:pStyle w:val="ListParagraph"/>
              <w:ind w:left="0"/>
            </w:pPr>
            <w:r>
              <w:t>Patient values</w:t>
            </w:r>
          </w:p>
        </w:tc>
        <w:tc>
          <w:tcPr>
            <w:tcW w:w="6176" w:type="dxa"/>
          </w:tcPr>
          <w:p w14:paraId="045D005F" w14:textId="0E79894D" w:rsidR="00650F91" w:rsidRDefault="00E91224" w:rsidP="00650F91">
            <w:pPr>
              <w:pStyle w:val="ListParagraph"/>
              <w:ind w:left="0"/>
            </w:pPr>
            <w:r>
              <w:t>Likely small</w:t>
            </w:r>
          </w:p>
        </w:tc>
      </w:tr>
      <w:tr w:rsidR="00650F91" w14:paraId="52BFCF02" w14:textId="77777777" w:rsidTr="00D52A5A">
        <w:tc>
          <w:tcPr>
            <w:tcW w:w="3678" w:type="dxa"/>
          </w:tcPr>
          <w:p w14:paraId="0BE492C8" w14:textId="77777777" w:rsidR="00650F91" w:rsidRDefault="00650F91" w:rsidP="00650F91">
            <w:pPr>
              <w:pStyle w:val="ListParagraph"/>
              <w:ind w:left="0"/>
            </w:pPr>
            <w:r>
              <w:t>Cost of recommended action</w:t>
            </w:r>
          </w:p>
        </w:tc>
        <w:tc>
          <w:tcPr>
            <w:tcW w:w="6176" w:type="dxa"/>
          </w:tcPr>
          <w:p w14:paraId="5ADFB216" w14:textId="387F4589" w:rsidR="00650F91" w:rsidRDefault="00650F91" w:rsidP="00650F91">
            <w:pPr>
              <w:pStyle w:val="ListParagraph"/>
              <w:ind w:left="0"/>
            </w:pPr>
            <w:r>
              <w:t>Small</w:t>
            </w:r>
          </w:p>
        </w:tc>
      </w:tr>
      <w:tr w:rsidR="00650F91" w14:paraId="72924087" w14:textId="77777777" w:rsidTr="00D52A5A">
        <w:tc>
          <w:tcPr>
            <w:tcW w:w="3678" w:type="dxa"/>
          </w:tcPr>
          <w:p w14:paraId="2375517A" w14:textId="77777777" w:rsidR="00650F91" w:rsidRDefault="00650F91" w:rsidP="00650F91">
            <w:pPr>
              <w:pStyle w:val="ListParagraph"/>
              <w:ind w:left="0"/>
            </w:pPr>
            <w:r>
              <w:t>Cost effectiveness</w:t>
            </w:r>
          </w:p>
        </w:tc>
        <w:tc>
          <w:tcPr>
            <w:tcW w:w="6176" w:type="dxa"/>
          </w:tcPr>
          <w:p w14:paraId="66C36F50" w14:textId="3B3587A0" w:rsidR="00650F91" w:rsidRDefault="00650F91" w:rsidP="00650F91">
            <w:pPr>
              <w:pStyle w:val="ListParagraph"/>
              <w:ind w:left="0"/>
            </w:pPr>
            <w:r>
              <w:t>No studies but expected to result in small ICER or savings.</w:t>
            </w:r>
          </w:p>
        </w:tc>
      </w:tr>
      <w:tr w:rsidR="00650F91" w14:paraId="0530226D" w14:textId="77777777" w:rsidTr="00D52A5A">
        <w:tc>
          <w:tcPr>
            <w:tcW w:w="3678" w:type="dxa"/>
          </w:tcPr>
          <w:p w14:paraId="6FC26D88" w14:textId="77777777" w:rsidR="00650F91" w:rsidRDefault="00650F91" w:rsidP="00650F91">
            <w:pPr>
              <w:pStyle w:val="ListParagraph"/>
              <w:ind w:left="0"/>
            </w:pPr>
            <w:r>
              <w:t>Feasibility</w:t>
            </w:r>
          </w:p>
        </w:tc>
        <w:tc>
          <w:tcPr>
            <w:tcW w:w="6176" w:type="dxa"/>
          </w:tcPr>
          <w:p w14:paraId="10F0E93A" w14:textId="2B9010AF" w:rsidR="00650F91" w:rsidRDefault="00650F91" w:rsidP="00650F91">
            <w:pPr>
              <w:pStyle w:val="ListParagraph"/>
              <w:ind w:left="0"/>
            </w:pPr>
            <w:r>
              <w:t xml:space="preserve">The recommended antimicrobials are feasible to administer. Shortages </w:t>
            </w:r>
            <w:r w:rsidR="00356CDB">
              <w:t xml:space="preserve">and stockpiling by the public </w:t>
            </w:r>
            <w:r>
              <w:t xml:space="preserve">are expected with </w:t>
            </w:r>
            <w:r w:rsidRPr="008938FD">
              <w:t>intentional release situations</w:t>
            </w:r>
            <w:r>
              <w:t xml:space="preserve">. </w:t>
            </w:r>
          </w:p>
        </w:tc>
      </w:tr>
      <w:tr w:rsidR="00650F91" w14:paraId="2CEECEA8" w14:textId="77777777" w:rsidTr="00D52A5A">
        <w:tc>
          <w:tcPr>
            <w:tcW w:w="3678" w:type="dxa"/>
          </w:tcPr>
          <w:p w14:paraId="22A56699" w14:textId="77777777" w:rsidR="00650F91" w:rsidRDefault="00650F91" w:rsidP="00650F91">
            <w:pPr>
              <w:pStyle w:val="ListParagraph"/>
              <w:ind w:left="0"/>
            </w:pPr>
            <w:r>
              <w:t>Acceptability</w:t>
            </w:r>
          </w:p>
        </w:tc>
        <w:tc>
          <w:tcPr>
            <w:tcW w:w="6176" w:type="dxa"/>
          </w:tcPr>
          <w:p w14:paraId="3E5DBB7F" w14:textId="25A5137D" w:rsidR="00650F91" w:rsidRDefault="00650F91" w:rsidP="00650F91">
            <w:pPr>
              <w:pStyle w:val="ListParagraph"/>
              <w:ind w:left="0"/>
            </w:pPr>
            <w:r>
              <w:t xml:space="preserve">The recommended antimicrobials are </w:t>
            </w:r>
            <w:r w:rsidR="00356CDB">
              <w:t xml:space="preserve">generally </w:t>
            </w:r>
            <w:r>
              <w:t xml:space="preserve">acceptable to stakeholders. </w:t>
            </w:r>
          </w:p>
        </w:tc>
      </w:tr>
      <w:tr w:rsidR="00650F91" w14:paraId="59EAEA32" w14:textId="77777777" w:rsidTr="00D52A5A">
        <w:tc>
          <w:tcPr>
            <w:tcW w:w="3678" w:type="dxa"/>
          </w:tcPr>
          <w:p w14:paraId="607ABC80" w14:textId="468DD901" w:rsidR="00650F91" w:rsidRDefault="00B83737" w:rsidP="00650F91">
            <w:pPr>
              <w:pStyle w:val="ListParagraph"/>
              <w:ind w:left="0"/>
            </w:pPr>
            <w:r>
              <w:lastRenderedPageBreak/>
              <w:t xml:space="preserve">Access </w:t>
            </w:r>
          </w:p>
        </w:tc>
        <w:tc>
          <w:tcPr>
            <w:tcW w:w="6176" w:type="dxa"/>
          </w:tcPr>
          <w:p w14:paraId="5F9E608D" w14:textId="63EEABB7" w:rsidR="00650F91" w:rsidRDefault="00B83737" w:rsidP="00650F91">
            <w:r>
              <w:t xml:space="preserve">No perceived impact on medication access is anticipated when this recommendation is implemented. </w:t>
            </w:r>
            <w:r w:rsidRPr="00F97DFC">
              <w:rPr>
                <w:color w:val="000000"/>
              </w:rPr>
              <w:t>G6PD deficiency is more common in people of African, Mediterranean, or Asian descent</w:t>
            </w:r>
            <w:r>
              <w:rPr>
                <w:color w:val="000000"/>
              </w:rPr>
              <w:t xml:space="preserve"> and can have impact on use of f</w:t>
            </w:r>
            <w:r w:rsidRPr="00F97DFC">
              <w:rPr>
                <w:color w:val="000000"/>
              </w:rPr>
              <w:t>luoroquinolones</w:t>
            </w:r>
            <w:r>
              <w:rPr>
                <w:color w:val="000000"/>
              </w:rPr>
              <w:t>. Recommending multiple options for treatment can mitigate differences in medication access better than recommending 1 or 2 preferred options if access is restricted due to shortages.</w:t>
            </w:r>
          </w:p>
        </w:tc>
      </w:tr>
    </w:tbl>
    <w:p w14:paraId="24276C5D" w14:textId="77777777" w:rsidR="003A4E35" w:rsidRDefault="003A4E35" w:rsidP="003A4E35"/>
    <w:p w14:paraId="734C4978" w14:textId="77777777" w:rsidR="00676E62" w:rsidRDefault="00676E62" w:rsidP="00095578"/>
    <w:p w14:paraId="4DE34265" w14:textId="21D9497E" w:rsidR="00336EF2" w:rsidRPr="004850D8" w:rsidRDefault="001833B7" w:rsidP="004E17CD">
      <w:pPr>
        <w:rPr>
          <w:sz w:val="32"/>
          <w:szCs w:val="32"/>
          <w:u w:val="single"/>
        </w:rPr>
      </w:pPr>
      <w:r w:rsidRPr="004850D8">
        <w:rPr>
          <w:sz w:val="32"/>
          <w:szCs w:val="32"/>
          <w:u w:val="single"/>
        </w:rPr>
        <w:t>References</w:t>
      </w:r>
    </w:p>
    <w:p w14:paraId="1C4C4DFE" w14:textId="51649807" w:rsidR="001833B7" w:rsidRPr="008A7D2D" w:rsidRDefault="001833B7" w:rsidP="004E17CD">
      <w:pPr>
        <w:rPr>
          <w:rFonts w:cstheme="minorHAnsi"/>
          <w:sz w:val="24"/>
          <w:szCs w:val="24"/>
        </w:rPr>
      </w:pPr>
      <w:r w:rsidRPr="008A7D2D">
        <w:rPr>
          <w:rFonts w:cstheme="minorHAnsi"/>
          <w:sz w:val="24"/>
          <w:szCs w:val="24"/>
        </w:rPr>
        <w:t>Recommendation 1</w:t>
      </w:r>
    </w:p>
    <w:p w14:paraId="157F1042" w14:textId="3CDC5F85" w:rsidR="001833B7" w:rsidRPr="008A7D2D" w:rsidRDefault="001833B7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</w:rPr>
        <w:t>Nelson CA, Winberg J, Bostic TB, Davis KM, Fleck-Derderian S. Systematic Review: Clinical Features, Antimicrobial Treatment, and Outcomes of Human Tularemia, 1993-2023. Clinical Infectious Diseases. 2024 February 15;78: S15-S28.</w:t>
      </w:r>
    </w:p>
    <w:p w14:paraId="5D83DDEB" w14:textId="629D052C" w:rsidR="001833B7" w:rsidRPr="008A7D2D" w:rsidRDefault="001833B7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</w:rPr>
        <w:t>Wu J, Bostic TB, Horiuchi K, Kugeler K, Mead PS, Nelson CA. Tularemia Clinical Manifestations, Antimicrobial Treatment, and Outcomes: An Analysis of US Surveillance Data, 2006-2021. Clinical Infectious Diseases. 2024 February 15;78: S29-S37.</w:t>
      </w:r>
    </w:p>
    <w:p w14:paraId="67EDFB11" w14:textId="5DA9E75D" w:rsidR="009B0019" w:rsidRPr="009B0019" w:rsidRDefault="009B0019" w:rsidP="009B0019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Ciprofloxacin &amp; Levofloxacin</w:t>
      </w:r>
      <w:r w:rsidRPr="009B0019">
        <w:rPr>
          <w:rFonts w:cstheme="minorHAnsi"/>
        </w:rPr>
        <w:t>: Adverse effects. (20</w:t>
      </w:r>
      <w:r>
        <w:rPr>
          <w:rFonts w:cstheme="minorHAnsi"/>
        </w:rPr>
        <w:t>2</w:t>
      </w:r>
      <w:r w:rsidRPr="009B0019">
        <w:rPr>
          <w:rFonts w:cstheme="minorHAnsi"/>
        </w:rPr>
        <w:t>5). Micromedex.</w:t>
      </w:r>
      <w:r>
        <w:rPr>
          <w:rFonts w:cstheme="minorHAnsi"/>
        </w:rPr>
        <w:t xml:space="preserve"> </w:t>
      </w:r>
      <w:r w:rsidRPr="009B0019">
        <w:rPr>
          <w:rFonts w:cstheme="minorHAnsi"/>
        </w:rPr>
        <w:t xml:space="preserve">Greenwood Village, CO: Truven Health Analytics. Retrieved </w:t>
      </w:r>
      <w:r>
        <w:rPr>
          <w:rFonts w:cstheme="minorHAnsi"/>
        </w:rPr>
        <w:t>February 13</w:t>
      </w:r>
      <w:r w:rsidRPr="009B0019">
        <w:rPr>
          <w:rFonts w:cstheme="minorHAnsi"/>
        </w:rPr>
        <w:t>, 20</w:t>
      </w:r>
      <w:r>
        <w:rPr>
          <w:rFonts w:cstheme="minorHAnsi"/>
        </w:rPr>
        <w:t>2</w:t>
      </w:r>
      <w:r w:rsidRPr="009B0019">
        <w:rPr>
          <w:rFonts w:cstheme="minorHAnsi"/>
        </w:rPr>
        <w:t>5, from http://www.micromedexsolutions.com/</w:t>
      </w:r>
    </w:p>
    <w:p w14:paraId="737420ED" w14:textId="78B236D1" w:rsidR="001833B7" w:rsidRPr="008A7D2D" w:rsidRDefault="009B6868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Tandan M, Cormican M, Vellinga A. Adverse events of fluoroquinolones vs. other antimicrobials prescribed in primary care: A systematic review and meta-analysis of randomized controlled trials. Int J Antimicrob Agents. 2018;52(5): 529-540.</w:t>
      </w:r>
    </w:p>
    <w:p w14:paraId="2794845D" w14:textId="7E748815" w:rsidR="00A42B14" w:rsidRPr="008A7D2D" w:rsidRDefault="00A42B14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</w:rPr>
        <w:t>Chan PA, Le Brazidec DL, Becasen JS, Martin H, Kapadia J, Reno H, Bachmann L, Barbee LA. Safety of Longer-Term Doxycycline Use: A Systematic Review and Meta-Analysis With Implications for Bacterial Sexually Transmitted Infection Chemoprophylaxis. Sex Transm Dis. 2023 Nov 1;50(11):701-712. doi: 10.1097/OLQ.0000000000001865. Epub 2023 Sep 4. PMID: 37732844; PMCID: PMC10592014.</w:t>
      </w:r>
    </w:p>
    <w:p w14:paraId="2199BD18" w14:textId="16BC277E" w:rsidR="00A42B14" w:rsidRPr="008A7D2D" w:rsidRDefault="00A42B14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  <w:color w:val="212121"/>
          <w:shd w:val="clear" w:color="auto" w:fill="FFFFFF"/>
        </w:rPr>
        <w:t>Sloan B, Scheinfeld N. The Use and Safety of Doxycycline Hyclate and Other Second-generation Tetracyclines. Expert Opin Drug Saf. 2008 Sep;7(5):571-7. doi: 10.1517/14740338.7.5.571. PMID: 18759709.</w:t>
      </w:r>
    </w:p>
    <w:p w14:paraId="7A23B360" w14:textId="09CF655C" w:rsidR="00A42B14" w:rsidRPr="008A7D2D" w:rsidRDefault="00A42B14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  <w:color w:val="212121"/>
          <w:shd w:val="clear" w:color="auto" w:fill="FFFFFF"/>
        </w:rPr>
        <w:t>Jiang M, Karasawa T, Steyger PS. Aminoglycoside-Induced Cochleotoxicity: A Review. Front Cell Neurosci. 2017 Oct 9;11:308. doi: 10.3389/fncel.2017.00308. PMID: 29062271; PMCID: PMC5640705.</w:t>
      </w:r>
    </w:p>
    <w:p w14:paraId="4B321CB6" w14:textId="5F3962CD" w:rsidR="00A42B14" w:rsidRPr="008A7D2D" w:rsidRDefault="00A42B14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</w:rPr>
        <w:t>Campbell RE, Chen CH, Edelstein CL. Overview of Antibiotic-Induced Nephrotoxicity. Kidney International Reports. 2023;8(11):2211-25.</w:t>
      </w:r>
    </w:p>
    <w:p w14:paraId="315426FC" w14:textId="500F84DE" w:rsidR="00A42B14" w:rsidRPr="008A7D2D" w:rsidRDefault="00A42B14" w:rsidP="001833B7">
      <w:pPr>
        <w:pStyle w:val="ListParagraph"/>
        <w:numPr>
          <w:ilvl w:val="0"/>
          <w:numId w:val="13"/>
        </w:numPr>
        <w:rPr>
          <w:rFonts w:cstheme="minorHAnsi"/>
        </w:rPr>
      </w:pPr>
      <w:r w:rsidRPr="008A7D2D">
        <w:rPr>
          <w:rFonts w:cstheme="minorHAnsi"/>
        </w:rPr>
        <w:t>Wargo KA, Edwards JD. Aminoglycoside-Induced Nephrotoxicity. Journal of Pharmacy Practice. 2014;27(6):573-7.</w:t>
      </w:r>
    </w:p>
    <w:p w14:paraId="205312F2" w14:textId="32B2880F" w:rsidR="00A42B14" w:rsidRPr="008A7D2D" w:rsidRDefault="00A42B14" w:rsidP="00A42B14">
      <w:pPr>
        <w:rPr>
          <w:rFonts w:cstheme="minorHAnsi"/>
          <w:sz w:val="24"/>
          <w:szCs w:val="24"/>
        </w:rPr>
      </w:pPr>
      <w:r w:rsidRPr="008A7D2D">
        <w:rPr>
          <w:rFonts w:cstheme="minorHAnsi"/>
          <w:sz w:val="24"/>
          <w:szCs w:val="24"/>
        </w:rPr>
        <w:t>Recommendation 2</w:t>
      </w:r>
    </w:p>
    <w:p w14:paraId="005BCD82" w14:textId="20A94FBA" w:rsidR="00A42B14" w:rsidRPr="00C04101" w:rsidRDefault="00A42B14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lastRenderedPageBreak/>
        <w:t>Fleck-Derderian S, Davis KM, Winberg J, Nelson CA, Meaney-Delman D. Systematic Review of Tularemia During Pregnancy. Clinical Infectious Diseases. 2024 February 15;78:S47-S54.</w:t>
      </w:r>
    </w:p>
    <w:p w14:paraId="2E8B650C" w14:textId="77777777" w:rsidR="00C04101" w:rsidRDefault="00A42B14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Schubert L, Koelz M, Kussmann M, Metz-Schimmerl S, Tobudic S, Traby L, et al. Successful Treatment of Glandular Tularemia with Azithromycin in a Pregnant Woman in Austria. Infection. 2024;52(3):1181-4.</w:t>
      </w:r>
    </w:p>
    <w:p w14:paraId="1830BC02" w14:textId="17B8FB3F" w:rsidR="00A42B14" w:rsidRPr="00C04101" w:rsidRDefault="00A42B14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Yu PA, Tran EL, Parker CM, Kim H, Yee EL, Smith PW, et al. Safety of Antimicrobials During Pregnancy: A Systematic Review of Antimicrobials Considered for Treatment and Postexposure Prophylaxis of Plague. Clinical Infectious Diseases. 2020;70:S37-S50.</w:t>
      </w:r>
    </w:p>
    <w:p w14:paraId="2C81FD3D" w14:textId="1A8C2D41" w:rsidR="00A42B14" w:rsidRPr="00C04101" w:rsidRDefault="00A42B14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 xml:space="preserve">Yefet E, Schwartz N, Chazan B, Salim R, Romano S, Nachum Z. The </w:t>
      </w:r>
      <w:r w:rsidR="003B4DAE" w:rsidRPr="00C04101">
        <w:rPr>
          <w:rFonts w:cstheme="minorHAnsi"/>
          <w:color w:val="212121"/>
          <w:shd w:val="clear" w:color="auto" w:fill="FFFFFF"/>
        </w:rPr>
        <w:t>S</w:t>
      </w:r>
      <w:r w:rsidRPr="00C04101">
        <w:rPr>
          <w:rFonts w:cstheme="minorHAnsi"/>
          <w:color w:val="212121"/>
          <w:shd w:val="clear" w:color="auto" w:fill="FFFFFF"/>
        </w:rPr>
        <w:t xml:space="preserve">afety of </w:t>
      </w:r>
      <w:r w:rsidR="003B4DAE" w:rsidRPr="00C04101">
        <w:rPr>
          <w:rFonts w:cstheme="minorHAnsi"/>
          <w:color w:val="212121"/>
          <w:shd w:val="clear" w:color="auto" w:fill="FFFFFF"/>
        </w:rPr>
        <w:t>Q</w:t>
      </w:r>
      <w:r w:rsidRPr="00C04101">
        <w:rPr>
          <w:rFonts w:cstheme="minorHAnsi"/>
          <w:color w:val="212121"/>
          <w:shd w:val="clear" w:color="auto" w:fill="FFFFFF"/>
        </w:rPr>
        <w:t xml:space="preserve">uinolones and </w:t>
      </w:r>
      <w:r w:rsidR="003B4DAE" w:rsidRPr="00C04101">
        <w:rPr>
          <w:rFonts w:cstheme="minorHAnsi"/>
          <w:color w:val="212121"/>
          <w:shd w:val="clear" w:color="auto" w:fill="FFFFFF"/>
        </w:rPr>
        <w:t>F</w:t>
      </w:r>
      <w:r w:rsidRPr="00C04101">
        <w:rPr>
          <w:rFonts w:cstheme="minorHAnsi"/>
          <w:color w:val="212121"/>
          <w:shd w:val="clear" w:color="auto" w:fill="FFFFFF"/>
        </w:rPr>
        <w:t xml:space="preserve">luoroquinolones in </w:t>
      </w:r>
      <w:r w:rsidR="003B4DAE" w:rsidRPr="00C04101">
        <w:rPr>
          <w:rFonts w:cstheme="minorHAnsi"/>
          <w:color w:val="212121"/>
          <w:shd w:val="clear" w:color="auto" w:fill="FFFFFF"/>
        </w:rPr>
        <w:t>P</w:t>
      </w:r>
      <w:r w:rsidRPr="00C04101">
        <w:rPr>
          <w:rFonts w:cstheme="minorHAnsi"/>
          <w:color w:val="212121"/>
          <w:shd w:val="clear" w:color="auto" w:fill="FFFFFF"/>
        </w:rPr>
        <w:t xml:space="preserve">regnancy: </w:t>
      </w:r>
      <w:r w:rsidR="003B4DAE" w:rsidRPr="00C04101">
        <w:rPr>
          <w:rFonts w:cstheme="minorHAnsi"/>
          <w:color w:val="212121"/>
          <w:shd w:val="clear" w:color="auto" w:fill="FFFFFF"/>
        </w:rPr>
        <w:t>A</w:t>
      </w:r>
      <w:r w:rsidRPr="00C04101">
        <w:rPr>
          <w:rFonts w:cstheme="minorHAnsi"/>
          <w:color w:val="212121"/>
          <w:shd w:val="clear" w:color="auto" w:fill="FFFFFF"/>
        </w:rPr>
        <w:t xml:space="preserve"> </w:t>
      </w:r>
      <w:r w:rsidR="003B4DAE" w:rsidRPr="00C04101">
        <w:rPr>
          <w:rFonts w:cstheme="minorHAnsi"/>
          <w:color w:val="212121"/>
          <w:shd w:val="clear" w:color="auto" w:fill="FFFFFF"/>
        </w:rPr>
        <w:t>M</w:t>
      </w:r>
      <w:r w:rsidRPr="00C04101">
        <w:rPr>
          <w:rFonts w:cstheme="minorHAnsi"/>
          <w:color w:val="212121"/>
          <w:shd w:val="clear" w:color="auto" w:fill="FFFFFF"/>
        </w:rPr>
        <w:t>eta-</w:t>
      </w:r>
      <w:r w:rsidR="003B4DAE" w:rsidRPr="00C04101">
        <w:rPr>
          <w:rFonts w:cstheme="minorHAnsi"/>
          <w:color w:val="212121"/>
          <w:shd w:val="clear" w:color="auto" w:fill="FFFFFF"/>
        </w:rPr>
        <w:t>A</w:t>
      </w:r>
      <w:r w:rsidRPr="00C04101">
        <w:rPr>
          <w:rFonts w:cstheme="minorHAnsi"/>
          <w:color w:val="212121"/>
          <w:shd w:val="clear" w:color="auto" w:fill="FFFFFF"/>
        </w:rPr>
        <w:t>nalysis. BJOG. 2018;125:1069-76.</w:t>
      </w:r>
    </w:p>
    <w:p w14:paraId="08103031" w14:textId="5D9EC100" w:rsidR="00A42B14" w:rsidRPr="00C04101" w:rsidRDefault="00A42B14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Ziv A, Masarwa R, Perlman A, Ziv D, Matok I. Pregnancy Outcomes Following Exposure to Quinolone Antibiotics - a Systematic-Review and Meta-Analysis. Pharm Res. 2018;35(5):109.</w:t>
      </w:r>
    </w:p>
    <w:p w14:paraId="46ECEFF4" w14:textId="2A4E8DB7" w:rsidR="003B4DAE" w:rsidRDefault="003B4DAE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Lide TN. Congenital Tularemia. Archives of Pathology. 1947;43:165-9.</w:t>
      </w:r>
    </w:p>
    <w:p w14:paraId="4F381C5D" w14:textId="3178EBA6" w:rsidR="00A56EEE" w:rsidRPr="00C04101" w:rsidRDefault="00A56EEE" w:rsidP="00C04101">
      <w:pPr>
        <w:pStyle w:val="ListParagraph"/>
        <w:numPr>
          <w:ilvl w:val="0"/>
          <w:numId w:val="17"/>
        </w:numPr>
        <w:rPr>
          <w:rFonts w:cstheme="minorHAnsi"/>
          <w:color w:val="212121"/>
          <w:shd w:val="clear" w:color="auto" w:fill="FFFFFF"/>
        </w:rPr>
      </w:pPr>
      <w:r w:rsidRPr="00A56EEE">
        <w:rPr>
          <w:rFonts w:cstheme="minorHAnsi"/>
          <w:color w:val="212121"/>
          <w:shd w:val="clear" w:color="auto" w:fill="FFFFFF"/>
        </w:rPr>
        <w:t xml:space="preserve">Pohanka P. The </w:t>
      </w:r>
      <w:r>
        <w:rPr>
          <w:rFonts w:cstheme="minorHAnsi"/>
          <w:color w:val="212121"/>
          <w:shd w:val="clear" w:color="auto" w:fill="FFFFFF"/>
        </w:rPr>
        <w:t>E</w:t>
      </w:r>
      <w:r w:rsidRPr="00A56EEE">
        <w:rPr>
          <w:rFonts w:cstheme="minorHAnsi"/>
          <w:color w:val="212121"/>
          <w:shd w:val="clear" w:color="auto" w:fill="FFFFFF"/>
        </w:rPr>
        <w:t xml:space="preserve">tiopathogenesis of </w:t>
      </w:r>
      <w:r>
        <w:rPr>
          <w:rFonts w:cstheme="minorHAnsi"/>
          <w:color w:val="212121"/>
          <w:shd w:val="clear" w:color="auto" w:fill="FFFFFF"/>
        </w:rPr>
        <w:t>H</w:t>
      </w:r>
      <w:r w:rsidRPr="00A56EEE">
        <w:rPr>
          <w:rFonts w:cstheme="minorHAnsi"/>
          <w:color w:val="212121"/>
          <w:shd w:val="clear" w:color="auto" w:fill="FFFFFF"/>
        </w:rPr>
        <w:t>ydranencephaly. Cesk Pediatr 1980; 35:432-3.</w:t>
      </w:r>
    </w:p>
    <w:p w14:paraId="011730AD" w14:textId="77777777" w:rsidR="008A7D2D" w:rsidRDefault="008A7D2D" w:rsidP="003B4DAE">
      <w:pPr>
        <w:rPr>
          <w:rFonts w:cstheme="minorHAnsi"/>
          <w:sz w:val="24"/>
          <w:szCs w:val="24"/>
        </w:rPr>
      </w:pPr>
    </w:p>
    <w:p w14:paraId="0F9585BB" w14:textId="4966A00F" w:rsidR="003B4DAE" w:rsidRPr="008A7D2D" w:rsidRDefault="003B4DAE" w:rsidP="003B4DAE">
      <w:pPr>
        <w:rPr>
          <w:rFonts w:cstheme="minorHAnsi"/>
          <w:sz w:val="24"/>
          <w:szCs w:val="24"/>
        </w:rPr>
      </w:pPr>
      <w:r w:rsidRPr="008A7D2D">
        <w:rPr>
          <w:rFonts w:cstheme="minorHAnsi"/>
          <w:sz w:val="24"/>
          <w:szCs w:val="24"/>
        </w:rPr>
        <w:t>Recommendation 3</w:t>
      </w:r>
    </w:p>
    <w:p w14:paraId="32C8D0DA" w14:textId="593EF896" w:rsidR="003B4DAE" w:rsidRPr="00C04101" w:rsidRDefault="003B4DAE" w:rsidP="00C04101">
      <w:pPr>
        <w:pStyle w:val="ListParagraph"/>
        <w:numPr>
          <w:ilvl w:val="0"/>
          <w:numId w:val="18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Sawyer WD, Dangerfield HG, Hogge AL, Crozier D. Antibiotic Prophylaxis and Therapy of Airborne Tularemia. Bacteriological Revies. 1966;30(3):542-7.</w:t>
      </w:r>
    </w:p>
    <w:p w14:paraId="2C33C5FB" w14:textId="636231C0" w:rsidR="003B4DAE" w:rsidRPr="00C04101" w:rsidRDefault="003B4DAE" w:rsidP="00C04101">
      <w:pPr>
        <w:pStyle w:val="ListParagraph"/>
        <w:numPr>
          <w:ilvl w:val="0"/>
          <w:numId w:val="18"/>
        </w:numPr>
        <w:rPr>
          <w:rFonts w:cstheme="minorHAnsi"/>
          <w:color w:val="212121"/>
          <w:shd w:val="clear" w:color="auto" w:fill="FFFFFF"/>
        </w:rPr>
      </w:pPr>
      <w:r w:rsidRPr="008A7D2D">
        <w:rPr>
          <w:rFonts w:cstheme="minorHAnsi"/>
          <w:color w:val="212121"/>
          <w:shd w:val="clear" w:color="auto" w:fill="FFFFFF"/>
        </w:rPr>
        <w:t>D'iakov SI, Bubnov VP, Lebedeva IK, Sidorenko SV, Moskalenko VI. Zashchitnye svoĭstva doksitsiklina, rifampitsina i sizomitsina pri éksperimental'noĭ legochnoĭ tuliaremii belykh mysheĭ [Protective properties of doxycycline, rifampicin and sisomycin in experimental pulmonary tularemia of albino mice]. Antibiot Khimioter. 1998;43(3):22-6. Russian. PMID: 9606493.</w:t>
      </w:r>
    </w:p>
    <w:p w14:paraId="01F73C06" w14:textId="6EAAB6D3" w:rsidR="003B4DAE" w:rsidRDefault="003B4DAE" w:rsidP="00C04101">
      <w:pPr>
        <w:pStyle w:val="ListParagraph"/>
        <w:numPr>
          <w:ilvl w:val="0"/>
          <w:numId w:val="18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Piercy T, Steward J, Lever MS, Brooks TLG. In-vivo Efficacy of Fluoroquinolones Against Systemic Tularaemia Infection in Mice. Journal of Antimicrobial Chemotherapy. 2005;56(6):1069-73.</w:t>
      </w:r>
    </w:p>
    <w:p w14:paraId="729A2D21" w14:textId="2341C0F3" w:rsidR="000903C3" w:rsidRPr="000903C3" w:rsidRDefault="000903C3" w:rsidP="000903C3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Ciprofloxacin &amp; Levofloxacin</w:t>
      </w:r>
      <w:r w:rsidRPr="009B0019">
        <w:rPr>
          <w:rFonts w:cstheme="minorHAnsi"/>
        </w:rPr>
        <w:t>: Adverse effects. (20</w:t>
      </w:r>
      <w:r>
        <w:rPr>
          <w:rFonts w:cstheme="minorHAnsi"/>
        </w:rPr>
        <w:t>2</w:t>
      </w:r>
      <w:r w:rsidRPr="009B0019">
        <w:rPr>
          <w:rFonts w:cstheme="minorHAnsi"/>
        </w:rPr>
        <w:t>5)</w:t>
      </w:r>
      <w:r>
        <w:rPr>
          <w:rFonts w:cstheme="minorHAnsi"/>
        </w:rPr>
        <w:t>.</w:t>
      </w:r>
      <w:r w:rsidRPr="009B0019">
        <w:rPr>
          <w:rFonts w:cstheme="minorHAnsi"/>
        </w:rPr>
        <w:t xml:space="preserve"> Micromedex.</w:t>
      </w:r>
      <w:r>
        <w:rPr>
          <w:rFonts w:cstheme="minorHAnsi"/>
        </w:rPr>
        <w:t xml:space="preserve"> </w:t>
      </w:r>
      <w:r w:rsidRPr="009B0019">
        <w:rPr>
          <w:rFonts w:cstheme="minorHAnsi"/>
        </w:rPr>
        <w:t xml:space="preserve">Greenwood Village, CO: Truven Health Analytics. Retrieved </w:t>
      </w:r>
      <w:r>
        <w:rPr>
          <w:rFonts w:cstheme="minorHAnsi"/>
        </w:rPr>
        <w:t>February 13</w:t>
      </w:r>
      <w:r w:rsidRPr="009B0019">
        <w:rPr>
          <w:rFonts w:cstheme="minorHAnsi"/>
        </w:rPr>
        <w:t>, 20</w:t>
      </w:r>
      <w:r>
        <w:rPr>
          <w:rFonts w:cstheme="minorHAnsi"/>
        </w:rPr>
        <w:t>2</w:t>
      </w:r>
      <w:r w:rsidRPr="009B0019">
        <w:rPr>
          <w:rFonts w:cstheme="minorHAnsi"/>
        </w:rPr>
        <w:t>5, from http://www.micromedexsolutions.com/</w:t>
      </w:r>
    </w:p>
    <w:p w14:paraId="3213953A" w14:textId="77777777" w:rsidR="003B4DAE" w:rsidRPr="00C04101" w:rsidRDefault="003B4DAE" w:rsidP="00C04101">
      <w:pPr>
        <w:pStyle w:val="ListParagraph"/>
        <w:numPr>
          <w:ilvl w:val="0"/>
          <w:numId w:val="18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Kuula LSM, Viljemaa KM, Backman JT, Blom M. Fluoroquinolone-related Adverse Events Resulting in Health Service Use and Costs: A Systematic Review. PLoS One. 2019 Apr 26;14(4):e0216029. doi: 10.1371/journal.pone.0216029. PMID: 31026286; PMCID: PMC6485715.</w:t>
      </w:r>
    </w:p>
    <w:p w14:paraId="34509FFF" w14:textId="77777777" w:rsidR="003B4DAE" w:rsidRPr="00C04101" w:rsidRDefault="003B4DAE" w:rsidP="00C04101">
      <w:pPr>
        <w:pStyle w:val="ListParagraph"/>
        <w:numPr>
          <w:ilvl w:val="0"/>
          <w:numId w:val="18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t>Chan PA, Le Brazidec DL, Becasen JS, Martin H, Kapadia J, Reno H, Bachmann L, Barbee LA. Safety of Longer-Term Doxycycline Use: A Systematic Review and Meta-Analysis With Implications for Bacterial Sexually Transmitted Infection Chemoprophylaxis. Sex Transm Dis. 2023 Nov 1;50(11):701-712. doi: 10.1097/OLQ.0000000000001865. Epub 2023 Sep 4. PMID: 37732844; PMCID: PMC10592014.</w:t>
      </w:r>
    </w:p>
    <w:p w14:paraId="1416CFE2" w14:textId="77777777" w:rsidR="003B4DAE" w:rsidRPr="00C04101" w:rsidRDefault="003B4DAE" w:rsidP="00C04101">
      <w:pPr>
        <w:pStyle w:val="ListParagraph"/>
        <w:numPr>
          <w:ilvl w:val="0"/>
          <w:numId w:val="18"/>
        </w:numPr>
        <w:rPr>
          <w:rFonts w:cstheme="minorHAnsi"/>
          <w:color w:val="212121"/>
          <w:shd w:val="clear" w:color="auto" w:fill="FFFFFF"/>
        </w:rPr>
      </w:pPr>
      <w:r w:rsidRPr="00C04101">
        <w:rPr>
          <w:rFonts w:cstheme="minorHAnsi"/>
          <w:color w:val="212121"/>
          <w:shd w:val="clear" w:color="auto" w:fill="FFFFFF"/>
        </w:rPr>
        <w:lastRenderedPageBreak/>
        <w:t>Sloan B, Scheinfeld N. The Use and Safety of Doxycycline Hyclate and Other Second-generation Tetracyclines. Expert Opin Drug Saf. 2008 Sep;7(5):571-7. doi: 10.1517/14740338.7.5.571. PMID: 18759709.</w:t>
      </w:r>
    </w:p>
    <w:p w14:paraId="27214FD6" w14:textId="77777777" w:rsidR="003B4DAE" w:rsidRPr="006D2719" w:rsidRDefault="003B4DAE" w:rsidP="006D2719">
      <w:pPr>
        <w:ind w:left="360"/>
        <w:rPr>
          <w:rFonts w:cstheme="minorHAnsi"/>
        </w:rPr>
      </w:pPr>
    </w:p>
    <w:sectPr w:rsidR="003B4DAE" w:rsidRPr="006D2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E0FD" w14:textId="77777777" w:rsidR="006C77C1" w:rsidRDefault="006C77C1" w:rsidP="00A374D9">
      <w:pPr>
        <w:spacing w:after="0" w:line="240" w:lineRule="auto"/>
      </w:pPr>
      <w:r>
        <w:separator/>
      </w:r>
    </w:p>
  </w:endnote>
  <w:endnote w:type="continuationSeparator" w:id="0">
    <w:p w14:paraId="1005CBAC" w14:textId="77777777" w:rsidR="006C77C1" w:rsidRDefault="006C77C1" w:rsidP="00A3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003B" w14:textId="77777777" w:rsidR="006C77C1" w:rsidRDefault="006C77C1" w:rsidP="00A374D9">
      <w:pPr>
        <w:spacing w:after="0" w:line="240" w:lineRule="auto"/>
      </w:pPr>
      <w:r>
        <w:separator/>
      </w:r>
    </w:p>
  </w:footnote>
  <w:footnote w:type="continuationSeparator" w:id="0">
    <w:p w14:paraId="3D37BA4B" w14:textId="77777777" w:rsidR="006C77C1" w:rsidRDefault="006C77C1" w:rsidP="00A3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D6E"/>
    <w:multiLevelType w:val="hybridMultilevel"/>
    <w:tmpl w:val="EB7C7354"/>
    <w:lvl w:ilvl="0" w:tplc="989A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2452"/>
    <w:multiLevelType w:val="hybridMultilevel"/>
    <w:tmpl w:val="D2582C7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51FB"/>
    <w:multiLevelType w:val="multilevel"/>
    <w:tmpl w:val="8CA4E0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E6033"/>
    <w:multiLevelType w:val="hybridMultilevel"/>
    <w:tmpl w:val="A16078E0"/>
    <w:lvl w:ilvl="0" w:tplc="0B1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160C"/>
    <w:multiLevelType w:val="hybridMultilevel"/>
    <w:tmpl w:val="BD6C79FE"/>
    <w:lvl w:ilvl="0" w:tplc="0A327B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7556"/>
    <w:multiLevelType w:val="hybridMultilevel"/>
    <w:tmpl w:val="47E2310A"/>
    <w:lvl w:ilvl="0" w:tplc="989A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0D91"/>
    <w:multiLevelType w:val="hybridMultilevel"/>
    <w:tmpl w:val="50FC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2214"/>
    <w:multiLevelType w:val="hybridMultilevel"/>
    <w:tmpl w:val="3792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1966"/>
    <w:multiLevelType w:val="hybridMultilevel"/>
    <w:tmpl w:val="D2582C72"/>
    <w:lvl w:ilvl="0" w:tplc="83FCC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4"/>
    <w:multiLevelType w:val="hybridMultilevel"/>
    <w:tmpl w:val="D2582C7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A11B0"/>
    <w:multiLevelType w:val="hybridMultilevel"/>
    <w:tmpl w:val="8B40B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2F689B"/>
    <w:multiLevelType w:val="multilevel"/>
    <w:tmpl w:val="8CA4E0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28313C"/>
    <w:multiLevelType w:val="hybridMultilevel"/>
    <w:tmpl w:val="255ED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362B0F"/>
    <w:multiLevelType w:val="hybridMultilevel"/>
    <w:tmpl w:val="2AFAFC64"/>
    <w:lvl w:ilvl="0" w:tplc="18D4E9D6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1" w:tplc="4DE4AB20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2" w:tplc="9B50FBD0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3" w:tplc="2318B384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4" w:tplc="82126BD2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5" w:tplc="C434937A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6" w:tplc="2132042E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7" w:tplc="CAD6F86A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8" w:tplc="9BE08614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</w:abstractNum>
  <w:abstractNum w:abstractNumId="14" w15:restartNumberingAfterBreak="0">
    <w:nsid w:val="578970D5"/>
    <w:multiLevelType w:val="hybridMultilevel"/>
    <w:tmpl w:val="00FE8200"/>
    <w:lvl w:ilvl="0" w:tplc="989A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5462"/>
    <w:multiLevelType w:val="hybridMultilevel"/>
    <w:tmpl w:val="1C74D89A"/>
    <w:lvl w:ilvl="0" w:tplc="989A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5009C"/>
    <w:multiLevelType w:val="hybridMultilevel"/>
    <w:tmpl w:val="95F42584"/>
    <w:lvl w:ilvl="0" w:tplc="0B1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85E07"/>
    <w:multiLevelType w:val="hybridMultilevel"/>
    <w:tmpl w:val="06380F48"/>
    <w:lvl w:ilvl="0" w:tplc="B4E66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9C6B1B"/>
    <w:multiLevelType w:val="hybridMultilevel"/>
    <w:tmpl w:val="A3A2FBC2"/>
    <w:lvl w:ilvl="0" w:tplc="D79622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4185">
    <w:abstractNumId w:val="7"/>
  </w:num>
  <w:num w:numId="2" w16cid:durableId="783233335">
    <w:abstractNumId w:val="11"/>
  </w:num>
  <w:num w:numId="3" w16cid:durableId="1380519340">
    <w:abstractNumId w:val="2"/>
  </w:num>
  <w:num w:numId="4" w16cid:durableId="333924511">
    <w:abstractNumId w:val="10"/>
  </w:num>
  <w:num w:numId="5" w16cid:durableId="1260065574">
    <w:abstractNumId w:val="12"/>
  </w:num>
  <w:num w:numId="6" w16cid:durableId="2090730281">
    <w:abstractNumId w:val="17"/>
  </w:num>
  <w:num w:numId="7" w16cid:durableId="993143172">
    <w:abstractNumId w:val="16"/>
  </w:num>
  <w:num w:numId="8" w16cid:durableId="701830498">
    <w:abstractNumId w:val="3"/>
  </w:num>
  <w:num w:numId="9" w16cid:durableId="713887589">
    <w:abstractNumId w:val="14"/>
  </w:num>
  <w:num w:numId="10" w16cid:durableId="1037849429">
    <w:abstractNumId w:val="5"/>
  </w:num>
  <w:num w:numId="11" w16cid:durableId="826826543">
    <w:abstractNumId w:val="15"/>
  </w:num>
  <w:num w:numId="12" w16cid:durableId="892934565">
    <w:abstractNumId w:val="0"/>
  </w:num>
  <w:num w:numId="13" w16cid:durableId="300884515">
    <w:abstractNumId w:val="8"/>
  </w:num>
  <w:num w:numId="14" w16cid:durableId="674694992">
    <w:abstractNumId w:val="6"/>
  </w:num>
  <w:num w:numId="15" w16cid:durableId="1337273295">
    <w:abstractNumId w:val="18"/>
  </w:num>
  <w:num w:numId="16" w16cid:durableId="1252927573">
    <w:abstractNumId w:val="4"/>
  </w:num>
  <w:num w:numId="17" w16cid:durableId="1719469424">
    <w:abstractNumId w:val="9"/>
  </w:num>
  <w:num w:numId="18" w16cid:durableId="348068590">
    <w:abstractNumId w:val="1"/>
  </w:num>
  <w:num w:numId="19" w16cid:durableId="362749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03"/>
    <w:rsid w:val="00000610"/>
    <w:rsid w:val="00002DAC"/>
    <w:rsid w:val="00005DAA"/>
    <w:rsid w:val="000175FF"/>
    <w:rsid w:val="000320C1"/>
    <w:rsid w:val="000403CB"/>
    <w:rsid w:val="0005252C"/>
    <w:rsid w:val="00054F2F"/>
    <w:rsid w:val="000552EE"/>
    <w:rsid w:val="00065D2A"/>
    <w:rsid w:val="0006672E"/>
    <w:rsid w:val="0007381D"/>
    <w:rsid w:val="000844B1"/>
    <w:rsid w:val="000903C3"/>
    <w:rsid w:val="00095578"/>
    <w:rsid w:val="00096297"/>
    <w:rsid w:val="000A472A"/>
    <w:rsid w:val="000B44AD"/>
    <w:rsid w:val="000B523A"/>
    <w:rsid w:val="000B5C49"/>
    <w:rsid w:val="000C20BA"/>
    <w:rsid w:val="000C51A6"/>
    <w:rsid w:val="000C5353"/>
    <w:rsid w:val="000D011D"/>
    <w:rsid w:val="000D5241"/>
    <w:rsid w:val="000D7A31"/>
    <w:rsid w:val="000E1FE0"/>
    <w:rsid w:val="000E6271"/>
    <w:rsid w:val="0010329D"/>
    <w:rsid w:val="00115C4B"/>
    <w:rsid w:val="00121062"/>
    <w:rsid w:val="00122680"/>
    <w:rsid w:val="001424A1"/>
    <w:rsid w:val="00152CA7"/>
    <w:rsid w:val="00153293"/>
    <w:rsid w:val="001533D9"/>
    <w:rsid w:val="00173AE7"/>
    <w:rsid w:val="001833B7"/>
    <w:rsid w:val="00186CBE"/>
    <w:rsid w:val="00194503"/>
    <w:rsid w:val="00194565"/>
    <w:rsid w:val="001A3190"/>
    <w:rsid w:val="001C00AE"/>
    <w:rsid w:val="001C4416"/>
    <w:rsid w:val="001D0816"/>
    <w:rsid w:val="00203A5F"/>
    <w:rsid w:val="0021418F"/>
    <w:rsid w:val="002165D7"/>
    <w:rsid w:val="00217FBE"/>
    <w:rsid w:val="0022119E"/>
    <w:rsid w:val="0022321A"/>
    <w:rsid w:val="00223516"/>
    <w:rsid w:val="00224039"/>
    <w:rsid w:val="00236C22"/>
    <w:rsid w:val="00241D8C"/>
    <w:rsid w:val="0024581C"/>
    <w:rsid w:val="00253AA5"/>
    <w:rsid w:val="00257FDD"/>
    <w:rsid w:val="00264C32"/>
    <w:rsid w:val="00275649"/>
    <w:rsid w:val="00276EB9"/>
    <w:rsid w:val="0028062C"/>
    <w:rsid w:val="00281E10"/>
    <w:rsid w:val="00283D5A"/>
    <w:rsid w:val="00291FE8"/>
    <w:rsid w:val="00293E36"/>
    <w:rsid w:val="002A69D6"/>
    <w:rsid w:val="002C2050"/>
    <w:rsid w:val="002D6503"/>
    <w:rsid w:val="002F214C"/>
    <w:rsid w:val="002F54B2"/>
    <w:rsid w:val="002F5BFD"/>
    <w:rsid w:val="003043A5"/>
    <w:rsid w:val="00306411"/>
    <w:rsid w:val="00315A23"/>
    <w:rsid w:val="00322420"/>
    <w:rsid w:val="00335F8F"/>
    <w:rsid w:val="00336EF2"/>
    <w:rsid w:val="00340ACD"/>
    <w:rsid w:val="00347AF6"/>
    <w:rsid w:val="0035437D"/>
    <w:rsid w:val="00356CDB"/>
    <w:rsid w:val="00361FDD"/>
    <w:rsid w:val="0037226B"/>
    <w:rsid w:val="00385364"/>
    <w:rsid w:val="00387F60"/>
    <w:rsid w:val="003954EF"/>
    <w:rsid w:val="003A34EE"/>
    <w:rsid w:val="003A4E35"/>
    <w:rsid w:val="003A55B8"/>
    <w:rsid w:val="003B4DAE"/>
    <w:rsid w:val="003D1280"/>
    <w:rsid w:val="003D7C38"/>
    <w:rsid w:val="003E1403"/>
    <w:rsid w:val="003E2057"/>
    <w:rsid w:val="003F70BD"/>
    <w:rsid w:val="00401624"/>
    <w:rsid w:val="0040402F"/>
    <w:rsid w:val="004561B5"/>
    <w:rsid w:val="0045622C"/>
    <w:rsid w:val="00460692"/>
    <w:rsid w:val="00465FBA"/>
    <w:rsid w:val="00471F45"/>
    <w:rsid w:val="00483AC3"/>
    <w:rsid w:val="004850D8"/>
    <w:rsid w:val="004D5E3F"/>
    <w:rsid w:val="004E17CD"/>
    <w:rsid w:val="004E7B71"/>
    <w:rsid w:val="00511720"/>
    <w:rsid w:val="00513FEE"/>
    <w:rsid w:val="00514279"/>
    <w:rsid w:val="005146FF"/>
    <w:rsid w:val="005348E8"/>
    <w:rsid w:val="0053733C"/>
    <w:rsid w:val="00537D2A"/>
    <w:rsid w:val="00543CF1"/>
    <w:rsid w:val="00551082"/>
    <w:rsid w:val="005527A6"/>
    <w:rsid w:val="00553E50"/>
    <w:rsid w:val="00573AE9"/>
    <w:rsid w:val="005C79EF"/>
    <w:rsid w:val="005E584D"/>
    <w:rsid w:val="005F1433"/>
    <w:rsid w:val="005F2057"/>
    <w:rsid w:val="00603D47"/>
    <w:rsid w:val="006108D7"/>
    <w:rsid w:val="00611ACF"/>
    <w:rsid w:val="00612ADD"/>
    <w:rsid w:val="00650F91"/>
    <w:rsid w:val="00660151"/>
    <w:rsid w:val="00661355"/>
    <w:rsid w:val="00676E62"/>
    <w:rsid w:val="006875FE"/>
    <w:rsid w:val="006A62EA"/>
    <w:rsid w:val="006C5C0B"/>
    <w:rsid w:val="006C77C1"/>
    <w:rsid w:val="006D1C96"/>
    <w:rsid w:val="006D2719"/>
    <w:rsid w:val="006D5C02"/>
    <w:rsid w:val="006E13E4"/>
    <w:rsid w:val="006E354B"/>
    <w:rsid w:val="006E3E79"/>
    <w:rsid w:val="00702F2A"/>
    <w:rsid w:val="00707CBB"/>
    <w:rsid w:val="00727C08"/>
    <w:rsid w:val="00732095"/>
    <w:rsid w:val="00740577"/>
    <w:rsid w:val="007514E7"/>
    <w:rsid w:val="0075402B"/>
    <w:rsid w:val="00770C25"/>
    <w:rsid w:val="00771429"/>
    <w:rsid w:val="007955C6"/>
    <w:rsid w:val="00795703"/>
    <w:rsid w:val="007B0E5E"/>
    <w:rsid w:val="007B26C9"/>
    <w:rsid w:val="007E2169"/>
    <w:rsid w:val="007E6A7D"/>
    <w:rsid w:val="007E7840"/>
    <w:rsid w:val="008040AA"/>
    <w:rsid w:val="00805030"/>
    <w:rsid w:val="00817451"/>
    <w:rsid w:val="00824458"/>
    <w:rsid w:val="00831ABC"/>
    <w:rsid w:val="008355C3"/>
    <w:rsid w:val="008478C6"/>
    <w:rsid w:val="008938FD"/>
    <w:rsid w:val="008957B2"/>
    <w:rsid w:val="008A0275"/>
    <w:rsid w:val="008A7D2D"/>
    <w:rsid w:val="008F1DB3"/>
    <w:rsid w:val="008F30E4"/>
    <w:rsid w:val="008F542B"/>
    <w:rsid w:val="00901325"/>
    <w:rsid w:val="009035EC"/>
    <w:rsid w:val="00926B0E"/>
    <w:rsid w:val="00930785"/>
    <w:rsid w:val="009355DB"/>
    <w:rsid w:val="0095240E"/>
    <w:rsid w:val="00966106"/>
    <w:rsid w:val="0097786B"/>
    <w:rsid w:val="00977EB2"/>
    <w:rsid w:val="009811D5"/>
    <w:rsid w:val="009839A9"/>
    <w:rsid w:val="00985602"/>
    <w:rsid w:val="0098628F"/>
    <w:rsid w:val="009914DF"/>
    <w:rsid w:val="009A09C1"/>
    <w:rsid w:val="009B0019"/>
    <w:rsid w:val="009B3A1C"/>
    <w:rsid w:val="009B6868"/>
    <w:rsid w:val="009B7FE6"/>
    <w:rsid w:val="009C3871"/>
    <w:rsid w:val="009C5A89"/>
    <w:rsid w:val="009D17AC"/>
    <w:rsid w:val="009D2FC7"/>
    <w:rsid w:val="009D4B8B"/>
    <w:rsid w:val="009E02D9"/>
    <w:rsid w:val="009E2461"/>
    <w:rsid w:val="009E2F7E"/>
    <w:rsid w:val="009F529A"/>
    <w:rsid w:val="009F5EA2"/>
    <w:rsid w:val="00A105F6"/>
    <w:rsid w:val="00A23120"/>
    <w:rsid w:val="00A30271"/>
    <w:rsid w:val="00A374D9"/>
    <w:rsid w:val="00A40367"/>
    <w:rsid w:val="00A42B14"/>
    <w:rsid w:val="00A56EEE"/>
    <w:rsid w:val="00A66D1B"/>
    <w:rsid w:val="00A70438"/>
    <w:rsid w:val="00A71B2D"/>
    <w:rsid w:val="00A759C1"/>
    <w:rsid w:val="00A7793C"/>
    <w:rsid w:val="00A81D8B"/>
    <w:rsid w:val="00A933B0"/>
    <w:rsid w:val="00A96A10"/>
    <w:rsid w:val="00A97272"/>
    <w:rsid w:val="00AA338A"/>
    <w:rsid w:val="00AA37AF"/>
    <w:rsid w:val="00AF1644"/>
    <w:rsid w:val="00B16C13"/>
    <w:rsid w:val="00B204E1"/>
    <w:rsid w:val="00B211A6"/>
    <w:rsid w:val="00B2287B"/>
    <w:rsid w:val="00B266F0"/>
    <w:rsid w:val="00B321A3"/>
    <w:rsid w:val="00B41E8A"/>
    <w:rsid w:val="00B660BB"/>
    <w:rsid w:val="00B83737"/>
    <w:rsid w:val="00B85EAC"/>
    <w:rsid w:val="00B968F8"/>
    <w:rsid w:val="00BA2360"/>
    <w:rsid w:val="00BA3DF5"/>
    <w:rsid w:val="00BB2B97"/>
    <w:rsid w:val="00BB74CC"/>
    <w:rsid w:val="00BC0901"/>
    <w:rsid w:val="00BC29BE"/>
    <w:rsid w:val="00BC5314"/>
    <w:rsid w:val="00BD2F30"/>
    <w:rsid w:val="00BD438B"/>
    <w:rsid w:val="00BD5492"/>
    <w:rsid w:val="00BE245D"/>
    <w:rsid w:val="00BF1E3D"/>
    <w:rsid w:val="00BF2F20"/>
    <w:rsid w:val="00C04101"/>
    <w:rsid w:val="00C27698"/>
    <w:rsid w:val="00C306C5"/>
    <w:rsid w:val="00C30FCC"/>
    <w:rsid w:val="00C4094C"/>
    <w:rsid w:val="00C50B1D"/>
    <w:rsid w:val="00C55821"/>
    <w:rsid w:val="00C5612C"/>
    <w:rsid w:val="00C7097F"/>
    <w:rsid w:val="00C77866"/>
    <w:rsid w:val="00C94288"/>
    <w:rsid w:val="00CA2BFC"/>
    <w:rsid w:val="00CC39AF"/>
    <w:rsid w:val="00CC55F2"/>
    <w:rsid w:val="00CE7F12"/>
    <w:rsid w:val="00CF2D11"/>
    <w:rsid w:val="00CF68AE"/>
    <w:rsid w:val="00D01016"/>
    <w:rsid w:val="00D21740"/>
    <w:rsid w:val="00D228F6"/>
    <w:rsid w:val="00D2655A"/>
    <w:rsid w:val="00D45E3E"/>
    <w:rsid w:val="00D465AC"/>
    <w:rsid w:val="00D50760"/>
    <w:rsid w:val="00D5106E"/>
    <w:rsid w:val="00D52A5A"/>
    <w:rsid w:val="00D73B9E"/>
    <w:rsid w:val="00D77B68"/>
    <w:rsid w:val="00D82960"/>
    <w:rsid w:val="00D9201E"/>
    <w:rsid w:val="00DA0E60"/>
    <w:rsid w:val="00DA1F59"/>
    <w:rsid w:val="00DA62E6"/>
    <w:rsid w:val="00DB23A9"/>
    <w:rsid w:val="00DD054C"/>
    <w:rsid w:val="00DD5CBC"/>
    <w:rsid w:val="00DD733D"/>
    <w:rsid w:val="00DD7413"/>
    <w:rsid w:val="00DE6F3D"/>
    <w:rsid w:val="00DF3F93"/>
    <w:rsid w:val="00E21359"/>
    <w:rsid w:val="00E2273F"/>
    <w:rsid w:val="00E3520B"/>
    <w:rsid w:val="00E6493E"/>
    <w:rsid w:val="00E6574A"/>
    <w:rsid w:val="00E746B3"/>
    <w:rsid w:val="00E86C7E"/>
    <w:rsid w:val="00E91224"/>
    <w:rsid w:val="00E91E36"/>
    <w:rsid w:val="00EB1850"/>
    <w:rsid w:val="00EB6BE0"/>
    <w:rsid w:val="00EE25B8"/>
    <w:rsid w:val="00EE44B4"/>
    <w:rsid w:val="00F307BA"/>
    <w:rsid w:val="00F3410B"/>
    <w:rsid w:val="00F47E1F"/>
    <w:rsid w:val="00F53C41"/>
    <w:rsid w:val="00F671A9"/>
    <w:rsid w:val="00F726AF"/>
    <w:rsid w:val="00F72E7B"/>
    <w:rsid w:val="00F85A8C"/>
    <w:rsid w:val="00F96A11"/>
    <w:rsid w:val="00FA38F6"/>
    <w:rsid w:val="00FA509D"/>
    <w:rsid w:val="00FA5B78"/>
    <w:rsid w:val="00FA6993"/>
    <w:rsid w:val="00FA6D25"/>
    <w:rsid w:val="00FA7997"/>
    <w:rsid w:val="00FB754F"/>
    <w:rsid w:val="00FB7A6F"/>
    <w:rsid w:val="00FC76C4"/>
    <w:rsid w:val="00FD0906"/>
    <w:rsid w:val="00FD3AA2"/>
    <w:rsid w:val="00FE5ACF"/>
    <w:rsid w:val="00FF0ED8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5144"/>
  <w15:chartTrackingRefBased/>
  <w15:docId w15:val="{F98734EA-E040-401E-AF29-48C9BF7C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0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0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0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0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0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7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3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74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4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Mic25</b:Tag>
    <b:SourceType>DocumentFromInternetSite</b:SourceType>
    <b:Guid>{D247B681-3B1E-422D-AF07-02CCF38F2CA1}</b:Guid>
    <b:Title>Ciprofloxacin &amp; Levofloxacin: Adverse effects.</b:Title>
    <b:Year>2025</b:Year>
    <b:City>Greenwood Village</b:City>
    <b:Author>
      <b:Author>
        <b:NameList>
          <b:Person>
            <b:Last>Micromedex</b:Last>
          </b:Person>
        </b:NameList>
      </b:Author>
    </b:Author>
    <b:StateProvince>CO</b:StateProvince>
    <b:Month>February</b:Month>
    <b:Day>13</b:Day>
    <b:InternetSiteTitle>Micromedex</b:InternetSiteTitle>
    <b:URL>http://www.micromedexsolutions.com/</b:URL>
    <b:RefOrder>1</b:RefOrder>
  </b:Source>
</b:Sources>
</file>

<file path=customXml/itemProps1.xml><?xml version="1.0" encoding="utf-8"?>
<ds:datastoreItem xmlns:ds="http://schemas.openxmlformats.org/officeDocument/2006/customXml" ds:itemID="{00DE3CEE-68BE-4139-856E-C120E96E87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Murad, M. Hassan, M.D.</dc:creator>
  <cp:keywords/>
  <dc:description/>
  <cp:lastModifiedBy>Meadows, Marella (CDC/OD/OS)</cp:lastModifiedBy>
  <cp:revision>3</cp:revision>
  <dcterms:created xsi:type="dcterms:W3CDTF">2025-04-09T14:57:00Z</dcterms:created>
  <dcterms:modified xsi:type="dcterms:W3CDTF">2025-04-09T15:12:00Z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2024-06-17T21:14:35Z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8653bd05-9111-4e7a-8708-31979967fad3</vt:lpwstr>
  </property>
  <property fmtid="{D5CDD505-2E9C-101B-9397-08002B2CF9AE}" pid="8" name="MSIP_Label_8af03ff0-41c5-4c41-b55e-fabb8fae94be_ContentBits">
    <vt:lpwstr>0</vt:lpwstr>
  </property>
</Properties>
</file>