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D7" w:rsidRPr="00DD14E5" w:rsidRDefault="00B53FD7" w:rsidP="00DD14E5">
      <w:pPr>
        <w:spacing w:after="0" w:line="480" w:lineRule="auto"/>
        <w:jc w:val="center"/>
        <w:rPr>
          <w:b/>
          <w:sz w:val="28"/>
          <w:szCs w:val="28"/>
        </w:rPr>
      </w:pPr>
      <w:r w:rsidRPr="00471351">
        <w:rPr>
          <w:b/>
          <w:sz w:val="28"/>
          <w:szCs w:val="28"/>
        </w:rPr>
        <w:t>Economics of Malaria Prevention in United States Travelers to West Africa:</w:t>
      </w:r>
      <w:r w:rsidRPr="00DD14E5">
        <w:rPr>
          <w:b/>
          <w:sz w:val="28"/>
          <w:szCs w:val="28"/>
        </w:rPr>
        <w:t xml:space="preserve"> Technical Appendix and Supplemental Material</w:t>
      </w:r>
    </w:p>
    <w:p w:rsidR="00B53FD7" w:rsidRPr="00A16E2C" w:rsidRDefault="00B53FD7" w:rsidP="00A16E2C">
      <w:pPr>
        <w:spacing w:after="0" w:line="480" w:lineRule="auto"/>
        <w:rPr>
          <w:b/>
          <w:sz w:val="28"/>
          <w:szCs w:val="28"/>
          <w:vertAlign w:val="superscript"/>
        </w:rPr>
      </w:pPr>
    </w:p>
    <w:p w:rsidR="00B53FD7" w:rsidRPr="007E2B9F" w:rsidRDefault="00B53FD7" w:rsidP="00752A4D">
      <w:pPr>
        <w:spacing w:after="0" w:line="480" w:lineRule="auto"/>
        <w:rPr>
          <w:sz w:val="24"/>
          <w:szCs w:val="24"/>
          <w:vertAlign w:val="superscript"/>
        </w:rPr>
      </w:pPr>
      <w:r w:rsidRPr="007E2B9F">
        <w:rPr>
          <w:sz w:val="24"/>
          <w:szCs w:val="24"/>
        </w:rPr>
        <w:t>Kenji Adachi PhD</w:t>
      </w:r>
      <w:r>
        <w:rPr>
          <w:sz w:val="24"/>
          <w:szCs w:val="24"/>
        </w:rPr>
        <w:t>;</w:t>
      </w:r>
      <w:r w:rsidRPr="007E2B9F">
        <w:rPr>
          <w:sz w:val="24"/>
          <w:szCs w:val="24"/>
          <w:vertAlign w:val="superscript"/>
        </w:rPr>
        <w:t>1</w:t>
      </w:r>
      <w:r w:rsidRPr="007E2B9F">
        <w:rPr>
          <w:sz w:val="24"/>
          <w:szCs w:val="24"/>
        </w:rPr>
        <w:t xml:space="preserve"> Margaret S. Coleman PhD, MA</w:t>
      </w:r>
      <w:r>
        <w:rPr>
          <w:sz w:val="24"/>
          <w:szCs w:val="24"/>
        </w:rPr>
        <w:t>;</w:t>
      </w:r>
      <w:r w:rsidRPr="007E2B9F">
        <w:rPr>
          <w:sz w:val="24"/>
          <w:szCs w:val="24"/>
          <w:vertAlign w:val="superscript"/>
        </w:rPr>
        <w:t>1</w:t>
      </w:r>
      <w:r>
        <w:rPr>
          <w:sz w:val="24"/>
          <w:szCs w:val="24"/>
          <w:vertAlign w:val="superscript"/>
        </w:rPr>
        <w:t>*</w:t>
      </w:r>
      <w:r w:rsidRPr="00E209B8">
        <w:rPr>
          <w:sz w:val="24"/>
          <w:szCs w:val="24"/>
          <w:vertAlign w:val="superscript"/>
        </w:rPr>
        <w:t>C</w:t>
      </w:r>
      <w:r w:rsidRPr="007E2B9F">
        <w:rPr>
          <w:sz w:val="24"/>
          <w:szCs w:val="24"/>
        </w:rPr>
        <w:t xml:space="preserve"> Nomana Khan MBBS, MPH</w:t>
      </w:r>
      <w:r>
        <w:rPr>
          <w:sz w:val="24"/>
          <w:szCs w:val="24"/>
        </w:rPr>
        <w:t>;</w:t>
      </w:r>
      <w:r w:rsidRPr="007E2B9F">
        <w:rPr>
          <w:sz w:val="24"/>
          <w:szCs w:val="24"/>
          <w:vertAlign w:val="superscript"/>
        </w:rPr>
        <w:t>1</w:t>
      </w:r>
      <w:r w:rsidRPr="007E2B9F">
        <w:rPr>
          <w:sz w:val="24"/>
          <w:szCs w:val="24"/>
        </w:rPr>
        <w:t xml:space="preserve"> Emily S. Jentes PhD, MPH</w:t>
      </w:r>
      <w:r>
        <w:rPr>
          <w:sz w:val="24"/>
          <w:szCs w:val="24"/>
        </w:rPr>
        <w:t>;</w:t>
      </w:r>
      <w:r w:rsidRPr="007E2B9F">
        <w:rPr>
          <w:sz w:val="24"/>
          <w:szCs w:val="24"/>
          <w:vertAlign w:val="superscript"/>
        </w:rPr>
        <w:t>1</w:t>
      </w:r>
      <w:r>
        <w:rPr>
          <w:sz w:val="24"/>
          <w:szCs w:val="24"/>
          <w:vertAlign w:val="superscript"/>
        </w:rPr>
        <w:t>C</w:t>
      </w:r>
      <w:r w:rsidRPr="007E2B9F">
        <w:rPr>
          <w:sz w:val="24"/>
          <w:szCs w:val="24"/>
        </w:rPr>
        <w:t xml:space="preserve"> Paul Arguin MD</w:t>
      </w:r>
      <w:r>
        <w:rPr>
          <w:sz w:val="24"/>
          <w:szCs w:val="24"/>
        </w:rPr>
        <w:t>;</w:t>
      </w:r>
      <w:r w:rsidRPr="007E2B9F">
        <w:rPr>
          <w:sz w:val="24"/>
          <w:szCs w:val="24"/>
          <w:vertAlign w:val="superscript"/>
        </w:rPr>
        <w:t>2</w:t>
      </w:r>
      <w:r w:rsidRPr="007E2B9F">
        <w:rPr>
          <w:sz w:val="24"/>
          <w:szCs w:val="24"/>
        </w:rPr>
        <w:t>Sowmya R. Rao PhD</w:t>
      </w:r>
      <w:r>
        <w:rPr>
          <w:sz w:val="24"/>
          <w:szCs w:val="24"/>
        </w:rPr>
        <w:t>;</w:t>
      </w:r>
      <w:r w:rsidRPr="007E2B9F">
        <w:rPr>
          <w:sz w:val="24"/>
          <w:szCs w:val="24"/>
          <w:vertAlign w:val="superscript"/>
        </w:rPr>
        <w:t>3</w:t>
      </w:r>
      <w:r w:rsidRPr="007E2B9F">
        <w:rPr>
          <w:sz w:val="24"/>
          <w:szCs w:val="24"/>
        </w:rPr>
        <w:t xml:space="preserve"> Regina C. LaRocque MD, MPH</w:t>
      </w:r>
      <w:r>
        <w:rPr>
          <w:sz w:val="24"/>
          <w:szCs w:val="24"/>
        </w:rPr>
        <w:t>;</w:t>
      </w:r>
      <w:r w:rsidRPr="007E2B9F">
        <w:rPr>
          <w:sz w:val="24"/>
          <w:szCs w:val="24"/>
          <w:vertAlign w:val="superscript"/>
        </w:rPr>
        <w:t>4,5</w:t>
      </w:r>
      <w:r w:rsidRPr="007E2B9F">
        <w:rPr>
          <w:sz w:val="24"/>
          <w:szCs w:val="24"/>
        </w:rPr>
        <w:t xml:space="preserve"> Mark </w:t>
      </w:r>
      <w:r>
        <w:rPr>
          <w:sz w:val="24"/>
          <w:szCs w:val="24"/>
        </w:rPr>
        <w:t xml:space="preserve">J. </w:t>
      </w:r>
      <w:r w:rsidRPr="007E2B9F">
        <w:rPr>
          <w:sz w:val="24"/>
          <w:szCs w:val="24"/>
        </w:rPr>
        <w:t>Sotir PhD, MPH</w:t>
      </w:r>
      <w:r>
        <w:rPr>
          <w:sz w:val="24"/>
          <w:szCs w:val="24"/>
        </w:rPr>
        <w:t>;</w:t>
      </w:r>
      <w:r w:rsidRPr="007E2B9F">
        <w:rPr>
          <w:sz w:val="24"/>
          <w:szCs w:val="24"/>
          <w:vertAlign w:val="superscript"/>
        </w:rPr>
        <w:t>1</w:t>
      </w:r>
      <w:r w:rsidRPr="007E2B9F">
        <w:rPr>
          <w:sz w:val="24"/>
          <w:szCs w:val="24"/>
        </w:rPr>
        <w:t xml:space="preserve"> Gary Brunette MD, </w:t>
      </w:r>
      <w:r>
        <w:rPr>
          <w:sz w:val="24"/>
          <w:szCs w:val="24"/>
        </w:rPr>
        <w:t>MS;</w:t>
      </w:r>
      <w:r w:rsidRPr="007E2B9F">
        <w:rPr>
          <w:sz w:val="24"/>
          <w:szCs w:val="24"/>
          <w:vertAlign w:val="superscript"/>
        </w:rPr>
        <w:t>1</w:t>
      </w:r>
      <w:r w:rsidRPr="00A95CD1">
        <w:rPr>
          <w:sz w:val="24"/>
          <w:szCs w:val="24"/>
        </w:rPr>
        <w:t xml:space="preserve"> </w:t>
      </w:r>
      <w:r w:rsidRPr="007E2B9F">
        <w:rPr>
          <w:sz w:val="24"/>
          <w:szCs w:val="24"/>
        </w:rPr>
        <w:t>Edward T. Ryan MD</w:t>
      </w:r>
      <w:r>
        <w:rPr>
          <w:sz w:val="24"/>
          <w:szCs w:val="24"/>
        </w:rPr>
        <w:t>;</w:t>
      </w:r>
      <w:r w:rsidRPr="007E2B9F">
        <w:rPr>
          <w:sz w:val="24"/>
          <w:szCs w:val="24"/>
          <w:vertAlign w:val="superscript"/>
        </w:rPr>
        <w:t>4,5*</w:t>
      </w:r>
      <w:r w:rsidRPr="007E2B9F">
        <w:rPr>
          <w:sz w:val="24"/>
          <w:szCs w:val="24"/>
        </w:rPr>
        <w:t xml:space="preserve"> Martin I. Meltzer PhD</w:t>
      </w:r>
      <w:r>
        <w:rPr>
          <w:sz w:val="24"/>
          <w:szCs w:val="24"/>
        </w:rPr>
        <w:t>;</w:t>
      </w:r>
      <w:r w:rsidRPr="007E2B9F">
        <w:rPr>
          <w:sz w:val="24"/>
          <w:szCs w:val="24"/>
          <w:vertAlign w:val="superscript"/>
        </w:rPr>
        <w:t>6*</w:t>
      </w:r>
      <w:r w:rsidRPr="007E2B9F">
        <w:rPr>
          <w:sz w:val="24"/>
          <w:szCs w:val="24"/>
        </w:rPr>
        <w:t xml:space="preserve"> and the Global TravEpiNet Consortium</w:t>
      </w:r>
    </w:p>
    <w:p w:rsidR="00B53FD7" w:rsidRPr="00DD14E5" w:rsidRDefault="00B53FD7" w:rsidP="00752A4D">
      <w:pPr>
        <w:spacing w:after="0" w:line="480" w:lineRule="auto"/>
      </w:pPr>
      <w:r w:rsidRPr="00DD14E5">
        <w:rPr>
          <w:vertAlign w:val="superscript"/>
        </w:rPr>
        <w:t>1</w:t>
      </w:r>
      <w:r w:rsidRPr="00DD14E5">
        <w:rPr>
          <w:rFonts w:cs="Calibri"/>
        </w:rPr>
        <w:t xml:space="preserve">DGMQ, CDC, Atlanta, GA. </w:t>
      </w:r>
      <w:r w:rsidRPr="00DD14E5">
        <w:rPr>
          <w:rFonts w:cs="Calibri"/>
          <w:vertAlign w:val="superscript"/>
        </w:rPr>
        <w:t>2</w:t>
      </w:r>
      <w:r w:rsidRPr="00DD14E5">
        <w:rPr>
          <w:rFonts w:cs="Calibri"/>
          <w:color w:val="000000"/>
        </w:rPr>
        <w:t>DPDM</w:t>
      </w:r>
      <w:r w:rsidRPr="00DD14E5">
        <w:rPr>
          <w:rFonts w:cs="Calibri"/>
        </w:rPr>
        <w:t xml:space="preserve">, CDC, Atlanta, GA. </w:t>
      </w:r>
      <w:r w:rsidRPr="00DD14E5">
        <w:rPr>
          <w:vertAlign w:val="superscript"/>
        </w:rPr>
        <w:t>3</w:t>
      </w:r>
      <w:r w:rsidRPr="00DD14E5">
        <w:t xml:space="preserve">Department of Quantitative Health Sciences, University of Massachusetts Medical School, Worcester, MA; Center for Health Quality, Outcomes, and Economics Research, Bedford VA Medical Center, Bedford, MA. </w:t>
      </w:r>
      <w:r w:rsidRPr="00DD14E5">
        <w:rPr>
          <w:vertAlign w:val="superscript"/>
        </w:rPr>
        <w:t>4</w:t>
      </w:r>
      <w:r w:rsidRPr="00DD14E5">
        <w:t xml:space="preserve">Division of </w:t>
      </w:r>
      <w:r w:rsidRPr="00DD14E5">
        <w:rPr>
          <w:rFonts w:cs="Calibri"/>
        </w:rPr>
        <w:t xml:space="preserve">Infectious Diseases, Massachusetts General Hospital, Boston, MA. </w:t>
      </w:r>
      <w:r w:rsidRPr="00DD14E5">
        <w:rPr>
          <w:rFonts w:cs="Calibri"/>
          <w:vertAlign w:val="superscript"/>
        </w:rPr>
        <w:t>5</w:t>
      </w:r>
      <w:r w:rsidRPr="00DD14E5">
        <w:rPr>
          <w:rFonts w:cs="Calibri"/>
        </w:rPr>
        <w:t xml:space="preserve">Department of Medicine, Harvard Medical School, Boston, MA. </w:t>
      </w:r>
      <w:r w:rsidRPr="00DD14E5">
        <w:rPr>
          <w:rFonts w:cs="Calibri"/>
          <w:vertAlign w:val="superscript"/>
        </w:rPr>
        <w:t>6</w:t>
      </w:r>
      <w:r w:rsidRPr="00DD14E5">
        <w:rPr>
          <w:rFonts w:cs="Calibri"/>
          <w:color w:val="000000"/>
        </w:rPr>
        <w:t>Division of Preparedness and Emerging Infections</w:t>
      </w:r>
      <w:r w:rsidRPr="00DD14E5">
        <w:rPr>
          <w:rFonts w:cs="Calibri"/>
        </w:rPr>
        <w:t xml:space="preserve">, CDC, Atlanta, GA.  </w:t>
      </w:r>
      <w:r w:rsidRPr="00DD14E5">
        <w:t>*Senior Advisors</w:t>
      </w:r>
    </w:p>
    <w:p w:rsidR="00B53FD7" w:rsidRDefault="00B53FD7" w:rsidP="00752A4D">
      <w:pPr>
        <w:spacing w:after="0" w:line="480" w:lineRule="auto"/>
        <w:rPr>
          <w:b/>
          <w:sz w:val="24"/>
          <w:szCs w:val="24"/>
        </w:rPr>
      </w:pPr>
    </w:p>
    <w:p w:rsidR="00B53FD7" w:rsidRPr="00471351" w:rsidRDefault="00B53FD7" w:rsidP="00752A4D">
      <w:pPr>
        <w:spacing w:after="0" w:line="480" w:lineRule="auto"/>
        <w:rPr>
          <w:sz w:val="24"/>
          <w:szCs w:val="24"/>
        </w:rPr>
      </w:pPr>
      <w:r w:rsidRPr="00DD14E5">
        <w:rPr>
          <w:b/>
          <w:sz w:val="24"/>
          <w:szCs w:val="24"/>
        </w:rPr>
        <w:t>Key words:</w:t>
      </w:r>
      <w:r w:rsidRPr="00471351">
        <w:rPr>
          <w:sz w:val="24"/>
          <w:szCs w:val="24"/>
        </w:rPr>
        <w:t xml:space="preserve"> Costs, Benefits, Malaria prevention, Pre-travel health consultation</w:t>
      </w:r>
    </w:p>
    <w:p w:rsidR="00B53FD7" w:rsidRPr="00DD14E5" w:rsidRDefault="00B53FD7" w:rsidP="00752A4D">
      <w:pPr>
        <w:spacing w:after="0" w:line="480" w:lineRule="auto"/>
        <w:rPr>
          <w:sz w:val="24"/>
          <w:szCs w:val="24"/>
          <w:vertAlign w:val="superscript"/>
        </w:rPr>
      </w:pPr>
      <w:r w:rsidRPr="00471351">
        <w:rPr>
          <w:sz w:val="24"/>
          <w:szCs w:val="24"/>
        </w:rPr>
        <w:t xml:space="preserve">Running title: </w:t>
      </w:r>
      <w:r w:rsidRPr="00DD14E5">
        <w:rPr>
          <w:sz w:val="24"/>
          <w:szCs w:val="24"/>
        </w:rPr>
        <w:t>Economics Malaria Prevention</w:t>
      </w:r>
    </w:p>
    <w:p w:rsidR="00B53FD7" w:rsidRPr="00DC468E" w:rsidRDefault="00B53FD7" w:rsidP="00471351">
      <w:pPr>
        <w:spacing w:after="0" w:line="480" w:lineRule="auto"/>
        <w:rPr>
          <w:sz w:val="24"/>
          <w:szCs w:val="24"/>
        </w:rPr>
      </w:pPr>
      <w:r w:rsidRPr="00DD14E5">
        <w:rPr>
          <w:b/>
          <w:sz w:val="24"/>
          <w:szCs w:val="24"/>
        </w:rPr>
        <w:t>Key points:</w:t>
      </w:r>
      <w:r w:rsidRPr="00DC468E">
        <w:rPr>
          <w:sz w:val="24"/>
          <w:szCs w:val="24"/>
        </w:rPr>
        <w:t xml:space="preserve"> </w:t>
      </w:r>
      <w:r>
        <w:rPr>
          <w:sz w:val="24"/>
          <w:szCs w:val="24"/>
        </w:rPr>
        <w:t>C</w:t>
      </w:r>
      <w:r w:rsidRPr="00DC468E">
        <w:rPr>
          <w:sz w:val="24"/>
          <w:szCs w:val="24"/>
        </w:rPr>
        <w:t xml:space="preserve">osts and benefits of malaria prevention provided during </w:t>
      </w:r>
      <w:r>
        <w:rPr>
          <w:sz w:val="24"/>
          <w:szCs w:val="24"/>
        </w:rPr>
        <w:t xml:space="preserve">domestic </w:t>
      </w:r>
      <w:r w:rsidRPr="00DC468E">
        <w:rPr>
          <w:sz w:val="24"/>
          <w:szCs w:val="24"/>
        </w:rPr>
        <w:t>pre-travel health consultations.</w:t>
      </w:r>
      <w:r>
        <w:rPr>
          <w:sz w:val="24"/>
          <w:szCs w:val="24"/>
        </w:rPr>
        <w:t xml:space="preserve">  Healthcare</w:t>
      </w:r>
      <w:r w:rsidRPr="007E2B9F">
        <w:rPr>
          <w:sz w:val="24"/>
          <w:szCs w:val="24"/>
        </w:rPr>
        <w:t xml:space="preserve"> payers </w:t>
      </w:r>
      <w:r>
        <w:rPr>
          <w:sz w:val="24"/>
          <w:szCs w:val="24"/>
        </w:rPr>
        <w:t>always, and travelers often,</w:t>
      </w:r>
      <w:r w:rsidRPr="007E2B9F">
        <w:rPr>
          <w:sz w:val="24"/>
          <w:szCs w:val="24"/>
        </w:rPr>
        <w:t xml:space="preserve"> save money when travelers adhere to </w:t>
      </w:r>
      <w:r>
        <w:rPr>
          <w:sz w:val="24"/>
          <w:szCs w:val="24"/>
        </w:rPr>
        <w:t xml:space="preserve">malaria </w:t>
      </w:r>
      <w:r w:rsidRPr="007E2B9F">
        <w:rPr>
          <w:sz w:val="24"/>
          <w:szCs w:val="24"/>
        </w:rPr>
        <w:t xml:space="preserve">recommendations and prophylactic regimens </w:t>
      </w:r>
      <w:r>
        <w:rPr>
          <w:sz w:val="24"/>
          <w:szCs w:val="24"/>
        </w:rPr>
        <w:t>in West Africa, especially for</w:t>
      </w:r>
      <w:r w:rsidRPr="007E2B9F">
        <w:rPr>
          <w:sz w:val="24"/>
          <w:szCs w:val="24"/>
        </w:rPr>
        <w:t xml:space="preserve"> long</w:t>
      </w:r>
      <w:r>
        <w:rPr>
          <w:sz w:val="24"/>
          <w:szCs w:val="24"/>
        </w:rPr>
        <w:t>er</w:t>
      </w:r>
      <w:r w:rsidRPr="007E2B9F">
        <w:rPr>
          <w:sz w:val="24"/>
          <w:szCs w:val="24"/>
        </w:rPr>
        <w:t xml:space="preserve"> duration</w:t>
      </w:r>
      <w:r>
        <w:rPr>
          <w:sz w:val="24"/>
          <w:szCs w:val="24"/>
        </w:rPr>
        <w:t>s</w:t>
      </w:r>
      <w:r w:rsidRPr="007E2B9F">
        <w:rPr>
          <w:sz w:val="24"/>
          <w:szCs w:val="24"/>
        </w:rPr>
        <w:t xml:space="preserve"> of travel</w:t>
      </w:r>
      <w:r>
        <w:rPr>
          <w:sz w:val="24"/>
          <w:szCs w:val="24"/>
        </w:rPr>
        <w:t>.</w:t>
      </w:r>
    </w:p>
    <w:p w:rsidR="00B53FD7" w:rsidRDefault="00B53FD7" w:rsidP="00752A4D">
      <w:pPr>
        <w:spacing w:after="0" w:line="480" w:lineRule="auto"/>
        <w:rPr>
          <w:sz w:val="24"/>
          <w:szCs w:val="24"/>
        </w:rPr>
      </w:pPr>
      <w:r w:rsidRPr="00E209B8">
        <w:rPr>
          <w:sz w:val="24"/>
          <w:szCs w:val="24"/>
          <w:vertAlign w:val="superscript"/>
        </w:rPr>
        <w:t>C</w:t>
      </w:r>
      <w:r>
        <w:rPr>
          <w:sz w:val="24"/>
          <w:szCs w:val="24"/>
        </w:rPr>
        <w:t xml:space="preserve"> Corresponding author: Dr. Margaret S. Coleman; DGMQ, NCEZID, CDC, Mail Stop E-03, 1600 Clifton Road, Atlanta, Georgia 30333, USA; Fax 404-639-4441.  Office 404-639-8801.  Cell 404-729-1829.  Email </w:t>
      </w:r>
      <w:hyperlink r:id="rId7" w:history="1">
        <w:r w:rsidRPr="008A0148">
          <w:rPr>
            <w:rStyle w:val="Hyperlink"/>
            <w:sz w:val="24"/>
            <w:szCs w:val="24"/>
          </w:rPr>
          <w:t>mcoleman@cdc.gov</w:t>
        </w:r>
      </w:hyperlink>
      <w:r>
        <w:rPr>
          <w:sz w:val="24"/>
          <w:szCs w:val="24"/>
        </w:rPr>
        <w:t xml:space="preserve">   </w:t>
      </w:r>
    </w:p>
    <w:p w:rsidR="00B53FD7" w:rsidRDefault="00B53FD7" w:rsidP="00752A4D">
      <w:pPr>
        <w:spacing w:after="0" w:line="480" w:lineRule="auto"/>
        <w:rPr>
          <w:sz w:val="24"/>
          <w:szCs w:val="24"/>
        </w:rPr>
      </w:pPr>
      <w:r>
        <w:rPr>
          <w:sz w:val="24"/>
          <w:szCs w:val="24"/>
        </w:rPr>
        <w:t xml:space="preserve">Alternate corresponding author: Dr. Emily S. Jentes; DGMQ, NCEZID, CDC, Mail Stop E-03, 1600 Clifton Road, Atlanta, Georgia 30333, USA; Fax 404-639-4441.  Office 404-639-4385.  Email </w:t>
      </w:r>
      <w:hyperlink r:id="rId8" w:history="1">
        <w:r w:rsidRPr="00620302">
          <w:rPr>
            <w:rStyle w:val="Hyperlink"/>
            <w:sz w:val="24"/>
            <w:szCs w:val="24"/>
          </w:rPr>
          <w:t>ejentes@cdc.gov</w:t>
        </w:r>
      </w:hyperlink>
      <w:r>
        <w:rPr>
          <w:sz w:val="24"/>
          <w:szCs w:val="24"/>
        </w:rPr>
        <w:t xml:space="preserve"> </w:t>
      </w:r>
    </w:p>
    <w:p w:rsidR="00B53FD7" w:rsidRDefault="00B53FD7" w:rsidP="00752A4D">
      <w:pPr>
        <w:autoSpaceDE w:val="0"/>
        <w:autoSpaceDN w:val="0"/>
        <w:spacing w:line="480" w:lineRule="auto"/>
        <w:rPr>
          <w:sz w:val="24"/>
          <w:szCs w:val="24"/>
        </w:rPr>
      </w:pPr>
    </w:p>
    <w:p w:rsidR="00B53FD7" w:rsidRDefault="00B53FD7" w:rsidP="00752A4D">
      <w:pPr>
        <w:autoSpaceDE w:val="0"/>
        <w:autoSpaceDN w:val="0"/>
        <w:spacing w:line="480" w:lineRule="auto"/>
        <w:rPr>
          <w:sz w:val="24"/>
          <w:szCs w:val="24"/>
        </w:rPr>
      </w:pPr>
      <w:r>
        <w:rPr>
          <w:sz w:val="24"/>
          <w:szCs w:val="24"/>
        </w:rPr>
        <w:t xml:space="preserve">Disclaimer: </w:t>
      </w:r>
      <w:r w:rsidRPr="0095021C">
        <w:rPr>
          <w:sz w:val="24"/>
          <w:szCs w:val="24"/>
        </w:rPr>
        <w:t xml:space="preserve">The findings and conclusions in this report are those of the authors and do not necessarily represent the official position of the </w:t>
      </w:r>
      <w:r>
        <w:rPr>
          <w:sz w:val="24"/>
          <w:szCs w:val="24"/>
        </w:rPr>
        <w:t xml:space="preserve">U.S. </w:t>
      </w:r>
      <w:r w:rsidRPr="0095021C">
        <w:rPr>
          <w:sz w:val="24"/>
          <w:szCs w:val="24"/>
        </w:rPr>
        <w:t>Centers for Disease Control and Prevention.</w:t>
      </w:r>
    </w:p>
    <w:p w:rsidR="00B53FD7" w:rsidRDefault="00B53FD7">
      <w:pPr>
        <w:spacing w:after="0" w:line="240" w:lineRule="auto"/>
        <w:rPr>
          <w:sz w:val="24"/>
          <w:szCs w:val="24"/>
        </w:rPr>
      </w:pPr>
    </w:p>
    <w:p w:rsidR="00B53FD7" w:rsidRDefault="00B53FD7" w:rsidP="0067618D">
      <w:pPr>
        <w:spacing w:after="0" w:line="480" w:lineRule="auto"/>
        <w:rPr>
          <w:b/>
          <w:sz w:val="24"/>
          <w:szCs w:val="24"/>
        </w:rPr>
        <w:sectPr w:rsidR="00B53FD7" w:rsidSect="00752A4D">
          <w:footerReference w:type="default" r:id="rId9"/>
          <w:pgSz w:w="12240" w:h="15840"/>
          <w:pgMar w:top="1440" w:right="1440" w:bottom="1440" w:left="1440" w:header="720" w:footer="720" w:gutter="0"/>
          <w:cols w:space="720"/>
          <w:docGrid w:linePitch="360"/>
        </w:sectPr>
      </w:pPr>
    </w:p>
    <w:p w:rsidR="00B53FD7" w:rsidRDefault="00B53FD7" w:rsidP="0067618D">
      <w:pPr>
        <w:spacing w:after="0" w:line="480" w:lineRule="auto"/>
        <w:rPr>
          <w:b/>
          <w:sz w:val="24"/>
          <w:szCs w:val="24"/>
        </w:rPr>
      </w:pPr>
      <w:r>
        <w:rPr>
          <w:b/>
          <w:sz w:val="24"/>
          <w:szCs w:val="24"/>
        </w:rPr>
        <w:t>Component Parts of Model Equation</w:t>
      </w:r>
    </w:p>
    <w:p w:rsidR="00B53FD7" w:rsidRPr="00392B9C" w:rsidRDefault="00B53FD7" w:rsidP="00471351">
      <w:pPr>
        <w:spacing w:after="0" w:line="240" w:lineRule="auto"/>
        <w:rPr>
          <w:b/>
          <w:sz w:val="24"/>
          <w:szCs w:val="24"/>
        </w:rPr>
      </w:pPr>
      <w:r w:rsidRPr="00392B9C">
        <w:rPr>
          <w:b/>
          <w:sz w:val="24"/>
          <w:szCs w:val="24"/>
        </w:rPr>
        <w:t>Model Equation</w:t>
      </w:r>
    </w:p>
    <w:p w:rsidR="00B53FD7" w:rsidRDefault="00B53FD7" w:rsidP="00DD14E5">
      <w:pPr>
        <w:spacing w:after="0" w:line="480" w:lineRule="auto"/>
        <w:rPr>
          <w:sz w:val="24"/>
          <w:szCs w:val="24"/>
        </w:rPr>
      </w:pPr>
      <w:r w:rsidRPr="00392B9C">
        <w:rPr>
          <w:sz w:val="24"/>
          <w:szCs w:val="24"/>
        </w:rPr>
        <w:t xml:space="preserve">Final outcome measures from the </w:t>
      </w:r>
      <w:r>
        <w:rPr>
          <w:sz w:val="24"/>
          <w:szCs w:val="24"/>
        </w:rPr>
        <w:t xml:space="preserve">healthcare </w:t>
      </w:r>
      <w:r w:rsidRPr="00392B9C">
        <w:rPr>
          <w:sz w:val="24"/>
          <w:szCs w:val="24"/>
        </w:rPr>
        <w:t>payer</w:t>
      </w:r>
      <w:r>
        <w:rPr>
          <w:sz w:val="24"/>
          <w:szCs w:val="24"/>
        </w:rPr>
        <w:t>’s (payer)</w:t>
      </w:r>
      <w:r w:rsidRPr="00392B9C">
        <w:rPr>
          <w:sz w:val="24"/>
          <w:szCs w:val="24"/>
        </w:rPr>
        <w:t xml:space="preserve"> and traveler</w:t>
      </w:r>
      <w:r>
        <w:rPr>
          <w:sz w:val="24"/>
          <w:szCs w:val="24"/>
        </w:rPr>
        <w:t>’s</w:t>
      </w:r>
      <w:r w:rsidRPr="00392B9C">
        <w:rPr>
          <w:sz w:val="24"/>
          <w:szCs w:val="24"/>
        </w:rPr>
        <w:t xml:space="preserve"> perspectives were net costs or savings using this equation:</w:t>
      </w:r>
    </w:p>
    <w:p w:rsidR="00B53FD7" w:rsidRPr="00392B9C" w:rsidRDefault="00B53FD7" w:rsidP="00DD14E5">
      <w:pPr>
        <w:spacing w:after="0" w:line="480" w:lineRule="auto"/>
        <w:ind w:left="270"/>
        <w:rPr>
          <w:iCs/>
          <w:sz w:val="24"/>
          <w:szCs w:val="24"/>
        </w:rPr>
      </w:pPr>
      <w:r w:rsidRPr="00392B9C">
        <w:rPr>
          <w:iCs/>
          <w:sz w:val="24"/>
          <w:szCs w:val="24"/>
        </w:rPr>
        <w:t xml:space="preserve">Net costs or savings per traveler (expected value) =  </w:t>
      </w:r>
    </w:p>
    <w:p w:rsidR="00B53FD7" w:rsidRPr="00392B9C" w:rsidRDefault="00B53FD7" w:rsidP="00DD14E5">
      <w:pPr>
        <w:spacing w:after="0" w:line="480" w:lineRule="auto"/>
        <w:ind w:left="270"/>
        <w:rPr>
          <w:iCs/>
          <w:sz w:val="24"/>
          <w:szCs w:val="24"/>
        </w:rPr>
      </w:pPr>
      <w:r w:rsidRPr="00392B9C">
        <w:rPr>
          <w:iCs/>
          <w:sz w:val="24"/>
          <w:szCs w:val="24"/>
        </w:rPr>
        <w:t xml:space="preserve">Reduced risk of malaria resulting from pre-travel health consultation </w:t>
      </w:r>
      <w:r w:rsidRPr="00392B9C">
        <w:rPr>
          <w:b/>
          <w:iCs/>
          <w:sz w:val="28"/>
          <w:szCs w:val="28"/>
        </w:rPr>
        <w:t xml:space="preserve">+ </w:t>
      </w:r>
      <w:r w:rsidRPr="00392B9C">
        <w:rPr>
          <w:iCs/>
          <w:sz w:val="24"/>
          <w:szCs w:val="24"/>
        </w:rPr>
        <w:t xml:space="preserve">chemoprophylaxis adherence </w:t>
      </w:r>
    </w:p>
    <w:p w:rsidR="00B53FD7" w:rsidRPr="00392B9C" w:rsidRDefault="00B53FD7" w:rsidP="00DD14E5">
      <w:pPr>
        <w:spacing w:after="0" w:line="480" w:lineRule="auto"/>
        <w:ind w:left="270"/>
        <w:rPr>
          <w:b/>
          <w:iCs/>
          <w:sz w:val="28"/>
          <w:szCs w:val="28"/>
        </w:rPr>
      </w:pPr>
      <w:r w:rsidRPr="00392B9C">
        <w:rPr>
          <w:b/>
          <w:iCs/>
          <w:sz w:val="28"/>
          <w:szCs w:val="28"/>
        </w:rPr>
        <w:t xml:space="preserve">X </w:t>
      </w:r>
    </w:p>
    <w:p w:rsidR="00B53FD7" w:rsidRPr="007E2B9F" w:rsidRDefault="00B53FD7" w:rsidP="00DD14E5">
      <w:pPr>
        <w:spacing w:after="0" w:line="480" w:lineRule="auto"/>
        <w:ind w:left="270"/>
        <w:rPr>
          <w:iCs/>
          <w:sz w:val="24"/>
          <w:szCs w:val="24"/>
        </w:rPr>
      </w:pPr>
      <w:r w:rsidRPr="00392B9C">
        <w:rPr>
          <w:iCs/>
          <w:sz w:val="24"/>
          <w:szCs w:val="24"/>
        </w:rPr>
        <w:t xml:space="preserve">Cost of malaria treatment </w:t>
      </w:r>
      <w:r w:rsidRPr="00392B9C">
        <w:rPr>
          <w:b/>
          <w:iCs/>
          <w:sz w:val="28"/>
          <w:szCs w:val="28"/>
        </w:rPr>
        <w:t>–</w:t>
      </w:r>
      <w:r w:rsidRPr="00392B9C">
        <w:rPr>
          <w:iCs/>
          <w:sz w:val="24"/>
          <w:szCs w:val="24"/>
        </w:rPr>
        <w:t xml:space="preserve"> [Cost of pre-travel health consultation </w:t>
      </w:r>
      <w:r w:rsidRPr="00392B9C">
        <w:rPr>
          <w:b/>
          <w:iCs/>
          <w:sz w:val="28"/>
          <w:szCs w:val="28"/>
        </w:rPr>
        <w:t xml:space="preserve">+ </w:t>
      </w:r>
      <w:r w:rsidRPr="00392B9C">
        <w:rPr>
          <w:iCs/>
          <w:sz w:val="24"/>
          <w:szCs w:val="24"/>
        </w:rPr>
        <w:t>chemoprophylaxis]</w:t>
      </w:r>
    </w:p>
    <w:p w:rsidR="00B53FD7" w:rsidRPr="007E2B9F" w:rsidRDefault="00B53FD7" w:rsidP="0067618D">
      <w:pPr>
        <w:pStyle w:val="ListParagraph"/>
        <w:numPr>
          <w:ilvl w:val="0"/>
          <w:numId w:val="28"/>
        </w:numPr>
        <w:spacing w:after="0" w:line="480" w:lineRule="auto"/>
        <w:ind w:left="270" w:hanging="270"/>
        <w:rPr>
          <w:rFonts w:cs="Calibri"/>
          <w:b/>
          <w:sz w:val="24"/>
          <w:szCs w:val="24"/>
        </w:rPr>
      </w:pPr>
      <w:r w:rsidRPr="007E2B9F">
        <w:rPr>
          <w:rFonts w:cs="Calibri"/>
          <w:b/>
          <w:sz w:val="24"/>
          <w:szCs w:val="24"/>
        </w:rPr>
        <w:t>Identification of Travelers to West Africa in the</w:t>
      </w:r>
      <w:r>
        <w:rPr>
          <w:rFonts w:cs="Calibri"/>
          <w:b/>
          <w:sz w:val="24"/>
          <w:szCs w:val="24"/>
        </w:rPr>
        <w:t xml:space="preserve"> Global TravEpiNet (GTEN) Consortium </w:t>
      </w:r>
      <w:r w:rsidRPr="007E2B9F">
        <w:rPr>
          <w:rFonts w:cs="Calibri"/>
          <w:b/>
          <w:sz w:val="24"/>
          <w:szCs w:val="24"/>
        </w:rPr>
        <w:t>data</w:t>
      </w:r>
    </w:p>
    <w:p w:rsidR="00B53FD7" w:rsidRPr="007E2B9F" w:rsidRDefault="00B53FD7" w:rsidP="008D3708">
      <w:pPr>
        <w:spacing w:after="0" w:line="480" w:lineRule="auto"/>
        <w:rPr>
          <w:sz w:val="24"/>
          <w:szCs w:val="24"/>
        </w:rPr>
      </w:pPr>
      <w:r>
        <w:rPr>
          <w:sz w:val="24"/>
          <w:szCs w:val="24"/>
        </w:rPr>
        <w:t>We only included travelers visiting GTEN practices who planned t</w:t>
      </w:r>
      <w:r w:rsidRPr="007E2B9F">
        <w:rPr>
          <w:sz w:val="24"/>
          <w:szCs w:val="24"/>
        </w:rPr>
        <w:t>o visit one or more countries in West Africa</w:t>
      </w:r>
      <w:r>
        <w:rPr>
          <w:sz w:val="24"/>
          <w:szCs w:val="24"/>
        </w:rPr>
        <w:t>.  E</w:t>
      </w:r>
      <w:r w:rsidRPr="007E2B9F">
        <w:rPr>
          <w:sz w:val="24"/>
          <w:szCs w:val="24"/>
        </w:rPr>
        <w:t xml:space="preserve">xcluding travelers visiting areas outside West Africa </w:t>
      </w:r>
      <w:r>
        <w:rPr>
          <w:sz w:val="24"/>
          <w:szCs w:val="24"/>
        </w:rPr>
        <w:t>en</w:t>
      </w:r>
      <w:r w:rsidRPr="007E2B9F">
        <w:rPr>
          <w:sz w:val="24"/>
          <w:szCs w:val="24"/>
        </w:rPr>
        <w:t>able</w:t>
      </w:r>
      <w:r>
        <w:rPr>
          <w:sz w:val="24"/>
          <w:szCs w:val="24"/>
        </w:rPr>
        <w:t>d</w:t>
      </w:r>
      <w:r w:rsidRPr="007E2B9F">
        <w:rPr>
          <w:sz w:val="24"/>
          <w:szCs w:val="24"/>
        </w:rPr>
        <w:t xml:space="preserve"> estimate</w:t>
      </w:r>
      <w:r>
        <w:rPr>
          <w:sz w:val="24"/>
          <w:szCs w:val="24"/>
        </w:rPr>
        <w:t>s of</w:t>
      </w:r>
      <w:r w:rsidRPr="007E2B9F">
        <w:rPr>
          <w:sz w:val="24"/>
          <w:szCs w:val="24"/>
        </w:rPr>
        <w:t xml:space="preserve"> the probability of contracting malaria for the traveler during their stays in West Africa.</w:t>
      </w:r>
      <w:r>
        <w:rPr>
          <w:sz w:val="24"/>
          <w:szCs w:val="24"/>
        </w:rPr>
        <w:t xml:space="preserve">  Further, only travelers to only West Africa were included because the </w:t>
      </w:r>
      <w:r w:rsidRPr="007E2B9F">
        <w:rPr>
          <w:sz w:val="24"/>
          <w:szCs w:val="24"/>
        </w:rPr>
        <w:t xml:space="preserve">GTEN </w:t>
      </w:r>
      <w:r>
        <w:rPr>
          <w:sz w:val="24"/>
          <w:szCs w:val="24"/>
        </w:rPr>
        <w:t xml:space="preserve">data collection </w:t>
      </w:r>
      <w:r w:rsidRPr="007E2B9F">
        <w:rPr>
          <w:sz w:val="24"/>
          <w:szCs w:val="24"/>
        </w:rPr>
        <w:t>tool collect</w:t>
      </w:r>
      <w:r>
        <w:rPr>
          <w:sz w:val="24"/>
          <w:szCs w:val="24"/>
        </w:rPr>
        <w:t xml:space="preserve">s only total </w:t>
      </w:r>
      <w:r w:rsidRPr="007E2B9F">
        <w:rPr>
          <w:sz w:val="24"/>
          <w:szCs w:val="24"/>
        </w:rPr>
        <w:t>planned trip duration</w:t>
      </w:r>
      <w:r>
        <w:rPr>
          <w:sz w:val="24"/>
          <w:szCs w:val="24"/>
        </w:rPr>
        <w:t>,</w:t>
      </w:r>
      <w:r w:rsidRPr="007E2B9F">
        <w:rPr>
          <w:sz w:val="24"/>
          <w:szCs w:val="24"/>
        </w:rPr>
        <w:t xml:space="preserve"> and we were unable to divide the length of stay in each country if </w:t>
      </w:r>
      <w:r>
        <w:rPr>
          <w:sz w:val="24"/>
          <w:szCs w:val="24"/>
        </w:rPr>
        <w:t>the traveler visited</w:t>
      </w:r>
      <w:r w:rsidRPr="007E2B9F">
        <w:rPr>
          <w:sz w:val="24"/>
          <w:szCs w:val="24"/>
        </w:rPr>
        <w:t xml:space="preserve"> more than one.  For example, a traveler who planned to visit Nigeria and Ghana, which are both in West Africa, was included in the analysis, whereas a traveler to Nigeria and India was not</w:t>
      </w:r>
      <w:r>
        <w:rPr>
          <w:sz w:val="24"/>
          <w:szCs w:val="24"/>
        </w:rPr>
        <w:t xml:space="preserve"> because the travel to India could not be separated from the travel to Nigeria</w:t>
      </w:r>
      <w:r w:rsidRPr="007E2B9F">
        <w:rPr>
          <w:sz w:val="24"/>
          <w:szCs w:val="24"/>
        </w:rPr>
        <w:t xml:space="preserve">.  </w:t>
      </w:r>
    </w:p>
    <w:p w:rsidR="00B53FD7" w:rsidRPr="007E2B9F" w:rsidRDefault="00B53FD7" w:rsidP="002A79E6">
      <w:pPr>
        <w:spacing w:after="0" w:line="480" w:lineRule="auto"/>
        <w:ind w:firstLine="270"/>
        <w:rPr>
          <w:sz w:val="24"/>
          <w:szCs w:val="24"/>
        </w:rPr>
      </w:pPr>
      <w:r>
        <w:rPr>
          <w:sz w:val="24"/>
          <w:szCs w:val="24"/>
        </w:rPr>
        <w:t>T</w:t>
      </w:r>
      <w:r w:rsidRPr="007E2B9F">
        <w:rPr>
          <w:sz w:val="24"/>
          <w:szCs w:val="24"/>
        </w:rPr>
        <w:t>ravelers</w:t>
      </w:r>
      <w:r>
        <w:rPr>
          <w:sz w:val="24"/>
          <w:szCs w:val="24"/>
        </w:rPr>
        <w:t xml:space="preserve"> </w:t>
      </w:r>
      <w:r w:rsidRPr="007E2B9F">
        <w:rPr>
          <w:sz w:val="24"/>
          <w:szCs w:val="24"/>
        </w:rPr>
        <w:t xml:space="preserve">were </w:t>
      </w:r>
      <w:r>
        <w:rPr>
          <w:sz w:val="24"/>
          <w:szCs w:val="24"/>
        </w:rPr>
        <w:t xml:space="preserve">grouped </w:t>
      </w:r>
      <w:r w:rsidRPr="007E2B9F">
        <w:rPr>
          <w:sz w:val="24"/>
          <w:szCs w:val="24"/>
        </w:rPr>
        <w:t xml:space="preserve">further based on their purposes of travel.  In the pre-travel health consultation, travelers were asked to self-report their purpose(s) of travel from the following </w:t>
      </w:r>
      <w:r>
        <w:rPr>
          <w:sz w:val="24"/>
          <w:szCs w:val="24"/>
        </w:rPr>
        <w:t xml:space="preserve">list </w:t>
      </w:r>
      <w:r w:rsidRPr="007E2B9F">
        <w:rPr>
          <w:sz w:val="24"/>
          <w:szCs w:val="24"/>
        </w:rPr>
        <w:t>(multiple choices were allowed): leisure, business, returning to region of origin of self or family to visit friends and relatives (VFR), adoption, providing medical care, receiving medical care, research/education, nonmedical service work, missionary work, military service, adventuring, attending large gathering or event, or other activities.</w:t>
      </w:r>
      <w:hyperlink w:anchor="_ENREF_8" w:tooltip="LaRocque, 2012 #8" w:history="1">
        <w:r w:rsidRPr="007E2B9F">
          <w:rPr>
            <w:sz w:val="24"/>
            <w:szCs w:val="24"/>
          </w:rPr>
          <w:fldChar w:fldCharType="begin">
            <w:fldData xml:space="preserve">PEVuZE5vdGU+PENpdGU+PEF1dGhvcj5MYVJvY3F1ZTwvQXV0aG9yPjxZZWFyPjIwMTI8L1llYXI+
PFJlY051bT44PC9SZWNOdW0+PERpc3BsYXlUZXh0PjxzdHlsZSBmYWNlPSJzdXBlcnNjcmlwdCI+
ODwvc3R5bGU+PC9EaXNwbGF5VGV4dD48cmVjb3JkPjxyZWMtbnVtYmVyPjg8L3JlYy1udW1iZXI+
PGZvcmVpZ24ta2V5cz48a2V5IGFwcD0iRU4iIGRiLWlkPSJ4ZnJlcHdzdHZyMHo5NGUwd3hwcHJ3
eGEwMDA5MDB3ZXByNTkiPjg8L2tleT48L2ZvcmVpZ24ta2V5cz48cmVmLXR5cGUgbmFtZT0iSm91
cm5hbCBBcnRpY2xlIj4xNzwvcmVmLXR5cGU+PGNvbnRyaWJ1dG9ycz48YXV0aG9ycz48YXV0aG9y
PkxhUm9jcXVlLCBSZWdpbmEgQy48L2F1dGhvcj48YXV0aG9yPlJhbywgU293bXlhIFIuPC9hdXRo
b3I+PGF1dGhvcj5MZWUsIEplbm5pZmVyPC9hdXRob3I+PGF1dGhvcj5BbnNkZWxsLCBWZXJub248
L2F1dGhvcj48YXV0aG9yPllhdGVzLCBKb2hubmllIEEuPC9hdXRob3I+PGF1dGhvcj5TY2h3YXJ0
eiwgQnJpYW4gUy48L2F1dGhvcj48YXV0aG9yPktub3VzZSwgTWFyazwvYXV0aG9yPjxhdXRob3I+
Q2FoaWxsLCBKb2huPC9hdXRob3I+PGF1dGhvcj5IYWdtYW5uLCBTdGVmYW48L2F1dGhvcj48YXV0
aG9yPlZpbmV0eiwgSm9zZXBoPC9hdXRob3I+PGF1dGhvcj5Db25ub3IsIEJyYWRsZXkgQS48L2F1
dGhvcj48YXV0aG9yPkdvYWQsIEplZmZlcnkgQS48L2F1dGhvcj48YXV0aG9yPk9sYWRlbGUsIEFs
YXdvZGU8L2F1dGhvcj48YXV0aG9yPkFsdmFyZXosIFNhbHZhZG9yPC9hdXRob3I+PGF1dGhvcj5T
dGF1ZmZlciwgV2lsbGlhbTwvYXV0aG9yPjxhdXRob3I+V2Fsa2VyLCBQYXRyaWNpYTwvYXV0aG9y
PjxhdXRob3I+S296YXJza3ksIFBoeWxsaXM8L2F1dGhvcj48YXV0aG9yPkZyYW5jby1QYXJlZGVz
LCBDYXJsb3M8L2F1dGhvcj48YXV0aG9yPkRpc211a2VzLCBSb2JlcnRhPC9hdXRob3I+PGF1dGhv
cj5Sb3NlbiwgSmVzc2ljYTwvYXV0aG9yPjxhdXRob3I+SHluZXMsIE5vcmVlbiBBLjwvYXV0aG9y
PjxhdXRob3I+SmFjcXVlcmlveiwgRnJlZGVyaXF1ZTwvYXV0aG9yPjxhdXRob3I+TWNMZWxsYW4s
IFN1c2FuPC9hdXRob3I+PGF1dGhvcj5IYWxlLCBEZVZvbjwvYXV0aG9yPjxhdXRob3I+U29mYXJl
bGxpLCBUaGVyZXNhPC9hdXRob3I+PGF1dGhvcj5TY2hvZW5mZWxkLCBEYXZpZDwvYXV0aG9yPjxh
dXRob3I+TWFyYW5vLCBOaW5hPC9hdXRob3I+PGF1dGhvcj5CcnVuZXR0ZSwgR2FyeTwvYXV0aG9y
PjxhdXRob3I+SmVudGVzLCBFbWlseSBTLjwvYXV0aG9yPjxhdXRob3I+WWFubmksIEVtYWQ8L2F1
dGhvcj48YXV0aG9yPlNvdGlyLCBNYXJrIEouPC9hdXRob3I+PGF1dGhvcj5SeWFuLCBFZHdhcmQg
VC48L2F1dGhvcj48YXV0aG9yPnRoZSBHbG9iYWwgVHJhdkVwaU5ldCBDb25zb3J0aXVtPC9hdXRo
b3I+PC9hdXRob3JzPjwvY29udHJpYnV0b3JzPjx0aXRsZXM+PHRpdGxlPkdsb2JhbCBUcmF2RXBp
TmV0OiBBIE5hdGlvbmFsIENvbnNvcnRpdW0gb2YgQ2xpbmljcyBQcm92aWRpbmcgQ2FyZSB0byBJ
bnRlcm5hdGlvbmFsIFRyYXZlbGVyc+KAlEFuYWx5c2lzIG9mIERlbW9ncmFwaGljIENoYXJhY3Rl
cmlzdGljcywgVHJhdmVsIERlc3RpbmF0aW9ucywgYW5kIFByZXRyYXZlbCBIZWFsdGhjYXJlIG9m
IEhpZ2gtUmlzayBVUyBJbnRlcm5hdGlvbmFsIFRyYXZlbGVycywgMjAwOeKAkzIwMTE8L3RpdGxl
PjxzZWNvbmRhcnktdGl0bGU+Q2xpbmljYWwgSW5mZWN0aW91cyBEaXNlYXNlczwvc2Vjb25kYXJ5
LXRpdGxlPjwvdGl0bGVzPjxwZXJpb2RpY2FsPjxmdWxsLXRpdGxlPkNsaW5pY2FsIEluZmVjdGlv
dXMgRGlzZWFzZXM8L2Z1bGwtdGl0bGU+PC9wZXJpb2RpY2FsPjxwYWdlcz40NTUtNDYyPC9wYWdl
cz48dm9sdW1lPjU0PC92b2x1bWU+PG51bWJlcj40PC9udW1iZXI+PGRhdGVzPjx5ZWFyPjIwMTI8
L3llYXI+PHB1Yi1kYXRlcz48ZGF0ZT5GZWJydWFyeSAxNSwgMjAxMjwvZGF0ZT48L3B1Yi1kYXRl
cz48L2RhdGVzPjx1cmxzPjxyZWxhdGVkLXVybHM+PHVybD5odHRwOi8vY2lkLm94Zm9yZGpvdXJu
YWxzLm9yZy9jb250ZW50LzU0LzQvNDU1LmFic3RyYWN0PC91cmw+PC9yZWxhdGVkLXVybHM+PC91
cmxzPjxlbGVjdHJvbmljLXJlc291cmNlLW51bT4xMC4xMDkzL2NpZC9jaXI4Mzk8L2VsZWN0cm9u
aWMtcmVzb3VyY2UtbnVtPjwvcmVjb3JkPjwvQ2l0ZT48L0VuZE5vdGU+AAAAAAAAAAAAAAAA
</w:fldData>
          </w:fldChar>
        </w:r>
        <w:r w:rsidRPr="007E2B9F">
          <w:rPr>
            <w:sz w:val="24"/>
            <w:szCs w:val="24"/>
          </w:rPr>
          <w:instrText xml:space="preserve"> ADDIN EN.CITE </w:instrText>
        </w:r>
        <w:r w:rsidRPr="007E2B9F">
          <w:rPr>
            <w:sz w:val="24"/>
            <w:szCs w:val="24"/>
          </w:rPr>
          <w:fldChar w:fldCharType="begin">
            <w:fldData xml:space="preserve">PEVuZE5vdGU+PENpdGU+PEF1dGhvcj5MYVJvY3F1ZTwvQXV0aG9yPjxZZWFyPjIwMTI8L1llYXI+
PFJlY051bT44PC9SZWNOdW0+PERpc3BsYXlUZXh0PjxzdHlsZSBmYWNlPSJzdXBlcnNjcmlwdCI+
ODwvc3R5bGU+PC9EaXNwbGF5VGV4dD48cmVjb3JkPjxyZWMtbnVtYmVyPjg8L3JlYy1udW1iZXI+
PGZvcmVpZ24ta2V5cz48a2V5IGFwcD0iRU4iIGRiLWlkPSJ4ZnJlcHdzdHZyMHo5NGUwd3hwcHJ3
eGEwMDA5MDB3ZXByNTkiPjg8L2tleT48L2ZvcmVpZ24ta2V5cz48cmVmLXR5cGUgbmFtZT0iSm91
cm5hbCBBcnRpY2xlIj4xNzwvcmVmLXR5cGU+PGNvbnRyaWJ1dG9ycz48YXV0aG9ycz48YXV0aG9y
PkxhUm9jcXVlLCBSZWdpbmEgQy48L2F1dGhvcj48YXV0aG9yPlJhbywgU293bXlhIFIuPC9hdXRo
b3I+PGF1dGhvcj5MZWUsIEplbm5pZmVyPC9hdXRob3I+PGF1dGhvcj5BbnNkZWxsLCBWZXJub248
L2F1dGhvcj48YXV0aG9yPllhdGVzLCBKb2hubmllIEEuPC9hdXRob3I+PGF1dGhvcj5TY2h3YXJ0
eiwgQnJpYW4gUy48L2F1dGhvcj48YXV0aG9yPktub3VzZSwgTWFyazwvYXV0aG9yPjxhdXRob3I+
Q2FoaWxsLCBKb2huPC9hdXRob3I+PGF1dGhvcj5IYWdtYW5uLCBTdGVmYW48L2F1dGhvcj48YXV0
aG9yPlZpbmV0eiwgSm9zZXBoPC9hdXRob3I+PGF1dGhvcj5Db25ub3IsIEJyYWRsZXkgQS48L2F1
dGhvcj48YXV0aG9yPkdvYWQsIEplZmZlcnkgQS48L2F1dGhvcj48YXV0aG9yPk9sYWRlbGUsIEFs
YXdvZGU8L2F1dGhvcj48YXV0aG9yPkFsdmFyZXosIFNhbHZhZG9yPC9hdXRob3I+PGF1dGhvcj5T
dGF1ZmZlciwgV2lsbGlhbTwvYXV0aG9yPjxhdXRob3I+V2Fsa2VyLCBQYXRyaWNpYTwvYXV0aG9y
PjxhdXRob3I+S296YXJza3ksIFBoeWxsaXM8L2F1dGhvcj48YXV0aG9yPkZyYW5jby1QYXJlZGVz
LCBDYXJsb3M8L2F1dGhvcj48YXV0aG9yPkRpc211a2VzLCBSb2JlcnRhPC9hdXRob3I+PGF1dGhv
cj5Sb3NlbiwgSmVzc2ljYTwvYXV0aG9yPjxhdXRob3I+SHluZXMsIE5vcmVlbiBBLjwvYXV0aG9y
PjxhdXRob3I+SmFjcXVlcmlveiwgRnJlZGVyaXF1ZTwvYXV0aG9yPjxhdXRob3I+TWNMZWxsYW4s
IFN1c2FuPC9hdXRob3I+PGF1dGhvcj5IYWxlLCBEZVZvbjwvYXV0aG9yPjxhdXRob3I+U29mYXJl
bGxpLCBUaGVyZXNhPC9hdXRob3I+PGF1dGhvcj5TY2hvZW5mZWxkLCBEYXZpZDwvYXV0aG9yPjxh
dXRob3I+TWFyYW5vLCBOaW5hPC9hdXRob3I+PGF1dGhvcj5CcnVuZXR0ZSwgR2FyeTwvYXV0aG9y
PjxhdXRob3I+SmVudGVzLCBFbWlseSBTLjwvYXV0aG9yPjxhdXRob3I+WWFubmksIEVtYWQ8L2F1
dGhvcj48YXV0aG9yPlNvdGlyLCBNYXJrIEouPC9hdXRob3I+PGF1dGhvcj5SeWFuLCBFZHdhcmQg
VC48L2F1dGhvcj48YXV0aG9yPnRoZSBHbG9iYWwgVHJhdkVwaU5ldCBDb25zb3J0aXVtPC9hdXRo
b3I+PC9hdXRob3JzPjwvY29udHJpYnV0b3JzPjx0aXRsZXM+PHRpdGxlPkdsb2JhbCBUcmF2RXBp
TmV0OiBBIE5hdGlvbmFsIENvbnNvcnRpdW0gb2YgQ2xpbmljcyBQcm92aWRpbmcgQ2FyZSB0byBJ
bnRlcm5hdGlvbmFsIFRyYXZlbGVyc+KAlEFuYWx5c2lzIG9mIERlbW9ncmFwaGljIENoYXJhY3Rl
cmlzdGljcywgVHJhdmVsIERlc3RpbmF0aW9ucywgYW5kIFByZXRyYXZlbCBIZWFsdGhjYXJlIG9m
IEhpZ2gtUmlzayBVUyBJbnRlcm5hdGlvbmFsIFRyYXZlbGVycywgMjAwOeKAkzIwMTE8L3RpdGxl
PjxzZWNvbmRhcnktdGl0bGU+Q2xpbmljYWwgSW5mZWN0aW91cyBEaXNlYXNlczwvc2Vjb25kYXJ5
LXRpdGxlPjwvdGl0bGVzPjxwZXJpb2RpY2FsPjxmdWxsLXRpdGxlPkNsaW5pY2FsIEluZmVjdGlv
dXMgRGlzZWFzZXM8L2Z1bGwtdGl0bGU+PC9wZXJpb2RpY2FsPjxwYWdlcz40NTUtNDYyPC9wYWdl
cz48dm9sdW1lPjU0PC92b2x1bWU+PG51bWJlcj40PC9udW1iZXI+PGRhdGVzPjx5ZWFyPjIwMTI8
L3llYXI+PHB1Yi1kYXRlcz48ZGF0ZT5GZWJydWFyeSAxNSwgMjAxMjwvZGF0ZT48L3B1Yi1kYXRl
cz48L2RhdGVzPjx1cmxzPjxyZWxhdGVkLXVybHM+PHVybD5odHRwOi8vY2lkLm94Zm9yZGpvdXJu
YWxzLm9yZy9jb250ZW50LzU0LzQvNDU1LmFic3RyYWN0PC91cmw+PC9yZWxhdGVkLXVybHM+PC91
cmxzPjxlbGVjdHJvbmljLXJlc291cmNlLW51bT4xMC4xMDkzL2NpZC9jaXI4Mzk8L2VsZWN0cm9u
aWMtcmVzb3VyY2UtbnVtPjwvcmVjb3JkPjwvQ2l0ZT48L0VuZE5vdGU+AAAAcwAAAGEAAP9j
</w:fldData>
          </w:fldChar>
        </w:r>
        <w:r w:rsidRPr="007E2B9F">
          <w:rPr>
            <w:sz w:val="24"/>
            <w:szCs w:val="24"/>
          </w:rPr>
          <w:instrText xml:space="preserve"> ADDIN EN.CITE.DATA </w:instrText>
        </w:r>
        <w:r w:rsidRPr="007E2B9F">
          <w:rPr>
            <w:sz w:val="24"/>
            <w:szCs w:val="24"/>
          </w:rPr>
        </w:r>
        <w:r w:rsidRPr="007E2B9F">
          <w:rPr>
            <w:sz w:val="24"/>
            <w:szCs w:val="24"/>
          </w:rPr>
          <w:fldChar w:fldCharType="end"/>
        </w:r>
        <w:r w:rsidRPr="007E2B9F">
          <w:rPr>
            <w:sz w:val="24"/>
            <w:szCs w:val="24"/>
          </w:rPr>
        </w:r>
        <w:r w:rsidRPr="007E2B9F">
          <w:rPr>
            <w:sz w:val="24"/>
            <w:szCs w:val="24"/>
          </w:rPr>
          <w:fldChar w:fldCharType="separate"/>
        </w:r>
        <w:r w:rsidRPr="007E2B9F">
          <w:rPr>
            <w:noProof/>
            <w:sz w:val="24"/>
            <w:szCs w:val="24"/>
            <w:vertAlign w:val="superscript"/>
          </w:rPr>
          <w:t>8</w:t>
        </w:r>
        <w:r w:rsidRPr="007E2B9F">
          <w:rPr>
            <w:sz w:val="24"/>
            <w:szCs w:val="24"/>
          </w:rPr>
          <w:fldChar w:fldCharType="end"/>
        </w:r>
      </w:hyperlink>
      <w:r>
        <w:rPr>
          <w:sz w:val="24"/>
          <w:szCs w:val="24"/>
        </w:rPr>
        <w:t xml:space="preserve"> </w:t>
      </w:r>
      <w:r w:rsidRPr="007E2B9F">
        <w:rPr>
          <w:sz w:val="24"/>
          <w:szCs w:val="24"/>
        </w:rPr>
        <w:t>For this analysis, we considered the following groups of travelers:</w:t>
      </w:r>
    </w:p>
    <w:p w:rsidR="00B53FD7" w:rsidRPr="007E2B9F" w:rsidRDefault="00B53FD7" w:rsidP="00776640">
      <w:pPr>
        <w:pStyle w:val="ListParagraph"/>
        <w:numPr>
          <w:ilvl w:val="0"/>
          <w:numId w:val="37"/>
        </w:numPr>
        <w:spacing w:after="0" w:line="480" w:lineRule="auto"/>
        <w:rPr>
          <w:sz w:val="24"/>
          <w:szCs w:val="24"/>
        </w:rPr>
      </w:pPr>
      <w:r w:rsidRPr="007E2B9F">
        <w:rPr>
          <w:sz w:val="24"/>
          <w:szCs w:val="24"/>
        </w:rPr>
        <w:t xml:space="preserve">Travelers to West Africa who reported only one of the </w:t>
      </w:r>
      <w:r>
        <w:rPr>
          <w:sz w:val="24"/>
          <w:szCs w:val="24"/>
        </w:rPr>
        <w:t xml:space="preserve">following </w:t>
      </w:r>
      <w:r w:rsidRPr="007E2B9F">
        <w:rPr>
          <w:sz w:val="24"/>
          <w:szCs w:val="24"/>
        </w:rPr>
        <w:t xml:space="preserve">three purposes </w:t>
      </w:r>
    </w:p>
    <w:p w:rsidR="00B53FD7" w:rsidRPr="007E2B9F" w:rsidRDefault="00B53FD7" w:rsidP="00497EB9">
      <w:pPr>
        <w:pStyle w:val="ListParagraph"/>
        <w:numPr>
          <w:ilvl w:val="1"/>
          <w:numId w:val="37"/>
        </w:numPr>
        <w:spacing w:after="0" w:line="480" w:lineRule="auto"/>
        <w:ind w:left="1354"/>
        <w:rPr>
          <w:sz w:val="24"/>
          <w:szCs w:val="24"/>
        </w:rPr>
      </w:pPr>
      <w:r w:rsidRPr="007E2B9F">
        <w:rPr>
          <w:sz w:val="24"/>
          <w:szCs w:val="24"/>
        </w:rPr>
        <w:t xml:space="preserve">Business </w:t>
      </w:r>
    </w:p>
    <w:p w:rsidR="00B53FD7" w:rsidRPr="007E2B9F" w:rsidRDefault="00B53FD7" w:rsidP="00497EB9">
      <w:pPr>
        <w:pStyle w:val="ListParagraph"/>
        <w:numPr>
          <w:ilvl w:val="1"/>
          <w:numId w:val="37"/>
        </w:numPr>
        <w:spacing w:after="0" w:line="480" w:lineRule="auto"/>
        <w:ind w:left="1354"/>
        <w:rPr>
          <w:sz w:val="24"/>
          <w:szCs w:val="24"/>
        </w:rPr>
      </w:pPr>
      <w:r w:rsidRPr="007E2B9F">
        <w:rPr>
          <w:sz w:val="24"/>
          <w:szCs w:val="24"/>
        </w:rPr>
        <w:t xml:space="preserve">Leisure </w:t>
      </w:r>
    </w:p>
    <w:p w:rsidR="00B53FD7" w:rsidRPr="007E2B9F" w:rsidRDefault="00B53FD7" w:rsidP="00497EB9">
      <w:pPr>
        <w:pStyle w:val="ListParagraph"/>
        <w:numPr>
          <w:ilvl w:val="1"/>
          <w:numId w:val="37"/>
        </w:numPr>
        <w:spacing w:after="0" w:line="480" w:lineRule="auto"/>
        <w:ind w:left="1354"/>
        <w:rPr>
          <w:sz w:val="24"/>
          <w:szCs w:val="24"/>
        </w:rPr>
      </w:pPr>
      <w:r w:rsidRPr="007E2B9F">
        <w:rPr>
          <w:sz w:val="24"/>
          <w:szCs w:val="24"/>
        </w:rPr>
        <w:t>VFR</w:t>
      </w:r>
    </w:p>
    <w:p w:rsidR="00B53FD7" w:rsidRPr="007E2B9F" w:rsidRDefault="00B53FD7" w:rsidP="00AE0657">
      <w:pPr>
        <w:pStyle w:val="ListParagraph"/>
        <w:numPr>
          <w:ilvl w:val="0"/>
          <w:numId w:val="37"/>
        </w:numPr>
        <w:spacing w:after="0" w:line="480" w:lineRule="auto"/>
        <w:rPr>
          <w:sz w:val="24"/>
          <w:szCs w:val="24"/>
        </w:rPr>
      </w:pPr>
      <w:r w:rsidRPr="007E2B9F">
        <w:rPr>
          <w:sz w:val="24"/>
          <w:szCs w:val="24"/>
        </w:rPr>
        <w:t>All travelers to West Africa</w:t>
      </w:r>
      <w:r>
        <w:rPr>
          <w:sz w:val="24"/>
          <w:szCs w:val="24"/>
        </w:rPr>
        <w:t>,</w:t>
      </w:r>
      <w:r w:rsidRPr="007E2B9F">
        <w:rPr>
          <w:sz w:val="24"/>
          <w:szCs w:val="24"/>
        </w:rPr>
        <w:t xml:space="preserve"> regardless of their </w:t>
      </w:r>
      <w:r>
        <w:rPr>
          <w:sz w:val="24"/>
          <w:szCs w:val="24"/>
        </w:rPr>
        <w:t>listed purpose(s) of travel</w:t>
      </w:r>
      <w:r w:rsidRPr="007E2B9F">
        <w:rPr>
          <w:sz w:val="24"/>
          <w:szCs w:val="24"/>
        </w:rPr>
        <w:t xml:space="preserve">. </w:t>
      </w:r>
    </w:p>
    <w:p w:rsidR="00B53FD7" w:rsidRPr="007E2B9F" w:rsidRDefault="00B53FD7" w:rsidP="00CC174A">
      <w:pPr>
        <w:spacing w:after="0" w:line="480" w:lineRule="auto"/>
        <w:ind w:left="630"/>
        <w:rPr>
          <w:sz w:val="24"/>
          <w:szCs w:val="24"/>
        </w:rPr>
      </w:pPr>
      <w:r w:rsidRPr="007E2B9F">
        <w:rPr>
          <w:sz w:val="24"/>
          <w:szCs w:val="24"/>
        </w:rPr>
        <w:t xml:space="preserve">We call this group “All Purposes” in Tables 4, 5, A1, A2, A3, A5, and Figures2 and 3. </w:t>
      </w:r>
    </w:p>
    <w:p w:rsidR="00B53FD7" w:rsidRPr="007E2B9F" w:rsidRDefault="00B53FD7" w:rsidP="0051170A">
      <w:pPr>
        <w:spacing w:after="0" w:line="480" w:lineRule="auto"/>
        <w:ind w:firstLine="270"/>
        <w:rPr>
          <w:sz w:val="24"/>
          <w:szCs w:val="24"/>
        </w:rPr>
      </w:pPr>
      <w:r w:rsidRPr="007E2B9F">
        <w:rPr>
          <w:sz w:val="24"/>
          <w:szCs w:val="24"/>
        </w:rPr>
        <w:t xml:space="preserve">Business, leisure, and VFR travelers were chosen specifically because they represented the most common purposes of travel and these groups </w:t>
      </w:r>
      <w:r>
        <w:rPr>
          <w:sz w:val="24"/>
          <w:szCs w:val="24"/>
        </w:rPr>
        <w:t>had observable</w:t>
      </w:r>
      <w:r w:rsidRPr="007E2B9F">
        <w:rPr>
          <w:sz w:val="24"/>
          <w:szCs w:val="24"/>
        </w:rPr>
        <w:t xml:space="preserve"> differences that affected the estimation of net costs/savings</w:t>
      </w:r>
      <w:r>
        <w:rPr>
          <w:sz w:val="24"/>
          <w:szCs w:val="24"/>
        </w:rPr>
        <w:t xml:space="preserve">, specifically different </w:t>
      </w:r>
      <w:r w:rsidRPr="007E2B9F">
        <w:rPr>
          <w:sz w:val="24"/>
          <w:szCs w:val="24"/>
        </w:rPr>
        <w:t xml:space="preserve">median </w:t>
      </w:r>
      <w:r>
        <w:rPr>
          <w:sz w:val="24"/>
          <w:szCs w:val="24"/>
        </w:rPr>
        <w:t xml:space="preserve">planned trip durations </w:t>
      </w:r>
      <w:r w:rsidRPr="007E2B9F">
        <w:rPr>
          <w:sz w:val="24"/>
          <w:szCs w:val="24"/>
        </w:rPr>
        <w:t xml:space="preserve">and types of malaria chemoprophylaxis prescribed (Table A1). The median </w:t>
      </w:r>
      <w:r>
        <w:rPr>
          <w:sz w:val="24"/>
          <w:szCs w:val="24"/>
        </w:rPr>
        <w:t xml:space="preserve">planned trip duration </w:t>
      </w:r>
      <w:r w:rsidRPr="007E2B9F">
        <w:rPr>
          <w:sz w:val="24"/>
          <w:szCs w:val="24"/>
        </w:rPr>
        <w:t>was used to adjust the probability of contracting malaria</w:t>
      </w:r>
      <w:r>
        <w:rPr>
          <w:sz w:val="24"/>
          <w:szCs w:val="24"/>
        </w:rPr>
        <w:t>; b</w:t>
      </w:r>
      <w:r w:rsidRPr="007E2B9F">
        <w:rPr>
          <w:sz w:val="24"/>
          <w:szCs w:val="24"/>
        </w:rPr>
        <w:t xml:space="preserve">usiness travelers </w:t>
      </w:r>
      <w:r>
        <w:rPr>
          <w:sz w:val="24"/>
          <w:szCs w:val="24"/>
        </w:rPr>
        <w:t xml:space="preserve">took </w:t>
      </w:r>
      <w:r w:rsidRPr="007E2B9F">
        <w:rPr>
          <w:sz w:val="24"/>
          <w:szCs w:val="24"/>
        </w:rPr>
        <w:t>shorter</w:t>
      </w:r>
      <w:r>
        <w:rPr>
          <w:sz w:val="24"/>
          <w:szCs w:val="24"/>
        </w:rPr>
        <w:t xml:space="preserve"> trips</w:t>
      </w:r>
      <w:r w:rsidRPr="007E2B9F">
        <w:rPr>
          <w:sz w:val="24"/>
          <w:szCs w:val="24"/>
        </w:rPr>
        <w:t xml:space="preserve"> (median 9 days), while VFR travelers </w:t>
      </w:r>
      <w:r>
        <w:rPr>
          <w:sz w:val="24"/>
          <w:szCs w:val="24"/>
        </w:rPr>
        <w:t>took</w:t>
      </w:r>
      <w:r w:rsidRPr="007E2B9F">
        <w:rPr>
          <w:sz w:val="24"/>
          <w:szCs w:val="24"/>
        </w:rPr>
        <w:t xml:space="preserve"> longer </w:t>
      </w:r>
      <w:r>
        <w:rPr>
          <w:sz w:val="24"/>
          <w:szCs w:val="24"/>
        </w:rPr>
        <w:t xml:space="preserve">trips </w:t>
      </w:r>
      <w:r w:rsidRPr="007E2B9F">
        <w:rPr>
          <w:sz w:val="24"/>
          <w:szCs w:val="24"/>
        </w:rPr>
        <w:t>(median 30 days).</w:t>
      </w:r>
    </w:p>
    <w:p w:rsidR="00B53FD7" w:rsidRPr="007E2B9F" w:rsidRDefault="00B53FD7" w:rsidP="0051170A">
      <w:pPr>
        <w:spacing w:after="0" w:line="480" w:lineRule="auto"/>
        <w:ind w:firstLine="270"/>
        <w:rPr>
          <w:rFonts w:cs="Calibri"/>
          <w:b/>
          <w:sz w:val="24"/>
          <w:szCs w:val="24"/>
        </w:rPr>
      </w:pPr>
      <w:r w:rsidRPr="007E2B9F">
        <w:rPr>
          <w:sz w:val="24"/>
          <w:szCs w:val="24"/>
        </w:rPr>
        <w:t xml:space="preserve">Further, </w:t>
      </w:r>
      <w:r>
        <w:rPr>
          <w:sz w:val="24"/>
          <w:szCs w:val="24"/>
        </w:rPr>
        <w:t>many</w:t>
      </w:r>
      <w:r w:rsidRPr="007E2B9F">
        <w:rPr>
          <w:sz w:val="24"/>
          <w:szCs w:val="24"/>
        </w:rPr>
        <w:t xml:space="preserve"> (65%) VFR travelers </w:t>
      </w:r>
      <w:r>
        <w:rPr>
          <w:sz w:val="24"/>
          <w:szCs w:val="24"/>
        </w:rPr>
        <w:t xml:space="preserve">were prescribed </w:t>
      </w:r>
      <w:r w:rsidRPr="007E2B9F">
        <w:rPr>
          <w:sz w:val="24"/>
          <w:szCs w:val="24"/>
        </w:rPr>
        <w:t xml:space="preserve">mefloquine, while most business travelers (85%) </w:t>
      </w:r>
      <w:r>
        <w:rPr>
          <w:sz w:val="24"/>
          <w:szCs w:val="24"/>
        </w:rPr>
        <w:t xml:space="preserve">were prescribed </w:t>
      </w:r>
      <w:r w:rsidRPr="007E2B9F">
        <w:rPr>
          <w:sz w:val="24"/>
          <w:szCs w:val="24"/>
        </w:rPr>
        <w:t>atovaquone/proguanil.  Doxycycline was the least used malaria chemoprophylaxis.</w:t>
      </w:r>
      <w:r>
        <w:rPr>
          <w:sz w:val="24"/>
          <w:szCs w:val="24"/>
        </w:rPr>
        <w:t xml:space="preserve">  </w:t>
      </w:r>
      <w:r w:rsidRPr="007E2B9F">
        <w:rPr>
          <w:sz w:val="24"/>
          <w:szCs w:val="24"/>
        </w:rPr>
        <w:t xml:space="preserve">Travelers who were prescribed </w:t>
      </w:r>
      <w:r>
        <w:rPr>
          <w:sz w:val="24"/>
          <w:szCs w:val="24"/>
        </w:rPr>
        <w:t xml:space="preserve">another </w:t>
      </w:r>
      <w:r w:rsidRPr="007E2B9F">
        <w:rPr>
          <w:sz w:val="24"/>
          <w:szCs w:val="24"/>
        </w:rPr>
        <w:t xml:space="preserve">chemoprophylaxis or more than one </w:t>
      </w:r>
      <w:r>
        <w:rPr>
          <w:sz w:val="24"/>
          <w:szCs w:val="24"/>
        </w:rPr>
        <w:t>drug (</w:t>
      </w:r>
      <w:r w:rsidRPr="007E2B9F">
        <w:rPr>
          <w:sz w:val="24"/>
          <w:szCs w:val="24"/>
        </w:rPr>
        <w:t>about 3 % of travelers</w:t>
      </w:r>
      <w:r>
        <w:rPr>
          <w:sz w:val="24"/>
          <w:szCs w:val="24"/>
        </w:rPr>
        <w:t xml:space="preserve"> to West Africa)</w:t>
      </w:r>
      <w:r w:rsidRPr="007E2B9F">
        <w:rPr>
          <w:sz w:val="24"/>
          <w:szCs w:val="24"/>
        </w:rPr>
        <w:t xml:space="preserve"> were omitted to calculate the frequency. </w:t>
      </w:r>
    </w:p>
    <w:p w:rsidR="00B53FD7" w:rsidRPr="007E2B9F" w:rsidRDefault="00B53FD7" w:rsidP="0009649F">
      <w:pPr>
        <w:pStyle w:val="ListParagraph"/>
        <w:numPr>
          <w:ilvl w:val="0"/>
          <w:numId w:val="28"/>
        </w:numPr>
        <w:spacing w:after="0" w:line="480" w:lineRule="auto"/>
        <w:ind w:left="270" w:hanging="270"/>
        <w:rPr>
          <w:rFonts w:cs="Calibri"/>
          <w:b/>
          <w:sz w:val="24"/>
          <w:szCs w:val="24"/>
        </w:rPr>
      </w:pPr>
      <w:r w:rsidRPr="007E2B9F">
        <w:rPr>
          <w:rFonts w:cs="Calibri"/>
          <w:b/>
          <w:sz w:val="24"/>
          <w:szCs w:val="24"/>
        </w:rPr>
        <w:t>Direct Costs for</w:t>
      </w:r>
      <w:r>
        <w:rPr>
          <w:rFonts w:cs="Calibri"/>
          <w:b/>
          <w:sz w:val="24"/>
          <w:szCs w:val="24"/>
        </w:rPr>
        <w:t xml:space="preserve"> </w:t>
      </w:r>
      <w:r w:rsidRPr="007E2B9F">
        <w:rPr>
          <w:rFonts w:cs="Calibri"/>
          <w:b/>
          <w:sz w:val="24"/>
          <w:szCs w:val="24"/>
        </w:rPr>
        <w:t>Pre-travel Health</w:t>
      </w:r>
      <w:r>
        <w:rPr>
          <w:rFonts w:cs="Calibri"/>
          <w:b/>
          <w:sz w:val="24"/>
          <w:szCs w:val="24"/>
        </w:rPr>
        <w:t xml:space="preserve"> </w:t>
      </w:r>
      <w:r w:rsidRPr="007E2B9F">
        <w:rPr>
          <w:rFonts w:cs="Calibri"/>
          <w:b/>
          <w:sz w:val="24"/>
          <w:szCs w:val="24"/>
        </w:rPr>
        <w:t>Consultations</w:t>
      </w:r>
    </w:p>
    <w:p w:rsidR="00B53FD7" w:rsidRPr="007E2B9F" w:rsidRDefault="00B53FD7" w:rsidP="002E6C2A">
      <w:pPr>
        <w:spacing w:after="0" w:line="480" w:lineRule="auto"/>
        <w:rPr>
          <w:rFonts w:cs="Calibri"/>
          <w:b/>
          <w:sz w:val="24"/>
          <w:szCs w:val="24"/>
        </w:rPr>
      </w:pPr>
      <w:r w:rsidRPr="007E2B9F">
        <w:rPr>
          <w:rFonts w:cs="Calibri"/>
          <w:b/>
          <w:sz w:val="24"/>
          <w:szCs w:val="24"/>
        </w:rPr>
        <w:t>2.1 Travel Clinic Visit</w:t>
      </w:r>
    </w:p>
    <w:p w:rsidR="00B53FD7" w:rsidRPr="007E2B9F" w:rsidRDefault="00B53FD7" w:rsidP="002E6C2A">
      <w:pPr>
        <w:spacing w:after="0" w:line="480" w:lineRule="auto"/>
        <w:rPr>
          <w:rFonts w:cs="Calibri"/>
          <w:sz w:val="24"/>
          <w:szCs w:val="24"/>
        </w:rPr>
      </w:pPr>
      <w:r w:rsidRPr="007E2B9F">
        <w:rPr>
          <w:rFonts w:cs="Calibri"/>
          <w:sz w:val="24"/>
          <w:szCs w:val="24"/>
        </w:rPr>
        <w:t>From the healthcare payer</w:t>
      </w:r>
      <w:r>
        <w:rPr>
          <w:rFonts w:cs="Calibri"/>
          <w:sz w:val="24"/>
          <w:szCs w:val="24"/>
        </w:rPr>
        <w:t>’s</w:t>
      </w:r>
      <w:r w:rsidRPr="007E2B9F">
        <w:rPr>
          <w:rFonts w:cs="Calibri"/>
          <w:sz w:val="24"/>
          <w:szCs w:val="24"/>
        </w:rPr>
        <w:t xml:space="preserve"> perspective, the weighted average cost of travel clinic visit</w:t>
      </w:r>
      <w:r>
        <w:rPr>
          <w:rFonts w:cs="Calibri"/>
          <w:sz w:val="24"/>
          <w:szCs w:val="24"/>
        </w:rPr>
        <w:t>s</w:t>
      </w:r>
      <w:r w:rsidRPr="007E2B9F">
        <w:rPr>
          <w:rFonts w:cs="Calibri"/>
          <w:sz w:val="24"/>
          <w:szCs w:val="24"/>
        </w:rPr>
        <w:t xml:space="preserve"> for pre-travel consultation</w:t>
      </w:r>
      <w:r>
        <w:rPr>
          <w:rFonts w:cs="Calibri"/>
          <w:sz w:val="24"/>
          <w:szCs w:val="24"/>
        </w:rPr>
        <w:t>s</w:t>
      </w:r>
      <w:r w:rsidRPr="007E2B9F">
        <w:rPr>
          <w:rFonts w:cs="Calibri"/>
          <w:sz w:val="24"/>
          <w:szCs w:val="24"/>
        </w:rPr>
        <w:t xml:space="preserve"> was estimated at $148 </w:t>
      </w:r>
      <w:r w:rsidRPr="007E2B9F">
        <w:rPr>
          <w:sz w:val="24"/>
          <w:szCs w:val="24"/>
        </w:rPr>
        <w:t xml:space="preserve">based on the use of Current Procedural Terminology (CPT) codes in common use by the GTEN </w:t>
      </w:r>
      <w:r>
        <w:rPr>
          <w:sz w:val="24"/>
          <w:szCs w:val="24"/>
        </w:rPr>
        <w:t>practices</w:t>
      </w:r>
      <w:r w:rsidRPr="007E2B9F">
        <w:rPr>
          <w:sz w:val="24"/>
          <w:szCs w:val="24"/>
        </w:rPr>
        <w:t xml:space="preserve"> and the range of allowable billing charges associated with those CPT codes.</w:t>
      </w:r>
      <w:hyperlink w:anchor="_ENREF_14" w:tooltip=", 2008 #1" w:history="1">
        <w:r w:rsidRPr="007E2B9F">
          <w:rPr>
            <w:sz w:val="24"/>
            <w:szCs w:val="24"/>
          </w:rPr>
          <w:fldChar w:fldCharType="begin"/>
        </w:r>
        <w:r w:rsidRPr="007E2B9F">
          <w:rPr>
            <w:sz w:val="24"/>
            <w:szCs w:val="24"/>
          </w:rPr>
          <w:instrText xml:space="preserve"> ADDIN EN.CITE &lt;EndNote&gt;&lt;Cite&gt;&lt;Year&gt;2008&lt;/Year&gt;&lt;RecNum&gt;1&lt;/RecNum&gt;&lt;DisplayText&gt;&lt;style face="superscript"&gt;14&lt;/style&gt;&lt;/DisplayText&gt;&lt;record&gt;&lt;rec-number&gt;1&lt;/rec-number&gt;&lt;foreign-keys&gt;&lt;key app="EN" db-id="teeevzreit0ww9exdf2v05dqav0rxzxxap0s"&gt;1&lt;/key&gt;&lt;/foreign-keys&gt;&lt;ref-type name="Catalog"&gt;8&lt;/ref-type&gt;&lt;contributors&gt;&lt;/contributors&gt;&lt;titles&gt;&lt;title&gt;Physicians&amp;apos; Fee and Coding Guide 2009&lt;/title&gt;&lt;/titles&gt;&lt;edition&gt;20th Annual Edition&lt;/edition&gt;&lt;dates&gt;&lt;year&gt;2008&lt;/year&gt;&lt;pub-dates&gt;&lt;date&gt;December 2008&lt;/date&gt;&lt;/pub-dates&gt;&lt;/dates&gt;&lt;pub-location&gt;Duluth, GA&lt;/pub-location&gt;&lt;publisher&gt;MAG Mutual Healthcare Solutions Inc.&lt;/publisher&gt;&lt;urls&gt;&lt;/urls&gt;&lt;/record&gt;&lt;/Cite&gt;&lt;/EndNote&gt;</w:instrText>
        </w:r>
        <w:r w:rsidRPr="007E2B9F">
          <w:rPr>
            <w:sz w:val="24"/>
            <w:szCs w:val="24"/>
          </w:rPr>
          <w:fldChar w:fldCharType="separate"/>
        </w:r>
        <w:r w:rsidRPr="007E2B9F">
          <w:rPr>
            <w:noProof/>
            <w:sz w:val="24"/>
            <w:szCs w:val="24"/>
            <w:vertAlign w:val="superscript"/>
          </w:rPr>
          <w:t>14</w:t>
        </w:r>
        <w:r w:rsidRPr="007E2B9F">
          <w:rPr>
            <w:sz w:val="24"/>
            <w:szCs w:val="24"/>
          </w:rPr>
          <w:fldChar w:fldCharType="end"/>
        </w:r>
      </w:hyperlink>
      <w:r w:rsidRPr="007E2B9F">
        <w:rPr>
          <w:sz w:val="24"/>
          <w:szCs w:val="24"/>
        </w:rPr>
        <w:t xml:space="preserve">  </w:t>
      </w:r>
      <w:r>
        <w:rPr>
          <w:sz w:val="24"/>
          <w:szCs w:val="24"/>
        </w:rPr>
        <w:t>W</w:t>
      </w:r>
      <w:r w:rsidRPr="007E2B9F">
        <w:rPr>
          <w:sz w:val="24"/>
          <w:szCs w:val="24"/>
        </w:rPr>
        <w:t xml:space="preserve">e estimated that 14.8% of </w:t>
      </w:r>
      <w:r>
        <w:rPr>
          <w:sz w:val="24"/>
          <w:szCs w:val="24"/>
        </w:rPr>
        <w:t xml:space="preserve">the entire pre-travel health consultation </w:t>
      </w:r>
      <w:r w:rsidRPr="007E2B9F">
        <w:rPr>
          <w:sz w:val="24"/>
          <w:szCs w:val="24"/>
        </w:rPr>
        <w:t xml:space="preserve">(see next subsection for derivation of the rate) was </w:t>
      </w:r>
      <w:r>
        <w:rPr>
          <w:sz w:val="24"/>
          <w:szCs w:val="24"/>
        </w:rPr>
        <w:t xml:space="preserve">specific to </w:t>
      </w:r>
      <w:r w:rsidRPr="007E2B9F">
        <w:rPr>
          <w:sz w:val="24"/>
          <w:szCs w:val="24"/>
        </w:rPr>
        <w:t xml:space="preserve">malaria prevention, </w:t>
      </w:r>
      <w:r>
        <w:rPr>
          <w:sz w:val="24"/>
          <w:szCs w:val="24"/>
        </w:rPr>
        <w:t xml:space="preserve">so the </w:t>
      </w:r>
      <w:r w:rsidRPr="007E2B9F">
        <w:rPr>
          <w:sz w:val="24"/>
          <w:szCs w:val="24"/>
        </w:rPr>
        <w:t xml:space="preserve">prorated cost </w:t>
      </w:r>
      <w:r>
        <w:rPr>
          <w:sz w:val="24"/>
          <w:szCs w:val="24"/>
        </w:rPr>
        <w:t>specifically for malaria prevention was estimated at</w:t>
      </w:r>
      <w:r w:rsidRPr="007E2B9F">
        <w:rPr>
          <w:sz w:val="24"/>
          <w:szCs w:val="24"/>
        </w:rPr>
        <w:t xml:space="preserve"> $22 (=0.148 x $148) (Table A2).  </w:t>
      </w:r>
    </w:p>
    <w:p w:rsidR="00B53FD7" w:rsidRPr="007E2B9F" w:rsidRDefault="00B53FD7" w:rsidP="00900C16">
      <w:pPr>
        <w:spacing w:after="0" w:line="480" w:lineRule="auto"/>
        <w:ind w:firstLine="270"/>
        <w:rPr>
          <w:rFonts w:cs="Calibri"/>
          <w:sz w:val="24"/>
          <w:szCs w:val="24"/>
        </w:rPr>
      </w:pPr>
      <w:r w:rsidRPr="007E2B9F">
        <w:rPr>
          <w:rFonts w:cs="Calibri"/>
          <w:sz w:val="24"/>
          <w:szCs w:val="24"/>
        </w:rPr>
        <w:t xml:space="preserve">From the traveler’s perspective, co-payment for </w:t>
      </w:r>
      <w:r>
        <w:rPr>
          <w:rFonts w:cs="Calibri"/>
          <w:sz w:val="24"/>
          <w:szCs w:val="24"/>
        </w:rPr>
        <w:t xml:space="preserve">the </w:t>
      </w:r>
      <w:r>
        <w:rPr>
          <w:sz w:val="24"/>
          <w:szCs w:val="24"/>
        </w:rPr>
        <w:t xml:space="preserve">pre-travel health consultation </w:t>
      </w:r>
      <w:r w:rsidRPr="007E2B9F">
        <w:rPr>
          <w:rFonts w:cs="Calibri"/>
          <w:sz w:val="24"/>
          <w:szCs w:val="24"/>
        </w:rPr>
        <w:t xml:space="preserve">was set at $30.  </w:t>
      </w:r>
      <w:r>
        <w:rPr>
          <w:rFonts w:cs="Calibri"/>
          <w:sz w:val="24"/>
          <w:szCs w:val="24"/>
        </w:rPr>
        <w:t xml:space="preserve">The </w:t>
      </w:r>
      <w:r w:rsidRPr="007E2B9F">
        <w:rPr>
          <w:rFonts w:cs="Calibri"/>
          <w:sz w:val="24"/>
          <w:szCs w:val="24"/>
        </w:rPr>
        <w:t xml:space="preserve">prorated </w:t>
      </w:r>
      <w:r>
        <w:rPr>
          <w:rFonts w:cs="Calibri"/>
          <w:sz w:val="24"/>
          <w:szCs w:val="24"/>
        </w:rPr>
        <w:t xml:space="preserve">malaria prevention-specific </w:t>
      </w:r>
      <w:r w:rsidRPr="007E2B9F">
        <w:rPr>
          <w:rFonts w:cs="Calibri"/>
          <w:sz w:val="24"/>
          <w:szCs w:val="24"/>
        </w:rPr>
        <w:t xml:space="preserve">co-payment </w:t>
      </w:r>
      <w:r>
        <w:rPr>
          <w:rFonts w:cs="Calibri"/>
          <w:sz w:val="24"/>
          <w:szCs w:val="24"/>
        </w:rPr>
        <w:t xml:space="preserve">was estimated to be </w:t>
      </w:r>
      <w:r w:rsidRPr="007E2B9F">
        <w:rPr>
          <w:rFonts w:cs="Calibri"/>
          <w:sz w:val="24"/>
          <w:szCs w:val="24"/>
        </w:rPr>
        <w:t xml:space="preserve">$4 (=0.148 x $30) (Table A3).  </w:t>
      </w:r>
    </w:p>
    <w:p w:rsidR="00B53FD7" w:rsidRPr="007E2B9F" w:rsidRDefault="00B53FD7" w:rsidP="004A4205">
      <w:pPr>
        <w:spacing w:after="0" w:line="480" w:lineRule="auto"/>
        <w:rPr>
          <w:rFonts w:cs="Calibri"/>
          <w:b/>
          <w:sz w:val="24"/>
          <w:szCs w:val="24"/>
        </w:rPr>
      </w:pPr>
      <w:r w:rsidRPr="007E2B9F">
        <w:rPr>
          <w:rFonts w:cs="Calibri"/>
          <w:b/>
          <w:sz w:val="24"/>
          <w:szCs w:val="24"/>
        </w:rPr>
        <w:t xml:space="preserve">2.2 Derivation of the Proportion of Malaria Prevention (14.8%) Relative to Total Time of Pre-Travel </w:t>
      </w:r>
      <w:r>
        <w:rPr>
          <w:rFonts w:cs="Calibri"/>
          <w:b/>
          <w:sz w:val="24"/>
          <w:szCs w:val="24"/>
        </w:rPr>
        <w:t>Health Consultation</w:t>
      </w:r>
      <w:r w:rsidRPr="007E2B9F">
        <w:rPr>
          <w:rFonts w:cs="Calibri"/>
          <w:b/>
          <w:sz w:val="24"/>
          <w:szCs w:val="24"/>
        </w:rPr>
        <w:t xml:space="preserve"> </w:t>
      </w:r>
    </w:p>
    <w:p w:rsidR="00B53FD7" w:rsidRPr="007E2B9F" w:rsidRDefault="00B53FD7" w:rsidP="004A4205">
      <w:pPr>
        <w:spacing w:after="0" w:line="480" w:lineRule="auto"/>
        <w:rPr>
          <w:sz w:val="24"/>
          <w:szCs w:val="24"/>
        </w:rPr>
      </w:pPr>
      <w:r>
        <w:rPr>
          <w:rFonts w:cs="Calibri"/>
          <w:sz w:val="24"/>
          <w:szCs w:val="24"/>
        </w:rPr>
        <w:t>The w</w:t>
      </w:r>
      <w:r w:rsidRPr="007E2B9F">
        <w:rPr>
          <w:rFonts w:cs="Calibri"/>
          <w:sz w:val="24"/>
          <w:szCs w:val="24"/>
        </w:rPr>
        <w:t xml:space="preserve">eighted average time of </w:t>
      </w:r>
      <w:r>
        <w:rPr>
          <w:rFonts w:cs="Calibri"/>
          <w:sz w:val="24"/>
          <w:szCs w:val="24"/>
        </w:rPr>
        <w:t xml:space="preserve">a </w:t>
      </w:r>
      <w:r w:rsidRPr="007E2B9F">
        <w:rPr>
          <w:rFonts w:cs="Calibri"/>
          <w:sz w:val="24"/>
          <w:szCs w:val="24"/>
        </w:rPr>
        <w:t xml:space="preserve">pre-travel health consultation was estimated at 32 minutes based on </w:t>
      </w:r>
      <w:r w:rsidRPr="007E2B9F">
        <w:rPr>
          <w:sz w:val="24"/>
          <w:szCs w:val="24"/>
        </w:rPr>
        <w:t xml:space="preserve">the use of CPT codes in GTEN </w:t>
      </w:r>
      <w:r>
        <w:rPr>
          <w:sz w:val="24"/>
          <w:szCs w:val="24"/>
        </w:rPr>
        <w:t xml:space="preserve">practices </w:t>
      </w:r>
      <w:r w:rsidRPr="007E2B9F">
        <w:rPr>
          <w:sz w:val="24"/>
          <w:szCs w:val="24"/>
        </w:rPr>
        <w:t>and corresponding physician time.</w:t>
      </w:r>
      <w:hyperlink w:anchor="_ENREF_14" w:tooltip=", 2008 #1" w:history="1">
        <w:r w:rsidRPr="007E2B9F">
          <w:rPr>
            <w:sz w:val="24"/>
            <w:szCs w:val="24"/>
          </w:rPr>
          <w:fldChar w:fldCharType="begin"/>
        </w:r>
        <w:r w:rsidRPr="007E2B9F">
          <w:rPr>
            <w:sz w:val="24"/>
            <w:szCs w:val="24"/>
          </w:rPr>
          <w:instrText xml:space="preserve"> ADDIN EN.CITE &lt;EndNote&gt;&lt;Cite&gt;&lt;Year&gt;2008&lt;/Year&gt;&lt;RecNum&gt;1&lt;/RecNum&gt;&lt;DisplayText&gt;&lt;style face="superscript"&gt;14&lt;/style&gt;&lt;/DisplayText&gt;&lt;record&gt;&lt;rec-number&gt;1&lt;/rec-number&gt;&lt;foreign-keys&gt;&lt;key app="EN" db-id="teeevzreit0ww9exdf2v05dqav0rxzxxap0s"&gt;1&lt;/key&gt;&lt;/foreign-keys&gt;&lt;ref-type name="Catalog"&gt;8&lt;/ref-type&gt;&lt;contributors&gt;&lt;/contributors&gt;&lt;titles&gt;&lt;title&gt;Physicians&amp;apos; Fee and Coding Guide 2009&lt;/title&gt;&lt;/titles&gt;&lt;edition&gt;20th Annual Edition&lt;/edition&gt;&lt;dates&gt;&lt;year&gt;2008&lt;/year&gt;&lt;pub-dates&gt;&lt;date&gt;December 2008&lt;/date&gt;&lt;/pub-dates&gt;&lt;/dates&gt;&lt;pub-location&gt;Duluth, GA&lt;/pub-location&gt;&lt;publisher&gt;MAG Mutual Healthcare Solutions Inc.&lt;/publisher&gt;&lt;urls&gt;&lt;/urls&gt;&lt;/record&gt;&lt;/Cite&gt;&lt;/EndNote&gt;</w:instrText>
        </w:r>
        <w:r w:rsidRPr="007E2B9F">
          <w:rPr>
            <w:sz w:val="24"/>
            <w:szCs w:val="24"/>
          </w:rPr>
          <w:fldChar w:fldCharType="separate"/>
        </w:r>
        <w:r w:rsidRPr="007E2B9F">
          <w:rPr>
            <w:noProof/>
            <w:sz w:val="24"/>
            <w:szCs w:val="24"/>
            <w:vertAlign w:val="superscript"/>
          </w:rPr>
          <w:t>14</w:t>
        </w:r>
        <w:r w:rsidRPr="007E2B9F">
          <w:rPr>
            <w:sz w:val="24"/>
            <w:szCs w:val="24"/>
          </w:rPr>
          <w:fldChar w:fldCharType="end"/>
        </w:r>
      </w:hyperlink>
    </w:p>
    <w:p w:rsidR="00B53FD7" w:rsidRPr="007E2B9F" w:rsidRDefault="00B53FD7" w:rsidP="004A4205">
      <w:pPr>
        <w:spacing w:after="0" w:line="480" w:lineRule="auto"/>
        <w:rPr>
          <w:sz w:val="24"/>
          <w:szCs w:val="24"/>
        </w:rPr>
      </w:pPr>
      <w:r w:rsidRPr="007E2B9F">
        <w:rPr>
          <w:sz w:val="24"/>
          <w:szCs w:val="24"/>
        </w:rPr>
        <w:t>The 32 minutes were divided equally:</w:t>
      </w:r>
    </w:p>
    <w:p w:rsidR="00B53FD7" w:rsidRPr="007E2B9F" w:rsidRDefault="00B53FD7" w:rsidP="004A4205">
      <w:pPr>
        <w:pStyle w:val="ListParagraph"/>
        <w:numPr>
          <w:ilvl w:val="0"/>
          <w:numId w:val="29"/>
        </w:numPr>
        <w:spacing w:after="0" w:line="480" w:lineRule="auto"/>
        <w:rPr>
          <w:sz w:val="24"/>
          <w:szCs w:val="24"/>
        </w:rPr>
      </w:pPr>
      <w:r w:rsidRPr="007E2B9F">
        <w:rPr>
          <w:sz w:val="24"/>
          <w:szCs w:val="24"/>
        </w:rPr>
        <w:t>The first 10.7</w:t>
      </w:r>
      <w:r>
        <w:rPr>
          <w:sz w:val="24"/>
          <w:szCs w:val="24"/>
        </w:rPr>
        <w:t xml:space="preserve"> </w:t>
      </w:r>
      <w:r w:rsidRPr="007E2B9F">
        <w:rPr>
          <w:sz w:val="24"/>
          <w:szCs w:val="24"/>
        </w:rPr>
        <w:t>minute</w:t>
      </w:r>
      <w:r>
        <w:rPr>
          <w:sz w:val="24"/>
          <w:szCs w:val="24"/>
        </w:rPr>
        <w:t>s</w:t>
      </w:r>
      <w:r w:rsidRPr="007E2B9F">
        <w:rPr>
          <w:sz w:val="24"/>
          <w:szCs w:val="24"/>
        </w:rPr>
        <w:t xml:space="preserve"> to review the traveler’s medical history and itinerary </w:t>
      </w:r>
    </w:p>
    <w:p w:rsidR="00B53FD7" w:rsidRDefault="00B53FD7" w:rsidP="00006C73">
      <w:pPr>
        <w:pStyle w:val="ListParagraph"/>
        <w:numPr>
          <w:ilvl w:val="0"/>
          <w:numId w:val="29"/>
        </w:numPr>
        <w:spacing w:after="0" w:line="480" w:lineRule="auto"/>
        <w:rPr>
          <w:sz w:val="24"/>
          <w:szCs w:val="24"/>
        </w:rPr>
      </w:pPr>
      <w:r w:rsidRPr="00006C73">
        <w:rPr>
          <w:sz w:val="24"/>
          <w:szCs w:val="24"/>
        </w:rPr>
        <w:t>The second 10.7 minutes to review topics related to vaccination</w:t>
      </w:r>
      <w:r>
        <w:rPr>
          <w:sz w:val="24"/>
          <w:szCs w:val="24"/>
        </w:rPr>
        <w:t xml:space="preserve">.  </w:t>
      </w:r>
    </w:p>
    <w:p w:rsidR="00B53FD7" w:rsidRPr="00006C73" w:rsidRDefault="00B53FD7" w:rsidP="00006C73">
      <w:pPr>
        <w:pStyle w:val="ListParagraph"/>
        <w:numPr>
          <w:ilvl w:val="0"/>
          <w:numId w:val="29"/>
        </w:numPr>
        <w:spacing w:after="0" w:line="480" w:lineRule="auto"/>
        <w:rPr>
          <w:sz w:val="24"/>
          <w:szCs w:val="24"/>
        </w:rPr>
      </w:pPr>
      <w:r w:rsidRPr="00006C73">
        <w:rPr>
          <w:sz w:val="24"/>
          <w:szCs w:val="24"/>
        </w:rPr>
        <w:t xml:space="preserve">The third 10.7 minutes to discuss </w:t>
      </w:r>
      <w:r>
        <w:rPr>
          <w:sz w:val="24"/>
          <w:szCs w:val="24"/>
        </w:rPr>
        <w:t>chemoprophylaxis</w:t>
      </w:r>
      <w:r w:rsidRPr="00006C73">
        <w:rPr>
          <w:sz w:val="24"/>
          <w:szCs w:val="24"/>
        </w:rPr>
        <w:t xml:space="preserve"> and behavior/activity modification during trip</w:t>
      </w:r>
    </w:p>
    <w:p w:rsidR="00B53FD7" w:rsidRPr="007E2B9F" w:rsidRDefault="00B53FD7" w:rsidP="004A4205">
      <w:pPr>
        <w:spacing w:after="0" w:line="480" w:lineRule="auto"/>
        <w:rPr>
          <w:sz w:val="24"/>
          <w:szCs w:val="24"/>
        </w:rPr>
      </w:pPr>
      <w:r w:rsidRPr="007E2B9F">
        <w:rPr>
          <w:sz w:val="24"/>
          <w:szCs w:val="24"/>
        </w:rPr>
        <w:t xml:space="preserve">On average, </w:t>
      </w:r>
      <w:r>
        <w:rPr>
          <w:sz w:val="24"/>
          <w:szCs w:val="24"/>
        </w:rPr>
        <w:t xml:space="preserve">the clinician’s discussed </w:t>
      </w:r>
      <w:r w:rsidRPr="007E2B9F">
        <w:rPr>
          <w:sz w:val="24"/>
          <w:szCs w:val="24"/>
        </w:rPr>
        <w:t>7 items related to behavior/activity modification</w:t>
      </w:r>
      <w:r>
        <w:rPr>
          <w:sz w:val="24"/>
          <w:szCs w:val="24"/>
        </w:rPr>
        <w:t xml:space="preserve"> with the traveler</w:t>
      </w:r>
      <w:r w:rsidRPr="007E2B9F">
        <w:rPr>
          <w:sz w:val="24"/>
          <w:szCs w:val="24"/>
        </w:rPr>
        <w:t xml:space="preserve">, such as food and water precautions and injury prevention, and </w:t>
      </w:r>
      <w:r>
        <w:rPr>
          <w:sz w:val="24"/>
          <w:szCs w:val="24"/>
        </w:rPr>
        <w:t>provided 2 prescriptions</w:t>
      </w:r>
      <w:r w:rsidRPr="007E2B9F">
        <w:rPr>
          <w:sz w:val="24"/>
          <w:szCs w:val="24"/>
        </w:rPr>
        <w:t xml:space="preserve">, such as malaria chemoprophylaxis and </w:t>
      </w:r>
      <w:r>
        <w:rPr>
          <w:sz w:val="24"/>
          <w:szCs w:val="24"/>
        </w:rPr>
        <w:t xml:space="preserve">an </w:t>
      </w:r>
      <w:r w:rsidRPr="007E2B9F">
        <w:rPr>
          <w:sz w:val="24"/>
          <w:szCs w:val="24"/>
        </w:rPr>
        <w:t xml:space="preserve">antibiotic for diarrhea.  </w:t>
      </w:r>
      <w:r>
        <w:rPr>
          <w:sz w:val="24"/>
          <w:szCs w:val="24"/>
        </w:rPr>
        <w:t xml:space="preserve">Only 2 of the 9 topics covered in these exams </w:t>
      </w:r>
      <w:r w:rsidRPr="007E2B9F">
        <w:rPr>
          <w:sz w:val="24"/>
          <w:szCs w:val="24"/>
        </w:rPr>
        <w:t xml:space="preserve">were </w:t>
      </w:r>
      <w:r>
        <w:rPr>
          <w:sz w:val="24"/>
          <w:szCs w:val="24"/>
        </w:rPr>
        <w:t xml:space="preserve">considered </w:t>
      </w:r>
      <w:r w:rsidRPr="007E2B9F">
        <w:rPr>
          <w:sz w:val="24"/>
          <w:szCs w:val="24"/>
        </w:rPr>
        <w:t>directly related to malaria prevention</w:t>
      </w:r>
      <w:r>
        <w:rPr>
          <w:sz w:val="24"/>
          <w:szCs w:val="24"/>
        </w:rPr>
        <w:t>:</w:t>
      </w:r>
      <w:r w:rsidRPr="007E2B9F">
        <w:rPr>
          <w:sz w:val="24"/>
          <w:szCs w:val="24"/>
        </w:rPr>
        <w:t xml:space="preserve"> </w:t>
      </w:r>
    </w:p>
    <w:p w:rsidR="00B53FD7" w:rsidRPr="007E2B9F" w:rsidRDefault="00B53FD7" w:rsidP="004A4205">
      <w:pPr>
        <w:pStyle w:val="ListParagraph"/>
        <w:numPr>
          <w:ilvl w:val="0"/>
          <w:numId w:val="29"/>
        </w:numPr>
        <w:spacing w:after="0" w:line="480" w:lineRule="auto"/>
        <w:rPr>
          <w:sz w:val="24"/>
          <w:szCs w:val="24"/>
        </w:rPr>
      </w:pPr>
      <w:r w:rsidRPr="007E2B9F">
        <w:rPr>
          <w:sz w:val="24"/>
          <w:szCs w:val="24"/>
        </w:rPr>
        <w:t>Malaria chemoprophylaxis (e.g., drug regimen, adherence, adverse events)</w:t>
      </w:r>
    </w:p>
    <w:p w:rsidR="00B53FD7" w:rsidRPr="007E2B9F" w:rsidRDefault="00B53FD7" w:rsidP="004A4205">
      <w:pPr>
        <w:pStyle w:val="ListParagraph"/>
        <w:numPr>
          <w:ilvl w:val="0"/>
          <w:numId w:val="29"/>
        </w:numPr>
        <w:spacing w:after="0" w:line="480" w:lineRule="auto"/>
        <w:rPr>
          <w:sz w:val="24"/>
          <w:szCs w:val="24"/>
        </w:rPr>
      </w:pPr>
      <w:r w:rsidRPr="007E2B9F">
        <w:rPr>
          <w:sz w:val="24"/>
          <w:szCs w:val="24"/>
        </w:rPr>
        <w:t>Behavior modification</w:t>
      </w:r>
      <w:r>
        <w:rPr>
          <w:sz w:val="24"/>
          <w:szCs w:val="24"/>
        </w:rPr>
        <w:t xml:space="preserve">, including </w:t>
      </w:r>
      <w:r w:rsidRPr="007E2B9F">
        <w:rPr>
          <w:sz w:val="24"/>
          <w:szCs w:val="24"/>
        </w:rPr>
        <w:t>wearing protective clothing, the use of bed</w:t>
      </w:r>
      <w:r>
        <w:rPr>
          <w:sz w:val="24"/>
          <w:szCs w:val="24"/>
        </w:rPr>
        <w:t xml:space="preserve"> </w:t>
      </w:r>
      <w:r w:rsidRPr="007E2B9F">
        <w:rPr>
          <w:sz w:val="24"/>
          <w:szCs w:val="24"/>
        </w:rPr>
        <w:t xml:space="preserve">nets, and the prevention of insect bites by using </w:t>
      </w:r>
      <w:r>
        <w:rPr>
          <w:sz w:val="24"/>
          <w:szCs w:val="24"/>
        </w:rPr>
        <w:t xml:space="preserve">insect </w:t>
      </w:r>
      <w:r w:rsidRPr="007E2B9F">
        <w:rPr>
          <w:sz w:val="24"/>
          <w:szCs w:val="24"/>
        </w:rPr>
        <w:t xml:space="preserve">repellents.  </w:t>
      </w:r>
    </w:p>
    <w:p w:rsidR="00B53FD7" w:rsidRPr="007E2B9F" w:rsidRDefault="00B53FD7" w:rsidP="004A4205">
      <w:pPr>
        <w:spacing w:after="0" w:line="480" w:lineRule="auto"/>
        <w:rPr>
          <w:sz w:val="24"/>
          <w:szCs w:val="24"/>
        </w:rPr>
      </w:pPr>
      <w:r>
        <w:rPr>
          <w:sz w:val="24"/>
          <w:szCs w:val="24"/>
        </w:rPr>
        <w:t xml:space="preserve">On this basis, we </w:t>
      </w:r>
      <w:r w:rsidRPr="007E2B9F">
        <w:rPr>
          <w:sz w:val="24"/>
          <w:szCs w:val="24"/>
        </w:rPr>
        <w:t>assumed that 2/9=0.22 of the first 10.7-minute review of general information was related to malaria prevention (e.g., travel destination found in malaria</w:t>
      </w:r>
      <w:r>
        <w:rPr>
          <w:sz w:val="24"/>
          <w:szCs w:val="24"/>
        </w:rPr>
        <w:t>-</w:t>
      </w:r>
      <w:r w:rsidRPr="007E2B9F">
        <w:rPr>
          <w:sz w:val="24"/>
          <w:szCs w:val="24"/>
        </w:rPr>
        <w:t>endemic area).  Therefore, total time related to malaria prevention was estimated at 4.7 minutes (=21.4</w:t>
      </w:r>
      <w:r>
        <w:rPr>
          <w:sz w:val="24"/>
          <w:szCs w:val="24"/>
        </w:rPr>
        <w:t xml:space="preserve"> </w:t>
      </w:r>
      <w:r w:rsidRPr="007E2B9F">
        <w:rPr>
          <w:sz w:val="24"/>
          <w:szCs w:val="24"/>
        </w:rPr>
        <w:t>x</w:t>
      </w:r>
      <w:r>
        <w:rPr>
          <w:sz w:val="24"/>
          <w:szCs w:val="24"/>
        </w:rPr>
        <w:t xml:space="preserve"> </w:t>
      </w:r>
      <w:r w:rsidRPr="007E2B9F">
        <w:rPr>
          <w:sz w:val="24"/>
          <w:szCs w:val="24"/>
        </w:rPr>
        <w:t>0.22</w:t>
      </w:r>
      <w:r>
        <w:rPr>
          <w:sz w:val="24"/>
          <w:szCs w:val="24"/>
        </w:rPr>
        <w:t xml:space="preserve">; or </w:t>
      </w:r>
      <w:r w:rsidRPr="007E2B9F">
        <w:rPr>
          <w:sz w:val="24"/>
          <w:szCs w:val="24"/>
        </w:rPr>
        <w:t xml:space="preserve">14.8% (=4.7/32) of </w:t>
      </w:r>
      <w:r>
        <w:rPr>
          <w:sz w:val="24"/>
          <w:szCs w:val="24"/>
        </w:rPr>
        <w:t xml:space="preserve">the </w:t>
      </w:r>
      <w:r w:rsidRPr="007E2B9F">
        <w:rPr>
          <w:sz w:val="24"/>
          <w:szCs w:val="24"/>
        </w:rPr>
        <w:t>total 32</w:t>
      </w:r>
      <w:r>
        <w:rPr>
          <w:sz w:val="24"/>
          <w:szCs w:val="24"/>
        </w:rPr>
        <w:t>-</w:t>
      </w:r>
      <w:r w:rsidRPr="007E2B9F">
        <w:rPr>
          <w:sz w:val="24"/>
          <w:szCs w:val="24"/>
        </w:rPr>
        <w:t xml:space="preserve">minute pre-travel health consultation.  </w:t>
      </w:r>
    </w:p>
    <w:p w:rsidR="00B53FD7" w:rsidRPr="007E2B9F" w:rsidRDefault="00B53FD7" w:rsidP="002E6C2A">
      <w:pPr>
        <w:spacing w:after="0" w:line="480" w:lineRule="auto"/>
        <w:rPr>
          <w:rFonts w:cs="Calibri"/>
          <w:b/>
          <w:sz w:val="24"/>
          <w:szCs w:val="24"/>
        </w:rPr>
      </w:pPr>
      <w:r w:rsidRPr="007E2B9F">
        <w:rPr>
          <w:rFonts w:cs="Calibri"/>
          <w:b/>
          <w:sz w:val="24"/>
          <w:szCs w:val="24"/>
        </w:rPr>
        <w:t>2.3 Costs of Malaria Chemoprophylaxis</w:t>
      </w:r>
    </w:p>
    <w:p w:rsidR="00B53FD7" w:rsidRPr="007E2B9F" w:rsidRDefault="00B53FD7" w:rsidP="001B7BD1">
      <w:pPr>
        <w:spacing w:after="0" w:line="480" w:lineRule="auto"/>
        <w:rPr>
          <w:sz w:val="24"/>
          <w:szCs w:val="24"/>
        </w:rPr>
      </w:pPr>
      <w:r w:rsidRPr="007E2B9F">
        <w:rPr>
          <w:rFonts w:cs="Calibri"/>
          <w:sz w:val="24"/>
          <w:szCs w:val="24"/>
        </w:rPr>
        <w:t xml:space="preserve">From the </w:t>
      </w:r>
      <w:r>
        <w:rPr>
          <w:rFonts w:cs="Calibri"/>
          <w:sz w:val="24"/>
          <w:szCs w:val="24"/>
        </w:rPr>
        <w:t>payer’s</w:t>
      </w:r>
      <w:r w:rsidRPr="007E2B9F">
        <w:rPr>
          <w:rFonts w:cs="Calibri"/>
          <w:sz w:val="24"/>
          <w:szCs w:val="24"/>
        </w:rPr>
        <w:t xml:space="preserve"> perspective, </w:t>
      </w:r>
      <w:r w:rsidRPr="007E2B9F">
        <w:rPr>
          <w:sz w:val="24"/>
          <w:szCs w:val="24"/>
        </w:rPr>
        <w:t>weighted average costs of malaria chemoprophylaxis for each group</w:t>
      </w:r>
      <w:r>
        <w:rPr>
          <w:sz w:val="24"/>
          <w:szCs w:val="24"/>
        </w:rPr>
        <w:t>, categorized by</w:t>
      </w:r>
      <w:r w:rsidRPr="007E2B9F">
        <w:rPr>
          <w:sz w:val="24"/>
          <w:szCs w:val="24"/>
        </w:rPr>
        <w:t xml:space="preserve"> purpose of travel</w:t>
      </w:r>
      <w:r>
        <w:rPr>
          <w:sz w:val="24"/>
          <w:szCs w:val="24"/>
        </w:rPr>
        <w:t>, was estimated</w:t>
      </w:r>
      <w:r w:rsidRPr="007E2B9F">
        <w:rPr>
          <w:sz w:val="24"/>
          <w:szCs w:val="24"/>
        </w:rPr>
        <w:t xml:space="preserve"> in two steps:</w:t>
      </w:r>
    </w:p>
    <w:p w:rsidR="00B53FD7" w:rsidRPr="007E2B9F" w:rsidRDefault="00B53FD7" w:rsidP="00497EB9">
      <w:pPr>
        <w:pStyle w:val="ListParagraph"/>
        <w:numPr>
          <w:ilvl w:val="0"/>
          <w:numId w:val="40"/>
        </w:numPr>
        <w:spacing w:after="0" w:line="480" w:lineRule="auto"/>
        <w:rPr>
          <w:sz w:val="24"/>
          <w:szCs w:val="24"/>
        </w:rPr>
      </w:pPr>
      <w:r>
        <w:rPr>
          <w:sz w:val="24"/>
          <w:szCs w:val="24"/>
        </w:rPr>
        <w:t>M</w:t>
      </w:r>
      <w:r w:rsidRPr="007E2B9F">
        <w:rPr>
          <w:sz w:val="24"/>
          <w:szCs w:val="24"/>
        </w:rPr>
        <w:t>edian</w:t>
      </w:r>
      <w:r>
        <w:rPr>
          <w:sz w:val="24"/>
          <w:szCs w:val="24"/>
        </w:rPr>
        <w:t xml:space="preserve"> trip duration and the following </w:t>
      </w:r>
      <w:r w:rsidRPr="007E2B9F">
        <w:rPr>
          <w:sz w:val="24"/>
          <w:szCs w:val="24"/>
        </w:rPr>
        <w:t>adult dose regimens</w:t>
      </w:r>
      <w:hyperlink w:anchor="_ENREF_1" w:tooltip="Center for Disease Control and Prevention, 2011 #1" w:history="1">
        <w:r w:rsidRPr="007E2B9F">
          <w:rPr>
            <w:sz w:val="24"/>
            <w:szCs w:val="24"/>
          </w:rPr>
          <w:fldChar w:fldCharType="begin"/>
        </w:r>
        <w:r w:rsidRPr="007E2B9F">
          <w:rPr>
            <w:sz w:val="24"/>
            <w:szCs w:val="24"/>
          </w:rPr>
          <w:instrText xml:space="preserve"> ADDIN EN.CITE &lt;EndNote&gt;&lt;Cite&gt;&lt;Author&gt;Center for Disease Control and Prevention&lt;/Author&gt;&lt;Year&gt;2011&lt;/Year&gt;&lt;RecNum&gt;1&lt;/RecNum&gt;&lt;DisplayText&gt;&lt;style face="superscript"&gt;1&lt;/style&gt;&lt;/DisplayText&gt;&lt;record&gt;&lt;rec-number&gt;1&lt;/rec-number&gt;&lt;foreign-keys&gt;&lt;key app="EN" db-id="xfrepwstvr0z94e0wxpprwxa000900wepr59"&gt;1&lt;/key&gt;&lt;/foreign-keys&gt;&lt;ref-type name="Book"&gt;6&lt;/ref-type&gt;&lt;contributors&gt;&lt;authors&gt;&lt;author&gt;Center for Disease Control and Prevention,&lt;/author&gt;&lt;/authors&gt;&lt;/contributors&gt;&lt;titles&gt;&lt;title&gt;CDC health information for international travel 2012 : the yellow book &lt;/title&gt;&lt;/titles&gt;&lt;dates&gt;&lt;year&gt;2011&lt;/year&gt;&lt;/dates&gt;&lt;pub-location&gt;Atlanta&lt;/pub-location&gt;&lt;publisher&gt;U.S. Department of Health and Human Services, Public Health Services&lt;/publisher&gt;&lt;isbn&gt;9780199769018 019976901X&lt;/isbn&gt;&lt;urls&gt;&lt;/urls&gt;&lt;remote-database-name&gt;/z-wcorg/&lt;/remote-database-name&gt;&lt;remote-database-provider&gt;http://worldcat.org&lt;/remote-database-provider&gt;&lt;language&gt;English&lt;/language&gt;&lt;/record&gt;&lt;/Cite&gt;&lt;/EndNote&gt;</w:instrText>
        </w:r>
        <w:r w:rsidRPr="007E2B9F">
          <w:rPr>
            <w:sz w:val="24"/>
            <w:szCs w:val="24"/>
          </w:rPr>
          <w:fldChar w:fldCharType="separate"/>
        </w:r>
        <w:r w:rsidRPr="007E2B9F">
          <w:rPr>
            <w:noProof/>
            <w:sz w:val="24"/>
            <w:szCs w:val="24"/>
            <w:vertAlign w:val="superscript"/>
          </w:rPr>
          <w:t>1</w:t>
        </w:r>
        <w:r w:rsidRPr="007E2B9F">
          <w:rPr>
            <w:sz w:val="24"/>
            <w:szCs w:val="24"/>
          </w:rPr>
          <w:fldChar w:fldCharType="end"/>
        </w:r>
      </w:hyperlink>
    </w:p>
    <w:p w:rsidR="00B53FD7" w:rsidRPr="007E2B9F" w:rsidRDefault="00B53FD7" w:rsidP="00B15769">
      <w:pPr>
        <w:pStyle w:val="ListParagraph"/>
        <w:numPr>
          <w:ilvl w:val="1"/>
          <w:numId w:val="40"/>
        </w:numPr>
        <w:spacing w:after="0" w:line="480" w:lineRule="auto"/>
        <w:rPr>
          <w:sz w:val="24"/>
          <w:szCs w:val="24"/>
        </w:rPr>
      </w:pPr>
      <w:r w:rsidRPr="007E2B9F">
        <w:rPr>
          <w:sz w:val="24"/>
          <w:szCs w:val="24"/>
        </w:rPr>
        <w:t xml:space="preserve">Atovaquone/proguanil, 250mg atovaquone and 100mg proguanil hydrochloride, 1 tablet orally, daily, </w:t>
      </w:r>
      <w:r>
        <w:rPr>
          <w:sz w:val="24"/>
          <w:szCs w:val="24"/>
        </w:rPr>
        <w:t>for</w:t>
      </w:r>
      <w:r w:rsidRPr="007E2B9F">
        <w:rPr>
          <w:sz w:val="24"/>
          <w:szCs w:val="24"/>
        </w:rPr>
        <w:t xml:space="preserve"> 2 days before</w:t>
      </w:r>
      <w:r>
        <w:rPr>
          <w:sz w:val="24"/>
          <w:szCs w:val="24"/>
        </w:rPr>
        <w:t xml:space="preserve">, </w:t>
      </w:r>
      <w:r w:rsidRPr="007E2B9F">
        <w:rPr>
          <w:sz w:val="24"/>
          <w:szCs w:val="24"/>
        </w:rPr>
        <w:t>t</w:t>
      </w:r>
      <w:r>
        <w:rPr>
          <w:sz w:val="24"/>
          <w:szCs w:val="24"/>
        </w:rPr>
        <w:t>hrough</w:t>
      </w:r>
      <w:r w:rsidRPr="007E2B9F">
        <w:rPr>
          <w:sz w:val="24"/>
          <w:szCs w:val="24"/>
        </w:rPr>
        <w:t xml:space="preserve"> 7 days after travel</w:t>
      </w:r>
    </w:p>
    <w:p w:rsidR="00B53FD7" w:rsidRPr="007E2B9F" w:rsidRDefault="00B53FD7" w:rsidP="00B15769">
      <w:pPr>
        <w:pStyle w:val="ListParagraph"/>
        <w:numPr>
          <w:ilvl w:val="1"/>
          <w:numId w:val="40"/>
        </w:numPr>
        <w:spacing w:after="0" w:line="480" w:lineRule="auto"/>
        <w:rPr>
          <w:sz w:val="24"/>
          <w:szCs w:val="24"/>
        </w:rPr>
      </w:pPr>
      <w:r w:rsidRPr="007E2B9F">
        <w:rPr>
          <w:sz w:val="24"/>
          <w:szCs w:val="24"/>
        </w:rPr>
        <w:t xml:space="preserve">Doxycycline, 100mg orally, daily, </w:t>
      </w:r>
      <w:r>
        <w:rPr>
          <w:sz w:val="24"/>
          <w:szCs w:val="24"/>
        </w:rPr>
        <w:t xml:space="preserve">for </w:t>
      </w:r>
      <w:r w:rsidRPr="007E2B9F">
        <w:rPr>
          <w:sz w:val="24"/>
          <w:szCs w:val="24"/>
        </w:rPr>
        <w:t>2 days before</w:t>
      </w:r>
      <w:r>
        <w:rPr>
          <w:sz w:val="24"/>
          <w:szCs w:val="24"/>
        </w:rPr>
        <w:t>,  through</w:t>
      </w:r>
      <w:r w:rsidRPr="007E2B9F">
        <w:rPr>
          <w:sz w:val="24"/>
          <w:szCs w:val="24"/>
        </w:rPr>
        <w:t xml:space="preserve"> 4 weeks after travel</w:t>
      </w:r>
    </w:p>
    <w:p w:rsidR="00B53FD7" w:rsidRPr="007E2B9F" w:rsidRDefault="00B53FD7" w:rsidP="00B15769">
      <w:pPr>
        <w:pStyle w:val="ListParagraph"/>
        <w:numPr>
          <w:ilvl w:val="1"/>
          <w:numId w:val="40"/>
        </w:numPr>
        <w:spacing w:after="0" w:line="480" w:lineRule="auto"/>
        <w:rPr>
          <w:sz w:val="24"/>
          <w:szCs w:val="24"/>
        </w:rPr>
      </w:pPr>
      <w:r w:rsidRPr="007E2B9F">
        <w:rPr>
          <w:sz w:val="24"/>
          <w:szCs w:val="24"/>
        </w:rPr>
        <w:t xml:space="preserve">Mefloquine, 228mg base (250mg salt) orally, once a week, </w:t>
      </w:r>
      <w:r>
        <w:rPr>
          <w:sz w:val="24"/>
          <w:szCs w:val="24"/>
        </w:rPr>
        <w:t>for</w:t>
      </w:r>
      <w:r w:rsidRPr="007E2B9F">
        <w:rPr>
          <w:sz w:val="24"/>
          <w:szCs w:val="24"/>
        </w:rPr>
        <w:t xml:space="preserve"> 2 weeks before</w:t>
      </w:r>
      <w:r>
        <w:rPr>
          <w:sz w:val="24"/>
          <w:szCs w:val="24"/>
        </w:rPr>
        <w:t>,</w:t>
      </w:r>
      <w:r w:rsidRPr="007E2B9F">
        <w:rPr>
          <w:sz w:val="24"/>
          <w:szCs w:val="24"/>
        </w:rPr>
        <w:t xml:space="preserve"> t</w:t>
      </w:r>
      <w:r>
        <w:rPr>
          <w:sz w:val="24"/>
          <w:szCs w:val="24"/>
        </w:rPr>
        <w:t>hrough</w:t>
      </w:r>
      <w:r w:rsidRPr="007E2B9F">
        <w:rPr>
          <w:sz w:val="24"/>
          <w:szCs w:val="24"/>
        </w:rPr>
        <w:t xml:space="preserve"> 4 weeks after travel</w:t>
      </w:r>
    </w:p>
    <w:p w:rsidR="00B53FD7" w:rsidRPr="007E2B9F" w:rsidRDefault="00B53FD7" w:rsidP="00497EB9">
      <w:pPr>
        <w:spacing w:after="0" w:line="480" w:lineRule="auto"/>
        <w:ind w:left="360"/>
        <w:rPr>
          <w:rFonts w:cs="Calibri"/>
          <w:sz w:val="24"/>
          <w:szCs w:val="24"/>
        </w:rPr>
      </w:pPr>
      <w:r w:rsidRPr="007E2B9F">
        <w:rPr>
          <w:rFonts w:cs="Calibri"/>
          <w:sz w:val="24"/>
          <w:szCs w:val="24"/>
        </w:rPr>
        <w:t>For example, the median</w:t>
      </w:r>
      <w:r>
        <w:rPr>
          <w:rFonts w:cs="Calibri"/>
          <w:sz w:val="24"/>
          <w:szCs w:val="24"/>
        </w:rPr>
        <w:t xml:space="preserve"> planned</w:t>
      </w:r>
      <w:r w:rsidRPr="007E2B9F">
        <w:rPr>
          <w:rFonts w:cs="Calibri"/>
          <w:sz w:val="24"/>
          <w:szCs w:val="24"/>
        </w:rPr>
        <w:t xml:space="preserve"> </w:t>
      </w:r>
      <w:r>
        <w:rPr>
          <w:rFonts w:cs="Calibri"/>
          <w:sz w:val="24"/>
          <w:szCs w:val="24"/>
        </w:rPr>
        <w:t xml:space="preserve">trip duration </w:t>
      </w:r>
      <w:r w:rsidRPr="007E2B9F">
        <w:rPr>
          <w:rFonts w:cs="Calibri"/>
          <w:sz w:val="24"/>
          <w:szCs w:val="24"/>
        </w:rPr>
        <w:t>for leisure traveler</w:t>
      </w:r>
      <w:r>
        <w:rPr>
          <w:rFonts w:cs="Calibri"/>
          <w:sz w:val="24"/>
          <w:szCs w:val="24"/>
        </w:rPr>
        <w:t>s</w:t>
      </w:r>
      <w:r w:rsidRPr="007E2B9F">
        <w:rPr>
          <w:rFonts w:cs="Calibri"/>
          <w:sz w:val="24"/>
          <w:szCs w:val="24"/>
        </w:rPr>
        <w:t xml:space="preserve"> was 14 days, </w:t>
      </w:r>
      <w:r>
        <w:rPr>
          <w:rFonts w:cs="Calibri"/>
          <w:sz w:val="24"/>
          <w:szCs w:val="24"/>
        </w:rPr>
        <w:t xml:space="preserve">so </w:t>
      </w:r>
      <w:r w:rsidRPr="007E2B9F">
        <w:rPr>
          <w:rFonts w:cs="Calibri"/>
          <w:sz w:val="24"/>
          <w:szCs w:val="24"/>
        </w:rPr>
        <w:t>the cost of chemoprophylaxis</w:t>
      </w:r>
      <w:r>
        <w:rPr>
          <w:rFonts w:cs="Calibri"/>
          <w:sz w:val="24"/>
          <w:szCs w:val="24"/>
        </w:rPr>
        <w:t xml:space="preserve"> for each drug</w:t>
      </w:r>
      <w:r w:rsidRPr="007E2B9F">
        <w:rPr>
          <w:rFonts w:cs="Calibri"/>
          <w:sz w:val="24"/>
          <w:szCs w:val="24"/>
        </w:rPr>
        <w:t xml:space="preserve"> was calculated as:</w:t>
      </w:r>
    </w:p>
    <w:p w:rsidR="00B53FD7" w:rsidRPr="007E2B9F" w:rsidRDefault="00B53FD7" w:rsidP="00497EB9">
      <w:pPr>
        <w:pStyle w:val="ListParagraph"/>
        <w:numPr>
          <w:ilvl w:val="1"/>
          <w:numId w:val="40"/>
        </w:numPr>
        <w:spacing w:after="0" w:line="480" w:lineRule="auto"/>
        <w:rPr>
          <w:sz w:val="24"/>
          <w:szCs w:val="24"/>
        </w:rPr>
      </w:pPr>
      <w:r w:rsidRPr="007E2B9F">
        <w:rPr>
          <w:sz w:val="24"/>
          <w:szCs w:val="24"/>
        </w:rPr>
        <w:t xml:space="preserve">Atovaquone/proguanil: $7.87 x (2+14+7) = $181.01 </w:t>
      </w:r>
    </w:p>
    <w:p w:rsidR="00B53FD7" w:rsidRPr="007E2B9F" w:rsidRDefault="00B53FD7" w:rsidP="00497EB9">
      <w:pPr>
        <w:pStyle w:val="ListParagraph"/>
        <w:numPr>
          <w:ilvl w:val="1"/>
          <w:numId w:val="40"/>
        </w:numPr>
        <w:spacing w:after="0" w:line="480" w:lineRule="auto"/>
        <w:rPr>
          <w:sz w:val="24"/>
          <w:szCs w:val="24"/>
        </w:rPr>
      </w:pPr>
      <w:r w:rsidRPr="007E2B9F">
        <w:rPr>
          <w:sz w:val="24"/>
          <w:szCs w:val="24"/>
        </w:rPr>
        <w:t>Doxycycline: $1.08 x (2+14+28) = $47.52</w:t>
      </w:r>
    </w:p>
    <w:p w:rsidR="00B53FD7" w:rsidRPr="007E2B9F" w:rsidRDefault="00B53FD7" w:rsidP="00497EB9">
      <w:pPr>
        <w:pStyle w:val="ListParagraph"/>
        <w:numPr>
          <w:ilvl w:val="1"/>
          <w:numId w:val="40"/>
        </w:numPr>
        <w:spacing w:after="0" w:line="480" w:lineRule="auto"/>
        <w:rPr>
          <w:sz w:val="24"/>
          <w:szCs w:val="24"/>
        </w:rPr>
      </w:pPr>
      <w:r w:rsidRPr="007E2B9F">
        <w:rPr>
          <w:sz w:val="24"/>
          <w:szCs w:val="24"/>
        </w:rPr>
        <w:t>Mefloquine: $13.17 x (2+2+4) = $105.36</w:t>
      </w:r>
    </w:p>
    <w:p w:rsidR="00B53FD7" w:rsidRPr="007E2B9F" w:rsidRDefault="00B53FD7" w:rsidP="00CC174A">
      <w:pPr>
        <w:pStyle w:val="ListParagraph"/>
        <w:numPr>
          <w:ilvl w:val="0"/>
          <w:numId w:val="40"/>
        </w:numPr>
        <w:spacing w:line="480" w:lineRule="auto"/>
        <w:rPr>
          <w:rFonts w:cs="Calibri"/>
          <w:sz w:val="24"/>
          <w:szCs w:val="24"/>
        </w:rPr>
      </w:pPr>
      <w:r>
        <w:rPr>
          <w:sz w:val="24"/>
          <w:szCs w:val="24"/>
        </w:rPr>
        <w:t xml:space="preserve">We then calculated the </w:t>
      </w:r>
      <w:r w:rsidRPr="007E2B9F">
        <w:rPr>
          <w:sz w:val="24"/>
          <w:szCs w:val="24"/>
        </w:rPr>
        <w:t xml:space="preserve">weighted average cost </w:t>
      </w:r>
      <w:r>
        <w:rPr>
          <w:sz w:val="24"/>
          <w:szCs w:val="24"/>
        </w:rPr>
        <w:t xml:space="preserve">by </w:t>
      </w:r>
      <w:r w:rsidRPr="007E2B9F">
        <w:rPr>
          <w:sz w:val="24"/>
          <w:szCs w:val="24"/>
        </w:rPr>
        <w:t xml:space="preserve">using the frequency of prescription (Table A1) as a weight.  </w:t>
      </w:r>
      <w:r w:rsidRPr="007E2B9F">
        <w:rPr>
          <w:rFonts w:cs="Calibri"/>
          <w:sz w:val="24"/>
          <w:szCs w:val="24"/>
        </w:rPr>
        <w:t>For example, for leisure traveler, weighted average cost of malaria chemoprophylaxis was $161 (=$181.01</w:t>
      </w:r>
      <w:r>
        <w:rPr>
          <w:rFonts w:cs="Calibri"/>
          <w:sz w:val="24"/>
          <w:szCs w:val="24"/>
        </w:rPr>
        <w:t xml:space="preserve"> </w:t>
      </w:r>
      <w:r w:rsidRPr="007E2B9F">
        <w:rPr>
          <w:rFonts w:cs="Calibri"/>
          <w:sz w:val="24"/>
          <w:szCs w:val="24"/>
        </w:rPr>
        <w:t>x</w:t>
      </w:r>
      <w:r>
        <w:rPr>
          <w:rFonts w:cs="Calibri"/>
          <w:sz w:val="24"/>
          <w:szCs w:val="24"/>
        </w:rPr>
        <w:t xml:space="preserve"> </w:t>
      </w:r>
      <w:r w:rsidRPr="007E2B9F">
        <w:rPr>
          <w:rFonts w:cs="Calibri"/>
          <w:sz w:val="24"/>
          <w:szCs w:val="24"/>
        </w:rPr>
        <w:t>0.758 + $47.52</w:t>
      </w:r>
      <w:r>
        <w:rPr>
          <w:rFonts w:cs="Calibri"/>
          <w:sz w:val="24"/>
          <w:szCs w:val="24"/>
        </w:rPr>
        <w:t xml:space="preserve"> </w:t>
      </w:r>
      <w:r w:rsidRPr="007E2B9F">
        <w:rPr>
          <w:rFonts w:cs="Calibri"/>
          <w:sz w:val="24"/>
          <w:szCs w:val="24"/>
        </w:rPr>
        <w:t>x</w:t>
      </w:r>
      <w:r>
        <w:rPr>
          <w:rFonts w:cs="Calibri"/>
          <w:sz w:val="24"/>
          <w:szCs w:val="24"/>
        </w:rPr>
        <w:t xml:space="preserve"> </w:t>
      </w:r>
      <w:r w:rsidRPr="007E2B9F">
        <w:rPr>
          <w:rFonts w:cs="Calibri"/>
          <w:sz w:val="24"/>
          <w:szCs w:val="24"/>
        </w:rPr>
        <w:t>0.03 + $105.36</w:t>
      </w:r>
      <w:r>
        <w:rPr>
          <w:rFonts w:cs="Calibri"/>
          <w:sz w:val="24"/>
          <w:szCs w:val="24"/>
        </w:rPr>
        <w:t xml:space="preserve"> </w:t>
      </w:r>
      <w:r w:rsidRPr="007E2B9F">
        <w:rPr>
          <w:rFonts w:cs="Calibri"/>
          <w:sz w:val="24"/>
          <w:szCs w:val="24"/>
        </w:rPr>
        <w:t>x</w:t>
      </w:r>
      <w:r>
        <w:rPr>
          <w:rFonts w:cs="Calibri"/>
          <w:sz w:val="24"/>
          <w:szCs w:val="24"/>
        </w:rPr>
        <w:t xml:space="preserve"> </w:t>
      </w:r>
      <w:r w:rsidRPr="007E2B9F">
        <w:rPr>
          <w:rFonts w:cs="Calibri"/>
          <w:sz w:val="24"/>
          <w:szCs w:val="24"/>
        </w:rPr>
        <w:t>0.212) (Table A2).</w:t>
      </w:r>
    </w:p>
    <w:p w:rsidR="00B53FD7" w:rsidRPr="007E2B9F" w:rsidRDefault="00B53FD7" w:rsidP="0051170A">
      <w:pPr>
        <w:spacing w:line="480" w:lineRule="auto"/>
        <w:ind w:firstLine="270"/>
        <w:rPr>
          <w:rFonts w:cs="Calibri"/>
          <w:sz w:val="24"/>
          <w:szCs w:val="24"/>
        </w:rPr>
      </w:pPr>
      <w:r w:rsidRPr="007E2B9F">
        <w:rPr>
          <w:rFonts w:cs="Calibri"/>
          <w:sz w:val="24"/>
          <w:szCs w:val="24"/>
        </w:rPr>
        <w:t xml:space="preserve">For the traveler’s perspective, the cost of malaria chemoprophylaxis was set at $25 co-payment for prescription (Table A3) for all groups </w:t>
      </w:r>
      <w:r>
        <w:rPr>
          <w:rFonts w:cs="Calibri"/>
          <w:sz w:val="24"/>
          <w:szCs w:val="24"/>
        </w:rPr>
        <w:t xml:space="preserve">regardless </w:t>
      </w:r>
      <w:r w:rsidRPr="007E2B9F">
        <w:rPr>
          <w:rFonts w:cs="Calibri"/>
          <w:sz w:val="24"/>
          <w:szCs w:val="24"/>
        </w:rPr>
        <w:t>of purpose of travel.</w:t>
      </w:r>
    </w:p>
    <w:p w:rsidR="00B53FD7" w:rsidRPr="007E2B9F" w:rsidRDefault="00B53FD7" w:rsidP="002E6C2A">
      <w:pPr>
        <w:spacing w:after="0" w:line="480" w:lineRule="auto"/>
        <w:rPr>
          <w:rFonts w:cs="Calibri"/>
          <w:b/>
          <w:sz w:val="24"/>
          <w:szCs w:val="24"/>
        </w:rPr>
      </w:pPr>
      <w:r w:rsidRPr="007E2B9F">
        <w:rPr>
          <w:rFonts w:cs="Calibri"/>
          <w:b/>
          <w:sz w:val="24"/>
          <w:szCs w:val="24"/>
        </w:rPr>
        <w:t>2.4 Treatment Costs for an Adverse Event Associated with Malaria Chemoprophylaxis</w:t>
      </w:r>
    </w:p>
    <w:p w:rsidR="00B53FD7" w:rsidRPr="007E2B9F" w:rsidRDefault="00B53FD7" w:rsidP="00617B53">
      <w:pPr>
        <w:spacing w:after="0" w:line="480" w:lineRule="auto"/>
        <w:rPr>
          <w:sz w:val="24"/>
          <w:szCs w:val="24"/>
        </w:rPr>
      </w:pPr>
      <w:r>
        <w:rPr>
          <w:sz w:val="24"/>
          <w:szCs w:val="24"/>
        </w:rPr>
        <w:t>T</w:t>
      </w:r>
      <w:r w:rsidRPr="007E2B9F">
        <w:rPr>
          <w:sz w:val="24"/>
          <w:szCs w:val="24"/>
        </w:rPr>
        <w:t>he costs to treat an adverse event associated with malaria chemoprophylaxis w</w:t>
      </w:r>
      <w:r>
        <w:rPr>
          <w:sz w:val="24"/>
          <w:szCs w:val="24"/>
        </w:rPr>
        <w:t>ere</w:t>
      </w:r>
      <w:r w:rsidRPr="007E2B9F">
        <w:rPr>
          <w:sz w:val="24"/>
          <w:szCs w:val="24"/>
        </w:rPr>
        <w:t xml:space="preserve"> estimated based on the assumption</w:t>
      </w:r>
      <w:r>
        <w:rPr>
          <w:sz w:val="24"/>
          <w:szCs w:val="24"/>
        </w:rPr>
        <w:t>, provided by expert opinion,</w:t>
      </w:r>
      <w:r w:rsidRPr="007E2B9F">
        <w:rPr>
          <w:sz w:val="24"/>
          <w:szCs w:val="24"/>
        </w:rPr>
        <w:t xml:space="preserve"> that a traveler would need one physician office visit (CPT 99201 level 1) and a prescription for a drug against vomiting and nausea (prochlorperazine 10mg, 3times </w:t>
      </w:r>
      <w:r>
        <w:rPr>
          <w:sz w:val="24"/>
          <w:szCs w:val="24"/>
        </w:rPr>
        <w:t xml:space="preserve">a </w:t>
      </w:r>
      <w:r w:rsidRPr="007E2B9F">
        <w:rPr>
          <w:sz w:val="24"/>
          <w:szCs w:val="24"/>
        </w:rPr>
        <w:t xml:space="preserve">day for 4 days). </w:t>
      </w:r>
    </w:p>
    <w:p w:rsidR="00B53FD7" w:rsidRPr="007E2B9F" w:rsidRDefault="00B53FD7" w:rsidP="00634F28">
      <w:pPr>
        <w:spacing w:after="0" w:line="480" w:lineRule="auto"/>
        <w:ind w:firstLine="270"/>
        <w:rPr>
          <w:sz w:val="24"/>
          <w:szCs w:val="24"/>
        </w:rPr>
      </w:pPr>
      <w:r w:rsidRPr="007E2B9F">
        <w:rPr>
          <w:rFonts w:cs="Calibri"/>
          <w:sz w:val="24"/>
          <w:szCs w:val="24"/>
        </w:rPr>
        <w:t xml:space="preserve">From the </w:t>
      </w:r>
      <w:r>
        <w:rPr>
          <w:rFonts w:cs="Calibri"/>
          <w:sz w:val="24"/>
          <w:szCs w:val="24"/>
        </w:rPr>
        <w:t>payer’s</w:t>
      </w:r>
      <w:r w:rsidRPr="007E2B9F">
        <w:rPr>
          <w:rFonts w:cs="Calibri"/>
          <w:sz w:val="24"/>
          <w:szCs w:val="24"/>
        </w:rPr>
        <w:t xml:space="preserve"> perspective</w:t>
      </w:r>
      <w:r w:rsidRPr="007E2B9F">
        <w:rPr>
          <w:sz w:val="24"/>
          <w:szCs w:val="24"/>
        </w:rPr>
        <w:t>, the sum of costs for a physician visit and prescription drugs were then $92 (= $80.5</w:t>
      </w:r>
      <w:r>
        <w:rPr>
          <w:sz w:val="24"/>
          <w:szCs w:val="24"/>
        </w:rPr>
        <w:t xml:space="preserve"> </w:t>
      </w:r>
      <w:r w:rsidRPr="007E2B9F">
        <w:rPr>
          <w:sz w:val="24"/>
          <w:szCs w:val="24"/>
        </w:rPr>
        <w:t>+</w:t>
      </w:r>
      <w:r>
        <w:rPr>
          <w:sz w:val="24"/>
          <w:szCs w:val="24"/>
        </w:rPr>
        <w:t xml:space="preserve"> </w:t>
      </w:r>
      <w:r w:rsidRPr="007E2B9F">
        <w:rPr>
          <w:sz w:val="24"/>
          <w:szCs w:val="24"/>
        </w:rPr>
        <w:t xml:space="preserve">$11.5, Table 3). The cost was further adjusted by the weighted average probability of prophylaxis-related adverse event requiring medical attention (e.g., $92 x 0.078 = $7.15 for leisure travelers) (Table A2). </w:t>
      </w:r>
    </w:p>
    <w:p w:rsidR="00B53FD7" w:rsidRPr="007E2B9F" w:rsidRDefault="00B53FD7" w:rsidP="00634F28">
      <w:pPr>
        <w:spacing w:after="0" w:line="480" w:lineRule="auto"/>
        <w:ind w:firstLine="270"/>
        <w:rPr>
          <w:rFonts w:cs="Calibri"/>
          <w:sz w:val="24"/>
          <w:szCs w:val="24"/>
        </w:rPr>
      </w:pPr>
      <w:r w:rsidRPr="007E2B9F">
        <w:rPr>
          <w:rFonts w:cs="Calibri"/>
          <w:sz w:val="24"/>
          <w:szCs w:val="24"/>
        </w:rPr>
        <w:t xml:space="preserve">From the traveler’s perspective, the costs were calculated as the sum of co-payment for physician visit and cost of prescription drug </w:t>
      </w:r>
      <w:r>
        <w:rPr>
          <w:rFonts w:cs="Calibri"/>
          <w:sz w:val="24"/>
          <w:szCs w:val="24"/>
        </w:rPr>
        <w:t xml:space="preserve">which was </w:t>
      </w:r>
      <w:r w:rsidRPr="007E2B9F">
        <w:rPr>
          <w:rFonts w:cs="Calibri"/>
          <w:sz w:val="24"/>
          <w:szCs w:val="24"/>
        </w:rPr>
        <w:t>$31.50 (=$20 + $11.50, Table 3).  Because the estimated drug cost was lower than the prescription co-payment ($25), we used the cost of drug for the calculation.  The result was further adjusted by the weighted average probability of adverse events (e.g., $31.5 x 0.078 = $2.46) (Table A3).</w:t>
      </w:r>
    </w:p>
    <w:p w:rsidR="00B53FD7" w:rsidRPr="007E2B9F" w:rsidRDefault="00B53FD7" w:rsidP="00DA421E">
      <w:pPr>
        <w:pStyle w:val="ListParagraph"/>
        <w:numPr>
          <w:ilvl w:val="0"/>
          <w:numId w:val="28"/>
        </w:numPr>
        <w:spacing w:after="0" w:line="480" w:lineRule="auto"/>
        <w:ind w:left="270" w:hanging="270"/>
        <w:rPr>
          <w:rFonts w:cs="Calibri"/>
          <w:b/>
          <w:sz w:val="24"/>
          <w:szCs w:val="24"/>
        </w:rPr>
      </w:pPr>
      <w:r w:rsidRPr="007E2B9F">
        <w:rPr>
          <w:rFonts w:cs="Calibri"/>
          <w:b/>
          <w:sz w:val="24"/>
          <w:szCs w:val="24"/>
        </w:rPr>
        <w:t>Estimation of Traveler’s Compensation (Wage plus Non-Wage Benefits)</w:t>
      </w:r>
    </w:p>
    <w:p w:rsidR="00B53FD7" w:rsidRPr="007E2B9F" w:rsidRDefault="00B53FD7" w:rsidP="00DA421E">
      <w:pPr>
        <w:spacing w:after="0" w:line="480" w:lineRule="auto"/>
        <w:rPr>
          <w:rFonts w:cs="Calibri"/>
          <w:sz w:val="24"/>
          <w:szCs w:val="24"/>
        </w:rPr>
      </w:pPr>
      <w:r w:rsidRPr="007E2B9F">
        <w:rPr>
          <w:rFonts w:cs="Calibri"/>
          <w:sz w:val="24"/>
          <w:szCs w:val="24"/>
        </w:rPr>
        <w:t xml:space="preserve">In order to obtain </w:t>
      </w:r>
      <w:r>
        <w:rPr>
          <w:rFonts w:cs="Calibri"/>
          <w:sz w:val="24"/>
          <w:szCs w:val="24"/>
        </w:rPr>
        <w:t>a</w:t>
      </w:r>
      <w:r w:rsidRPr="007E2B9F">
        <w:rPr>
          <w:rFonts w:cs="Calibri"/>
          <w:sz w:val="24"/>
          <w:szCs w:val="24"/>
        </w:rPr>
        <w:t xml:space="preserve"> representative estimate of hourly compensation (i.e., wage plus non-wage benefits) for U.S. travelers, </w:t>
      </w:r>
      <w:r>
        <w:rPr>
          <w:rFonts w:cs="Calibri"/>
          <w:sz w:val="24"/>
          <w:szCs w:val="24"/>
        </w:rPr>
        <w:t xml:space="preserve">we used </w:t>
      </w:r>
      <w:r w:rsidRPr="007E2B9F">
        <w:rPr>
          <w:rFonts w:cs="Calibri"/>
          <w:sz w:val="24"/>
          <w:szCs w:val="24"/>
        </w:rPr>
        <w:t>data from two secondary sources.  One was the survey report of travelers’ occupation obtained by the Office of Travel and Tourism Industries (OTTI), Department of Commerce.</w:t>
      </w:r>
      <w:hyperlink w:anchor="_ENREF_25" w:tooltip="U.S. Department of Commerce,  #25" w:history="1">
        <w:r w:rsidRPr="007E2B9F">
          <w:rPr>
            <w:rFonts w:cs="Calibri"/>
            <w:sz w:val="24"/>
            <w:szCs w:val="24"/>
          </w:rPr>
          <w:fldChar w:fldCharType="begin"/>
        </w:r>
        <w:r w:rsidRPr="007E2B9F">
          <w:rPr>
            <w:rFonts w:cs="Calibri"/>
            <w:sz w:val="24"/>
            <w:szCs w:val="24"/>
          </w:rPr>
          <w:instrText xml:space="preserve"> ADDIN EN.CITE &lt;EndNote&gt;&lt;Cite&gt;&lt;Author&gt;U.S. Department of Commerce&lt;/Author&gt;&lt;RecNum&gt;25&lt;/RecNum&gt;&lt;DisplayText&gt;&lt;style face="superscript"&gt;25&lt;/style&gt;&lt;/DisplayText&gt;&lt;record&gt;&lt;rec-number&gt;25&lt;/rec-number&gt;&lt;foreign-keys&gt;&lt;key app="EN" db-id="xfrepwstvr0z94e0wxpprwxa000900wepr59"&gt;25&lt;/key&gt;&lt;/foreign-keys&gt;&lt;ref-type name="Government Document"&gt;46&lt;/ref-type&gt;&lt;contributors&gt;&lt;authors&gt;&lt;author&gt;U.S. Department of Commerce, &lt;/author&gt;&lt;author&gt;Office of Travel and Tourism Industries,&lt;/author&gt;&lt;/authors&gt;&lt;/contributors&gt;&lt;titles&gt;&lt;title&gt;Profile of U.S. Resident Travelers Visiting Overseas Destinations: 2009 Outbound&lt;/title&gt;&lt;/titles&gt;&lt;dates&gt;&lt;/dates&gt;&lt;urls&gt;&lt;related-urls&gt;&lt;url&gt;http://tinet.ita.doc.gov/outreachpages/download_data_table/2009_Outbound_Profile.pdf&lt;/url&gt;&lt;/related-urls&gt;&lt;/urls&gt;&lt;/record&gt;&lt;/Cite&gt;&lt;/EndNote&gt;</w:instrText>
        </w:r>
        <w:r w:rsidRPr="007E2B9F">
          <w:rPr>
            <w:rFonts w:cs="Calibri"/>
            <w:sz w:val="24"/>
            <w:szCs w:val="24"/>
          </w:rPr>
          <w:fldChar w:fldCharType="separate"/>
        </w:r>
        <w:r w:rsidRPr="007E2B9F">
          <w:rPr>
            <w:rFonts w:cs="Calibri"/>
            <w:noProof/>
            <w:sz w:val="24"/>
            <w:szCs w:val="24"/>
            <w:vertAlign w:val="superscript"/>
          </w:rPr>
          <w:t>25</w:t>
        </w:r>
        <w:r w:rsidRPr="007E2B9F">
          <w:rPr>
            <w:rFonts w:cs="Calibri"/>
            <w:sz w:val="24"/>
            <w:szCs w:val="24"/>
          </w:rPr>
          <w:fldChar w:fldCharType="end"/>
        </w:r>
      </w:hyperlink>
      <w:r w:rsidRPr="007E2B9F">
        <w:rPr>
          <w:rFonts w:cs="Calibri"/>
          <w:sz w:val="24"/>
          <w:szCs w:val="24"/>
        </w:rPr>
        <w:t xml:space="preserve">  The other was Occupational Employment Statistics (OES) for national average hourly wage data obtained by Bureau of Labor Statistics, Department of Labor.</w:t>
      </w:r>
      <w:hyperlink w:anchor="_ENREF_26" w:tooltip="Bureau of Labor Statistics,  #25" w:history="1">
        <w:r w:rsidRPr="007E2B9F">
          <w:rPr>
            <w:rFonts w:cs="Calibri"/>
            <w:sz w:val="24"/>
            <w:szCs w:val="24"/>
          </w:rPr>
          <w:fldChar w:fldCharType="begin"/>
        </w:r>
        <w:r w:rsidRPr="007E2B9F">
          <w:rPr>
            <w:rFonts w:cs="Calibri"/>
            <w:sz w:val="24"/>
            <w:szCs w:val="24"/>
          </w:rPr>
          <w:instrText xml:space="preserve"> ADDIN EN.CITE &lt;EndNote&gt;&lt;Cite&gt;&lt;Author&gt;Bureau of Labor Statistics&lt;/Author&gt;&lt;RecNum&gt;25&lt;/RecNum&gt;&lt;DisplayText&gt;&lt;style face="superscript"&gt;26&lt;/style&gt;&lt;/DisplayText&gt;&lt;record&gt;&lt;rec-number&gt;25&lt;/rec-number&gt;&lt;foreign-keys&gt;&lt;key app="EN" db-id="teeevzreit0ww9exdf2v05dqav0rxzxxap0s"&gt;25&lt;/key&gt;&lt;/foreign-keys&gt;&lt;ref-type name="Web Page"&gt;12&lt;/ref-type&gt;&lt;contributors&gt;&lt;authors&gt;&lt;author&gt;Bureau of Labor Statistics,&lt;/author&gt;&lt;/authors&gt;&lt;/contributors&gt;&lt;titles&gt;&lt;title&gt;Occupational Employment Statistics. Occupational employment and wages, May 2009&lt;/title&gt;&lt;/titles&gt;&lt;dates&gt;&lt;/dates&gt;&lt;publisher&gt;U.S. Department of Labor, Bureau of Labor Statistics&lt;/publisher&gt;&lt;urls&gt;&lt;related-urls&gt;&lt;url&gt;http://www.bls.gov/oes/oes_dl.htm#2009&lt;/url&gt;&lt;/related-urls&gt;&lt;/urls&gt;&lt;access-date&gt;August, 2011&lt;/access-date&gt;&lt;/record&gt;&lt;/Cite&gt;&lt;/EndNote&gt;</w:instrText>
        </w:r>
        <w:r w:rsidRPr="007E2B9F">
          <w:rPr>
            <w:rFonts w:cs="Calibri"/>
            <w:sz w:val="24"/>
            <w:szCs w:val="24"/>
          </w:rPr>
          <w:fldChar w:fldCharType="separate"/>
        </w:r>
        <w:r w:rsidRPr="007E2B9F">
          <w:rPr>
            <w:rFonts w:cs="Calibri"/>
            <w:noProof/>
            <w:sz w:val="24"/>
            <w:szCs w:val="24"/>
            <w:vertAlign w:val="superscript"/>
          </w:rPr>
          <w:t>26</w:t>
        </w:r>
        <w:r w:rsidRPr="007E2B9F">
          <w:rPr>
            <w:rFonts w:cs="Calibri"/>
            <w:sz w:val="24"/>
            <w:szCs w:val="24"/>
          </w:rPr>
          <w:fldChar w:fldCharType="end"/>
        </w:r>
      </w:hyperlink>
    </w:p>
    <w:p w:rsidR="00B53FD7" w:rsidRPr="007E2B9F" w:rsidRDefault="00B53FD7" w:rsidP="00DA421E">
      <w:pPr>
        <w:spacing w:after="0" w:line="480" w:lineRule="auto"/>
        <w:ind w:firstLine="270"/>
        <w:rPr>
          <w:rFonts w:cs="Calibri"/>
          <w:sz w:val="24"/>
          <w:szCs w:val="24"/>
        </w:rPr>
      </w:pPr>
      <w:r w:rsidRPr="007E2B9F">
        <w:rPr>
          <w:rFonts w:cs="Calibri"/>
          <w:sz w:val="24"/>
          <w:szCs w:val="24"/>
        </w:rPr>
        <w:t xml:space="preserve">Occupational categories in the OTTI report that contained more than 10 percent of travelers were </w:t>
      </w:r>
      <w:r>
        <w:rPr>
          <w:rFonts w:cs="Calibri"/>
          <w:sz w:val="24"/>
          <w:szCs w:val="24"/>
        </w:rPr>
        <w:t>included in our calculations</w:t>
      </w:r>
      <w:r w:rsidRPr="007E2B9F">
        <w:rPr>
          <w:rFonts w:cs="Calibri"/>
          <w:sz w:val="24"/>
          <w:szCs w:val="24"/>
        </w:rPr>
        <w:t>, i.e., Professional/Technical (39%), Manager/Executive (22%), Retired (11%), and Student (10%).</w:t>
      </w:r>
      <w:hyperlink w:anchor="_ENREF_25" w:tooltip="U.S. Department of Commerce,  #25" w:history="1">
        <w:r w:rsidRPr="007E2B9F">
          <w:rPr>
            <w:rFonts w:cs="Calibri"/>
            <w:sz w:val="24"/>
            <w:szCs w:val="24"/>
          </w:rPr>
          <w:fldChar w:fldCharType="begin"/>
        </w:r>
        <w:r w:rsidRPr="007E2B9F">
          <w:rPr>
            <w:rFonts w:cs="Calibri"/>
            <w:sz w:val="24"/>
            <w:szCs w:val="24"/>
          </w:rPr>
          <w:instrText xml:space="preserve"> ADDIN EN.CITE &lt;EndNote&gt;&lt;Cite&gt;&lt;Author&gt;U.S. Department of Commerce&lt;/Author&gt;&lt;RecNum&gt;25&lt;/RecNum&gt;&lt;DisplayText&gt;&lt;style face="superscript"&gt;25&lt;/style&gt;&lt;/DisplayText&gt;&lt;record&gt;&lt;rec-number&gt;25&lt;/rec-number&gt;&lt;foreign-keys&gt;&lt;key app="EN" db-id="xfrepwstvr0z94e0wxpprwxa000900wepr59"&gt;25&lt;/key&gt;&lt;/foreign-keys&gt;&lt;ref-type name="Government Document"&gt;46&lt;/ref-type&gt;&lt;contributors&gt;&lt;authors&gt;&lt;author&gt;U.S. Department of Commerce, &lt;/author&gt;&lt;author&gt;Office of Travel and Tourism Industries,&lt;/author&gt;&lt;/authors&gt;&lt;/contributors&gt;&lt;titles&gt;&lt;title&gt;Profile of U.S. Resident Travelers Visiting Overseas Destinations: 2009 Outbound&lt;/title&gt;&lt;/titles&gt;&lt;dates&gt;&lt;/dates&gt;&lt;urls&gt;&lt;related-urls&gt;&lt;url&gt;http://tinet.ita.doc.gov/outreachpages/download_data_table/2009_Outbound_Profile.pdf&lt;/url&gt;&lt;/related-urls&gt;&lt;/urls&gt;&lt;/record&gt;&lt;/Cite&gt;&lt;/EndNote&gt;</w:instrText>
        </w:r>
        <w:r w:rsidRPr="007E2B9F">
          <w:rPr>
            <w:rFonts w:cs="Calibri"/>
            <w:sz w:val="24"/>
            <w:szCs w:val="24"/>
          </w:rPr>
          <w:fldChar w:fldCharType="separate"/>
        </w:r>
        <w:r w:rsidRPr="007E2B9F">
          <w:rPr>
            <w:rFonts w:cs="Calibri"/>
            <w:noProof/>
            <w:sz w:val="24"/>
            <w:szCs w:val="24"/>
            <w:vertAlign w:val="superscript"/>
          </w:rPr>
          <w:t>25</w:t>
        </w:r>
        <w:r w:rsidRPr="007E2B9F">
          <w:rPr>
            <w:rFonts w:cs="Calibri"/>
            <w:sz w:val="24"/>
            <w:szCs w:val="24"/>
          </w:rPr>
          <w:fldChar w:fldCharType="end"/>
        </w:r>
      </w:hyperlink>
      <w:r w:rsidRPr="007E2B9F">
        <w:rPr>
          <w:rFonts w:cs="Calibri"/>
          <w:sz w:val="24"/>
          <w:szCs w:val="24"/>
        </w:rPr>
        <w:t xml:space="preserve">  These percentages were used as weights for estimating a representative weighted average wage for U.S. international travelers.  </w:t>
      </w:r>
    </w:p>
    <w:p w:rsidR="00B53FD7" w:rsidRPr="007E2B9F" w:rsidRDefault="00B53FD7" w:rsidP="00DA421E">
      <w:pPr>
        <w:spacing w:after="0" w:line="480" w:lineRule="auto"/>
        <w:ind w:firstLine="270"/>
        <w:rPr>
          <w:rFonts w:cs="Calibri"/>
          <w:sz w:val="24"/>
          <w:szCs w:val="24"/>
        </w:rPr>
      </w:pPr>
      <w:r>
        <w:rPr>
          <w:rFonts w:cs="Calibri"/>
          <w:sz w:val="24"/>
          <w:szCs w:val="24"/>
        </w:rPr>
        <w:t xml:space="preserve">We used OES data for average wages for </w:t>
      </w:r>
      <w:r w:rsidRPr="007E2B9F">
        <w:rPr>
          <w:rFonts w:cs="Calibri"/>
          <w:sz w:val="24"/>
          <w:szCs w:val="24"/>
        </w:rPr>
        <w:t xml:space="preserve">the first two OTTI occupational categories </w:t>
      </w:r>
      <w:r>
        <w:rPr>
          <w:rFonts w:cs="Calibri"/>
          <w:sz w:val="24"/>
          <w:szCs w:val="24"/>
        </w:rPr>
        <w:t>of</w:t>
      </w:r>
      <w:r w:rsidRPr="007E2B9F">
        <w:rPr>
          <w:rFonts w:cs="Calibri"/>
          <w:sz w:val="24"/>
          <w:szCs w:val="24"/>
        </w:rPr>
        <w:t xml:space="preserve"> Professional/Technical and Manager/Executive (Table A4).  </w:t>
      </w:r>
      <w:r>
        <w:rPr>
          <w:rFonts w:cs="Calibri"/>
          <w:sz w:val="24"/>
          <w:szCs w:val="24"/>
        </w:rPr>
        <w:t xml:space="preserve">For </w:t>
      </w:r>
      <w:r w:rsidRPr="007E2B9F">
        <w:rPr>
          <w:rFonts w:cs="Calibri"/>
          <w:sz w:val="24"/>
          <w:szCs w:val="24"/>
        </w:rPr>
        <w:t>retired and student travelers</w:t>
      </w:r>
      <w:r>
        <w:rPr>
          <w:rFonts w:cs="Calibri"/>
          <w:sz w:val="24"/>
          <w:szCs w:val="24"/>
        </w:rPr>
        <w:t xml:space="preserve"> wages, we used a value of </w:t>
      </w:r>
      <w:r w:rsidRPr="007E2B9F">
        <w:rPr>
          <w:rFonts w:cs="Calibri"/>
          <w:sz w:val="24"/>
          <w:szCs w:val="24"/>
        </w:rPr>
        <w:t xml:space="preserve">$6.90, </w:t>
      </w:r>
      <w:r>
        <w:rPr>
          <w:rFonts w:cs="Calibri"/>
          <w:sz w:val="24"/>
          <w:szCs w:val="24"/>
        </w:rPr>
        <w:t>the</w:t>
      </w:r>
      <w:r w:rsidRPr="007E2B9F">
        <w:rPr>
          <w:rFonts w:cs="Calibri"/>
          <w:sz w:val="24"/>
          <w:szCs w:val="24"/>
        </w:rPr>
        <w:t xml:space="preserve"> average of federal minimum wages of $6.55 before July 2009 and $7.25 after July 2009.  </w:t>
      </w:r>
      <w:r>
        <w:rPr>
          <w:rFonts w:cs="Calibri"/>
          <w:sz w:val="24"/>
          <w:szCs w:val="24"/>
        </w:rPr>
        <w:t xml:space="preserve">The final estimate of </w:t>
      </w:r>
      <w:r w:rsidRPr="007E2B9F">
        <w:rPr>
          <w:rFonts w:cs="Calibri"/>
          <w:sz w:val="24"/>
          <w:szCs w:val="24"/>
        </w:rPr>
        <w:t>weighted average</w:t>
      </w:r>
      <w:r>
        <w:rPr>
          <w:rFonts w:cs="Calibri"/>
          <w:sz w:val="24"/>
          <w:szCs w:val="24"/>
        </w:rPr>
        <w:t xml:space="preserve"> hourly wages was</w:t>
      </w:r>
      <w:r w:rsidRPr="007E2B9F">
        <w:rPr>
          <w:rFonts w:cs="Calibri"/>
          <w:sz w:val="24"/>
          <w:szCs w:val="24"/>
        </w:rPr>
        <w:t xml:space="preserve"> $22.86 (= $30.97</w:t>
      </w:r>
      <w:r>
        <w:rPr>
          <w:rFonts w:cs="Calibri"/>
          <w:sz w:val="24"/>
          <w:szCs w:val="24"/>
        </w:rPr>
        <w:t xml:space="preserve"> </w:t>
      </w:r>
      <w:r w:rsidRPr="007E2B9F">
        <w:rPr>
          <w:rFonts w:cs="Calibri"/>
          <w:sz w:val="24"/>
          <w:szCs w:val="24"/>
        </w:rPr>
        <w:t>x</w:t>
      </w:r>
      <w:r>
        <w:rPr>
          <w:rFonts w:cs="Calibri"/>
          <w:sz w:val="24"/>
          <w:szCs w:val="24"/>
        </w:rPr>
        <w:t xml:space="preserve"> </w:t>
      </w:r>
      <w:r w:rsidRPr="007E2B9F">
        <w:rPr>
          <w:rFonts w:cs="Calibri"/>
          <w:sz w:val="24"/>
          <w:szCs w:val="24"/>
        </w:rPr>
        <w:t>0.39 + $42.41</w:t>
      </w:r>
      <w:r>
        <w:rPr>
          <w:rFonts w:cs="Calibri"/>
          <w:sz w:val="24"/>
          <w:szCs w:val="24"/>
        </w:rPr>
        <w:t xml:space="preserve"> </w:t>
      </w:r>
      <w:r w:rsidRPr="007E2B9F">
        <w:rPr>
          <w:rFonts w:cs="Calibri"/>
          <w:sz w:val="24"/>
          <w:szCs w:val="24"/>
        </w:rPr>
        <w:t>x</w:t>
      </w:r>
      <w:r>
        <w:rPr>
          <w:rFonts w:cs="Calibri"/>
          <w:sz w:val="24"/>
          <w:szCs w:val="24"/>
        </w:rPr>
        <w:t xml:space="preserve"> </w:t>
      </w:r>
      <w:r w:rsidRPr="007E2B9F">
        <w:rPr>
          <w:rFonts w:cs="Calibri"/>
          <w:sz w:val="24"/>
          <w:szCs w:val="24"/>
        </w:rPr>
        <w:t>0.22 + $6.90</w:t>
      </w:r>
      <w:r>
        <w:rPr>
          <w:rFonts w:cs="Calibri"/>
          <w:sz w:val="24"/>
          <w:szCs w:val="24"/>
        </w:rPr>
        <w:t xml:space="preserve"> </w:t>
      </w:r>
      <w:r w:rsidRPr="007E2B9F">
        <w:rPr>
          <w:rFonts w:cs="Calibri"/>
          <w:sz w:val="24"/>
          <w:szCs w:val="24"/>
        </w:rPr>
        <w:t>x</w:t>
      </w:r>
      <w:r>
        <w:rPr>
          <w:rFonts w:cs="Calibri"/>
          <w:sz w:val="24"/>
          <w:szCs w:val="24"/>
        </w:rPr>
        <w:t xml:space="preserve"> </w:t>
      </w:r>
      <w:r w:rsidRPr="007E2B9F">
        <w:rPr>
          <w:rFonts w:cs="Calibri"/>
          <w:sz w:val="24"/>
          <w:szCs w:val="24"/>
        </w:rPr>
        <w:t>0.11 + $6.90</w:t>
      </w:r>
      <w:r>
        <w:rPr>
          <w:rFonts w:cs="Calibri"/>
          <w:sz w:val="24"/>
          <w:szCs w:val="24"/>
        </w:rPr>
        <w:t xml:space="preserve"> </w:t>
      </w:r>
      <w:r w:rsidRPr="007E2B9F">
        <w:rPr>
          <w:rFonts w:cs="Calibri"/>
          <w:sz w:val="24"/>
          <w:szCs w:val="24"/>
        </w:rPr>
        <w:t>x</w:t>
      </w:r>
      <w:r>
        <w:rPr>
          <w:rFonts w:cs="Calibri"/>
          <w:sz w:val="24"/>
          <w:szCs w:val="24"/>
        </w:rPr>
        <w:t xml:space="preserve"> </w:t>
      </w:r>
      <w:r w:rsidRPr="007E2B9F">
        <w:rPr>
          <w:rFonts w:cs="Calibri"/>
          <w:sz w:val="24"/>
          <w:szCs w:val="24"/>
        </w:rPr>
        <w:t xml:space="preserve">0.1).  </w:t>
      </w:r>
    </w:p>
    <w:p w:rsidR="00B53FD7" w:rsidRPr="007E2B9F" w:rsidRDefault="00B53FD7" w:rsidP="00DA421E">
      <w:pPr>
        <w:spacing w:after="0" w:line="480" w:lineRule="auto"/>
        <w:ind w:firstLine="270"/>
        <w:rPr>
          <w:rFonts w:cs="Calibri"/>
          <w:sz w:val="24"/>
          <w:szCs w:val="24"/>
        </w:rPr>
      </w:pPr>
      <w:r w:rsidDel="00E02064">
        <w:t xml:space="preserve"> </w:t>
      </w:r>
      <w:r w:rsidRPr="007E2B9F">
        <w:rPr>
          <w:sz w:val="24"/>
          <w:szCs w:val="24"/>
        </w:rPr>
        <w:t xml:space="preserve">Employee compensation was adjusted to include non-wage benefits </w:t>
      </w:r>
      <w:r>
        <w:rPr>
          <w:sz w:val="24"/>
          <w:szCs w:val="24"/>
        </w:rPr>
        <w:t xml:space="preserve">by adding </w:t>
      </w:r>
      <w:r w:rsidRPr="007E2B9F">
        <w:rPr>
          <w:sz w:val="24"/>
          <w:szCs w:val="24"/>
        </w:rPr>
        <w:t xml:space="preserve">30.3% </w:t>
      </w:r>
      <w:hyperlink w:anchor="_ENREF_28" w:tooltip="US Department of Labor,  #28" w:history="1">
        <w:r w:rsidRPr="007E2B9F">
          <w:rPr>
            <w:sz w:val="24"/>
            <w:szCs w:val="24"/>
          </w:rPr>
          <w:fldChar w:fldCharType="begin"/>
        </w:r>
        <w:r w:rsidRPr="007E2B9F">
          <w:rPr>
            <w:sz w:val="24"/>
            <w:szCs w:val="24"/>
          </w:rPr>
          <w:instrText xml:space="preserve"> ADDIN EN.CITE &lt;EndNote&gt;&lt;Cite&gt;&lt;Author&gt;US Department of Labor&lt;/Author&gt;&lt;RecNum&gt;28&lt;/RecNum&gt;&lt;DisplayText&gt;&lt;style face="superscript"&gt;28&lt;/style&gt;&lt;/DisplayText&gt;&lt;record&gt;&lt;rec-number&gt;28&lt;/rec-number&gt;&lt;foreign-keys&gt;&lt;key app="EN" db-id="xfrepwstvr0z94e0wxpprwxa000900wepr59"&gt;28&lt;/key&gt;&lt;/foreign-keys&gt;&lt;ref-type name="Government Document"&gt;46&lt;/ref-type&gt;&lt;contributors&gt;&lt;authors&gt;&lt;author&gt;US Department of Labor, &lt;/author&gt;&lt;author&gt;Bureau of Labor Statistics,&lt;/author&gt;&lt;/authors&gt;&lt;/contributors&gt;&lt;titles&gt;&lt;title&gt;Employer costs for employee compensation: March - December 2009 &lt;/title&gt;&lt;/titles&gt;&lt;dates&gt;&lt;/dates&gt;&lt;urls&gt;&lt;related-urls&gt;&lt;url&gt;http://www.bls.gov/schedule/archives/ecec_nr.htm&lt;/url&gt;&lt;/related-urls&gt;&lt;/urls&gt;&lt;access-date&gt;January 23, 2012&lt;/access-date&gt;&lt;/record&gt;&lt;/Cite&gt;&lt;/EndNote&gt;</w:instrText>
        </w:r>
        <w:r w:rsidRPr="007E2B9F">
          <w:rPr>
            <w:sz w:val="24"/>
            <w:szCs w:val="24"/>
          </w:rPr>
          <w:fldChar w:fldCharType="separate"/>
        </w:r>
        <w:r w:rsidRPr="007E2B9F">
          <w:rPr>
            <w:noProof/>
            <w:sz w:val="24"/>
            <w:szCs w:val="24"/>
            <w:vertAlign w:val="superscript"/>
          </w:rPr>
          <w:t>28</w:t>
        </w:r>
        <w:r w:rsidRPr="007E2B9F">
          <w:rPr>
            <w:sz w:val="24"/>
            <w:szCs w:val="24"/>
          </w:rPr>
          <w:fldChar w:fldCharType="end"/>
        </w:r>
      </w:hyperlink>
      <w:r>
        <w:rPr>
          <w:sz w:val="24"/>
          <w:szCs w:val="24"/>
        </w:rPr>
        <w:t xml:space="preserve"> for a total hourly compensation of </w:t>
      </w:r>
      <w:r w:rsidRPr="007E2B9F">
        <w:rPr>
          <w:sz w:val="24"/>
          <w:szCs w:val="24"/>
        </w:rPr>
        <w:t xml:space="preserve"> $32.79 (=$22.86/(1-0.303)).</w:t>
      </w:r>
    </w:p>
    <w:p w:rsidR="00B53FD7" w:rsidRPr="007E2B9F" w:rsidRDefault="00B53FD7" w:rsidP="007B38BD">
      <w:pPr>
        <w:pStyle w:val="ListParagraph"/>
        <w:numPr>
          <w:ilvl w:val="0"/>
          <w:numId w:val="28"/>
        </w:numPr>
        <w:spacing w:after="0" w:line="480" w:lineRule="auto"/>
        <w:ind w:left="270" w:hanging="270"/>
        <w:rPr>
          <w:rFonts w:cs="Calibri"/>
          <w:b/>
          <w:sz w:val="24"/>
          <w:szCs w:val="24"/>
        </w:rPr>
      </w:pPr>
      <w:r w:rsidRPr="007E2B9F">
        <w:rPr>
          <w:rFonts w:cs="Calibri"/>
          <w:b/>
          <w:sz w:val="24"/>
          <w:szCs w:val="24"/>
        </w:rPr>
        <w:t>Indirect Costs for Pre-travel Health Consultations</w:t>
      </w:r>
    </w:p>
    <w:p w:rsidR="00B53FD7" w:rsidRPr="007E2B9F" w:rsidRDefault="00B53FD7" w:rsidP="005B450A">
      <w:pPr>
        <w:spacing w:after="0" w:line="480" w:lineRule="auto"/>
        <w:rPr>
          <w:rFonts w:cs="Calibri"/>
          <w:sz w:val="24"/>
          <w:szCs w:val="24"/>
        </w:rPr>
      </w:pPr>
      <w:r w:rsidRPr="007E2B9F">
        <w:rPr>
          <w:rFonts w:cs="Calibri"/>
          <w:sz w:val="24"/>
          <w:szCs w:val="24"/>
        </w:rPr>
        <w:t>Indirect costs for the pre-travel health consultations were estimated as lost compensation for time off work due to travel clinic physician office visit</w:t>
      </w:r>
      <w:r>
        <w:rPr>
          <w:rFonts w:cs="Calibri"/>
          <w:sz w:val="24"/>
          <w:szCs w:val="24"/>
        </w:rPr>
        <w:t xml:space="preserve">s in the case of </w:t>
      </w:r>
      <w:r w:rsidRPr="007E2B9F">
        <w:rPr>
          <w:rFonts w:cs="Calibri"/>
          <w:sz w:val="24"/>
          <w:szCs w:val="24"/>
        </w:rPr>
        <w:t xml:space="preserve">treatment </w:t>
      </w:r>
      <w:r>
        <w:rPr>
          <w:rFonts w:cs="Calibri"/>
          <w:sz w:val="24"/>
          <w:szCs w:val="24"/>
        </w:rPr>
        <w:t>for</w:t>
      </w:r>
      <w:r w:rsidRPr="007E2B9F">
        <w:rPr>
          <w:rFonts w:cs="Calibri"/>
          <w:sz w:val="24"/>
          <w:szCs w:val="24"/>
        </w:rPr>
        <w:t xml:space="preserve"> an adverse event. We </w:t>
      </w:r>
      <w:r w:rsidRPr="007E2B9F">
        <w:rPr>
          <w:sz w:val="24"/>
          <w:szCs w:val="24"/>
        </w:rPr>
        <w:t xml:space="preserve">assumed that time off work was 120 minutes for a travel clinic visit and 60 minutes for a physician office visit.  With the estimated hourly compensation rate of $32.79, costs from lost work hours were estimated at $65.57 for a travel clinic visit and $32.79 for a physician office visit (Table 2). </w:t>
      </w:r>
    </w:p>
    <w:p w:rsidR="00B53FD7" w:rsidRPr="007E2B9F" w:rsidRDefault="00B53FD7" w:rsidP="00AC1844">
      <w:pPr>
        <w:spacing w:after="0" w:line="480" w:lineRule="auto"/>
        <w:ind w:firstLine="270"/>
        <w:rPr>
          <w:rFonts w:cs="Calibri"/>
          <w:sz w:val="24"/>
          <w:szCs w:val="24"/>
        </w:rPr>
      </w:pPr>
      <w:r w:rsidRPr="007E2B9F">
        <w:rPr>
          <w:rFonts w:cs="Calibri"/>
          <w:sz w:val="24"/>
          <w:szCs w:val="24"/>
        </w:rPr>
        <w:t xml:space="preserve">Time off for </w:t>
      </w:r>
      <w:r>
        <w:rPr>
          <w:rFonts w:cs="Calibri"/>
          <w:sz w:val="24"/>
          <w:szCs w:val="24"/>
        </w:rPr>
        <w:t xml:space="preserve">the </w:t>
      </w:r>
      <w:r w:rsidRPr="007E2B9F">
        <w:rPr>
          <w:rFonts w:cs="Calibri"/>
          <w:sz w:val="24"/>
          <w:szCs w:val="24"/>
        </w:rPr>
        <w:t xml:space="preserve">travel clinic visit was further prorated by 14.8% to account for malaria prevention, thus $65.57 x 0.148 = $9.71 (Table A3).  Time off for </w:t>
      </w:r>
      <w:r>
        <w:rPr>
          <w:rFonts w:cs="Calibri"/>
          <w:sz w:val="24"/>
          <w:szCs w:val="24"/>
        </w:rPr>
        <w:t xml:space="preserve">a </w:t>
      </w:r>
      <w:r w:rsidRPr="007E2B9F">
        <w:rPr>
          <w:rFonts w:cs="Calibri"/>
          <w:sz w:val="24"/>
          <w:szCs w:val="24"/>
        </w:rPr>
        <w:t xml:space="preserve">physician visit for an adverse event was adjusted by the weighted average probability of </w:t>
      </w:r>
      <w:r>
        <w:rPr>
          <w:rFonts w:cs="Calibri"/>
          <w:sz w:val="24"/>
          <w:szCs w:val="24"/>
        </w:rPr>
        <w:t xml:space="preserve">chemoprophylaxis-related </w:t>
      </w:r>
      <w:r w:rsidRPr="007E2B9F">
        <w:rPr>
          <w:rFonts w:cs="Calibri"/>
          <w:sz w:val="24"/>
          <w:szCs w:val="24"/>
        </w:rPr>
        <w:t>adverse events</w:t>
      </w:r>
      <w:r>
        <w:rPr>
          <w:rFonts w:cs="Calibri"/>
          <w:sz w:val="24"/>
          <w:szCs w:val="24"/>
        </w:rPr>
        <w:t xml:space="preserve">, for example, </w:t>
      </w:r>
      <w:r w:rsidRPr="007E2B9F">
        <w:rPr>
          <w:rFonts w:cs="Calibri"/>
          <w:sz w:val="24"/>
          <w:szCs w:val="24"/>
        </w:rPr>
        <w:t>$32.79 x 0.078 = $2.56 for leisure travelers (Table A3).</w:t>
      </w:r>
    </w:p>
    <w:p w:rsidR="00B53FD7" w:rsidRPr="007E2B9F" w:rsidRDefault="00B53FD7" w:rsidP="007B38BD">
      <w:pPr>
        <w:pStyle w:val="ListParagraph"/>
        <w:numPr>
          <w:ilvl w:val="0"/>
          <w:numId w:val="28"/>
        </w:numPr>
        <w:spacing w:after="0" w:line="480" w:lineRule="auto"/>
        <w:ind w:left="270" w:hanging="270"/>
        <w:rPr>
          <w:rFonts w:cs="Calibri"/>
          <w:b/>
          <w:sz w:val="24"/>
          <w:szCs w:val="24"/>
        </w:rPr>
      </w:pPr>
      <w:r w:rsidRPr="007E2B9F">
        <w:rPr>
          <w:rFonts w:cs="Calibri"/>
          <w:b/>
          <w:sz w:val="24"/>
          <w:szCs w:val="24"/>
        </w:rPr>
        <w:t>Direct Malaria Treatment</w:t>
      </w:r>
      <w:r>
        <w:rPr>
          <w:rFonts w:cs="Calibri"/>
          <w:b/>
          <w:sz w:val="24"/>
          <w:szCs w:val="24"/>
        </w:rPr>
        <w:t xml:space="preserve"> Costs</w:t>
      </w:r>
      <w:r w:rsidRPr="007E2B9F">
        <w:rPr>
          <w:rFonts w:cs="Calibri"/>
          <w:b/>
          <w:sz w:val="24"/>
          <w:szCs w:val="24"/>
        </w:rPr>
        <w:t xml:space="preserve"> from the Health</w:t>
      </w:r>
      <w:r>
        <w:rPr>
          <w:rFonts w:cs="Calibri"/>
          <w:b/>
          <w:sz w:val="24"/>
          <w:szCs w:val="24"/>
        </w:rPr>
        <w:t>care</w:t>
      </w:r>
      <w:r w:rsidRPr="007E2B9F">
        <w:rPr>
          <w:rFonts w:cs="Calibri"/>
          <w:b/>
          <w:sz w:val="24"/>
          <w:szCs w:val="24"/>
        </w:rPr>
        <w:t xml:space="preserve"> Payer</w:t>
      </w:r>
      <w:r>
        <w:rPr>
          <w:rFonts w:cs="Calibri"/>
          <w:b/>
          <w:sz w:val="24"/>
          <w:szCs w:val="24"/>
        </w:rPr>
        <w:t>’s</w:t>
      </w:r>
      <w:r w:rsidRPr="007E2B9F">
        <w:rPr>
          <w:rFonts w:cs="Calibri"/>
          <w:b/>
          <w:sz w:val="24"/>
          <w:szCs w:val="24"/>
        </w:rPr>
        <w:t xml:space="preserve"> Perspective (Table 3)</w:t>
      </w:r>
    </w:p>
    <w:p w:rsidR="00B53FD7" w:rsidRPr="007E2B9F" w:rsidRDefault="00B53FD7" w:rsidP="007B38BD">
      <w:pPr>
        <w:spacing w:after="0" w:line="480" w:lineRule="auto"/>
        <w:rPr>
          <w:rFonts w:cs="Calibri"/>
          <w:b/>
          <w:sz w:val="24"/>
          <w:szCs w:val="24"/>
        </w:rPr>
      </w:pPr>
      <w:r w:rsidRPr="007E2B9F">
        <w:rPr>
          <w:rFonts w:cs="Calibri"/>
          <w:b/>
          <w:sz w:val="24"/>
          <w:szCs w:val="24"/>
        </w:rPr>
        <w:t>5.1 Physician Office Visit</w:t>
      </w:r>
      <w:r>
        <w:rPr>
          <w:rFonts w:cs="Calibri"/>
          <w:b/>
          <w:sz w:val="24"/>
          <w:szCs w:val="24"/>
        </w:rPr>
        <w:t>s</w:t>
      </w:r>
    </w:p>
    <w:p w:rsidR="00B53FD7" w:rsidRPr="007E2B9F" w:rsidRDefault="00B53FD7" w:rsidP="007B38BD">
      <w:pPr>
        <w:spacing w:after="0" w:line="480" w:lineRule="auto"/>
        <w:rPr>
          <w:sz w:val="24"/>
          <w:szCs w:val="24"/>
        </w:rPr>
      </w:pPr>
      <w:r w:rsidRPr="007E2B9F">
        <w:rPr>
          <w:rFonts w:cs="Calibri"/>
          <w:sz w:val="24"/>
          <w:szCs w:val="24"/>
        </w:rPr>
        <w:t>W</w:t>
      </w:r>
      <w:r w:rsidRPr="007E2B9F">
        <w:rPr>
          <w:sz w:val="24"/>
          <w:szCs w:val="24"/>
        </w:rPr>
        <w:t xml:space="preserve">e estimated the costs of physician office visits based on the range of allowable billing charges associated with </w:t>
      </w:r>
      <w:r>
        <w:rPr>
          <w:sz w:val="24"/>
          <w:szCs w:val="24"/>
        </w:rPr>
        <w:t>the following</w:t>
      </w:r>
      <w:r w:rsidRPr="007E2B9F">
        <w:rPr>
          <w:sz w:val="24"/>
          <w:szCs w:val="24"/>
        </w:rPr>
        <w:t xml:space="preserve"> CPT codes</w:t>
      </w:r>
      <w:hyperlink w:anchor="_ENREF_14" w:tooltip=", 2008 #1" w:history="1">
        <w:r w:rsidRPr="007E2B9F">
          <w:rPr>
            <w:sz w:val="24"/>
            <w:szCs w:val="24"/>
          </w:rPr>
          <w:fldChar w:fldCharType="begin"/>
        </w:r>
        <w:r w:rsidRPr="007E2B9F">
          <w:rPr>
            <w:sz w:val="24"/>
            <w:szCs w:val="24"/>
          </w:rPr>
          <w:instrText xml:space="preserve"> ADDIN EN.CITE &lt;EndNote&gt;&lt;Cite&gt;&lt;Year&gt;2008&lt;/Year&gt;&lt;RecNum&gt;1&lt;/RecNum&gt;&lt;DisplayText&gt;&lt;style face="superscript"&gt;14&lt;/style&gt;&lt;/DisplayText&gt;&lt;record&gt;&lt;rec-number&gt;1&lt;/rec-number&gt;&lt;foreign-keys&gt;&lt;key app="EN" db-id="teeevzreit0ww9exdf2v05dqav0rxzxxap0s"&gt;1&lt;/key&gt;&lt;/foreign-keys&gt;&lt;ref-type name="Catalog"&gt;8&lt;/ref-type&gt;&lt;contributors&gt;&lt;/contributors&gt;&lt;titles&gt;&lt;title&gt;Physicians&amp;apos; Fee and Coding Guide 2009&lt;/title&gt;&lt;/titles&gt;&lt;edition&gt;20th Annual Edition&lt;/edition&gt;&lt;dates&gt;&lt;year&gt;2008&lt;/year&gt;&lt;pub-dates&gt;&lt;date&gt;December 2008&lt;/date&gt;&lt;/pub-dates&gt;&lt;/dates&gt;&lt;pub-location&gt;Duluth, GA&lt;/pub-location&gt;&lt;publisher&gt;MAG Mutual Healthcare Solutions Inc.&lt;/publisher&gt;&lt;urls&gt;&lt;/urls&gt;&lt;/record&gt;&lt;/Cite&gt;&lt;/EndNote&gt;</w:instrText>
        </w:r>
        <w:r w:rsidRPr="007E2B9F">
          <w:rPr>
            <w:sz w:val="24"/>
            <w:szCs w:val="24"/>
          </w:rPr>
          <w:fldChar w:fldCharType="separate"/>
        </w:r>
        <w:r w:rsidRPr="007E2B9F">
          <w:rPr>
            <w:noProof/>
            <w:sz w:val="24"/>
            <w:szCs w:val="24"/>
            <w:vertAlign w:val="superscript"/>
          </w:rPr>
          <w:t>14</w:t>
        </w:r>
        <w:r w:rsidRPr="007E2B9F">
          <w:rPr>
            <w:sz w:val="24"/>
            <w:szCs w:val="24"/>
          </w:rPr>
          <w:fldChar w:fldCharType="end"/>
        </w:r>
      </w:hyperlink>
      <w:r w:rsidRPr="007E2B9F">
        <w:rPr>
          <w:sz w:val="24"/>
          <w:szCs w:val="24"/>
        </w:rPr>
        <w:t>:</w:t>
      </w:r>
    </w:p>
    <w:p w:rsidR="00B53FD7" w:rsidRPr="007E2B9F" w:rsidRDefault="00B53FD7" w:rsidP="007B38BD">
      <w:pPr>
        <w:pStyle w:val="ListParagraph"/>
        <w:numPr>
          <w:ilvl w:val="0"/>
          <w:numId w:val="32"/>
        </w:numPr>
        <w:spacing w:after="0" w:line="480" w:lineRule="auto"/>
        <w:rPr>
          <w:sz w:val="24"/>
          <w:szCs w:val="24"/>
        </w:rPr>
      </w:pPr>
      <w:r w:rsidRPr="007E2B9F">
        <w:rPr>
          <w:sz w:val="24"/>
          <w:szCs w:val="24"/>
        </w:rPr>
        <w:t>Initial visit:$292 (range: $247 - $337) for CPT99205, office or other outpatient services, new patient level 5</w:t>
      </w:r>
    </w:p>
    <w:p w:rsidR="00B53FD7" w:rsidRPr="007E2B9F" w:rsidRDefault="00B53FD7" w:rsidP="007B38BD">
      <w:pPr>
        <w:pStyle w:val="ListParagraph"/>
        <w:numPr>
          <w:ilvl w:val="0"/>
          <w:numId w:val="32"/>
        </w:numPr>
        <w:spacing w:after="0" w:line="480" w:lineRule="auto"/>
        <w:rPr>
          <w:sz w:val="24"/>
          <w:szCs w:val="24"/>
        </w:rPr>
      </w:pPr>
      <w:r w:rsidRPr="007E2B9F">
        <w:rPr>
          <w:sz w:val="24"/>
          <w:szCs w:val="24"/>
        </w:rPr>
        <w:t>Each additional visit:$69.5</w:t>
      </w:r>
      <w:r>
        <w:rPr>
          <w:sz w:val="24"/>
          <w:szCs w:val="24"/>
        </w:rPr>
        <w:t>0</w:t>
      </w:r>
      <w:r w:rsidRPr="007E2B9F">
        <w:rPr>
          <w:sz w:val="24"/>
          <w:szCs w:val="24"/>
        </w:rPr>
        <w:t xml:space="preserve"> (range: $59 - $80) for CPT99212, office or other outpatient services, established patient level 2</w:t>
      </w:r>
    </w:p>
    <w:p w:rsidR="00B53FD7" w:rsidRPr="007E2B9F" w:rsidRDefault="00B53FD7" w:rsidP="0038479A">
      <w:pPr>
        <w:spacing w:after="0" w:line="480" w:lineRule="auto"/>
        <w:ind w:firstLine="270"/>
        <w:rPr>
          <w:sz w:val="24"/>
          <w:szCs w:val="24"/>
        </w:rPr>
      </w:pPr>
      <w:r w:rsidRPr="007E2B9F">
        <w:rPr>
          <w:sz w:val="24"/>
          <w:szCs w:val="24"/>
        </w:rPr>
        <w:t>From the traveler’s perspective, co-payment was set at $20 for every physician office visit.</w:t>
      </w:r>
    </w:p>
    <w:p w:rsidR="00B53FD7" w:rsidRPr="007E2B9F" w:rsidRDefault="00B53FD7" w:rsidP="007B38BD">
      <w:pPr>
        <w:spacing w:after="0" w:line="480" w:lineRule="auto"/>
        <w:rPr>
          <w:b/>
          <w:sz w:val="24"/>
          <w:szCs w:val="24"/>
        </w:rPr>
      </w:pPr>
      <w:r w:rsidRPr="007E2B9F">
        <w:rPr>
          <w:b/>
          <w:sz w:val="24"/>
          <w:szCs w:val="24"/>
        </w:rPr>
        <w:t>5.1.1 Ambulatory Care</w:t>
      </w:r>
    </w:p>
    <w:p w:rsidR="00B53FD7" w:rsidRPr="007E2B9F" w:rsidRDefault="00B53FD7" w:rsidP="00AA60CA">
      <w:pPr>
        <w:spacing w:after="0" w:line="480" w:lineRule="auto"/>
        <w:rPr>
          <w:sz w:val="24"/>
          <w:szCs w:val="24"/>
        </w:rPr>
      </w:pPr>
      <w:r w:rsidRPr="007E2B9F">
        <w:rPr>
          <w:sz w:val="24"/>
          <w:szCs w:val="24"/>
        </w:rPr>
        <w:t xml:space="preserve">The cost of </w:t>
      </w:r>
      <w:r>
        <w:rPr>
          <w:sz w:val="24"/>
          <w:szCs w:val="24"/>
        </w:rPr>
        <w:t xml:space="preserve">a </w:t>
      </w:r>
      <w:r w:rsidRPr="007E2B9F">
        <w:rPr>
          <w:sz w:val="24"/>
          <w:szCs w:val="24"/>
        </w:rPr>
        <w:t xml:space="preserve">physician visit for an ambulatory care was estimated </w:t>
      </w:r>
      <w:r>
        <w:rPr>
          <w:sz w:val="24"/>
          <w:szCs w:val="24"/>
        </w:rPr>
        <w:t xml:space="preserve">by summing the individual charges of </w:t>
      </w:r>
      <w:r w:rsidRPr="007E2B9F">
        <w:rPr>
          <w:sz w:val="24"/>
          <w:szCs w:val="24"/>
        </w:rPr>
        <w:t xml:space="preserve">three visits (initial admission, diagnosis based on laboratory tests, and follow-up).  The cost for physician visits from the </w:t>
      </w:r>
      <w:r>
        <w:rPr>
          <w:sz w:val="24"/>
          <w:szCs w:val="24"/>
        </w:rPr>
        <w:t>payer’s</w:t>
      </w:r>
      <w:r w:rsidRPr="007E2B9F">
        <w:rPr>
          <w:sz w:val="24"/>
          <w:szCs w:val="24"/>
        </w:rPr>
        <w:t xml:space="preserve"> perspective was calculated as $292 + ($69.5 x 2) = $431.</w:t>
      </w:r>
    </w:p>
    <w:p w:rsidR="00B53FD7" w:rsidRPr="007E2B9F" w:rsidRDefault="00B53FD7" w:rsidP="0038479A">
      <w:pPr>
        <w:spacing w:after="0" w:line="480" w:lineRule="auto"/>
        <w:ind w:firstLine="270"/>
        <w:rPr>
          <w:sz w:val="24"/>
          <w:szCs w:val="24"/>
        </w:rPr>
      </w:pPr>
      <w:r w:rsidRPr="007E2B9F">
        <w:rPr>
          <w:sz w:val="24"/>
          <w:szCs w:val="24"/>
        </w:rPr>
        <w:t>From the traveler’s</w:t>
      </w:r>
      <w:r>
        <w:rPr>
          <w:sz w:val="24"/>
          <w:szCs w:val="24"/>
        </w:rPr>
        <w:t xml:space="preserve"> </w:t>
      </w:r>
      <w:r w:rsidRPr="007E2B9F">
        <w:rPr>
          <w:sz w:val="24"/>
          <w:szCs w:val="24"/>
        </w:rPr>
        <w:t>perspective, the cost was calculated as $20 x 3 = $60.</w:t>
      </w:r>
    </w:p>
    <w:p w:rsidR="00B53FD7" w:rsidRPr="007E2B9F" w:rsidRDefault="00B53FD7" w:rsidP="00AA60CA">
      <w:pPr>
        <w:spacing w:after="0" w:line="480" w:lineRule="auto"/>
        <w:rPr>
          <w:b/>
          <w:sz w:val="24"/>
          <w:szCs w:val="24"/>
        </w:rPr>
      </w:pPr>
      <w:r w:rsidRPr="007E2B9F">
        <w:rPr>
          <w:b/>
          <w:sz w:val="24"/>
          <w:szCs w:val="24"/>
        </w:rPr>
        <w:t>5.1.2 Hospitalized Care</w:t>
      </w:r>
    </w:p>
    <w:p w:rsidR="00B53FD7" w:rsidRPr="007E2B9F" w:rsidRDefault="00B53FD7" w:rsidP="0027016A">
      <w:pPr>
        <w:spacing w:after="0" w:line="480" w:lineRule="auto"/>
        <w:rPr>
          <w:sz w:val="24"/>
          <w:szCs w:val="24"/>
        </w:rPr>
      </w:pPr>
      <w:r w:rsidRPr="007E2B9F">
        <w:rPr>
          <w:sz w:val="24"/>
          <w:szCs w:val="24"/>
        </w:rPr>
        <w:t xml:space="preserve">The cost of physician visits for a hospitalized case was estimated </w:t>
      </w:r>
      <w:r>
        <w:rPr>
          <w:sz w:val="24"/>
          <w:szCs w:val="24"/>
        </w:rPr>
        <w:t>by summing  the individual costs of</w:t>
      </w:r>
      <w:r w:rsidRPr="007E2B9F">
        <w:rPr>
          <w:sz w:val="24"/>
          <w:szCs w:val="24"/>
        </w:rPr>
        <w:t xml:space="preserve"> two visits (initial admission and follow-up).  The cost for physician visits from the </w:t>
      </w:r>
      <w:r>
        <w:rPr>
          <w:sz w:val="24"/>
          <w:szCs w:val="24"/>
        </w:rPr>
        <w:t>payer’s</w:t>
      </w:r>
      <w:r w:rsidRPr="007E2B9F">
        <w:rPr>
          <w:sz w:val="24"/>
          <w:szCs w:val="24"/>
        </w:rPr>
        <w:t xml:space="preserve"> perspective was calculated as $292 + $69.5</w:t>
      </w:r>
      <w:r>
        <w:rPr>
          <w:sz w:val="24"/>
          <w:szCs w:val="24"/>
        </w:rPr>
        <w:t>0</w:t>
      </w:r>
      <w:r w:rsidRPr="007E2B9F">
        <w:rPr>
          <w:sz w:val="24"/>
          <w:szCs w:val="24"/>
        </w:rPr>
        <w:t xml:space="preserve"> = $361.5</w:t>
      </w:r>
      <w:r>
        <w:rPr>
          <w:sz w:val="24"/>
          <w:szCs w:val="24"/>
        </w:rPr>
        <w:t>0</w:t>
      </w:r>
      <w:r w:rsidRPr="007E2B9F">
        <w:rPr>
          <w:sz w:val="24"/>
          <w:szCs w:val="24"/>
        </w:rPr>
        <w:t>.</w:t>
      </w:r>
    </w:p>
    <w:p w:rsidR="00B53FD7" w:rsidRPr="007E2B9F" w:rsidRDefault="00B53FD7" w:rsidP="0038479A">
      <w:pPr>
        <w:spacing w:after="0" w:line="480" w:lineRule="auto"/>
        <w:ind w:firstLine="270"/>
        <w:rPr>
          <w:sz w:val="24"/>
          <w:szCs w:val="24"/>
        </w:rPr>
      </w:pPr>
      <w:r w:rsidRPr="007E2B9F">
        <w:rPr>
          <w:sz w:val="24"/>
          <w:szCs w:val="24"/>
        </w:rPr>
        <w:t>The cost was calculated as $20 x 2 = $40 for the traveler’s perspective.</w:t>
      </w:r>
    </w:p>
    <w:p w:rsidR="00B53FD7" w:rsidRPr="007E2B9F" w:rsidRDefault="00B53FD7" w:rsidP="007B38BD">
      <w:pPr>
        <w:spacing w:after="0" w:line="480" w:lineRule="auto"/>
        <w:rPr>
          <w:rFonts w:cs="Calibri"/>
          <w:b/>
          <w:sz w:val="24"/>
          <w:szCs w:val="24"/>
        </w:rPr>
      </w:pPr>
      <w:r w:rsidRPr="007E2B9F">
        <w:rPr>
          <w:rFonts w:cs="Calibri"/>
          <w:b/>
          <w:sz w:val="24"/>
          <w:szCs w:val="24"/>
        </w:rPr>
        <w:t>5.2 Laboratory Test</w:t>
      </w:r>
      <w:r>
        <w:rPr>
          <w:rFonts w:cs="Calibri"/>
          <w:b/>
          <w:sz w:val="24"/>
          <w:szCs w:val="24"/>
        </w:rPr>
        <w:t>s</w:t>
      </w:r>
    </w:p>
    <w:p w:rsidR="00B53FD7" w:rsidRPr="007E2B9F" w:rsidRDefault="00B53FD7" w:rsidP="007B38BD">
      <w:pPr>
        <w:spacing w:after="0" w:line="480" w:lineRule="auto"/>
        <w:rPr>
          <w:b/>
          <w:sz w:val="24"/>
          <w:szCs w:val="24"/>
        </w:rPr>
      </w:pPr>
      <w:r w:rsidRPr="007E2B9F">
        <w:rPr>
          <w:b/>
          <w:sz w:val="24"/>
          <w:szCs w:val="24"/>
        </w:rPr>
        <w:t>5.2.1 Ambulatory Care</w:t>
      </w:r>
    </w:p>
    <w:p w:rsidR="00B53FD7" w:rsidRPr="007E2B9F" w:rsidRDefault="00B53FD7" w:rsidP="007B38BD">
      <w:pPr>
        <w:spacing w:after="0" w:line="480" w:lineRule="auto"/>
        <w:rPr>
          <w:sz w:val="24"/>
          <w:szCs w:val="24"/>
        </w:rPr>
      </w:pPr>
      <w:r>
        <w:rPr>
          <w:sz w:val="24"/>
          <w:szCs w:val="24"/>
        </w:rPr>
        <w:t xml:space="preserve">From the payer’s perspective, laboratory test costs were estimated using the the </w:t>
      </w:r>
      <w:r w:rsidRPr="007E2B9F">
        <w:rPr>
          <w:sz w:val="24"/>
          <w:szCs w:val="24"/>
        </w:rPr>
        <w:t>ranges of allowable billing charge</w:t>
      </w:r>
      <w:r>
        <w:rPr>
          <w:sz w:val="24"/>
          <w:szCs w:val="24"/>
        </w:rPr>
        <w:t>s by CPT:</w:t>
      </w:r>
    </w:p>
    <w:p w:rsidR="00B53FD7" w:rsidRPr="007E2B9F" w:rsidRDefault="00B53FD7" w:rsidP="007B38BD">
      <w:pPr>
        <w:pStyle w:val="ListParagraph"/>
        <w:numPr>
          <w:ilvl w:val="0"/>
          <w:numId w:val="32"/>
        </w:numPr>
        <w:spacing w:after="0" w:line="480" w:lineRule="auto"/>
        <w:rPr>
          <w:sz w:val="24"/>
          <w:szCs w:val="24"/>
        </w:rPr>
      </w:pPr>
      <w:r w:rsidRPr="007E2B9F">
        <w:rPr>
          <w:sz w:val="24"/>
          <w:szCs w:val="24"/>
        </w:rPr>
        <w:t>CPT87207 (Blood film) for malaria: $52.5</w:t>
      </w:r>
      <w:r>
        <w:rPr>
          <w:sz w:val="24"/>
          <w:szCs w:val="24"/>
        </w:rPr>
        <w:t>0</w:t>
      </w:r>
      <w:r w:rsidRPr="007E2B9F">
        <w:rPr>
          <w:sz w:val="24"/>
          <w:szCs w:val="24"/>
        </w:rPr>
        <w:t xml:space="preserve"> (range: $46 - $59)</w:t>
      </w:r>
    </w:p>
    <w:p w:rsidR="00B53FD7" w:rsidRPr="007E2B9F" w:rsidRDefault="00B53FD7" w:rsidP="0038479A">
      <w:pPr>
        <w:spacing w:after="0" w:line="480" w:lineRule="auto"/>
        <w:rPr>
          <w:sz w:val="24"/>
          <w:szCs w:val="24"/>
        </w:rPr>
      </w:pPr>
      <w:r w:rsidRPr="007E2B9F">
        <w:rPr>
          <w:sz w:val="24"/>
          <w:szCs w:val="24"/>
        </w:rPr>
        <w:t>From the traveler’s perspective, the test cost was assumed to be covered by his/her health insurance.</w:t>
      </w:r>
    </w:p>
    <w:p w:rsidR="00B53FD7" w:rsidRPr="007E2B9F" w:rsidRDefault="00B53FD7" w:rsidP="007B38BD">
      <w:pPr>
        <w:spacing w:after="0" w:line="480" w:lineRule="auto"/>
        <w:rPr>
          <w:b/>
          <w:sz w:val="24"/>
          <w:szCs w:val="24"/>
        </w:rPr>
      </w:pPr>
      <w:r w:rsidRPr="007E2B9F">
        <w:rPr>
          <w:b/>
          <w:sz w:val="24"/>
          <w:szCs w:val="24"/>
        </w:rPr>
        <w:t>5.2.2 Hospitalized Care</w:t>
      </w:r>
    </w:p>
    <w:p w:rsidR="00B53FD7" w:rsidRPr="007E2B9F" w:rsidRDefault="00B53FD7" w:rsidP="007B38BD">
      <w:pPr>
        <w:spacing w:after="0" w:line="480" w:lineRule="auto"/>
        <w:rPr>
          <w:sz w:val="24"/>
          <w:szCs w:val="24"/>
        </w:rPr>
      </w:pPr>
      <w:r w:rsidRPr="007E2B9F">
        <w:rPr>
          <w:sz w:val="24"/>
          <w:szCs w:val="24"/>
        </w:rPr>
        <w:t>F</w:t>
      </w:r>
      <w:r>
        <w:rPr>
          <w:sz w:val="24"/>
          <w:szCs w:val="24"/>
        </w:rPr>
        <w:t>or</w:t>
      </w:r>
      <w:r w:rsidRPr="007E2B9F">
        <w:rPr>
          <w:sz w:val="24"/>
          <w:szCs w:val="24"/>
        </w:rPr>
        <w:t xml:space="preserve"> both study perspective</w:t>
      </w:r>
      <w:r>
        <w:rPr>
          <w:sz w:val="24"/>
          <w:szCs w:val="24"/>
        </w:rPr>
        <w:t>s</w:t>
      </w:r>
      <w:r w:rsidRPr="007E2B9F">
        <w:rPr>
          <w:sz w:val="24"/>
          <w:szCs w:val="24"/>
        </w:rPr>
        <w:t>, the laboratory test costs were included in hospitalization costs.</w:t>
      </w:r>
    </w:p>
    <w:p w:rsidR="00B53FD7" w:rsidRPr="007E2B9F" w:rsidRDefault="00B53FD7" w:rsidP="007B38BD">
      <w:pPr>
        <w:spacing w:after="0" w:line="480" w:lineRule="auto"/>
        <w:rPr>
          <w:rFonts w:cs="Calibri"/>
          <w:b/>
          <w:sz w:val="24"/>
          <w:szCs w:val="24"/>
        </w:rPr>
      </w:pPr>
      <w:r w:rsidRPr="007E2B9F">
        <w:rPr>
          <w:rFonts w:cs="Calibri"/>
          <w:b/>
          <w:sz w:val="24"/>
          <w:szCs w:val="24"/>
        </w:rPr>
        <w:t>5.3 Prescription Drugs</w:t>
      </w:r>
    </w:p>
    <w:p w:rsidR="00B53FD7" w:rsidRPr="007E2B9F" w:rsidRDefault="00B53FD7" w:rsidP="007B38BD">
      <w:pPr>
        <w:spacing w:after="0" w:line="480" w:lineRule="auto"/>
        <w:rPr>
          <w:b/>
          <w:sz w:val="24"/>
          <w:szCs w:val="24"/>
        </w:rPr>
      </w:pPr>
      <w:r w:rsidRPr="007E2B9F">
        <w:rPr>
          <w:b/>
          <w:sz w:val="24"/>
          <w:szCs w:val="24"/>
        </w:rPr>
        <w:t>5.3.1 Ambulatory Care</w:t>
      </w:r>
    </w:p>
    <w:p w:rsidR="00B53FD7" w:rsidRPr="007E2B9F" w:rsidRDefault="00B53FD7" w:rsidP="007B38BD">
      <w:pPr>
        <w:spacing w:after="0" w:line="480" w:lineRule="auto"/>
        <w:rPr>
          <w:sz w:val="24"/>
          <w:szCs w:val="24"/>
        </w:rPr>
      </w:pPr>
      <w:r>
        <w:rPr>
          <w:sz w:val="24"/>
          <w:szCs w:val="24"/>
        </w:rPr>
        <w:t xml:space="preserve">We estimated a </w:t>
      </w:r>
      <w:r w:rsidRPr="007E2B9F">
        <w:rPr>
          <w:sz w:val="24"/>
          <w:szCs w:val="24"/>
        </w:rPr>
        <w:t>weighted average drug cost</w:t>
      </w:r>
      <w:r>
        <w:rPr>
          <w:sz w:val="24"/>
          <w:szCs w:val="24"/>
        </w:rPr>
        <w:t xml:space="preserve"> for</w:t>
      </w:r>
      <w:r w:rsidRPr="007E2B9F">
        <w:rPr>
          <w:sz w:val="24"/>
          <w:szCs w:val="24"/>
        </w:rPr>
        <w:t xml:space="preserve"> malaria treatment </w:t>
      </w:r>
      <w:r>
        <w:rPr>
          <w:sz w:val="24"/>
          <w:szCs w:val="24"/>
        </w:rPr>
        <w:t xml:space="preserve">prescribed for </w:t>
      </w:r>
      <w:r w:rsidRPr="007E2B9F">
        <w:rPr>
          <w:sz w:val="24"/>
          <w:szCs w:val="24"/>
        </w:rPr>
        <w:t xml:space="preserve">ambulatory </w:t>
      </w:r>
      <w:r>
        <w:rPr>
          <w:sz w:val="24"/>
          <w:szCs w:val="24"/>
        </w:rPr>
        <w:t xml:space="preserve">patients using </w:t>
      </w:r>
      <w:r w:rsidRPr="007E2B9F">
        <w:rPr>
          <w:sz w:val="24"/>
          <w:szCs w:val="24"/>
        </w:rPr>
        <w:t xml:space="preserve">drugs </w:t>
      </w:r>
      <w:r>
        <w:rPr>
          <w:sz w:val="24"/>
          <w:szCs w:val="24"/>
        </w:rPr>
        <w:t xml:space="preserve">normally recommended </w:t>
      </w:r>
      <w:r w:rsidRPr="007E2B9F">
        <w:rPr>
          <w:sz w:val="24"/>
          <w:szCs w:val="24"/>
        </w:rPr>
        <w:t xml:space="preserve">for uncomplicated malaria with </w:t>
      </w:r>
      <w:r w:rsidRPr="007E2B9F">
        <w:rPr>
          <w:i/>
          <w:sz w:val="24"/>
          <w:szCs w:val="24"/>
        </w:rPr>
        <w:t>P</w:t>
      </w:r>
      <w:r w:rsidRPr="007E2B9F">
        <w:rPr>
          <w:sz w:val="24"/>
          <w:szCs w:val="24"/>
        </w:rPr>
        <w:t xml:space="preserve">. </w:t>
      </w:r>
      <w:r w:rsidRPr="007E2B9F">
        <w:rPr>
          <w:i/>
          <w:sz w:val="24"/>
          <w:szCs w:val="24"/>
        </w:rPr>
        <w:t>malariae</w:t>
      </w:r>
      <w:r w:rsidRPr="007E2B9F">
        <w:rPr>
          <w:sz w:val="24"/>
          <w:szCs w:val="24"/>
        </w:rPr>
        <w:t xml:space="preserve">, </w:t>
      </w:r>
      <w:r w:rsidRPr="007E2B9F">
        <w:rPr>
          <w:i/>
          <w:sz w:val="24"/>
          <w:szCs w:val="24"/>
        </w:rPr>
        <w:t>P</w:t>
      </w:r>
      <w:r w:rsidRPr="007E2B9F">
        <w:rPr>
          <w:sz w:val="24"/>
          <w:szCs w:val="24"/>
        </w:rPr>
        <w:t xml:space="preserve">. </w:t>
      </w:r>
      <w:r w:rsidRPr="007E2B9F">
        <w:rPr>
          <w:i/>
          <w:sz w:val="24"/>
          <w:szCs w:val="24"/>
        </w:rPr>
        <w:t>ovale</w:t>
      </w:r>
      <w:r w:rsidRPr="007E2B9F">
        <w:rPr>
          <w:sz w:val="24"/>
          <w:szCs w:val="24"/>
        </w:rPr>
        <w:t xml:space="preserve">, and </w:t>
      </w:r>
      <w:r w:rsidRPr="007E2B9F">
        <w:rPr>
          <w:i/>
          <w:sz w:val="24"/>
          <w:szCs w:val="24"/>
        </w:rPr>
        <w:t>P</w:t>
      </w:r>
      <w:r w:rsidRPr="007E2B9F">
        <w:rPr>
          <w:sz w:val="24"/>
          <w:szCs w:val="24"/>
        </w:rPr>
        <w:t>.</w:t>
      </w:r>
      <w:r>
        <w:rPr>
          <w:sz w:val="24"/>
          <w:szCs w:val="24"/>
        </w:rPr>
        <w:t xml:space="preserve"> vivax. </w:t>
      </w:r>
      <w:hyperlink w:anchor="_ENREF_17" w:tooltip="Centers for Disease Control and Prevention,  #17" w:history="1">
        <w:r w:rsidRPr="007E2B9F">
          <w:rPr>
            <w:sz w:val="24"/>
            <w:szCs w:val="24"/>
          </w:rPr>
          <w:fldChar w:fldCharType="begin"/>
        </w:r>
        <w:r w:rsidRPr="007E2B9F">
          <w:rPr>
            <w:sz w:val="24"/>
            <w:szCs w:val="24"/>
          </w:rPr>
          <w:instrText xml:space="preserve"> ADDIN EN.CITE &lt;EndNote&gt;&lt;Cite&gt;&lt;Author&gt;Centers for Disease Control and Prevention&lt;/Author&gt;&lt;RecNum&gt;17&lt;/RecNum&gt;&lt;DisplayText&gt;&lt;style face="superscript"&gt;17&lt;/style&gt;&lt;/DisplayText&gt;&lt;record&gt;&lt;rec-number&gt;17&lt;/rec-number&gt;&lt;foreign-keys&gt;&lt;key app="EN" db-id="xfrepwstvr0z94e0wxpprwxa000900wepr59"&gt;17&lt;/key&gt;&lt;/foreign-keys&gt;&lt;ref-type name="Government Document"&gt;46&lt;/ref-type&gt;&lt;contributors&gt;&lt;authors&gt;&lt;author&gt;Centers for Disease Control and Prevention,&lt;/author&gt;&lt;/authors&gt;&lt;/contributors&gt;&lt;titles&gt;&lt;title&gt;Guidelines for Treatment of Malaria in the United States&lt;/title&gt;&lt;/titles&gt;&lt;dates&gt;&lt;/dates&gt;&lt;urls&gt;&lt;related-urls&gt;&lt;url&gt;http://www.cdc.gov/malaria/resources/pdf/treatmenttable.pdf&lt;/url&gt;&lt;/related-urls&gt;&lt;/urls&gt;&lt;access-date&gt;January 23, 2012&lt;/access-date&gt;&lt;/record&gt;&lt;/Cite&gt;&lt;/EndNote&gt;</w:instrText>
        </w:r>
        <w:r w:rsidRPr="007E2B9F">
          <w:rPr>
            <w:sz w:val="24"/>
            <w:szCs w:val="24"/>
          </w:rPr>
          <w:fldChar w:fldCharType="separate"/>
        </w:r>
        <w:r w:rsidRPr="007E2B9F">
          <w:rPr>
            <w:noProof/>
            <w:sz w:val="24"/>
            <w:szCs w:val="24"/>
            <w:vertAlign w:val="superscript"/>
          </w:rPr>
          <w:t>17</w:t>
        </w:r>
        <w:r w:rsidRPr="007E2B9F">
          <w:rPr>
            <w:sz w:val="24"/>
            <w:szCs w:val="24"/>
          </w:rPr>
          <w:fldChar w:fldCharType="end"/>
        </w:r>
      </w:hyperlink>
      <w:r>
        <w:rPr>
          <w:sz w:val="24"/>
          <w:szCs w:val="24"/>
        </w:rPr>
        <w:t xml:space="preserve">  The price weights were </w:t>
      </w:r>
      <w:r w:rsidRPr="007E2B9F">
        <w:rPr>
          <w:sz w:val="24"/>
          <w:szCs w:val="24"/>
        </w:rPr>
        <w:t xml:space="preserve">the frequency of the </w:t>
      </w:r>
      <w:r>
        <w:rPr>
          <w:sz w:val="24"/>
          <w:szCs w:val="24"/>
        </w:rPr>
        <w:t xml:space="preserve">types of malaria </w:t>
      </w:r>
      <w:r w:rsidRPr="007E2B9F">
        <w:rPr>
          <w:sz w:val="24"/>
          <w:szCs w:val="24"/>
        </w:rPr>
        <w:t>cases among U.S. travelers to West Africa.</w:t>
      </w:r>
      <w:hyperlink w:anchor="_ENREF_7" w:tooltip="Mali, 2011 #1" w:history="1">
        <w:r>
          <w:rPr>
            <w:sz w:val="24"/>
            <w:szCs w:val="24"/>
          </w:rPr>
          <w:fldChar w:fldCharType="begin"/>
        </w:r>
        <w:r>
          <w:rPr>
            <w:sz w:val="24"/>
            <w:szCs w:val="24"/>
          </w:rPr>
          <w:instrText xml:space="preserve"> ADDIN EN.CITE &lt;EndNote&gt;&lt;Cite&gt;&lt;Author&gt;Mali&lt;/Author&gt;&lt;Year&gt;2011&lt;/Year&gt;&lt;RecNum&gt;1&lt;/RecNum&gt;&lt;DisplayText&gt;&lt;style face="superscript"&gt;7&lt;/style&gt;&lt;/DisplayText&gt;&lt;record&gt;&lt;rec-number&gt;1&lt;/rec-number&gt;&lt;foreign-keys&gt;&lt;key app="EN" db-id="xpx59fr9nzvf9zeeswvx55zvrxrrwzwt529e"&gt;1&lt;/key&gt;&lt;/foreign-keys&gt;&lt;ref-type name="Journal Article"&gt;17&lt;/ref-type&gt;&lt;contributors&gt;&lt;authors&gt;&lt;author&gt;Mali, S.&lt;/author&gt;&lt;author&gt;Tan, K. R.&lt;/author&gt;&lt;author&gt;Arguin, P. M.&lt;/author&gt;&lt;/authors&gt;&lt;/contributors&gt;&lt;auth-address&gt;Division of Parasitic Diseases, Center for Global Health, Atlanta, GA 30341, USA. smali@cdc.gov&lt;/auth-address&gt;&lt;titles&gt;&lt;title&gt;Malaria surveillance--United States, 2009&lt;/title&gt;&lt;secondary-title&gt;MMWR Surveill Summ&lt;/secondary-title&gt;&lt;/titles&gt;&lt;periodical&gt;&lt;full-title&gt;MMWR Surveill Summ&lt;/full-title&gt;&lt;/periodical&gt;&lt;pages&gt;1-15&lt;/pages&gt;&lt;volume&gt;60&lt;/volume&gt;&lt;number&gt;3&lt;/number&gt;&lt;edition&gt;2011/04/22&lt;/edition&gt;&lt;keywords&gt;&lt;keyword&gt;Adolescent&lt;/keyword&gt;&lt;keyword&gt;Adult&lt;/keyword&gt;&lt;keyword&gt;Aged&lt;/keyword&gt;&lt;keyword&gt;Antimalarials/administration &amp;amp; dosage&lt;/keyword&gt;&lt;keyword&gt;Blood Transfusion/adverse effects&lt;/keyword&gt;&lt;keyword&gt;Chemoprevention&lt;/keyword&gt;&lt;keyword&gt;Child&lt;/keyword&gt;&lt;keyword&gt;Child, Preschool&lt;/keyword&gt;&lt;keyword&gt;Fatal Outcome&lt;/keyword&gt;&lt;keyword&gt;Female&lt;/keyword&gt;&lt;keyword&gt;Humans&lt;/keyword&gt;&lt;keyword&gt;Incidence&lt;/keyword&gt;&lt;keyword&gt;Malaria/congenital/diagnosis/drug therapy/ epidemiology/ prevention &amp;amp; control&lt;/keyword&gt;&lt;keyword&gt;Male&lt;/keyword&gt;&lt;keyword&gt;Middle Aged&lt;/keyword&gt;&lt;keyword&gt;Military Personnel&lt;/keyword&gt;&lt;keyword&gt;Organ Transplantation/adverse effects&lt;/keyword&gt;&lt;keyword&gt;Patient Compliance&lt;/keyword&gt;&lt;keyword&gt;Plasmodium/ isolation &amp;amp; purification&lt;/keyword&gt;&lt;keyword&gt;Population Surveillance&lt;/keyword&gt;&lt;keyword&gt;Severity of Illness Index&lt;/keyword&gt;&lt;keyword&gt;Travel&lt;/keyword&gt;&lt;keyword&gt;United States/epidemiology&lt;/keyword&gt;&lt;keyword&gt;Young Adult&lt;/keyword&gt;&lt;/keywords&gt;&lt;dates&gt;&lt;year&gt;2011&lt;/year&gt;&lt;/dates&gt;&lt;isbn&gt;1545-8636 (Electronic)&amp;#xD;0892-3787 (Linking)&lt;/isbn&gt;&lt;accession-num&gt;21508921&lt;/accession-num&gt;&lt;urls&gt;&lt;/urls&gt;&lt;remote-database-provider&gt;NLM&lt;/remote-database-provider&gt;&lt;language&gt;eng&lt;/language&gt;&lt;/record&gt;&lt;/Cite&gt;&lt;/EndNote&gt;</w:instrText>
        </w:r>
        <w:r>
          <w:rPr>
            <w:sz w:val="24"/>
            <w:szCs w:val="24"/>
          </w:rPr>
          <w:fldChar w:fldCharType="separate"/>
        </w:r>
        <w:r w:rsidRPr="007E2B9F">
          <w:rPr>
            <w:noProof/>
            <w:sz w:val="24"/>
            <w:szCs w:val="24"/>
            <w:vertAlign w:val="superscript"/>
          </w:rPr>
          <w:t>7</w:t>
        </w:r>
        <w:r>
          <w:rPr>
            <w:sz w:val="24"/>
            <w:szCs w:val="24"/>
          </w:rPr>
          <w:fldChar w:fldCharType="end"/>
        </w:r>
      </w:hyperlink>
      <w:r>
        <w:rPr>
          <w:sz w:val="24"/>
          <w:szCs w:val="24"/>
        </w:rPr>
        <w:t xml:space="preserve"> The figure used was </w:t>
      </w:r>
      <w:r w:rsidRPr="007E2B9F">
        <w:rPr>
          <w:sz w:val="24"/>
          <w:szCs w:val="24"/>
        </w:rPr>
        <w:t>$41.75 (range: $32-$51.5).</w:t>
      </w:r>
    </w:p>
    <w:p w:rsidR="00B53FD7" w:rsidRPr="007E2B9F" w:rsidRDefault="00B53FD7" w:rsidP="0038479A">
      <w:pPr>
        <w:spacing w:after="0" w:line="480" w:lineRule="auto"/>
        <w:ind w:firstLine="270"/>
        <w:rPr>
          <w:sz w:val="24"/>
          <w:szCs w:val="24"/>
        </w:rPr>
      </w:pPr>
      <w:r w:rsidRPr="007E2B9F">
        <w:rPr>
          <w:sz w:val="24"/>
          <w:szCs w:val="24"/>
        </w:rPr>
        <w:t>From the traveler’s perspective, these drug costs were assumed to be covered by traveler’s health insurance</w:t>
      </w:r>
      <w:r>
        <w:rPr>
          <w:sz w:val="24"/>
          <w:szCs w:val="24"/>
        </w:rPr>
        <w:t>,</w:t>
      </w:r>
      <w:r w:rsidRPr="007E2B9F">
        <w:rPr>
          <w:sz w:val="24"/>
          <w:szCs w:val="24"/>
        </w:rPr>
        <w:t xml:space="preserve"> and </w:t>
      </w:r>
      <w:r>
        <w:rPr>
          <w:sz w:val="24"/>
          <w:szCs w:val="24"/>
        </w:rPr>
        <w:t>the traveler</w:t>
      </w:r>
      <w:r w:rsidRPr="007E2B9F">
        <w:rPr>
          <w:sz w:val="24"/>
          <w:szCs w:val="24"/>
        </w:rPr>
        <w:t xml:space="preserve"> pays </w:t>
      </w:r>
      <w:r>
        <w:rPr>
          <w:sz w:val="24"/>
          <w:szCs w:val="24"/>
        </w:rPr>
        <w:t xml:space="preserve">the </w:t>
      </w:r>
      <w:r w:rsidRPr="007E2B9F">
        <w:rPr>
          <w:sz w:val="24"/>
          <w:szCs w:val="24"/>
        </w:rPr>
        <w:t>co-payment of the prescription</w:t>
      </w:r>
      <w:r>
        <w:rPr>
          <w:sz w:val="24"/>
          <w:szCs w:val="24"/>
        </w:rPr>
        <w:t xml:space="preserve"> of</w:t>
      </w:r>
      <w:r w:rsidRPr="007E2B9F">
        <w:rPr>
          <w:sz w:val="24"/>
          <w:szCs w:val="24"/>
        </w:rPr>
        <w:t xml:space="preserve"> $25.</w:t>
      </w:r>
    </w:p>
    <w:p w:rsidR="00B53FD7" w:rsidRPr="007E2B9F" w:rsidRDefault="00B53FD7" w:rsidP="007B38BD">
      <w:pPr>
        <w:spacing w:after="0" w:line="480" w:lineRule="auto"/>
        <w:rPr>
          <w:b/>
          <w:sz w:val="24"/>
          <w:szCs w:val="24"/>
        </w:rPr>
      </w:pPr>
      <w:r w:rsidRPr="007E2B9F">
        <w:rPr>
          <w:b/>
          <w:sz w:val="24"/>
          <w:szCs w:val="24"/>
        </w:rPr>
        <w:t>5.3.2 Hospitalized Care</w:t>
      </w:r>
    </w:p>
    <w:p w:rsidR="00B53FD7" w:rsidRPr="007E2B9F" w:rsidRDefault="00B53FD7" w:rsidP="007B38BD">
      <w:pPr>
        <w:spacing w:after="0" w:line="480" w:lineRule="auto"/>
        <w:rPr>
          <w:sz w:val="24"/>
          <w:szCs w:val="24"/>
        </w:rPr>
      </w:pPr>
      <w:r w:rsidRPr="007E2B9F">
        <w:rPr>
          <w:sz w:val="24"/>
          <w:szCs w:val="24"/>
        </w:rPr>
        <w:t>For both study perspectives, the costs of prescription drugs for treatment were included in hospitalization costs.</w:t>
      </w:r>
    </w:p>
    <w:p w:rsidR="00B53FD7" w:rsidRPr="007E2B9F" w:rsidRDefault="00B53FD7" w:rsidP="007B38BD">
      <w:pPr>
        <w:spacing w:after="0" w:line="480" w:lineRule="auto"/>
        <w:rPr>
          <w:rFonts w:cs="Calibri"/>
          <w:b/>
          <w:sz w:val="24"/>
          <w:szCs w:val="24"/>
        </w:rPr>
      </w:pPr>
      <w:r w:rsidRPr="007E2B9F">
        <w:rPr>
          <w:rFonts w:cs="Calibri"/>
          <w:b/>
          <w:sz w:val="24"/>
          <w:szCs w:val="24"/>
        </w:rPr>
        <w:t>5.4 Hospitalization Costs and Inpatient Physician Services</w:t>
      </w:r>
    </w:p>
    <w:p w:rsidR="00B53FD7" w:rsidRPr="007E2B9F" w:rsidRDefault="00B53FD7" w:rsidP="007B38BD">
      <w:pPr>
        <w:spacing w:after="0" w:line="480" w:lineRule="auto"/>
        <w:rPr>
          <w:sz w:val="24"/>
          <w:szCs w:val="24"/>
        </w:rPr>
      </w:pPr>
      <w:r w:rsidRPr="007E2B9F">
        <w:rPr>
          <w:rFonts w:cs="Calibri"/>
          <w:sz w:val="24"/>
          <w:szCs w:val="24"/>
        </w:rPr>
        <w:t xml:space="preserve">From the </w:t>
      </w:r>
      <w:r>
        <w:rPr>
          <w:rFonts w:cs="Calibri"/>
          <w:sz w:val="24"/>
          <w:szCs w:val="24"/>
        </w:rPr>
        <w:t>payer’s</w:t>
      </w:r>
      <w:r w:rsidRPr="007E2B9F">
        <w:rPr>
          <w:rFonts w:cs="Calibri"/>
          <w:sz w:val="24"/>
          <w:szCs w:val="24"/>
        </w:rPr>
        <w:t xml:space="preserve"> perspective, the </w:t>
      </w:r>
      <w:r>
        <w:rPr>
          <w:sz w:val="24"/>
          <w:szCs w:val="24"/>
        </w:rPr>
        <w:t>c</w:t>
      </w:r>
      <w:r w:rsidRPr="007E2B9F">
        <w:rPr>
          <w:sz w:val="24"/>
          <w:szCs w:val="24"/>
        </w:rPr>
        <w:t>ost of hospitalization was obtained from Nationwide Inpatient Sample (NIS).</w:t>
      </w:r>
      <w:hyperlink w:anchor="_ENREF_16" w:tooltip="HCUP Nationwide Inpatient Sample (NIS),  #24" w:history="1">
        <w:r w:rsidRPr="007E2B9F">
          <w:rPr>
            <w:sz w:val="24"/>
            <w:szCs w:val="24"/>
          </w:rPr>
          <w:fldChar w:fldCharType="begin"/>
        </w:r>
        <w:r w:rsidRPr="007E2B9F">
          <w:rPr>
            <w:sz w:val="24"/>
            <w:szCs w:val="24"/>
          </w:rPr>
          <w:instrText xml:space="preserve"> ADDIN EN.CITE &lt;EndNote&gt;&lt;Cite&gt;&lt;Author&gt;HCUP Nationwide Inpatient Sample (NIS)&lt;/Author&gt;&lt;RecNum&gt;24&lt;/RecNum&gt;&lt;DisplayText&gt;&lt;style face="superscript"&gt;16&lt;/style&gt;&lt;/DisplayText&gt;&lt;record&gt;&lt;rec-number&gt;24&lt;/rec-number&gt;&lt;foreign-keys&gt;&lt;key app="EN" db-id="teeevzreit0ww9exdf2v05dqav0rxzxxap0s"&gt;24&lt;/key&gt;&lt;/foreign-keys&gt;&lt;ref-type name="Aggregated Database"&gt;55&lt;/ref-type&gt;&lt;contributors&gt;&lt;authors&gt;&lt;author&gt;HCUP Nationwide Inpatient Sample (NIS),&lt;/author&gt;&lt;/authors&gt;&lt;/contributors&gt;&lt;titles&gt;&lt;title&gt;Healthcare Cost and Utilization Project (HCUP). 2009.&lt;/title&gt;&lt;/titles&gt;&lt;dates&gt;&lt;/dates&gt;&lt;pub-location&gt; Agency for Healthcare Research and Quality, Rockville, MD. www.hcup-us.ahrq.gov/nisoverview.jsp&lt;/pub-location&gt;&lt;urls&gt;&lt;related-urls&gt;&lt;url&gt;www.hcup-us.ahrq.gov/nisoverview.jsp&lt;/url&gt;&lt;/related-urls&gt;&lt;/urls&gt;&lt;/record&gt;&lt;/Cite&gt;&lt;/EndNote&gt;</w:instrText>
        </w:r>
        <w:r w:rsidRPr="007E2B9F">
          <w:rPr>
            <w:sz w:val="24"/>
            <w:szCs w:val="24"/>
          </w:rPr>
          <w:fldChar w:fldCharType="separate"/>
        </w:r>
        <w:r w:rsidRPr="007E2B9F">
          <w:rPr>
            <w:noProof/>
            <w:sz w:val="24"/>
            <w:szCs w:val="24"/>
            <w:vertAlign w:val="superscript"/>
          </w:rPr>
          <w:t>16</w:t>
        </w:r>
        <w:r w:rsidRPr="007E2B9F">
          <w:rPr>
            <w:sz w:val="24"/>
            <w:szCs w:val="24"/>
          </w:rPr>
          <w:fldChar w:fldCharType="end"/>
        </w:r>
      </w:hyperlink>
      <w:r w:rsidRPr="007E2B9F">
        <w:rPr>
          <w:sz w:val="24"/>
          <w:szCs w:val="24"/>
        </w:rPr>
        <w:t xml:space="preserve">  Data for malaria (</w:t>
      </w:r>
      <w:r w:rsidRPr="007E2B9F">
        <w:rPr>
          <w:i/>
          <w:sz w:val="24"/>
          <w:szCs w:val="24"/>
        </w:rPr>
        <w:t>P</w:t>
      </w:r>
      <w:r w:rsidRPr="007E2B9F">
        <w:rPr>
          <w:sz w:val="24"/>
          <w:szCs w:val="24"/>
        </w:rPr>
        <w:t xml:space="preserve">. </w:t>
      </w:r>
      <w:r w:rsidRPr="007E2B9F">
        <w:rPr>
          <w:i/>
          <w:sz w:val="24"/>
          <w:szCs w:val="24"/>
        </w:rPr>
        <w:t>falciparum</w:t>
      </w:r>
      <w:r w:rsidRPr="007E2B9F">
        <w:rPr>
          <w:sz w:val="24"/>
          <w:szCs w:val="24"/>
        </w:rPr>
        <w:t>) w</w:t>
      </w:r>
      <w:r>
        <w:rPr>
          <w:sz w:val="24"/>
          <w:szCs w:val="24"/>
        </w:rPr>
        <w:t>ere</w:t>
      </w:r>
      <w:r w:rsidRPr="007E2B9F">
        <w:rPr>
          <w:sz w:val="24"/>
          <w:szCs w:val="24"/>
        </w:rPr>
        <w:t xml:space="preserve"> extracted from </w:t>
      </w:r>
      <w:r>
        <w:rPr>
          <w:sz w:val="24"/>
          <w:szCs w:val="24"/>
        </w:rPr>
        <w:t xml:space="preserve">the </w:t>
      </w:r>
      <w:r w:rsidRPr="007E2B9F">
        <w:rPr>
          <w:sz w:val="24"/>
          <w:szCs w:val="24"/>
        </w:rPr>
        <w:t xml:space="preserve">NIS database </w:t>
      </w:r>
      <w:r>
        <w:rPr>
          <w:sz w:val="24"/>
          <w:szCs w:val="24"/>
        </w:rPr>
        <w:t xml:space="preserve">by </w:t>
      </w:r>
      <w:r w:rsidRPr="007E2B9F">
        <w:rPr>
          <w:sz w:val="24"/>
          <w:szCs w:val="24"/>
        </w:rPr>
        <w:t>using the International Classification of Diseases, Ninth Revision (ICD-9) code of 084.0.</w:t>
      </w:r>
      <w:r>
        <w:rPr>
          <w:sz w:val="24"/>
          <w:szCs w:val="24"/>
        </w:rPr>
        <w:t xml:space="preserve">  </w:t>
      </w:r>
      <w:r w:rsidRPr="007E2B9F">
        <w:rPr>
          <w:sz w:val="24"/>
          <w:szCs w:val="24"/>
        </w:rPr>
        <w:t>The mean hospitalization cost was $29,320 with the range of $8,545 (5 percentile) and $33,906 (95 percentile).</w:t>
      </w:r>
      <w:r>
        <w:rPr>
          <w:sz w:val="24"/>
          <w:szCs w:val="24"/>
        </w:rPr>
        <w:t xml:space="preserve">  </w:t>
      </w:r>
      <w:r w:rsidRPr="007E2B9F">
        <w:rPr>
          <w:i/>
          <w:sz w:val="24"/>
          <w:szCs w:val="24"/>
        </w:rPr>
        <w:t>P</w:t>
      </w:r>
      <w:r w:rsidRPr="007E2B9F">
        <w:rPr>
          <w:sz w:val="24"/>
          <w:szCs w:val="24"/>
        </w:rPr>
        <w:t xml:space="preserve">. </w:t>
      </w:r>
      <w:r w:rsidRPr="007E2B9F">
        <w:rPr>
          <w:i/>
          <w:sz w:val="24"/>
          <w:szCs w:val="24"/>
        </w:rPr>
        <w:t xml:space="preserve">falciparum </w:t>
      </w:r>
      <w:r w:rsidRPr="007E2B9F">
        <w:rPr>
          <w:sz w:val="24"/>
          <w:szCs w:val="24"/>
        </w:rPr>
        <w:t>was selected because it is the most common type of malaria among U.S. travelers return</w:t>
      </w:r>
      <w:r>
        <w:rPr>
          <w:sz w:val="24"/>
          <w:szCs w:val="24"/>
        </w:rPr>
        <w:t>ing</w:t>
      </w:r>
      <w:r w:rsidRPr="007E2B9F">
        <w:rPr>
          <w:sz w:val="24"/>
          <w:szCs w:val="24"/>
        </w:rPr>
        <w:t xml:space="preserve"> from West Africa.</w:t>
      </w:r>
      <w:hyperlink w:anchor="_ENREF_7" w:tooltip="Mali, 2011 #1" w:history="1">
        <w:r>
          <w:rPr>
            <w:sz w:val="24"/>
            <w:szCs w:val="24"/>
          </w:rPr>
          <w:fldChar w:fldCharType="begin"/>
        </w:r>
        <w:r>
          <w:rPr>
            <w:sz w:val="24"/>
            <w:szCs w:val="24"/>
          </w:rPr>
          <w:instrText xml:space="preserve"> ADDIN EN.CITE &lt;EndNote&gt;&lt;Cite&gt;&lt;Author&gt;Mali&lt;/Author&gt;&lt;Year&gt;2011&lt;/Year&gt;&lt;RecNum&gt;1&lt;/RecNum&gt;&lt;DisplayText&gt;&lt;style face="superscript"&gt;7&lt;/style&gt;&lt;/DisplayText&gt;&lt;record&gt;&lt;rec-number&gt;1&lt;/rec-number&gt;&lt;foreign-keys&gt;&lt;key app="EN" db-id="xpx59fr9nzvf9zeeswvx55zvrxrrwzwt529e"&gt;1&lt;/key&gt;&lt;/foreign-keys&gt;&lt;ref-type name="Journal Article"&gt;17&lt;/ref-type&gt;&lt;contributors&gt;&lt;authors&gt;&lt;author&gt;Mali, S.&lt;/author&gt;&lt;author&gt;Tan, K. R.&lt;/author&gt;&lt;author&gt;Arguin, P. M.&lt;/author&gt;&lt;/authors&gt;&lt;/contributors&gt;&lt;auth-address&gt;Division of Parasitic Diseases, Center for Global Health, Atlanta, GA 30341, USA. smali@cdc.gov&lt;/auth-address&gt;&lt;titles&gt;&lt;title&gt;Malaria surveillance--United States, 2009&lt;/title&gt;&lt;secondary-title&gt;MMWR Surveill Summ&lt;/secondary-title&gt;&lt;/titles&gt;&lt;periodical&gt;&lt;full-title&gt;MMWR Surveill Summ&lt;/full-title&gt;&lt;/periodical&gt;&lt;pages&gt;1-15&lt;/pages&gt;&lt;volume&gt;60&lt;/volume&gt;&lt;number&gt;3&lt;/number&gt;&lt;edition&gt;2011/04/22&lt;/edition&gt;&lt;keywords&gt;&lt;keyword&gt;Adolescent&lt;/keyword&gt;&lt;keyword&gt;Adult&lt;/keyword&gt;&lt;keyword&gt;Aged&lt;/keyword&gt;&lt;keyword&gt;Antimalarials/administration &amp;amp; dosage&lt;/keyword&gt;&lt;keyword&gt;Blood Transfusion/adverse effects&lt;/keyword&gt;&lt;keyword&gt;Chemoprevention&lt;/keyword&gt;&lt;keyword&gt;Child&lt;/keyword&gt;&lt;keyword&gt;Child, Preschool&lt;/keyword&gt;&lt;keyword&gt;Fatal Outcome&lt;/keyword&gt;&lt;keyword&gt;Female&lt;/keyword&gt;&lt;keyword&gt;Humans&lt;/keyword&gt;&lt;keyword&gt;Incidence&lt;/keyword&gt;&lt;keyword&gt;Malaria/congenital/diagnosis/drug therapy/ epidemiology/ prevention &amp;amp; control&lt;/keyword&gt;&lt;keyword&gt;Male&lt;/keyword&gt;&lt;keyword&gt;Middle Aged&lt;/keyword&gt;&lt;keyword&gt;Military Personnel&lt;/keyword&gt;&lt;keyword&gt;Organ Transplantation/adverse effects&lt;/keyword&gt;&lt;keyword&gt;Patient Compliance&lt;/keyword&gt;&lt;keyword&gt;Plasmodium/ isolation &amp;amp; purification&lt;/keyword&gt;&lt;keyword&gt;Population Surveillance&lt;/keyword&gt;&lt;keyword&gt;Severity of Illness Index&lt;/keyword&gt;&lt;keyword&gt;Travel&lt;/keyword&gt;&lt;keyword&gt;United States/epidemiology&lt;/keyword&gt;&lt;keyword&gt;Young Adult&lt;/keyword&gt;&lt;/keywords&gt;&lt;dates&gt;&lt;year&gt;2011&lt;/year&gt;&lt;/dates&gt;&lt;isbn&gt;1545-8636 (Electronic)&amp;#xD;0892-3787 (Linking)&lt;/isbn&gt;&lt;accession-num&gt;21508921&lt;/accession-num&gt;&lt;urls&gt;&lt;/urls&gt;&lt;remote-database-provider&gt;NLM&lt;/remote-database-provider&gt;&lt;language&gt;eng&lt;/language&gt;&lt;/record&gt;&lt;/Cite&gt;&lt;/EndNote&gt;</w:instrText>
        </w:r>
        <w:r>
          <w:rPr>
            <w:sz w:val="24"/>
            <w:szCs w:val="24"/>
          </w:rPr>
          <w:fldChar w:fldCharType="separate"/>
        </w:r>
        <w:r w:rsidRPr="007E2B9F">
          <w:rPr>
            <w:noProof/>
            <w:sz w:val="24"/>
            <w:szCs w:val="24"/>
            <w:vertAlign w:val="superscript"/>
          </w:rPr>
          <w:t>7</w:t>
        </w:r>
        <w:r>
          <w:rPr>
            <w:sz w:val="24"/>
            <w:szCs w:val="24"/>
          </w:rPr>
          <w:fldChar w:fldCharType="end"/>
        </w:r>
      </w:hyperlink>
      <w:r w:rsidRPr="007E2B9F">
        <w:rPr>
          <w:sz w:val="24"/>
          <w:szCs w:val="24"/>
        </w:rPr>
        <w:t xml:space="preserve">  Because the hospitalization cost data in NIS do not include inpatient physician service charges</w:t>
      </w:r>
      <w:hyperlink w:anchor="_ENREF_29" w:tooltip="Agency for Healthcare Research and Quality,  #26" w:history="1">
        <w:r>
          <w:rPr>
            <w:sz w:val="24"/>
            <w:szCs w:val="24"/>
          </w:rPr>
          <w:fldChar w:fldCharType="begin"/>
        </w:r>
        <w:r>
          <w:rPr>
            <w:sz w:val="24"/>
            <w:szCs w:val="24"/>
          </w:rPr>
          <w:instrText xml:space="preserve"> ADDIN EN.CITE &lt;EndNote&gt;&lt;Cite&gt;&lt;Author&gt;Agency for Healthcare Research and Quality&lt;/Author&gt;&lt;RecNum&gt;26&lt;/RecNum&gt;&lt;DisplayText&gt;&lt;style face="superscript"&gt;29&lt;/style&gt;&lt;/DisplayText&gt;&lt;record&gt;&lt;rec-number&gt;26&lt;/rec-number&gt;&lt;foreign-keys&gt;&lt;key app="EN" db-id="teeevzreit0ww9exdf2v05dqav0rxzxxap0s"&gt;26&lt;/key&gt;&lt;/foreign-keys&gt;&lt;ref-type name="Web Page"&gt;12&lt;/ref-type&gt;&lt;contributors&gt;&lt;authors&gt;&lt;author&gt;Agency for Healthcare Research and Quality, &lt;/author&gt;&lt;/authors&gt;&lt;/contributors&gt;&lt;titles&gt;&lt;title&gt;NIS Description of Data Elements&lt;/title&gt;&lt;/titles&gt;&lt;volume&gt;2011&lt;/volume&gt;&lt;number&gt;October&lt;/number&gt;&lt;dates&gt;&lt;/dates&gt;&lt;urls&gt;&lt;related-urls&gt;&lt;url&gt;Available at: http://www.hcup-us.ahrq.gov/db/nation/nis/nisdde.jsp&lt;/url&gt;&lt;/related-urls&gt;&lt;/urls&gt;&lt;custom1&gt;2011&lt;/custom1&gt;&lt;custom2&gt;October&lt;/custom2&gt;&lt;/record&gt;&lt;/Cite&gt;&lt;/EndNote&gt;</w:instrText>
        </w:r>
        <w:r>
          <w:rPr>
            <w:sz w:val="24"/>
            <w:szCs w:val="24"/>
          </w:rPr>
          <w:fldChar w:fldCharType="separate"/>
        </w:r>
        <w:r w:rsidRPr="007E2B9F">
          <w:rPr>
            <w:noProof/>
            <w:sz w:val="24"/>
            <w:szCs w:val="24"/>
            <w:vertAlign w:val="superscript"/>
          </w:rPr>
          <w:t>29</w:t>
        </w:r>
        <w:r>
          <w:rPr>
            <w:sz w:val="24"/>
            <w:szCs w:val="24"/>
          </w:rPr>
          <w:fldChar w:fldCharType="end"/>
        </w:r>
      </w:hyperlink>
      <w:r w:rsidRPr="007E2B9F">
        <w:rPr>
          <w:sz w:val="24"/>
          <w:szCs w:val="24"/>
        </w:rPr>
        <w:t xml:space="preserve">, </w:t>
      </w:r>
      <w:r>
        <w:rPr>
          <w:sz w:val="24"/>
          <w:szCs w:val="24"/>
        </w:rPr>
        <w:t>these were</w:t>
      </w:r>
      <w:r w:rsidRPr="007E2B9F">
        <w:rPr>
          <w:sz w:val="24"/>
          <w:szCs w:val="24"/>
        </w:rPr>
        <w:t xml:space="preserve"> </w:t>
      </w:r>
      <w:r>
        <w:rPr>
          <w:sz w:val="24"/>
          <w:szCs w:val="24"/>
        </w:rPr>
        <w:t xml:space="preserve">assumed to be </w:t>
      </w:r>
      <w:r w:rsidRPr="007E2B9F">
        <w:rPr>
          <w:sz w:val="24"/>
          <w:szCs w:val="24"/>
        </w:rPr>
        <w:t xml:space="preserve"> 20% of hospitalization costs.</w:t>
      </w:r>
      <w:hyperlink w:anchor="_ENREF_18" w:tooltip="Barnett, 2009 #18" w:history="1">
        <w:r w:rsidRPr="007E2B9F">
          <w:rPr>
            <w:sz w:val="24"/>
            <w:szCs w:val="24"/>
          </w:rPr>
          <w:fldChar w:fldCharType="begin"/>
        </w:r>
        <w:r w:rsidRPr="007E2B9F">
          <w:rPr>
            <w:sz w:val="24"/>
            <w:szCs w:val="24"/>
          </w:rPr>
          <w:instrText xml:space="preserve"> ADDIN EN.CITE &lt;EndNote&gt;&lt;Cite&gt;&lt;Author&gt;Barnett&lt;/Author&gt;&lt;Year&gt;2009&lt;/Year&gt;&lt;RecNum&gt;18&lt;/RecNum&gt;&lt;DisplayText&gt;&lt;style face="superscript"&gt;18&lt;/style&gt;&lt;/DisplayText&gt;&lt;record&gt;&lt;rec-number&gt;18&lt;/rec-number&gt;&lt;foreign-keys&gt;&lt;key app="EN" db-id="xfrepwstvr0z94e0wxpprwxa000900wepr59"&gt;18&lt;/key&gt;&lt;/foreign-keys&gt;&lt;ref-type name="Journal Article"&gt;17&lt;/ref-type&gt;&lt;contributors&gt;&lt;authors&gt;&lt;author&gt;Barnett, P. G.&lt;/author&gt;&lt;/authors&gt;&lt;/contributors&gt;&lt;auth-address&gt;Health Economics Resource Center, US Department of Veterans Affairs and Department of Health Research and Policy, Stanford University School of Medicine, Stanford, California, USA. paul.barnett@va.gov&lt;/auth-address&gt;&lt;titles&gt;&lt;title&gt;An improved set of standards for finding cost for cost-effectiveness analysis&lt;/title&gt;&lt;secondary-title&gt;Med Care&lt;/secondary-title&gt;&lt;/titles&gt;&lt;periodical&gt;&lt;full-title&gt;Med Care&lt;/full-title&gt;&lt;/periodical&gt;&lt;pages&gt;S82-8&lt;/pages&gt;&lt;volume&gt;47&lt;/volume&gt;&lt;number&gt;7 Suppl 1&lt;/number&gt;&lt;edition&gt;2009/06/19&lt;/edition&gt;&lt;keywords&gt;&lt;keyword&gt;Capital Expenditures&lt;/keyword&gt;&lt;keyword&gt;Cost-Benefit Analysis/ methods/standards&lt;/keyword&gt;&lt;keyword&gt;Data Collection/ methods/standards&lt;/keyword&gt;&lt;keyword&gt;Decision Making&lt;/keyword&gt;&lt;keyword&gt;Decision Support Systems, Management&lt;/keyword&gt;&lt;keyword&gt;Health Care Costs&lt;/keyword&gt;&lt;keyword&gt;Health Expenditures&lt;/keyword&gt;&lt;keyword&gt;Hospital Costs&lt;/keyword&gt;&lt;keyword&gt;Humans&lt;/keyword&gt;&lt;keyword&gt;Quality of Health Care&lt;/keyword&gt;&lt;keyword&gt;United States&lt;/keyword&gt;&lt;/keywords&gt;&lt;dates&gt;&lt;year&gt;2009&lt;/year&gt;&lt;pub-dates&gt;&lt;date&gt;Jul&lt;/date&gt;&lt;/pub-dates&gt;&lt;/dates&gt;&lt;isbn&gt;1537-1948 (Electronic)&amp;#xD;0025-7079 (Linking)&lt;/isbn&gt;&lt;accession-num&gt;19536018&lt;/accession-num&gt;&lt;urls&gt;&lt;/urls&gt;&lt;electronic-resource-num&gt;10.1097/MLR.0b013e31819e1f3f&lt;/electronic-resource-num&gt;&lt;remote-database-provider&gt;NLM&lt;/remote-database-provider&gt;&lt;language&gt;eng&lt;/language&gt;&lt;/record&gt;&lt;/Cite&gt;&lt;/EndNote&gt;</w:instrText>
        </w:r>
        <w:r w:rsidRPr="007E2B9F">
          <w:rPr>
            <w:sz w:val="24"/>
            <w:szCs w:val="24"/>
          </w:rPr>
          <w:fldChar w:fldCharType="separate"/>
        </w:r>
        <w:r w:rsidRPr="007E2B9F">
          <w:rPr>
            <w:noProof/>
            <w:sz w:val="24"/>
            <w:szCs w:val="24"/>
            <w:vertAlign w:val="superscript"/>
          </w:rPr>
          <w:t>18</w:t>
        </w:r>
        <w:r w:rsidRPr="007E2B9F">
          <w:rPr>
            <w:sz w:val="24"/>
            <w:szCs w:val="24"/>
          </w:rPr>
          <w:fldChar w:fldCharType="end"/>
        </w:r>
      </w:hyperlink>
    </w:p>
    <w:p w:rsidR="00B53FD7" w:rsidRPr="007E2B9F" w:rsidRDefault="00B53FD7" w:rsidP="0038479A">
      <w:pPr>
        <w:spacing w:after="0" w:line="480" w:lineRule="auto"/>
        <w:ind w:firstLine="270"/>
        <w:rPr>
          <w:sz w:val="24"/>
          <w:szCs w:val="24"/>
        </w:rPr>
      </w:pPr>
      <w:r w:rsidRPr="007E2B9F">
        <w:rPr>
          <w:sz w:val="24"/>
          <w:szCs w:val="24"/>
        </w:rPr>
        <w:t>From the traveler’s perspective, we assumed that hospitalization costs were covered by health insurance</w:t>
      </w:r>
      <w:r>
        <w:rPr>
          <w:sz w:val="24"/>
          <w:szCs w:val="24"/>
        </w:rPr>
        <w:t>;</w:t>
      </w:r>
      <w:r w:rsidRPr="007E2B9F">
        <w:rPr>
          <w:sz w:val="24"/>
          <w:szCs w:val="24"/>
        </w:rPr>
        <w:t xml:space="preserve"> thus </w:t>
      </w:r>
      <w:r>
        <w:rPr>
          <w:sz w:val="24"/>
          <w:szCs w:val="24"/>
        </w:rPr>
        <w:t>the traveler</w:t>
      </w:r>
      <w:r w:rsidRPr="007E2B9F">
        <w:rPr>
          <w:sz w:val="24"/>
          <w:szCs w:val="24"/>
        </w:rPr>
        <w:t xml:space="preserve"> pa</w:t>
      </w:r>
      <w:r>
        <w:rPr>
          <w:sz w:val="24"/>
          <w:szCs w:val="24"/>
        </w:rPr>
        <w:t>id</w:t>
      </w:r>
      <w:r w:rsidRPr="007E2B9F">
        <w:rPr>
          <w:sz w:val="24"/>
          <w:szCs w:val="24"/>
        </w:rPr>
        <w:t xml:space="preserve"> the co-payment of $250</w:t>
      </w:r>
      <w:r>
        <w:rPr>
          <w:sz w:val="24"/>
          <w:szCs w:val="24"/>
        </w:rPr>
        <w:t xml:space="preserve"> </w:t>
      </w:r>
      <w:r w:rsidRPr="007E2B9F">
        <w:rPr>
          <w:sz w:val="24"/>
          <w:szCs w:val="24"/>
        </w:rPr>
        <w:t>for hospital room and board.  Inpatient physician services were also covered by the health insurance</w:t>
      </w:r>
      <w:r>
        <w:rPr>
          <w:sz w:val="24"/>
          <w:szCs w:val="24"/>
        </w:rPr>
        <w:t>,</w:t>
      </w:r>
      <w:r w:rsidRPr="007E2B9F">
        <w:rPr>
          <w:sz w:val="24"/>
          <w:szCs w:val="24"/>
        </w:rPr>
        <w:t xml:space="preserve"> and a traveler pa</w:t>
      </w:r>
      <w:r>
        <w:rPr>
          <w:sz w:val="24"/>
          <w:szCs w:val="24"/>
        </w:rPr>
        <w:t>id</w:t>
      </w:r>
      <w:r w:rsidRPr="007E2B9F">
        <w:rPr>
          <w:sz w:val="24"/>
          <w:szCs w:val="24"/>
        </w:rPr>
        <w:t xml:space="preserve"> 20% coinsurance of inpatient physician service charges.</w:t>
      </w:r>
    </w:p>
    <w:p w:rsidR="00B53FD7" w:rsidRPr="007E2B9F" w:rsidRDefault="00B53FD7" w:rsidP="00052D16">
      <w:pPr>
        <w:pStyle w:val="ListParagraph"/>
        <w:numPr>
          <w:ilvl w:val="0"/>
          <w:numId w:val="28"/>
        </w:numPr>
        <w:spacing w:after="0" w:line="480" w:lineRule="auto"/>
        <w:ind w:left="270" w:hanging="270"/>
        <w:rPr>
          <w:rFonts w:cs="Calibri"/>
          <w:b/>
          <w:sz w:val="24"/>
          <w:szCs w:val="24"/>
        </w:rPr>
      </w:pPr>
      <w:r w:rsidRPr="007E2B9F">
        <w:rPr>
          <w:rFonts w:cs="Calibri"/>
          <w:b/>
          <w:sz w:val="24"/>
          <w:szCs w:val="24"/>
        </w:rPr>
        <w:t xml:space="preserve">Indirect Costs </w:t>
      </w:r>
      <w:r>
        <w:rPr>
          <w:rFonts w:cs="Calibri"/>
          <w:b/>
          <w:sz w:val="24"/>
          <w:szCs w:val="24"/>
        </w:rPr>
        <w:t>for</w:t>
      </w:r>
      <w:r w:rsidRPr="007E2B9F">
        <w:rPr>
          <w:rFonts w:cs="Calibri"/>
          <w:b/>
          <w:sz w:val="24"/>
          <w:szCs w:val="24"/>
        </w:rPr>
        <w:t xml:space="preserve"> Malaria Treatment</w:t>
      </w:r>
    </w:p>
    <w:p w:rsidR="00B53FD7" w:rsidRPr="007E2B9F" w:rsidRDefault="00B53FD7" w:rsidP="00B31153">
      <w:pPr>
        <w:spacing w:after="0" w:line="480" w:lineRule="auto"/>
        <w:rPr>
          <w:rFonts w:cs="Calibri"/>
          <w:b/>
          <w:sz w:val="24"/>
          <w:szCs w:val="24"/>
        </w:rPr>
      </w:pPr>
      <w:r w:rsidRPr="007E2B9F">
        <w:rPr>
          <w:sz w:val="24"/>
          <w:szCs w:val="24"/>
        </w:rPr>
        <w:t xml:space="preserve">Time off work was evaluated at </w:t>
      </w:r>
      <w:r>
        <w:rPr>
          <w:sz w:val="24"/>
          <w:szCs w:val="24"/>
        </w:rPr>
        <w:t xml:space="preserve">an </w:t>
      </w:r>
      <w:r w:rsidRPr="007E2B9F">
        <w:rPr>
          <w:sz w:val="24"/>
          <w:szCs w:val="24"/>
        </w:rPr>
        <w:t>estimated hourly compensation of $32.79</w:t>
      </w:r>
      <w:r>
        <w:rPr>
          <w:sz w:val="24"/>
          <w:szCs w:val="24"/>
        </w:rPr>
        <w:t xml:space="preserve"> for the following: </w:t>
      </w:r>
      <w:r w:rsidRPr="007E2B9F">
        <w:rPr>
          <w:sz w:val="24"/>
          <w:szCs w:val="24"/>
        </w:rPr>
        <w:t xml:space="preserve"> three visits for an ambulatory case and two visits for </w:t>
      </w:r>
      <w:r>
        <w:rPr>
          <w:sz w:val="24"/>
          <w:szCs w:val="24"/>
        </w:rPr>
        <w:t>hospitalization</w:t>
      </w:r>
      <w:r w:rsidRPr="007E2B9F">
        <w:rPr>
          <w:rFonts w:cs="Calibri"/>
          <w:sz w:val="24"/>
          <w:szCs w:val="24"/>
        </w:rPr>
        <w:t xml:space="preserve">. </w:t>
      </w:r>
      <w:r w:rsidRPr="007E2B9F">
        <w:rPr>
          <w:sz w:val="24"/>
          <w:szCs w:val="24"/>
        </w:rPr>
        <w:t xml:space="preserve">Hours of lost work days were estimated based on 8-hour work day. </w:t>
      </w:r>
    </w:p>
    <w:p w:rsidR="00B53FD7" w:rsidRPr="007E2B9F" w:rsidRDefault="00B53FD7" w:rsidP="00B31153">
      <w:pPr>
        <w:pStyle w:val="ListParagraph"/>
        <w:numPr>
          <w:ilvl w:val="0"/>
          <w:numId w:val="32"/>
        </w:numPr>
        <w:spacing w:after="0" w:line="480" w:lineRule="auto"/>
        <w:rPr>
          <w:rFonts w:cs="Calibri"/>
          <w:sz w:val="24"/>
          <w:szCs w:val="24"/>
        </w:rPr>
      </w:pPr>
      <w:r w:rsidRPr="007E2B9F">
        <w:rPr>
          <w:rFonts w:cs="Calibri"/>
          <w:sz w:val="24"/>
          <w:szCs w:val="24"/>
        </w:rPr>
        <w:t>Physician office visits for both ambulatory and hospitalized cases</w:t>
      </w:r>
    </w:p>
    <w:p w:rsidR="00B53FD7" w:rsidRPr="007E2B9F" w:rsidRDefault="00B53FD7" w:rsidP="00B31153">
      <w:pPr>
        <w:pStyle w:val="ListParagraph"/>
        <w:numPr>
          <w:ilvl w:val="1"/>
          <w:numId w:val="32"/>
        </w:numPr>
        <w:spacing w:after="0" w:line="480" w:lineRule="auto"/>
        <w:rPr>
          <w:rFonts w:cs="Calibri"/>
          <w:sz w:val="24"/>
          <w:szCs w:val="24"/>
        </w:rPr>
      </w:pPr>
      <w:r w:rsidRPr="007E2B9F">
        <w:rPr>
          <w:rFonts w:cs="Calibri"/>
          <w:sz w:val="24"/>
          <w:szCs w:val="24"/>
        </w:rPr>
        <w:t xml:space="preserve">Ambulatory case: </w:t>
      </w:r>
      <w:r w:rsidRPr="007E2B9F">
        <w:rPr>
          <w:sz w:val="24"/>
          <w:szCs w:val="24"/>
        </w:rPr>
        <w:t>(90/60 x $32.79) + (60/60 x 2 x $32.79) = $114</w:t>
      </w:r>
    </w:p>
    <w:p w:rsidR="00B53FD7" w:rsidRPr="007E2B9F" w:rsidRDefault="00B53FD7" w:rsidP="00B31153">
      <w:pPr>
        <w:pStyle w:val="ListParagraph"/>
        <w:numPr>
          <w:ilvl w:val="1"/>
          <w:numId w:val="32"/>
        </w:numPr>
        <w:spacing w:after="0" w:line="480" w:lineRule="auto"/>
        <w:rPr>
          <w:rFonts w:cs="Calibri"/>
          <w:sz w:val="24"/>
          <w:szCs w:val="24"/>
        </w:rPr>
      </w:pPr>
      <w:r w:rsidRPr="007E2B9F">
        <w:rPr>
          <w:rFonts w:cs="Calibri"/>
          <w:sz w:val="24"/>
          <w:szCs w:val="24"/>
        </w:rPr>
        <w:t xml:space="preserve">Hospitalized case: </w:t>
      </w:r>
      <w:r w:rsidRPr="007E2B9F">
        <w:rPr>
          <w:sz w:val="24"/>
          <w:szCs w:val="24"/>
        </w:rPr>
        <w:t>(90/60 x $32.79) + (60/60</w:t>
      </w:r>
      <w:r>
        <w:rPr>
          <w:sz w:val="24"/>
          <w:szCs w:val="24"/>
        </w:rPr>
        <w:t xml:space="preserve"> </w:t>
      </w:r>
      <w:r w:rsidRPr="007E2B9F">
        <w:rPr>
          <w:sz w:val="24"/>
          <w:szCs w:val="24"/>
        </w:rPr>
        <w:t>x $32.79) = $82</w:t>
      </w:r>
    </w:p>
    <w:p w:rsidR="00B53FD7" w:rsidRPr="007E2B9F" w:rsidRDefault="00B53FD7" w:rsidP="00B31153">
      <w:pPr>
        <w:pStyle w:val="ListParagraph"/>
        <w:numPr>
          <w:ilvl w:val="0"/>
          <w:numId w:val="32"/>
        </w:numPr>
        <w:spacing w:after="0" w:line="480" w:lineRule="auto"/>
        <w:rPr>
          <w:rFonts w:cs="Calibri"/>
          <w:sz w:val="24"/>
          <w:szCs w:val="24"/>
        </w:rPr>
      </w:pPr>
      <w:r w:rsidRPr="007E2B9F">
        <w:rPr>
          <w:rFonts w:cs="Calibri"/>
          <w:sz w:val="24"/>
          <w:szCs w:val="24"/>
        </w:rPr>
        <w:t>Medical care at hospital and recuperation</w:t>
      </w:r>
    </w:p>
    <w:p w:rsidR="00B53FD7" w:rsidRPr="007E2B9F" w:rsidRDefault="00B53FD7" w:rsidP="00B31153">
      <w:pPr>
        <w:pStyle w:val="ListParagraph"/>
        <w:numPr>
          <w:ilvl w:val="1"/>
          <w:numId w:val="32"/>
        </w:numPr>
        <w:spacing w:after="0" w:line="480" w:lineRule="auto"/>
        <w:rPr>
          <w:rFonts w:cs="Calibri"/>
          <w:sz w:val="24"/>
          <w:szCs w:val="24"/>
        </w:rPr>
      </w:pPr>
      <w:r>
        <w:rPr>
          <w:rFonts w:cs="Calibri"/>
          <w:sz w:val="24"/>
          <w:szCs w:val="24"/>
        </w:rPr>
        <w:t xml:space="preserve">Ambulatory - </w:t>
      </w:r>
      <w:r w:rsidRPr="007E2B9F">
        <w:rPr>
          <w:rFonts w:cs="Calibri"/>
          <w:sz w:val="24"/>
          <w:szCs w:val="24"/>
        </w:rPr>
        <w:t>5 days : (5 x 8) x $32.79 = $1311</w:t>
      </w:r>
    </w:p>
    <w:p w:rsidR="00B53FD7" w:rsidRPr="007E2B9F" w:rsidRDefault="00B53FD7" w:rsidP="00B31153">
      <w:pPr>
        <w:pStyle w:val="ListParagraph"/>
        <w:numPr>
          <w:ilvl w:val="1"/>
          <w:numId w:val="32"/>
        </w:numPr>
        <w:spacing w:after="0" w:line="480" w:lineRule="auto"/>
        <w:rPr>
          <w:rFonts w:cs="Calibri"/>
          <w:sz w:val="24"/>
          <w:szCs w:val="24"/>
        </w:rPr>
      </w:pPr>
      <w:r>
        <w:rPr>
          <w:rFonts w:cs="Calibri"/>
          <w:sz w:val="24"/>
          <w:szCs w:val="24"/>
        </w:rPr>
        <w:t xml:space="preserve">Hospitalization - </w:t>
      </w:r>
      <w:r w:rsidRPr="007E2B9F">
        <w:rPr>
          <w:rFonts w:cs="Calibri"/>
          <w:sz w:val="24"/>
          <w:szCs w:val="24"/>
        </w:rPr>
        <w:t xml:space="preserve">10 days </w:t>
      </w:r>
      <w:r>
        <w:rPr>
          <w:rFonts w:cs="Calibri"/>
          <w:sz w:val="24"/>
          <w:szCs w:val="24"/>
        </w:rPr>
        <w:t xml:space="preserve">(includes in patient and home recovery) </w:t>
      </w:r>
      <w:r w:rsidRPr="007E2B9F">
        <w:rPr>
          <w:rFonts w:cs="Calibri"/>
          <w:sz w:val="24"/>
          <w:szCs w:val="24"/>
        </w:rPr>
        <w:t>: (10 x 8)</w:t>
      </w:r>
      <w:r>
        <w:rPr>
          <w:rFonts w:cs="Calibri"/>
          <w:sz w:val="24"/>
          <w:szCs w:val="24"/>
        </w:rPr>
        <w:t xml:space="preserve"> </w:t>
      </w:r>
      <w:r w:rsidRPr="007E2B9F">
        <w:rPr>
          <w:rFonts w:cs="Calibri"/>
          <w:sz w:val="24"/>
          <w:szCs w:val="24"/>
        </w:rPr>
        <w:t>x $32.79 = $2622</w:t>
      </w:r>
    </w:p>
    <w:p w:rsidR="00B53FD7" w:rsidRPr="007E2B9F" w:rsidRDefault="00B53FD7" w:rsidP="0038479A">
      <w:pPr>
        <w:pStyle w:val="ListParagraph"/>
        <w:numPr>
          <w:ilvl w:val="0"/>
          <w:numId w:val="28"/>
        </w:numPr>
        <w:spacing w:after="0" w:line="480" w:lineRule="auto"/>
        <w:ind w:left="270" w:hanging="270"/>
        <w:rPr>
          <w:rFonts w:cs="Calibri"/>
          <w:b/>
          <w:sz w:val="24"/>
          <w:szCs w:val="24"/>
        </w:rPr>
      </w:pPr>
      <w:r w:rsidRPr="007E2B9F">
        <w:rPr>
          <w:rFonts w:cs="Calibri"/>
          <w:b/>
          <w:sz w:val="24"/>
          <w:szCs w:val="24"/>
        </w:rPr>
        <w:t>Weighted Average Costs for Malaria Treatment from the perspectives of Health</w:t>
      </w:r>
      <w:r>
        <w:rPr>
          <w:rFonts w:cs="Calibri"/>
          <w:b/>
          <w:sz w:val="24"/>
          <w:szCs w:val="24"/>
        </w:rPr>
        <w:t>care</w:t>
      </w:r>
      <w:r w:rsidRPr="007E2B9F">
        <w:rPr>
          <w:rFonts w:cs="Calibri"/>
          <w:b/>
          <w:sz w:val="24"/>
          <w:szCs w:val="24"/>
        </w:rPr>
        <w:t xml:space="preserve"> Payer and Traveler</w:t>
      </w:r>
    </w:p>
    <w:p w:rsidR="00B53FD7" w:rsidRPr="007E2B9F" w:rsidRDefault="00B53FD7" w:rsidP="0038479A">
      <w:pPr>
        <w:spacing w:after="0" w:line="480" w:lineRule="auto"/>
        <w:rPr>
          <w:sz w:val="24"/>
          <w:szCs w:val="24"/>
        </w:rPr>
      </w:pPr>
      <w:r>
        <w:rPr>
          <w:noProof/>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217.2pt;margin-top:75.85pt;width:26.15pt;height:374.35pt;rotation:90;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3wkAIAAEEFAAAOAAAAZHJzL2Uyb0RvYy54bWysVF1v0zAUfUfiP1h+7/LRZGujpdPoB0Ia&#10;MDH4Aa7tNAHHDrbbdCD+O9e3WdeyF4TIQ+Kbax2fc++5vr7Zt4rspHWN0SVNLmJKpOZGNHpT0i+f&#10;V6MJJc4zLZgyWpb0UTp6M3v96rrvCpma2ighLQEQ7Yq+K2ntfVdEkeO1bJm7MJ3UkKyMbZmH0G4i&#10;YVkP6K2K0ji+jHpjRWcNl87B38UhSWeIX1WS+49V5aQnqqTAzePb4nsd3tHsmhUby7q64QMN9g8s&#10;WtZoOPQItWCeka1tXkC1DbfGmcpfcNNGpqoaLlEDqEniP9Q81KyTqAWK47pjmdz/g+UfdveWNAJ6&#10;l1OiWQs9+tRsak/eWMYlSbBEfecK2PnQ3dsg0nV3hn9zULvoLBMCB3vIun9vBCCxrTdYln1lW2IN&#10;lD/P4vDgX5BP9tiLx2Mv5N4TDj/H4zSJgRKHVHaVZ2mWh2ZFrAhYgUVnnX8rTUvCoqQ2sEbSiM12&#10;d85jR8Qgi4mvCSVVq6DBO6bIZJwnQ/9PtqSnW3Kkejh2AAQCTwcHdG1WjVLoIqVJX9JpnuZIwBnV&#10;iJDEitnNeq4sgXNBKT6DmrNt1my1QLBaMrEc1p416rCGw5UOeFClQV6oFxrt5zSeLifLSTbK0svl&#10;KIsXi9Htap6NLlfJVb4YL+bzRfIrUEuyom6EkDqwezJ9kv2dqYbxO9j1aPszFe5U7Aqfl2KjcxrY&#10;WdDy9EV16K5gqDDOrlgb8QjmQhvBLMOtA22vjf1BSQ8TXFL3fcuspES90zAi0yTLwshjkOVXKQT2&#10;NLM+zTDNAaqk3FtKDsHcHy6KbYfeghHBxmpzC7auGh988cxrCGBOUcNwp4SL4DTGXc833+w3AAAA&#10;//8DAFBLAwQUAAYACAAAACEAok8nB94AAAAKAQAADwAAAGRycy9kb3ducmV2LnhtbEyPwU6EMBCG&#10;7ya+QzMm3txiXQggZbMx6kEvKxrjscAIRDoltOzi2zue9DaT+fLP9xe71Y7iiLMfHGm43kQgkBrX&#10;DtRpeHt9uEpB+GCoNaMj1PCNHnbl+Vlh8tad6AWPVegEh5DPjYY+hCmX0jc9WuM3bkLi26ebrQm8&#10;zp1sZ3PicDtKFUWJtGYg/tCbCe96bL6qxWp4V3JPdfK8VGsgd08HFT99PGp9ebHub0EEXMMfDL/6&#10;rA4lO9VuodaLUUOaKCY1bLMsA8FAerPlodYQx0qBLAv5v0L5AwAA//8DAFBLAQItABQABgAIAAAA&#10;IQC2gziS/gAAAOEBAAATAAAAAAAAAAAAAAAAAAAAAABbQ29udGVudF9UeXBlc10ueG1sUEsBAi0A&#10;FAAGAAgAAAAhADj9If/WAAAAlAEAAAsAAAAAAAAAAAAAAAAALwEAAF9yZWxzLy5yZWxzUEsBAi0A&#10;FAAGAAgAAAAhAGJwHfCQAgAAQQUAAA4AAAAAAAAAAAAAAAAALgIAAGRycy9lMm9Eb2MueG1sUEsB&#10;Ai0AFAAGAAgAAAAhAKJPJwfeAAAACgEAAA8AAAAAAAAAAAAAAAAA6gQAAGRycy9kb3ducmV2Lnht&#10;bFBLBQYAAAAABAAEAPMAAAD1BQAAAAA=&#10;" adj="126"/>
        </w:pict>
      </w:r>
      <w:r>
        <w:rPr>
          <w:noProof/>
          <w:lang w:eastAsia="en-US"/>
        </w:rPr>
        <w:pict>
          <v:shape id="Right Brace 8" o:spid="_x0000_s1027" type="#_x0000_t88" style="position:absolute;margin-left:281.55pt;margin-top:65.6pt;width:26.15pt;height:222.5pt;rotation:90;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6pkgIAAEAFAAAOAAAAZHJzL2Uyb0RvYy54bWysVG1v0zAQ/o7Ef7D8vctLk62Nlk6jLwhp&#10;wMTgB7i20wQcO9hu0w3x3zlfs9KyLwiRD47Pd3p8z91zvr7Zt4rspHWN0SVNLmJKpOZGNHpT0i+f&#10;V6MJJc4zLZgyWpb0UTp6M3v96rrvCpma2ighLQEQ7Yq+K2ntfVdEkeO1bJm7MJ3U4KyMbZkH024i&#10;YVkP6K2K0ji+jHpjRWcNl87B6eLgpDPEryrJ/ceqctITVVLIzeNqcV2HNZpds2JjWVc3fEiD/UMW&#10;LWs0XHqEWjDPyNY2L6DahlvjTOUvuGkjU1UNl8gB2CTxH2weatZJ5ALFcd2xTO7/wfIPu3tLGgG9&#10;yyjRrIUefWo2tSdvLOOSTEKF+s4VEPjQ3dvA0XV3hn9z4IjOPMFwEEPW/XsjAIhtvcGq7CvbEmug&#10;+nkWhw9PgT3ZYysej62Qe084HI7HaRLnlHBwpZM0v8qxVxErAlbIorPOv5WmJWFTUhuSxpwRm+3u&#10;nMeGiIEVE18TSqpWQX93TJHJOE+G9p+EpKchOaYaeLJiAITd88UBXZtVoxSKSGnSl3Sapzkm4Ixq&#10;RHBixexmPVeWwL3AFL9wNYCdhVmz1QLBasnEcth71qjDHuKVDnhQpYFeqBfq7Mc0ni4ny0k2ytLL&#10;5SiLF4vR7WqejS5XyVW+GC/m80XyM6SWZEXdCCF1yO5Z80n2d5oapu+g1qPqz1i4U7Ir/F6Sjc7T&#10;wFoAl+c/skN1BUEdFLg24hHEhTKCUYZHB9peG/tESQ8DXFL3fcuspES90zAh0yTLwsSjkeVXKRj2&#10;1LM+9TDNAaqk3FtKDsbcH96JbYfaggnBxmpzC7KuGh8aGCR/yGswYEyRw/CkhHfg1Mao3w/f7BcA&#10;AAD//wMAUEsDBBQABgAIAAAAIQCJdElL4QAAAAsBAAAPAAAAZHJzL2Rvd25yZXYueG1sTI/NTsMw&#10;EITvSLyDtUhcEHVSlJ+GOFWhcEJCokWcnXhJosbrKHbbwNOznOC2OzOa/bZcz3YQJ5x870hBvIhA&#10;IDXO9NQqeN8/3+YgfNBk9OAIFXyhh3V1eVHqwrgzveFpF1rBJeQLraALYSyk9E2HVvuFG5HY+3ST&#10;1YHXqZVm0mcut4NcRlEqre6JL3R6xMcOm8PuaBXcyI/tdzg8mf22fahXm5fkdcoSpa6v5s09iIBz&#10;+AvDLz6jQ8VMtTuS8WJQcJemjB54WGYJCE7kccxKzUq2ykFWpfz/Q/UDAAD//wMAUEsBAi0AFAAG&#10;AAgAAAAhALaDOJL+AAAA4QEAABMAAAAAAAAAAAAAAAAAAAAAAFtDb250ZW50X1R5cGVzXS54bWxQ&#10;SwECLQAUAAYACAAAACEAOP0h/9YAAACUAQAACwAAAAAAAAAAAAAAAAAvAQAAX3JlbHMvLnJlbHNQ&#10;SwECLQAUAAYACAAAACEAtwd+qZICAABABQAADgAAAAAAAAAAAAAAAAAuAgAAZHJzL2Uyb0RvYy54&#10;bWxQSwECLQAUAAYACAAAACEAiXRJS+EAAAALAQAADwAAAAAAAAAAAAAAAADsBAAAZHJzL2Rvd25y&#10;ZXYueG1sUEsFBgAAAAAEAAQA8wAAAPoFAAAAAA==&#10;" adj="212"/>
        </w:pict>
      </w:r>
      <w:r>
        <w:rPr>
          <w:noProof/>
          <w:lang w:eastAsia="en-US"/>
        </w:rPr>
        <w:pict>
          <v:shape id="Right Brace 4" o:spid="_x0000_s1028" type="#_x0000_t88" style="position:absolute;margin-left:134.85pt;margin-top:3.2pt;width:26.15pt;height:222.5pt;rotation:90;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cjkQIAAEAFAAAOAAAAZHJzL2Uyb0RvYy54bWysVNuO0zAQfUfiHyy/d3Np0m2jTVdLLwiJ&#10;y4qFD3Btpwk4drDdpgvi3xlPs6VlXxAiD47HMzqeM3PGN7eHVpG9tK4xuqTJVUyJ1NyIRm9L+vnT&#10;ejSlxHmmBVNGy5I+Skdv5y9f3PRdIVNTGyWkJQCiXdF3Ja2974oocryWLXNXppManJWxLfNg2m0k&#10;LOsBvVVRGseTqDdWdNZw6RycLo9OOkf8qpLcf6gqJz1RJYXcPK4W101Yo/kNK7aWdXXDhzTYP2TR&#10;skbDpSeoJfOM7GzzDKptuDXOVP6KmzYyVdVwiRyATRL/weahZp1ELlAc153K5P4fLH+/v7ekEdC7&#10;CSWatdCjj8229uSVZVySLFSo71wBgQ/dvQ0cXffW8K8OHNGFJxgOYsimf2cEALGdN1iVQ2VbYg1U&#10;P8/i8OEpsCcHbMXjqRXy4AmHw/E4TeKcEg6udJrm1zn2KmJFwApZdNb519K0JGxKakPSmDNis/1b&#10;57EhYmDFxJeEkqpV0N89U2Q6zpOh/Wch6XlIjqkGnqwYAGH3dHFA12bdKIUiUpr0JZ3laY4JOKMa&#10;EZxYMbvdLJQlcC8wxS9cDWAXYdbstECwWjKxGvaeNeq4h3ilAx5UaaAX6oU6+zGLZ6vpapqNsnSy&#10;GmXxcjm6Wy+y0WSdXOfL8XKxWCY/Q2pJVtSNEFKH7J40n2R/p6lh+o5qPan+goU7J7vG7znZ6DIN&#10;rAVwefojO1RXENRRgRsjHkFcKCMYZXh0oO21sd8p6WGAS+q+7ZiVlKg3GiZklmRZmHg0svw6BcOe&#10;ezbnHqY5QJWUe0vJ0Vj44zux61BbMCHYWG3uQNZV40MDg+SPeQ0GjClyGJ6U8A6c2xj1++Gb/wIA&#10;AP//AwBQSwMEFAAGAAgAAAAhAPlOlyHgAAAACgEAAA8AAABkcnMvZG93bnJldi54bWxMj8FOwzAM&#10;hu9IvENkJC6IJSuEjtJ0GoydkJDYEOe0MW21JqmSbCs8PeYER//+9PtzuZzswI4YYu+dgvlMAEPX&#10;eNO7VsH7bnO9ABaTdkYP3qGCL4ywrM7PSl0Yf3JveNymllGJi4VW0KU0FpzHpkOr48yP6Gj36YPV&#10;icbQchP0icrtwDMh7rjVvaMLnR7xqcNmvz1YBVf8Y/2d9s9mt24f6/vVi3wNuVTq8mJaPQBLOKU/&#10;GH71SR0qcqr9wZnIBgX5zS2RCjKR5cAIkPMFJTUlUgrgVcn/v1D9AAAA//8DAFBLAQItABQABgAI&#10;AAAAIQC2gziS/gAAAOEBAAATAAAAAAAAAAAAAAAAAAAAAABbQ29udGVudF9UeXBlc10ueG1sUEsB&#10;Ai0AFAAGAAgAAAAhADj9If/WAAAAlAEAAAsAAAAAAAAAAAAAAAAALwEAAF9yZWxzLy5yZWxzUEsB&#10;Ai0AFAAGAAgAAAAhAK3sxyORAgAAQAUAAA4AAAAAAAAAAAAAAAAALgIAAGRycy9lMm9Eb2MueG1s&#10;UEsBAi0AFAAGAAgAAAAhAPlOlyHgAAAACgEAAA8AAAAAAAAAAAAAAAAA6wQAAGRycy9kb3ducmV2&#10;LnhtbFBLBQYAAAAABAAEAPMAAAD4BQAAAAA=&#10;" adj="212"/>
        </w:pict>
      </w:r>
      <w:r w:rsidRPr="007E2B9F">
        <w:rPr>
          <w:sz w:val="24"/>
          <w:szCs w:val="24"/>
        </w:rPr>
        <w:t xml:space="preserve">Based on the itemized costs explained in the previous sections in the Appendix, from the </w:t>
      </w:r>
      <w:r>
        <w:rPr>
          <w:sz w:val="24"/>
          <w:szCs w:val="24"/>
        </w:rPr>
        <w:t>payer’s p</w:t>
      </w:r>
      <w:r w:rsidRPr="007E2B9F">
        <w:rPr>
          <w:sz w:val="24"/>
          <w:szCs w:val="24"/>
        </w:rPr>
        <w:t xml:space="preserve">erspective, a weighted average (direct medical) costs for malaria treatment was estimated as </w:t>
      </w:r>
    </w:p>
    <w:p w:rsidR="00B53FD7" w:rsidRPr="007E2B9F" w:rsidRDefault="00B53FD7" w:rsidP="00052D16">
      <w:pPr>
        <w:spacing w:after="0" w:line="480" w:lineRule="auto"/>
        <w:ind w:left="720"/>
        <w:rPr>
          <w:sz w:val="24"/>
          <w:szCs w:val="24"/>
        </w:rPr>
      </w:pPr>
      <w:r w:rsidRPr="007E2B9F">
        <w:rPr>
          <w:sz w:val="24"/>
          <w:szCs w:val="24"/>
        </w:rPr>
        <w:t>0.71 x [($292</w:t>
      </w:r>
      <w:r>
        <w:rPr>
          <w:sz w:val="24"/>
          <w:szCs w:val="24"/>
        </w:rPr>
        <w:t xml:space="preserve"> </w:t>
      </w:r>
      <w:r w:rsidRPr="007E2B9F">
        <w:rPr>
          <w:sz w:val="24"/>
          <w:szCs w:val="24"/>
        </w:rPr>
        <w:t>+</w:t>
      </w:r>
      <w:r>
        <w:rPr>
          <w:sz w:val="24"/>
          <w:szCs w:val="24"/>
        </w:rPr>
        <w:t xml:space="preserve"> </w:t>
      </w:r>
      <w:r w:rsidRPr="007E2B9F">
        <w:rPr>
          <w:sz w:val="24"/>
          <w:szCs w:val="24"/>
        </w:rPr>
        <w:t>$69.5) + $29320 + 0.2</w:t>
      </w:r>
      <w:r>
        <w:rPr>
          <w:sz w:val="24"/>
          <w:szCs w:val="24"/>
        </w:rPr>
        <w:t xml:space="preserve"> </w:t>
      </w:r>
      <w:r w:rsidRPr="007E2B9F">
        <w:rPr>
          <w:sz w:val="24"/>
          <w:szCs w:val="24"/>
        </w:rPr>
        <w:t>x</w:t>
      </w:r>
      <w:r>
        <w:rPr>
          <w:sz w:val="24"/>
          <w:szCs w:val="24"/>
        </w:rPr>
        <w:t xml:space="preserve"> </w:t>
      </w:r>
      <w:r w:rsidRPr="007E2B9F">
        <w:rPr>
          <w:sz w:val="24"/>
          <w:szCs w:val="24"/>
        </w:rPr>
        <w:t>$29320]+</w:t>
      </w:r>
    </w:p>
    <w:p w:rsidR="00B53FD7" w:rsidRPr="007E2B9F" w:rsidRDefault="00B53FD7" w:rsidP="00052D16">
      <w:pPr>
        <w:spacing w:after="0" w:line="480" w:lineRule="auto"/>
        <w:ind w:left="720"/>
        <w:rPr>
          <w:sz w:val="24"/>
          <w:szCs w:val="24"/>
        </w:rPr>
      </w:pPr>
      <w:r>
        <w:rPr>
          <w:noProof/>
          <w:lang w:eastAsia="en-US"/>
        </w:rPr>
        <w:pict>
          <v:shapetype id="_x0000_t202" coordsize="21600,21600" o:spt="202" path="m,l,21600r21600,l21600,xe">
            <v:stroke joinstyle="miter"/>
            <v:path gradientshapeok="t" o:connecttype="rect"/>
          </v:shapetype>
          <v:shape id="Text Box 6" o:spid="_x0000_s1029" type="#_x0000_t202" style="position:absolute;left:0;text-align:left;margin-left:89pt;margin-top:4.6pt;width:119.45pt;height:30.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zgtAIAALoFAAAOAAAAZHJzL2Uyb0RvYy54bWysVG1vmzAQ/j5p/8HydwokDgFUUrUhTJO6&#10;F6ndD3DABGtgM9sJ6ab9951NkiatJk3b+IBs3/m55+4e3/XNvmvRjinNpchweBVgxEQpKy42Gf7y&#10;WHgxRtpQUdFWCpbhJ6bxzeLtm+uhT9lENrKtmEIAInQ69BlujOlT39dlwzqqr2TPBBhrqTpqYKs2&#10;fqXoAOhd60+CIPIHqapeyZJpDaf5aMQLh1/XrDSf6lozg9oMAzfj/sr91/bvL65pulG0b3h5oEH/&#10;gkVHuYCgJ6icGoq2ir+C6nippJa1uSpl58u65iVzOUA2YfAim4eG9szlAsXR/alM+v/Blh93nxXi&#10;FfRuipGgHfToke0NupN7FNnyDL1OweuhBz+zh2Nwdanq/l6WXzUSctlQsWG3SsmhYbQCeqG96Z9d&#10;HXG0BVkPH2QFYejWSAe0r1VnawfVQIAObXo6tcZSKW3IWTgPwhlGJdimMQnnMxeCpsfbvdLmHZMd&#10;sosMK2i9Q6e7e20sG5oeXWwwIQvetq79rbg4AMfxBGLDVWuzLFw3fyRBsopXMfHIJFp5JMhz77ZY&#10;Ei8qgFE+zZfLPPxp44YkbXhVMWHDHJUVkj/r3EHjoyZO2tKy5ZWFs5S02qyXrUI7Csou3HcoyJmb&#10;f0nDFQFyeZFSOCHB3STxiiiee6QgMy+ZB7EXhMldEgUkIXlxmdI9F+zfU0JDhqPpLBjF9NvcAve9&#10;zo2mHTcwO1reZTg+OdHUSnAlKtdaQ3k7rs9KYek/lwLafWy0E6zV6KhWs1/vAcWqeC2rJ5CukqAs&#10;0CcMPFg0Un3HaIDhkWH9bUsVw6h9L0D+SUiInTZuQ2bzCWzUuWV9bqGiBKgMG4zG5dKME2rbK75p&#10;INL44IS8hSdTc6fmZ1aHhwYDwiV1GGZ2Ap3vndfzyF38AgAA//8DAFBLAwQUAAYACAAAACEAKtjz&#10;pOAAAAAIAQAADwAAAGRycy9kb3ducmV2LnhtbEyPQU+DQBSE7yb+h80z8WaXEqWALE1D0pgYPbT2&#10;4u3BboHIvkV226K/3udJj5OZzHxTrGc7iLOZfO9IwXIRgTDUON1Tq+Dwtr1LQfiApHFwZBR8GQ/r&#10;8vqqwFy7C+3MeR9awSXkc1TQhTDmUvqmMxb9wo2G2Du6yWJgObVST3jhcjvIOIoSabEnXuhwNFVn&#10;mo/9ySp4rravuKtjm34P1dPLcTN+Ht4flLq9mTePIIKZw18YfvEZHUpmqt2JtBcD61XKX4KCLAbB&#10;/v0yyUDUCpJsBbIs5P8D5Q8AAAD//wMAUEsBAi0AFAAGAAgAAAAhALaDOJL+AAAA4QEAABMAAAAA&#10;AAAAAAAAAAAAAAAAAFtDb250ZW50X1R5cGVzXS54bWxQSwECLQAUAAYACAAAACEAOP0h/9YAAACU&#10;AQAACwAAAAAAAAAAAAAAAAAvAQAAX3JlbHMvLnJlbHNQSwECLQAUAAYACAAAACEAG7E84LQCAAC6&#10;BQAADgAAAAAAAAAAAAAAAAAuAgAAZHJzL2Uyb0RvYy54bWxQSwECLQAUAAYACAAAACEAKtjzpOAA&#10;AAAIAQAADwAAAAAAAAAAAAAAAAAOBQAAZHJzL2Rvd25yZXYueG1sUEsFBgAAAAAEAAQA8wAAABsG&#10;AAAAAA==&#10;" filled="f" stroked="f" strokeweight=".5pt">
            <v:textbox>
              <w:txbxContent>
                <w:p w:rsidR="00B53FD7" w:rsidRPr="00CC174A" w:rsidRDefault="00B53FD7">
                  <w:pPr>
                    <w:rPr>
                      <w:sz w:val="24"/>
                      <w:szCs w:val="24"/>
                    </w:rPr>
                  </w:pPr>
                  <w:r w:rsidRPr="00CC174A">
                    <w:rPr>
                      <w:sz w:val="24"/>
                      <w:szCs w:val="24"/>
                    </w:rPr>
                    <w:t>Hospitalized care</w:t>
                  </w:r>
                </w:p>
              </w:txbxContent>
            </v:textbox>
          </v:shape>
        </w:pict>
      </w:r>
    </w:p>
    <w:p w:rsidR="00B53FD7" w:rsidRPr="007E2B9F" w:rsidRDefault="00B53FD7" w:rsidP="00CC174A">
      <w:pPr>
        <w:spacing w:after="0" w:line="480" w:lineRule="auto"/>
        <w:ind w:left="2880" w:firstLine="720"/>
        <w:rPr>
          <w:sz w:val="24"/>
          <w:szCs w:val="24"/>
        </w:rPr>
      </w:pPr>
      <w:r w:rsidRPr="007E2B9F">
        <w:rPr>
          <w:sz w:val="24"/>
          <w:szCs w:val="24"/>
        </w:rPr>
        <w:t>(1-0.71) x [($292</w:t>
      </w:r>
      <w:r>
        <w:rPr>
          <w:sz w:val="24"/>
          <w:szCs w:val="24"/>
        </w:rPr>
        <w:t xml:space="preserve"> </w:t>
      </w:r>
      <w:r w:rsidRPr="007E2B9F">
        <w:rPr>
          <w:sz w:val="24"/>
          <w:szCs w:val="24"/>
        </w:rPr>
        <w:t>+</w:t>
      </w:r>
      <w:r>
        <w:rPr>
          <w:sz w:val="24"/>
          <w:szCs w:val="24"/>
        </w:rPr>
        <w:t xml:space="preserve"> </w:t>
      </w:r>
      <w:r w:rsidRPr="007E2B9F">
        <w:rPr>
          <w:sz w:val="24"/>
          <w:szCs w:val="24"/>
        </w:rPr>
        <w:t>$69.5x2) + $52.5</w:t>
      </w:r>
      <w:r>
        <w:rPr>
          <w:sz w:val="24"/>
          <w:szCs w:val="24"/>
        </w:rPr>
        <w:t xml:space="preserve"> </w:t>
      </w:r>
      <w:r w:rsidRPr="007E2B9F">
        <w:rPr>
          <w:sz w:val="24"/>
          <w:szCs w:val="24"/>
        </w:rPr>
        <w:t>+ $41.75] ≈ $25250.</w:t>
      </w:r>
    </w:p>
    <w:p w:rsidR="00B53FD7" w:rsidRPr="007E2B9F" w:rsidRDefault="00B53FD7" w:rsidP="0027016A">
      <w:pPr>
        <w:spacing w:after="0" w:line="480" w:lineRule="auto"/>
        <w:rPr>
          <w:rFonts w:cs="Calibri"/>
          <w:sz w:val="24"/>
          <w:szCs w:val="24"/>
        </w:rPr>
      </w:pPr>
      <w:r>
        <w:rPr>
          <w:noProof/>
          <w:lang w:eastAsia="en-US"/>
        </w:rPr>
        <w:pict>
          <v:shape id="Text Box 9" o:spid="_x0000_s1030" type="#_x0000_t202" style="position:absolute;margin-left:241.8pt;margin-top:7.6pt;width:119.45pt;height:3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n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xJZn6HUKXvc9+JkRjsHVUdX9nSy/aiTkqqFiy26UkkPDaAXphfamf3Z1&#10;wtEWZDN8kBWEoTsjHdBYq87WDqqBAB3a9HhqjU2ltCFn4SIIZxiVYLuMSbiYuRA0Pd7ulTbvmOyQ&#10;XWRYQesdOt3faWOzoenRxQYTsuBt69rfimcH4DidQGy4am02C9fNH0mQrON1TDwSzdceCfLcuylW&#10;xJsXkFF+ma9WefjTxg1J2vCqYsKGOSorJH/WuYPGJ02ctKVlyysLZ1PSartZtQrtKSi7cN+hIGdu&#10;/vM0XBGAywtKYUSC2yjxinm88EhBZl6yCGIvCJPbZB6QhOTFc0p3XLB/p4SGDM8vZ8Ekpt9yC9z3&#10;mhtNO25gdrS8y3B8cqKpleBaVK61hvJ2Wp+Vwqb/VApo97HRTrBWo5NazbgZp6dho1sxb2T1CApW&#10;EgQGMoW5B4tGqu8YDTBDMqy/7ahiGLXvBbyCJCTEDh23IbNFBBt1btmcW6goASrDBqNpuTLToNr1&#10;im8biDS9OyFv4OXU3In6KavDe4M54bgdZpodROd75/U0eZe/AAAA//8DAFBLAwQUAAYACAAAACEA&#10;dqajgOEAAAAJAQAADwAAAGRycy9kb3ducmV2LnhtbEyPTUvDQBCG74L/YRnBm910NW2I2ZQSKILo&#10;obUXb5vsNAndj5jdttFf73iqtxneh3eeKVaTNeyMY+i9kzCfJcDQNV73rpWw/9g8ZMBCVE4r4x1K&#10;+MYAq/L2plC59he3xfMutoxKXMiVhC7GIec8NB1aFWZ+QEfZwY9WRVrHlutRXajcGi6SZMGt6h1d&#10;6NSAVYfNcXeyEl6rzbva1sJmP6Z6eTush6/9Zyrl/d20fgYWcYpXGP70SR1Kcqr9yenAjISn7HFB&#10;KAWpAEbAUogUWE1DugReFvz/B+UvAAAA//8DAFBLAQItABQABgAIAAAAIQC2gziS/gAAAOEBAAAT&#10;AAAAAAAAAAAAAAAAAAAAAABbQ29udGVudF9UeXBlc10ueG1sUEsBAi0AFAAGAAgAAAAhADj9If/W&#10;AAAAlAEAAAsAAAAAAAAAAAAAAAAALwEAAF9yZWxzLy5yZWxzUEsBAi0AFAAGAAgAAAAhAMzYmfG3&#10;AgAAwQUAAA4AAAAAAAAAAAAAAAAALgIAAGRycy9lMm9Eb2MueG1sUEsBAi0AFAAGAAgAAAAhAHam&#10;o4DhAAAACQEAAA8AAAAAAAAAAAAAAAAAEQUAAGRycy9kb3ducmV2LnhtbFBLBQYAAAAABAAEAPMA&#10;AAAfBgAAAAA=&#10;" filled="f" stroked="f" strokeweight=".5pt">
            <v:textbox>
              <w:txbxContent>
                <w:p w:rsidR="00B53FD7" w:rsidRPr="00CC174A" w:rsidRDefault="00B53FD7" w:rsidP="00781F37">
                  <w:pPr>
                    <w:rPr>
                      <w:sz w:val="24"/>
                      <w:szCs w:val="24"/>
                    </w:rPr>
                  </w:pPr>
                  <w:r>
                    <w:rPr>
                      <w:sz w:val="24"/>
                      <w:szCs w:val="24"/>
                    </w:rPr>
                    <w:t>Ambulatory</w:t>
                  </w:r>
                  <w:r w:rsidRPr="00CC174A">
                    <w:rPr>
                      <w:sz w:val="24"/>
                      <w:szCs w:val="24"/>
                    </w:rPr>
                    <w:t xml:space="preserve"> care</w:t>
                  </w:r>
                </w:p>
              </w:txbxContent>
            </v:textbox>
          </v:shape>
        </w:pict>
      </w:r>
    </w:p>
    <w:p w:rsidR="00B53FD7" w:rsidRPr="007E2B9F" w:rsidRDefault="00B53FD7" w:rsidP="00B31153">
      <w:pPr>
        <w:spacing w:after="0" w:line="480" w:lineRule="auto"/>
        <w:rPr>
          <w:sz w:val="24"/>
          <w:szCs w:val="24"/>
        </w:rPr>
      </w:pPr>
      <w:r w:rsidRPr="007E2B9F">
        <w:rPr>
          <w:sz w:val="24"/>
          <w:szCs w:val="24"/>
        </w:rPr>
        <w:t xml:space="preserve">From the traveler’s perspective, it was </w:t>
      </w:r>
    </w:p>
    <w:p w:rsidR="00B53FD7" w:rsidRPr="007E2B9F" w:rsidRDefault="00B53FD7" w:rsidP="00B31153">
      <w:pPr>
        <w:spacing w:after="0" w:line="480" w:lineRule="auto"/>
        <w:ind w:left="720"/>
        <w:rPr>
          <w:sz w:val="24"/>
          <w:szCs w:val="24"/>
        </w:rPr>
      </w:pPr>
      <w:r w:rsidRPr="007E2B9F">
        <w:rPr>
          <w:sz w:val="24"/>
          <w:szCs w:val="24"/>
        </w:rPr>
        <w:t>0.71 x [$20</w:t>
      </w:r>
      <w:r>
        <w:rPr>
          <w:sz w:val="24"/>
          <w:szCs w:val="24"/>
        </w:rPr>
        <w:t xml:space="preserve"> </w:t>
      </w:r>
      <w:r w:rsidRPr="007E2B9F">
        <w:rPr>
          <w:sz w:val="24"/>
          <w:szCs w:val="24"/>
        </w:rPr>
        <w:t>x</w:t>
      </w:r>
      <w:r>
        <w:rPr>
          <w:sz w:val="24"/>
          <w:szCs w:val="24"/>
        </w:rPr>
        <w:t xml:space="preserve"> </w:t>
      </w:r>
      <w:r w:rsidRPr="007E2B9F">
        <w:rPr>
          <w:sz w:val="24"/>
          <w:szCs w:val="24"/>
        </w:rPr>
        <w:t>2 + $250 + 0.2</w:t>
      </w:r>
      <w:r>
        <w:rPr>
          <w:sz w:val="24"/>
          <w:szCs w:val="24"/>
        </w:rPr>
        <w:t xml:space="preserve"> </w:t>
      </w:r>
      <w:r w:rsidRPr="007E2B9F">
        <w:rPr>
          <w:sz w:val="24"/>
          <w:szCs w:val="24"/>
        </w:rPr>
        <w:t>x</w:t>
      </w:r>
      <w:r>
        <w:rPr>
          <w:sz w:val="24"/>
          <w:szCs w:val="24"/>
        </w:rPr>
        <w:t xml:space="preserve"> </w:t>
      </w:r>
      <w:r w:rsidRPr="007E2B9F">
        <w:rPr>
          <w:sz w:val="24"/>
          <w:szCs w:val="24"/>
        </w:rPr>
        <w:t>(0.2</w:t>
      </w:r>
      <w:r>
        <w:rPr>
          <w:sz w:val="24"/>
          <w:szCs w:val="24"/>
        </w:rPr>
        <w:t xml:space="preserve"> </w:t>
      </w:r>
      <w:r w:rsidRPr="007E2B9F">
        <w:rPr>
          <w:sz w:val="24"/>
          <w:szCs w:val="24"/>
        </w:rPr>
        <w:t>x</w:t>
      </w:r>
      <w:r>
        <w:rPr>
          <w:sz w:val="24"/>
          <w:szCs w:val="24"/>
        </w:rPr>
        <w:t xml:space="preserve"> </w:t>
      </w:r>
      <w:r w:rsidRPr="007E2B9F">
        <w:rPr>
          <w:sz w:val="24"/>
          <w:szCs w:val="24"/>
        </w:rPr>
        <w:t xml:space="preserve">$29320) + $32.79x(10x8) + $32.79x(1.5+1)] + </w:t>
      </w:r>
    </w:p>
    <w:p w:rsidR="00B53FD7" w:rsidRPr="007E2B9F" w:rsidRDefault="00B53FD7" w:rsidP="00B31153">
      <w:pPr>
        <w:spacing w:after="0" w:line="480" w:lineRule="auto"/>
        <w:ind w:left="720"/>
        <w:rPr>
          <w:sz w:val="24"/>
          <w:szCs w:val="24"/>
        </w:rPr>
      </w:pPr>
      <w:r>
        <w:rPr>
          <w:noProof/>
          <w:lang w:eastAsia="en-US"/>
        </w:rPr>
        <w:pict>
          <v:shape id="Text Box 22" o:spid="_x0000_s1031" type="#_x0000_t202" style="position:absolute;left:0;text-align:left;margin-left:164.65pt;margin-top:12pt;width:119.45pt;height:3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4duAIAAMIFAAAOAAAAZHJzL2Uyb0RvYy54bWysVNtu2zAMfR+wfxD07vpSJbGNOkUbx8OA&#10;7gK0+wDFlmNhtuRJSuxu2L+PkpM0bTFg2OYHQxfq8JA85NX12LVoz5TmUmQ4vAgwYqKUFRfbDH95&#10;KLwYI22oqGgrBcvwI9P4evn2zdXQpyySjWwrphCACJ0OfYYbY/rU93XZsI7qC9kzAZe1VB01sFVb&#10;v1J0APSu9aMgmPuDVFWvZMm0htN8usRLh1/XrDSf6lozg9oMAzfj/sr9N/bvL69oulW0b3h5oEH/&#10;gkVHuQCnJ6icGop2ir+C6nippJa1uShl58u65iVzMUA0YfAimvuG9szFAsnR/SlN+v/Blh/3nxXi&#10;FdQuxEjQDmr0wEaDbuWIosjmZ+h1Cmb3PRiaEc7B1sWq+ztZftVIyFVDxZbdKCWHhtEK+IX2pX/2&#10;dMLRFmQzfJAV+KE7Ix3QWKvOJg/SgQAd6vR4qo3lUlqXs3ARhDOMSri7jEm4mDkXND2+7pU275js&#10;kF1kWEHtHTrd32lj2dD0aGKdCVnwtnX1b8WzAzCcTsA3PLV3loUr548kSNbxOiYeieZrjwR57t0U&#10;K+LNC2CUX+arVR7+tH5Dkja8qpiwbo7SCsmfle4g8kkUJ3Fp2fLKwllKWm03q1ahPQVpF+47JOTM&#10;zH9OwyUBYnkRUhiR4DZKvGIeLzxSkJmXLILYC8LkNpkHJCF58TykOy7Yv4eEhgzPL2fBJKbfxha4&#10;73VsNO24geHR8i7D8cmIplaCa1G50hrK22l9lgpL/ykVUO5joZ1grUYntZpxM7reOPXBRlaPoGAl&#10;QWAgUxh8sGik+o7RAEMkw/rbjiqGUfteQBckISF26rgNmS0i2Kjzm835DRUlQGXYYDQtV2aaVLte&#10;8W0Dnqa+E/IGOqfmTtS2xSZWh36DQeFiOww1O4nO987qafQufwEAAP//AwBQSwMEFAAGAAgAAAAh&#10;ALtTQ2LhAAAACQEAAA8AAABkcnMvZG93bnJldi54bWxMj8FOwzAQRO9I/IO1SNyog9tUaRqnqiJV&#10;SAgOLb1wc+JtEmGvQ+y2ga/HnOC42qeZN8VmsoZdcPS9IwmPswQYUuN0T62E49vuIQPmgyKtjCOU&#10;8IUeNuXtTaFy7a60x8shtCyGkM+VhC6EIefcNx1a5WduQIq/kxutCvEcW65HdY3h1nCRJEtuVU+x&#10;oVMDVh02H4ezlfBc7V7VvhY2+zbV08tpO3we31Mp7++m7RpYwCn8wfCrH9WhjE61O5P2zEiYi9U8&#10;ohLEIm6KQLrMBLBaQrZIgZcF/7+g/AEAAP//AwBQSwECLQAUAAYACAAAACEAtoM4kv4AAADhAQAA&#10;EwAAAAAAAAAAAAAAAAAAAAAAW0NvbnRlbnRfVHlwZXNdLnhtbFBLAQItABQABgAIAAAAIQA4/SH/&#10;1gAAAJQBAAALAAAAAAAAAAAAAAAAAC8BAABfcmVscy8ucmVsc1BLAQItABQABgAIAAAAIQDJEe4d&#10;uAIAAMIFAAAOAAAAAAAAAAAAAAAAAC4CAABkcnMvZTJvRG9jLnhtbFBLAQItABQABgAIAAAAIQC7&#10;U0Ni4QAAAAkBAAAPAAAAAAAAAAAAAAAAABIFAABkcnMvZG93bnJldi54bWxQSwUGAAAAAAQABADz&#10;AAAAIAYAAAAA&#10;" filled="f" stroked="f" strokeweight=".5pt">
            <v:textbox>
              <w:txbxContent>
                <w:p w:rsidR="00B53FD7" w:rsidRPr="00CC174A" w:rsidRDefault="00B53FD7" w:rsidP="00DB7829">
                  <w:pPr>
                    <w:rPr>
                      <w:sz w:val="24"/>
                      <w:szCs w:val="24"/>
                    </w:rPr>
                  </w:pPr>
                  <w:r w:rsidRPr="00CC174A">
                    <w:rPr>
                      <w:sz w:val="24"/>
                      <w:szCs w:val="24"/>
                    </w:rPr>
                    <w:t>Hospitalized care</w:t>
                  </w:r>
                </w:p>
              </w:txbxContent>
            </v:textbox>
          </v:shape>
        </w:pict>
      </w:r>
    </w:p>
    <w:p w:rsidR="00B53FD7" w:rsidRPr="007E2B9F" w:rsidRDefault="00B53FD7" w:rsidP="00B31153">
      <w:pPr>
        <w:spacing w:after="0" w:line="480" w:lineRule="auto"/>
        <w:ind w:left="720"/>
        <w:rPr>
          <w:sz w:val="24"/>
          <w:szCs w:val="24"/>
        </w:rPr>
      </w:pPr>
    </w:p>
    <w:p w:rsidR="00B53FD7" w:rsidRPr="007E2B9F" w:rsidRDefault="00B53FD7" w:rsidP="0038479A">
      <w:pPr>
        <w:spacing w:after="0" w:line="480" w:lineRule="auto"/>
        <w:ind w:left="720"/>
        <w:rPr>
          <w:sz w:val="24"/>
          <w:szCs w:val="24"/>
        </w:rPr>
      </w:pPr>
      <w:r>
        <w:rPr>
          <w:noProof/>
          <w:lang w:eastAsia="en-US"/>
        </w:rPr>
        <w:pict>
          <v:shape id="Right Brace 23" o:spid="_x0000_s1032" type="#_x0000_t88" style="position:absolute;left:0;text-align:left;margin-left:168.8pt;margin-top:-122.2pt;width:19.4pt;height:294pt;rotation:90;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NxkQIAAEAFAAAOAAAAZHJzL2Uyb0RvYy54bWysVNuO0zAQfUfiHyy/d3Np2m2jTVdL0yIk&#10;LisWPsC1nSbg2MF2my6If2c8zZaWfUGIPDgez+h4zszx3NweWkX20rrG6IImVzElUnMjGr0t6OdP&#10;69GMEueZFkwZLQv6KB29Xbx8cdN3uUxNbZSQlgCIdnnfFbT2vsujyPFatsxdmU5qcFbGtsyDabeR&#10;sKwH9FZFaRxPo95Y0VnDpXNwWh6ddIH4VSW5/1BVTnqiCgq5eVwtrpuwRosblm8t6+qGD2mwf8ii&#10;ZY2GS09QJfOM7GzzDKptuDXOVP6KmzYyVdVwiRyATRL/weahZp1ELlAc153K5P4fLH+/v7ekEQUd&#10;U6JZCy362GxrT15ZxiVJx6FCfedyCHzo7m3g6Lq3hn914IguPMFwEEM2/TsjAIntvMGqHCrbEmug&#10;+pMsDh+eAntywFY8nlohD55wOEyz6XgGDePgGl+PYY+9ilgesEIWnXX+tTQtCZuC2pA1Jo3YbP/W&#10;eWyIGGgx8SWhpGoV9HfPFJmNs/nQ/rOQ9DxkgqkGniwfAGH3dHFA12bdKIUiUpr0BZ1P0gkm4Ixq&#10;RHBixex2s1SWwL3AFL9wNYBdhFmz0wLBasnEath71qjjHuKVDnhQpYFeqBfq7Mc8nq9mq1k2ytLp&#10;apTFZTm6Wy+z0XSdXE/KcblclsnPkFqS5XUjhNQhuyfNJ9nfaWp4fUe1nlR/wcKdk13j95xsdJkG&#10;1gK4PP2RHaorCOqowI0RjyAulBEoA4YOtL029jslPTzggrpvO2YlJeqNhhcyT7IsvHg0ssl1CoY9&#10;92zOPUxzgCoo95aSo7H0xzmx61BbMN2wsdrcgayrxocGBskf8xoMeKbIYRgpYQ6c2xj1e/AtfgEA&#10;AP//AwBQSwMEFAAGAAgAAAAhAAKwNOrcAAAACAEAAA8AAABkcnMvZG93bnJldi54bWxMj0FPwzAM&#10;he9I/IfISNxYsk5UozSd0MQunKAb97Tx2qqNUzXp1v17zAlutp/9/L18t7hBXHAKnScN65UCgVR7&#10;21Gj4XQ8PG1BhGjImsETarhhgF1xf5ebzPorfeGljI1gEwqZ0dDGOGZShrpFZ8LKj0isnf3kTOR2&#10;aqSdzJXN3SATpVLpTEf8oTUj7lus+3J2jJFWH8dtf3s/H06f38ksy7bv91o/PixvryAiLvFvGX7x&#10;+QYKZqr8TDaIQUO64ShRw0YlIFhPn9c8qLh4USCLXP4PUPwAAAD//wMAUEsBAi0AFAAGAAgAAAAh&#10;ALaDOJL+AAAA4QEAABMAAAAAAAAAAAAAAAAAAAAAAFtDb250ZW50X1R5cGVzXS54bWxQSwECLQAU&#10;AAYACAAAACEAOP0h/9YAAACUAQAACwAAAAAAAAAAAAAAAAAvAQAAX3JlbHMvLnJlbHNQSwECLQAU&#10;AAYACAAAACEAbCAzcZECAABABQAADgAAAAAAAAAAAAAAAAAuAgAAZHJzL2Uyb0RvYy54bWxQSwEC&#10;LQAUAAYACAAAACEAArA06twAAAAIAQAADwAAAAAAAAAAAAAAAADrBAAAZHJzL2Rvd25yZXYueG1s&#10;UEsFBgAAAAAEAAQA8wAAAPQFAAAAAA==&#10;" adj="119"/>
        </w:pict>
      </w:r>
      <w:r w:rsidRPr="007E2B9F">
        <w:rPr>
          <w:sz w:val="24"/>
          <w:szCs w:val="24"/>
        </w:rPr>
        <w:t>(1-0.71) x [$20x3 + $25 + $32.79x(5x8) + $32.79x(1.5+1x2)] ≈ $3387.</w:t>
      </w:r>
    </w:p>
    <w:p w:rsidR="00B53FD7" w:rsidRPr="007E2B9F" w:rsidRDefault="00B53FD7" w:rsidP="0038479A">
      <w:pPr>
        <w:spacing w:after="0" w:line="480" w:lineRule="auto"/>
        <w:rPr>
          <w:rFonts w:cs="Calibri"/>
          <w:sz w:val="24"/>
          <w:szCs w:val="24"/>
        </w:rPr>
      </w:pPr>
      <w:r>
        <w:rPr>
          <w:noProof/>
          <w:lang w:eastAsia="en-US"/>
        </w:rPr>
        <w:pict>
          <v:shape id="Text Box 24" o:spid="_x0000_s1033" type="#_x0000_t202" style="position:absolute;margin-left:133.6pt;margin-top:5.55pt;width:117.35pt;height:3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2D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NjyDL1OweuhBz+zh3Nos6Oq+3tZftVIyGVDxYbdKiWHhtEK0gvtTf/s&#10;6oijLch6+CAriEO3Rjqgfa06WzuoBgJ0aNPTqTU2l9KGJEkwIVOMSrBNYhLOpy4ETY+3e6XNOyY7&#10;ZBcZVtB6h05399rYbGh6dLHBhCx427r2t+LiABzHE4gNV63NZuG6+SMJklW8iolHotnKI0Gee7fF&#10;knizAjLKJ/lymYc/bdyQpA2vKiZsmKOyQvJnnTtofNTESVtatryycDYlrTbrZavQjoKyC/cdCnLm&#10;5l+m4YoAXF5QCiMS3EWJV8ziuUcKMvWSeRB7QZjcJbOAJCQvLindc8H+nRIaMjybTINRTL/lFrjv&#10;NTeadtzA7Gh5l+H45ERTK8GVqFxrDeXtuD4rhU3/uRTQ7mOjnWCtRke1mv16757GxEa3Yl7L6gkU&#10;rCQIDGQKcw8WjVTfMRpghmRYf9tSxTBq3wt4BUlIiB06bkOm8wg26tyyPrdQUQJUhg1G43JpxkG1&#10;7RXfNBBpfHdC3sLLqbkT9XNWh/cGc8JxO8w0O4jO987refIufgEAAP//AwBQSwMEFAAGAAgAAAAh&#10;ANPWqnjhAAAACQEAAA8AAABkcnMvZG93bnJldi54bWxMj01Lw0AURfeC/2F4BXd2MoGmNWZSSqAI&#10;oovWbty9ZF6T0PmImWkb/fWOK7t83MO95xXryWh2odH3zkoQ8wQY2cap3rYSDh/bxxUwH9Aq1M6S&#10;hG/ysC7v7wrMlbvaHV32oWWxxPocJXQhDDnnvunIoJ+7gWzMjm40GOI5tlyNeI3lRvM0STJusLdx&#10;ocOBqo6a0/5sJLxW23fc1alZ/ejq5e24Gb4OnwspH2bT5hlYoCn8w/CnH9WhjE61O1vlmZaQZss0&#10;ojEQAlgEFol4AlZLWIoMeFnw2w/KXwAAAP//AwBQSwECLQAUAAYACAAAACEAtoM4kv4AAADhAQAA&#10;EwAAAAAAAAAAAAAAAAAAAAAAW0NvbnRlbnRfVHlwZXNdLnhtbFBLAQItABQABgAIAAAAIQA4/SH/&#10;1gAAAJQBAAALAAAAAAAAAAAAAAAAAC8BAABfcmVscy8ucmVsc1BLAQItABQABgAIAAAAIQBhpQ2D&#10;uAIAAMEFAAAOAAAAAAAAAAAAAAAAAC4CAABkcnMvZTJvRG9jLnhtbFBLAQItABQABgAIAAAAIQDT&#10;1qp44QAAAAkBAAAPAAAAAAAAAAAAAAAAABIFAABkcnMvZG93bnJldi54bWxQSwUGAAAAAAQABADz&#10;AAAAIAYAAAAA&#10;" filled="f" stroked="f" strokeweight=".5pt">
            <v:textbox>
              <w:txbxContent>
                <w:p w:rsidR="00B53FD7" w:rsidRPr="00CC174A" w:rsidRDefault="00B53FD7" w:rsidP="00DB7829">
                  <w:pPr>
                    <w:rPr>
                      <w:sz w:val="24"/>
                      <w:szCs w:val="24"/>
                    </w:rPr>
                  </w:pPr>
                  <w:r>
                    <w:rPr>
                      <w:sz w:val="24"/>
                      <w:szCs w:val="24"/>
                    </w:rPr>
                    <w:t>Ambulatory</w:t>
                  </w:r>
                  <w:r w:rsidRPr="00CC174A">
                    <w:rPr>
                      <w:sz w:val="24"/>
                      <w:szCs w:val="24"/>
                    </w:rPr>
                    <w:t xml:space="preserve"> care</w:t>
                  </w:r>
                </w:p>
              </w:txbxContent>
            </v:textbox>
          </v:shape>
        </w:pict>
      </w:r>
    </w:p>
    <w:p w:rsidR="00B53FD7" w:rsidRPr="007E2B9F" w:rsidRDefault="00B53FD7" w:rsidP="002A55D9">
      <w:pPr>
        <w:pStyle w:val="ListParagraph"/>
        <w:numPr>
          <w:ilvl w:val="0"/>
          <w:numId w:val="28"/>
        </w:numPr>
        <w:spacing w:after="0" w:line="480" w:lineRule="auto"/>
        <w:ind w:left="270" w:hanging="270"/>
        <w:rPr>
          <w:rFonts w:cs="Calibri"/>
          <w:b/>
          <w:sz w:val="24"/>
          <w:szCs w:val="24"/>
        </w:rPr>
      </w:pPr>
      <w:r w:rsidRPr="007E2B9F">
        <w:rPr>
          <w:rFonts w:cs="Calibri"/>
          <w:b/>
          <w:sz w:val="24"/>
          <w:szCs w:val="24"/>
        </w:rPr>
        <w:t>Estimation of Break-even Risk of Contracting Malaria in West Africa</w:t>
      </w:r>
    </w:p>
    <w:p w:rsidR="00B53FD7" w:rsidRPr="007E2B9F" w:rsidRDefault="00B53FD7" w:rsidP="002A55D9">
      <w:pPr>
        <w:spacing w:after="0" w:line="480" w:lineRule="auto"/>
        <w:rPr>
          <w:rFonts w:cs="Calibri"/>
          <w:sz w:val="24"/>
          <w:szCs w:val="24"/>
        </w:rPr>
      </w:pPr>
      <w:r>
        <w:rPr>
          <w:rFonts w:cs="Calibri"/>
          <w:sz w:val="24"/>
          <w:szCs w:val="24"/>
        </w:rPr>
        <w:t>The b</w:t>
      </w:r>
      <w:r w:rsidRPr="007E2B9F">
        <w:rPr>
          <w:rFonts w:cs="Calibri"/>
          <w:sz w:val="24"/>
          <w:szCs w:val="24"/>
        </w:rPr>
        <w:t xml:space="preserve">reak-even risk point </w:t>
      </w:r>
      <w:r>
        <w:rPr>
          <w:rFonts w:cs="Calibri"/>
          <w:sz w:val="24"/>
          <w:szCs w:val="24"/>
        </w:rPr>
        <w:t>is defined as the point at</w:t>
      </w:r>
      <w:r w:rsidRPr="007E2B9F">
        <w:rPr>
          <w:rFonts w:cs="Calibri"/>
          <w:sz w:val="24"/>
          <w:szCs w:val="24"/>
        </w:rPr>
        <w:t xml:space="preserve"> which net saving/cost is equal to zero</w:t>
      </w:r>
      <w:r>
        <w:rPr>
          <w:rFonts w:cs="Calibri"/>
          <w:sz w:val="24"/>
          <w:szCs w:val="24"/>
        </w:rPr>
        <w:t>:</w:t>
      </w:r>
    </w:p>
    <w:p w:rsidR="00B53FD7" w:rsidRPr="007E2B9F" w:rsidRDefault="00B53FD7" w:rsidP="002A55D9">
      <w:pPr>
        <w:spacing w:after="0" w:line="480" w:lineRule="auto"/>
        <w:ind w:left="360"/>
        <w:rPr>
          <w:rFonts w:cs="Calibri"/>
          <w:sz w:val="24"/>
          <w:szCs w:val="24"/>
        </w:rPr>
      </w:pPr>
      <w:r w:rsidRPr="007E2B9F">
        <w:rPr>
          <w:sz w:val="24"/>
          <w:szCs w:val="24"/>
        </w:rPr>
        <w:t>[($ of malaria treatment without pre-travel) – ($ of malaria treatment with pre-travel)] – ($ of pre-travel) = 0</w:t>
      </w:r>
    </w:p>
    <w:p w:rsidR="00B53FD7" w:rsidRPr="007E2B9F" w:rsidRDefault="00B53FD7" w:rsidP="002A55D9">
      <w:pPr>
        <w:spacing w:after="0" w:line="480" w:lineRule="auto"/>
        <w:rPr>
          <w:rFonts w:cs="Calibri"/>
          <w:sz w:val="24"/>
          <w:szCs w:val="24"/>
        </w:rPr>
      </w:pPr>
      <w:r w:rsidRPr="007E2B9F">
        <w:rPr>
          <w:sz w:val="24"/>
          <w:szCs w:val="24"/>
        </w:rPr>
        <w:t xml:space="preserve">where “$” denotes costs and “pre-travel” </w:t>
      </w:r>
      <w:r>
        <w:rPr>
          <w:sz w:val="24"/>
          <w:szCs w:val="24"/>
        </w:rPr>
        <w:t xml:space="preserve">denotes </w:t>
      </w:r>
      <w:r w:rsidRPr="007E2B9F">
        <w:rPr>
          <w:sz w:val="24"/>
          <w:szCs w:val="24"/>
        </w:rPr>
        <w:t>pre-travel health consultations.</w:t>
      </w:r>
    </w:p>
    <w:p w:rsidR="00B53FD7" w:rsidRPr="007E2B9F" w:rsidRDefault="00B53FD7" w:rsidP="002A55D9">
      <w:pPr>
        <w:spacing w:after="0" w:line="480" w:lineRule="auto"/>
        <w:rPr>
          <w:rFonts w:cs="Calibri"/>
          <w:sz w:val="24"/>
          <w:szCs w:val="24"/>
        </w:rPr>
      </w:pPr>
      <w:r w:rsidRPr="007E2B9F">
        <w:rPr>
          <w:rFonts w:cs="Calibri"/>
          <w:sz w:val="24"/>
          <w:szCs w:val="24"/>
        </w:rPr>
        <w:t>Given the assumption of complete adherence to malaria chemoprophylaxis regimens, the equation can be rewritten as</w:t>
      </w:r>
    </w:p>
    <w:p w:rsidR="00B53FD7" w:rsidRPr="007E2B9F" w:rsidRDefault="00B53FD7" w:rsidP="002A55D9">
      <w:pPr>
        <w:spacing w:after="0" w:line="480" w:lineRule="auto"/>
        <w:ind w:left="360"/>
        <w:rPr>
          <w:rFonts w:cs="Calibri"/>
          <w:sz w:val="24"/>
          <w:szCs w:val="24"/>
        </w:rPr>
      </w:pPr>
      <w:r w:rsidRPr="007E2B9F">
        <w:rPr>
          <w:sz w:val="24"/>
          <w:szCs w:val="24"/>
        </w:rPr>
        <w:t>($ of malaria treatment) x (risk of contracting malaria without chemoprophylaxis) – ($ of malaria treatment) x (risk of contracting malaria without chemoprophylaxis) x (1 – Efficacy of prophylaxis) = ($ of pre-travel)</w:t>
      </w:r>
    </w:p>
    <w:p w:rsidR="00B53FD7" w:rsidRPr="007E2B9F" w:rsidRDefault="00B53FD7" w:rsidP="002A55D9">
      <w:pPr>
        <w:spacing w:after="0" w:line="480" w:lineRule="auto"/>
        <w:rPr>
          <w:rFonts w:cs="Calibri"/>
          <w:sz w:val="24"/>
          <w:szCs w:val="24"/>
        </w:rPr>
      </w:pPr>
      <w:r w:rsidRPr="007E2B9F">
        <w:rPr>
          <w:rFonts w:cs="Calibri"/>
          <w:sz w:val="24"/>
          <w:szCs w:val="24"/>
        </w:rPr>
        <w:t>Factoring out the common components in the left side of the equation, we have</w:t>
      </w:r>
    </w:p>
    <w:p w:rsidR="00B53FD7" w:rsidRPr="007E2B9F" w:rsidRDefault="00B53FD7" w:rsidP="002A55D9">
      <w:pPr>
        <w:spacing w:after="0" w:line="480" w:lineRule="auto"/>
        <w:ind w:left="360"/>
        <w:rPr>
          <w:rFonts w:cs="Calibri"/>
          <w:sz w:val="24"/>
          <w:szCs w:val="24"/>
        </w:rPr>
      </w:pPr>
      <w:r w:rsidRPr="007E2B9F">
        <w:rPr>
          <w:sz w:val="24"/>
          <w:szCs w:val="24"/>
        </w:rPr>
        <w:t>($ of malaria treatment) x (risk of contracting malaria without chemoprophylaxis) x (Efficacy of prophylaxis) = ($ of pre-travel)</w:t>
      </w:r>
    </w:p>
    <w:p w:rsidR="00B53FD7" w:rsidRPr="007E2B9F" w:rsidRDefault="00B53FD7" w:rsidP="002A55D9">
      <w:pPr>
        <w:spacing w:after="0" w:line="480" w:lineRule="auto"/>
        <w:rPr>
          <w:rFonts w:cs="Calibri"/>
          <w:sz w:val="24"/>
          <w:szCs w:val="24"/>
        </w:rPr>
      </w:pPr>
      <w:r w:rsidRPr="007E2B9F">
        <w:rPr>
          <w:rFonts w:cs="Calibri"/>
          <w:sz w:val="24"/>
          <w:szCs w:val="24"/>
        </w:rPr>
        <w:t>Solving the equation for the risk of contracting malaria, we get</w:t>
      </w:r>
    </w:p>
    <w:p w:rsidR="00B53FD7" w:rsidRPr="007E2B9F" w:rsidRDefault="00B53FD7" w:rsidP="002A55D9">
      <w:pPr>
        <w:spacing w:after="0" w:line="480" w:lineRule="auto"/>
        <w:ind w:left="360"/>
        <w:rPr>
          <w:sz w:val="24"/>
          <w:szCs w:val="24"/>
        </w:rPr>
      </w:pPr>
      <w:r w:rsidRPr="007E2B9F">
        <w:rPr>
          <w:sz w:val="24"/>
          <w:szCs w:val="24"/>
        </w:rPr>
        <w:t>(Break-even risk of contracting malaria without chemoprophylaxis) =</w:t>
      </w:r>
    </w:p>
    <w:p w:rsidR="00B53FD7" w:rsidRPr="007E2B9F" w:rsidRDefault="00B53FD7" w:rsidP="002A55D9">
      <w:pPr>
        <w:spacing w:after="0" w:line="480" w:lineRule="auto"/>
        <w:ind w:left="1800" w:firstLine="360"/>
        <w:rPr>
          <w:rFonts w:cs="Calibri"/>
          <w:sz w:val="24"/>
          <w:szCs w:val="24"/>
        </w:rPr>
      </w:pPr>
      <w:r w:rsidRPr="007E2B9F">
        <w:rPr>
          <w:sz w:val="24"/>
          <w:szCs w:val="24"/>
        </w:rPr>
        <w:t>($ of pre-travel)</w:t>
      </w:r>
      <w:r>
        <w:rPr>
          <w:sz w:val="24"/>
          <w:szCs w:val="24"/>
        </w:rPr>
        <w:t xml:space="preserve"> </w:t>
      </w:r>
      <w:r w:rsidRPr="007E2B9F">
        <w:rPr>
          <w:sz w:val="24"/>
          <w:szCs w:val="24"/>
        </w:rPr>
        <w:t>/</w:t>
      </w:r>
      <w:r>
        <w:rPr>
          <w:sz w:val="24"/>
          <w:szCs w:val="24"/>
        </w:rPr>
        <w:t xml:space="preserve"> </w:t>
      </w:r>
      <w:r w:rsidRPr="007E2B9F">
        <w:rPr>
          <w:sz w:val="24"/>
          <w:szCs w:val="24"/>
        </w:rPr>
        <w:t>[($ of malaria treatment) x (Efficacy of prophylaxis)]</w:t>
      </w:r>
    </w:p>
    <w:p w:rsidR="00B53FD7" w:rsidRPr="007E2B9F" w:rsidRDefault="00B53FD7" w:rsidP="0038479A">
      <w:pPr>
        <w:spacing w:after="0" w:line="480" w:lineRule="auto"/>
        <w:rPr>
          <w:rFonts w:cs="Calibri"/>
          <w:sz w:val="24"/>
          <w:szCs w:val="24"/>
        </w:rPr>
      </w:pPr>
      <w:r w:rsidRPr="007E2B9F">
        <w:rPr>
          <w:rFonts w:cs="Calibri"/>
          <w:sz w:val="24"/>
          <w:szCs w:val="24"/>
        </w:rPr>
        <w:br w:type="page"/>
      </w:r>
    </w:p>
    <w:p w:rsidR="00B53FD7" w:rsidRPr="007E2B9F" w:rsidRDefault="00B53FD7" w:rsidP="00E172F9">
      <w:pPr>
        <w:spacing w:after="0"/>
        <w:rPr>
          <w:b/>
          <w:sz w:val="24"/>
          <w:szCs w:val="24"/>
        </w:rPr>
      </w:pPr>
      <w:r w:rsidRPr="007E2B9F">
        <w:rPr>
          <w:b/>
          <w:sz w:val="24"/>
          <w:szCs w:val="24"/>
        </w:rPr>
        <w:t xml:space="preserve">Table A1. Median Planned Length of Travel and Frequency of Malaria Chemoprophylaxis Prescribed among Travelers to West Africa in the </w:t>
      </w:r>
      <w:r>
        <w:rPr>
          <w:b/>
          <w:sz w:val="24"/>
          <w:szCs w:val="24"/>
        </w:rPr>
        <w:t xml:space="preserve">GTEN </w:t>
      </w:r>
      <w:r w:rsidRPr="007E2B9F">
        <w:rPr>
          <w:b/>
          <w:sz w:val="24"/>
          <w:szCs w:val="24"/>
        </w:rPr>
        <w:t>Data</w:t>
      </w:r>
      <w:r>
        <w:rPr>
          <w:b/>
          <w:sz w:val="24"/>
          <w:szCs w:val="24"/>
        </w:rPr>
        <w:t xml:space="preserve"> S</w:t>
      </w:r>
      <w:r w:rsidRPr="007E2B9F">
        <w:rPr>
          <w:b/>
          <w:sz w:val="24"/>
          <w:szCs w:val="24"/>
        </w:rPr>
        <w:t>et</w:t>
      </w:r>
      <w:r w:rsidRPr="007E2B9F">
        <w:rPr>
          <w:b/>
          <w:sz w:val="24"/>
          <w:szCs w:val="24"/>
          <w:vertAlign w:val="superscript"/>
        </w:rPr>
        <w:t>a</w:t>
      </w:r>
    </w:p>
    <w:tbl>
      <w:tblPr>
        <w:tblW w:w="8742" w:type="dxa"/>
        <w:tblInd w:w="96" w:type="dxa"/>
        <w:tblLayout w:type="fixed"/>
        <w:tblLook w:val="00A0"/>
      </w:tblPr>
      <w:tblGrid>
        <w:gridCol w:w="2429"/>
        <w:gridCol w:w="1578"/>
        <w:gridCol w:w="1578"/>
        <w:gridCol w:w="1717"/>
        <w:gridCol w:w="1440"/>
      </w:tblGrid>
      <w:tr w:rsidR="00B53FD7" w:rsidRPr="007E2B9F" w:rsidTr="006714E5">
        <w:trPr>
          <w:trHeight w:val="300"/>
        </w:trPr>
        <w:tc>
          <w:tcPr>
            <w:tcW w:w="2429" w:type="dxa"/>
            <w:tcBorders>
              <w:top w:val="single" w:sz="4" w:space="0" w:color="auto"/>
              <w:left w:val="nil"/>
            </w:tcBorders>
            <w:noWrap/>
            <w:vAlign w:val="bottom"/>
          </w:tcPr>
          <w:p w:rsidR="00B53FD7" w:rsidRPr="007E2B9F" w:rsidRDefault="00B53FD7" w:rsidP="006714E5">
            <w:pPr>
              <w:spacing w:after="0" w:line="240" w:lineRule="auto"/>
              <w:rPr>
                <w:rFonts w:eastAsia="Times New Roman"/>
                <w:b/>
                <w:color w:val="000000"/>
                <w:sz w:val="24"/>
                <w:szCs w:val="24"/>
              </w:rPr>
            </w:pPr>
          </w:p>
        </w:tc>
        <w:tc>
          <w:tcPr>
            <w:tcW w:w="6313" w:type="dxa"/>
            <w:gridSpan w:val="4"/>
            <w:tcBorders>
              <w:top w:val="single" w:sz="4" w:space="0" w:color="auto"/>
              <w:bottom w:val="single" w:sz="4" w:space="0" w:color="auto"/>
            </w:tcBorders>
          </w:tcPr>
          <w:p w:rsidR="00B53FD7" w:rsidRPr="007E2B9F" w:rsidRDefault="00B53FD7" w:rsidP="006714E5">
            <w:pPr>
              <w:spacing w:after="0" w:line="240" w:lineRule="auto"/>
              <w:jc w:val="center"/>
              <w:rPr>
                <w:rFonts w:eastAsia="Times New Roman"/>
                <w:b/>
                <w:color w:val="000000"/>
                <w:sz w:val="24"/>
                <w:szCs w:val="24"/>
              </w:rPr>
            </w:pPr>
            <w:r w:rsidRPr="007E2B9F">
              <w:rPr>
                <w:rFonts w:eastAsia="Times New Roman"/>
                <w:b/>
                <w:color w:val="000000"/>
                <w:sz w:val="24"/>
                <w:szCs w:val="24"/>
              </w:rPr>
              <w:t>Purpose of Travel</w:t>
            </w:r>
            <w:r w:rsidRPr="007E2B9F">
              <w:rPr>
                <w:rFonts w:eastAsia="Times New Roman"/>
                <w:b/>
                <w:color w:val="000000"/>
                <w:sz w:val="24"/>
                <w:szCs w:val="24"/>
                <w:vertAlign w:val="superscript"/>
              </w:rPr>
              <w:t>b</w:t>
            </w:r>
          </w:p>
        </w:tc>
      </w:tr>
      <w:tr w:rsidR="00B53FD7" w:rsidRPr="007E2B9F" w:rsidTr="006714E5">
        <w:trPr>
          <w:trHeight w:val="300"/>
        </w:trPr>
        <w:tc>
          <w:tcPr>
            <w:tcW w:w="2429" w:type="dxa"/>
            <w:tcBorders>
              <w:left w:val="nil"/>
              <w:bottom w:val="single" w:sz="4" w:space="0" w:color="auto"/>
            </w:tcBorders>
            <w:noWrap/>
            <w:vAlign w:val="bottom"/>
          </w:tcPr>
          <w:p w:rsidR="00B53FD7" w:rsidRPr="007E2B9F" w:rsidRDefault="00B53FD7" w:rsidP="006714E5">
            <w:pPr>
              <w:spacing w:after="0" w:line="240" w:lineRule="auto"/>
              <w:rPr>
                <w:rFonts w:eastAsia="Times New Roman"/>
                <w:b/>
                <w:color w:val="000000"/>
                <w:sz w:val="24"/>
                <w:szCs w:val="24"/>
              </w:rPr>
            </w:pPr>
          </w:p>
        </w:tc>
        <w:tc>
          <w:tcPr>
            <w:tcW w:w="1578" w:type="dxa"/>
            <w:tcBorders>
              <w:top w:val="single" w:sz="4" w:space="0" w:color="auto"/>
              <w:bottom w:val="single" w:sz="4" w:space="0" w:color="auto"/>
            </w:tcBorders>
            <w:vAlign w:val="bottom"/>
          </w:tcPr>
          <w:p w:rsidR="00B53FD7" w:rsidRPr="007E2B9F" w:rsidRDefault="00B53FD7" w:rsidP="006714E5">
            <w:pPr>
              <w:spacing w:after="0" w:line="240" w:lineRule="auto"/>
              <w:jc w:val="center"/>
              <w:rPr>
                <w:rFonts w:eastAsia="Times New Roman"/>
                <w:b/>
                <w:color w:val="000000"/>
                <w:sz w:val="24"/>
                <w:szCs w:val="24"/>
              </w:rPr>
            </w:pPr>
            <w:r w:rsidRPr="007E2B9F">
              <w:rPr>
                <w:rFonts w:eastAsia="Times New Roman"/>
                <w:b/>
                <w:color w:val="000000"/>
                <w:sz w:val="24"/>
                <w:szCs w:val="24"/>
              </w:rPr>
              <w:t>Business</w:t>
            </w:r>
          </w:p>
        </w:tc>
        <w:tc>
          <w:tcPr>
            <w:tcW w:w="1578" w:type="dxa"/>
            <w:tcBorders>
              <w:top w:val="single" w:sz="4" w:space="0" w:color="auto"/>
              <w:bottom w:val="single" w:sz="4" w:space="0" w:color="auto"/>
            </w:tcBorders>
            <w:noWrap/>
            <w:vAlign w:val="bottom"/>
          </w:tcPr>
          <w:p w:rsidR="00B53FD7" w:rsidRPr="007E2B9F" w:rsidRDefault="00B53FD7" w:rsidP="006714E5">
            <w:pPr>
              <w:spacing w:after="0" w:line="240" w:lineRule="auto"/>
              <w:jc w:val="center"/>
              <w:rPr>
                <w:rFonts w:eastAsia="Times New Roman"/>
                <w:b/>
                <w:color w:val="000000"/>
                <w:sz w:val="24"/>
                <w:szCs w:val="24"/>
              </w:rPr>
            </w:pPr>
            <w:r w:rsidRPr="007E2B9F">
              <w:rPr>
                <w:rFonts w:eastAsia="Times New Roman"/>
                <w:b/>
                <w:color w:val="000000"/>
                <w:sz w:val="24"/>
                <w:szCs w:val="24"/>
              </w:rPr>
              <w:t>Leisure</w:t>
            </w:r>
          </w:p>
        </w:tc>
        <w:tc>
          <w:tcPr>
            <w:tcW w:w="1717" w:type="dxa"/>
            <w:tcBorders>
              <w:top w:val="single" w:sz="4" w:space="0" w:color="auto"/>
              <w:bottom w:val="single" w:sz="4" w:space="0" w:color="auto"/>
            </w:tcBorders>
            <w:noWrap/>
            <w:vAlign w:val="bottom"/>
          </w:tcPr>
          <w:p w:rsidR="00B53FD7" w:rsidRPr="007E2B9F" w:rsidRDefault="00B53FD7" w:rsidP="006714E5">
            <w:pPr>
              <w:spacing w:after="0" w:line="240" w:lineRule="auto"/>
              <w:jc w:val="center"/>
              <w:rPr>
                <w:rFonts w:eastAsia="Times New Roman"/>
                <w:b/>
                <w:color w:val="000000"/>
                <w:sz w:val="24"/>
                <w:szCs w:val="24"/>
              </w:rPr>
            </w:pPr>
            <w:r w:rsidRPr="007E2B9F">
              <w:rPr>
                <w:rFonts w:eastAsia="Times New Roman"/>
                <w:b/>
                <w:color w:val="000000"/>
                <w:sz w:val="24"/>
                <w:szCs w:val="24"/>
              </w:rPr>
              <w:t>All purposes</w:t>
            </w:r>
          </w:p>
        </w:tc>
        <w:tc>
          <w:tcPr>
            <w:tcW w:w="1440" w:type="dxa"/>
            <w:tcBorders>
              <w:top w:val="single" w:sz="4" w:space="0" w:color="auto"/>
              <w:bottom w:val="single" w:sz="4" w:space="0" w:color="auto"/>
              <w:right w:val="nil"/>
            </w:tcBorders>
            <w:noWrap/>
            <w:vAlign w:val="bottom"/>
          </w:tcPr>
          <w:p w:rsidR="00B53FD7" w:rsidRPr="007E2B9F" w:rsidRDefault="00B53FD7" w:rsidP="006714E5">
            <w:pPr>
              <w:spacing w:after="0" w:line="240" w:lineRule="auto"/>
              <w:jc w:val="center"/>
              <w:rPr>
                <w:rFonts w:eastAsia="Times New Roman"/>
                <w:b/>
                <w:color w:val="000000"/>
                <w:sz w:val="24"/>
                <w:szCs w:val="24"/>
              </w:rPr>
            </w:pPr>
            <w:r w:rsidRPr="007E2B9F">
              <w:rPr>
                <w:rFonts w:eastAsia="Times New Roman"/>
                <w:b/>
                <w:color w:val="000000"/>
                <w:sz w:val="24"/>
                <w:szCs w:val="24"/>
              </w:rPr>
              <w:t>VFR</w:t>
            </w:r>
            <w:r w:rsidRPr="007E2B9F">
              <w:rPr>
                <w:rFonts w:eastAsia="Times New Roman"/>
                <w:b/>
                <w:color w:val="000000"/>
                <w:sz w:val="24"/>
                <w:szCs w:val="24"/>
                <w:vertAlign w:val="superscript"/>
              </w:rPr>
              <w:t>b</w:t>
            </w:r>
          </w:p>
        </w:tc>
      </w:tr>
      <w:tr w:rsidR="00B53FD7" w:rsidRPr="007E2B9F" w:rsidTr="006714E5">
        <w:trPr>
          <w:trHeight w:val="300"/>
        </w:trPr>
        <w:tc>
          <w:tcPr>
            <w:tcW w:w="2429" w:type="dxa"/>
            <w:tcBorders>
              <w:top w:val="nil"/>
              <w:left w:val="nil"/>
              <w:bottom w:val="nil"/>
            </w:tcBorders>
            <w:noWrap/>
            <w:vAlign w:val="bottom"/>
          </w:tcPr>
          <w:p w:rsidR="00B53FD7" w:rsidRPr="007E2B9F" w:rsidRDefault="00B53FD7" w:rsidP="006714E5">
            <w:pPr>
              <w:spacing w:after="120" w:line="240" w:lineRule="auto"/>
              <w:rPr>
                <w:rFonts w:eastAsia="Times New Roman"/>
                <w:color w:val="000000"/>
                <w:sz w:val="24"/>
                <w:szCs w:val="24"/>
              </w:rPr>
            </w:pPr>
            <w:r w:rsidRPr="007E2B9F">
              <w:rPr>
                <w:rFonts w:eastAsia="Times New Roman"/>
                <w:color w:val="000000"/>
                <w:sz w:val="24"/>
                <w:szCs w:val="24"/>
              </w:rPr>
              <w:t>Median planned length of travel</w:t>
            </w:r>
          </w:p>
        </w:tc>
        <w:tc>
          <w:tcPr>
            <w:tcW w:w="1578" w:type="dxa"/>
            <w:tcBorders>
              <w:top w:val="nil"/>
              <w:bottom w:val="nil"/>
            </w:tcBorders>
            <w:vAlign w:val="center"/>
          </w:tcPr>
          <w:p w:rsidR="00B53FD7" w:rsidRPr="007E2B9F" w:rsidRDefault="00B53FD7" w:rsidP="006714E5">
            <w:pPr>
              <w:spacing w:after="120" w:line="240" w:lineRule="auto"/>
              <w:ind w:right="17"/>
              <w:jc w:val="center"/>
              <w:rPr>
                <w:rFonts w:eastAsia="Times New Roman"/>
                <w:color w:val="000000"/>
                <w:sz w:val="24"/>
                <w:szCs w:val="24"/>
              </w:rPr>
            </w:pPr>
            <w:r w:rsidRPr="007E2B9F">
              <w:rPr>
                <w:rFonts w:eastAsia="Times New Roman"/>
                <w:color w:val="000000"/>
                <w:sz w:val="24"/>
                <w:szCs w:val="24"/>
              </w:rPr>
              <w:t>9 days</w:t>
            </w:r>
          </w:p>
        </w:tc>
        <w:tc>
          <w:tcPr>
            <w:tcW w:w="1578" w:type="dxa"/>
            <w:tcBorders>
              <w:top w:val="nil"/>
              <w:bottom w:val="nil"/>
            </w:tcBorders>
            <w:noWrap/>
            <w:vAlign w:val="center"/>
          </w:tcPr>
          <w:p w:rsidR="00B53FD7" w:rsidRPr="007E2B9F" w:rsidRDefault="00B53FD7" w:rsidP="006714E5">
            <w:pPr>
              <w:spacing w:after="120" w:line="240" w:lineRule="auto"/>
              <w:jc w:val="center"/>
              <w:rPr>
                <w:rFonts w:eastAsia="Times New Roman"/>
                <w:color w:val="000000"/>
                <w:sz w:val="24"/>
                <w:szCs w:val="24"/>
              </w:rPr>
            </w:pPr>
            <w:r w:rsidRPr="007E2B9F">
              <w:rPr>
                <w:rFonts w:eastAsia="Times New Roman"/>
                <w:color w:val="000000"/>
                <w:sz w:val="24"/>
                <w:szCs w:val="24"/>
              </w:rPr>
              <w:t>14 days</w:t>
            </w:r>
          </w:p>
        </w:tc>
        <w:tc>
          <w:tcPr>
            <w:tcW w:w="1717" w:type="dxa"/>
            <w:tcBorders>
              <w:top w:val="nil"/>
              <w:bottom w:val="nil"/>
            </w:tcBorders>
            <w:noWrap/>
            <w:vAlign w:val="center"/>
          </w:tcPr>
          <w:p w:rsidR="00B53FD7" w:rsidRPr="007E2B9F" w:rsidRDefault="00B53FD7" w:rsidP="006714E5">
            <w:pPr>
              <w:spacing w:after="120" w:line="240" w:lineRule="auto"/>
              <w:jc w:val="center"/>
              <w:rPr>
                <w:rFonts w:eastAsia="Times New Roman"/>
                <w:color w:val="000000"/>
                <w:sz w:val="24"/>
                <w:szCs w:val="24"/>
              </w:rPr>
            </w:pPr>
            <w:r w:rsidRPr="007E2B9F">
              <w:rPr>
                <w:rFonts w:eastAsia="Times New Roman"/>
                <w:color w:val="000000"/>
                <w:sz w:val="24"/>
                <w:szCs w:val="24"/>
              </w:rPr>
              <w:t>21 days</w:t>
            </w:r>
          </w:p>
        </w:tc>
        <w:tc>
          <w:tcPr>
            <w:tcW w:w="1440" w:type="dxa"/>
            <w:tcBorders>
              <w:top w:val="nil"/>
              <w:bottom w:val="nil"/>
              <w:right w:val="nil"/>
            </w:tcBorders>
            <w:noWrap/>
            <w:vAlign w:val="center"/>
          </w:tcPr>
          <w:p w:rsidR="00B53FD7" w:rsidRPr="007E2B9F" w:rsidRDefault="00B53FD7" w:rsidP="006714E5">
            <w:pPr>
              <w:spacing w:after="120" w:line="240" w:lineRule="auto"/>
              <w:jc w:val="center"/>
              <w:rPr>
                <w:rFonts w:eastAsia="Times New Roman"/>
                <w:color w:val="000000"/>
                <w:sz w:val="24"/>
                <w:szCs w:val="24"/>
              </w:rPr>
            </w:pPr>
            <w:r w:rsidRPr="007E2B9F">
              <w:rPr>
                <w:rFonts w:eastAsia="Times New Roman"/>
                <w:color w:val="000000"/>
                <w:sz w:val="24"/>
                <w:szCs w:val="24"/>
              </w:rPr>
              <w:t>30 days</w:t>
            </w:r>
          </w:p>
        </w:tc>
      </w:tr>
      <w:tr w:rsidR="00B53FD7" w:rsidRPr="007E2B9F" w:rsidTr="006714E5">
        <w:trPr>
          <w:trHeight w:val="300"/>
        </w:trPr>
        <w:tc>
          <w:tcPr>
            <w:tcW w:w="8742" w:type="dxa"/>
            <w:gridSpan w:val="5"/>
            <w:tcBorders>
              <w:top w:val="nil"/>
              <w:left w:val="nil"/>
              <w:bottom w:val="nil"/>
            </w:tcBorders>
            <w:noWrap/>
            <w:vAlign w:val="bottom"/>
          </w:tcPr>
          <w:p w:rsidR="00B53FD7" w:rsidRPr="007E2B9F" w:rsidRDefault="00B53FD7" w:rsidP="00680DF2">
            <w:pPr>
              <w:spacing w:after="120" w:line="240" w:lineRule="auto"/>
              <w:ind w:right="288"/>
              <w:rPr>
                <w:rFonts w:eastAsia="Times New Roman"/>
                <w:color w:val="000000"/>
                <w:sz w:val="24"/>
                <w:szCs w:val="24"/>
              </w:rPr>
            </w:pPr>
            <w:r>
              <w:rPr>
                <w:rFonts w:eastAsia="Times New Roman"/>
                <w:color w:val="000000"/>
                <w:sz w:val="24"/>
                <w:szCs w:val="24"/>
              </w:rPr>
              <w:t>Prescription f</w:t>
            </w:r>
            <w:r w:rsidRPr="007E2B9F">
              <w:rPr>
                <w:rFonts w:eastAsia="Times New Roman"/>
                <w:color w:val="000000"/>
                <w:sz w:val="24"/>
                <w:szCs w:val="24"/>
              </w:rPr>
              <w:t>requency</w:t>
            </w:r>
            <w:r w:rsidRPr="007E2B9F">
              <w:rPr>
                <w:rFonts w:eastAsia="Times New Roman"/>
                <w:color w:val="000000"/>
                <w:sz w:val="24"/>
                <w:szCs w:val="24"/>
                <w:vertAlign w:val="superscript"/>
              </w:rPr>
              <w:t>c</w:t>
            </w:r>
          </w:p>
        </w:tc>
      </w:tr>
      <w:tr w:rsidR="00B53FD7" w:rsidRPr="007E2B9F" w:rsidTr="006714E5">
        <w:trPr>
          <w:trHeight w:val="300"/>
        </w:trPr>
        <w:tc>
          <w:tcPr>
            <w:tcW w:w="2429" w:type="dxa"/>
            <w:tcBorders>
              <w:top w:val="nil"/>
              <w:left w:val="nil"/>
              <w:bottom w:val="nil"/>
            </w:tcBorders>
            <w:noWrap/>
            <w:vAlign w:val="bottom"/>
          </w:tcPr>
          <w:p w:rsidR="00B53FD7" w:rsidRPr="007E2B9F" w:rsidRDefault="00B53FD7" w:rsidP="006714E5">
            <w:pPr>
              <w:spacing w:after="120" w:line="240" w:lineRule="auto"/>
              <w:rPr>
                <w:rFonts w:eastAsia="Times New Roman"/>
                <w:color w:val="000000"/>
                <w:sz w:val="24"/>
                <w:szCs w:val="24"/>
              </w:rPr>
            </w:pPr>
            <w:r w:rsidRPr="007E2B9F">
              <w:rPr>
                <w:rFonts w:eastAsia="Times New Roman"/>
                <w:color w:val="000000"/>
                <w:sz w:val="24"/>
                <w:szCs w:val="24"/>
              </w:rPr>
              <w:t>Atovaquone/proguanil</w:t>
            </w:r>
          </w:p>
        </w:tc>
        <w:tc>
          <w:tcPr>
            <w:tcW w:w="1578" w:type="dxa"/>
            <w:tcBorders>
              <w:top w:val="nil"/>
              <w:bottom w:val="nil"/>
            </w:tcBorders>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85.2%</w:t>
            </w:r>
          </w:p>
        </w:tc>
        <w:tc>
          <w:tcPr>
            <w:tcW w:w="1578" w:type="dxa"/>
            <w:tcBorders>
              <w:top w:val="nil"/>
              <w:bottom w:val="nil"/>
            </w:tcBorders>
            <w:noWrap/>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75.8%</w:t>
            </w:r>
          </w:p>
        </w:tc>
        <w:tc>
          <w:tcPr>
            <w:tcW w:w="1717" w:type="dxa"/>
            <w:tcBorders>
              <w:top w:val="nil"/>
              <w:bottom w:val="nil"/>
            </w:tcBorders>
            <w:noWrap/>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59.2%</w:t>
            </w:r>
          </w:p>
        </w:tc>
        <w:tc>
          <w:tcPr>
            <w:tcW w:w="1440" w:type="dxa"/>
            <w:tcBorders>
              <w:top w:val="nil"/>
              <w:bottom w:val="nil"/>
              <w:right w:val="nil"/>
            </w:tcBorders>
            <w:noWrap/>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28.6%</w:t>
            </w:r>
          </w:p>
        </w:tc>
      </w:tr>
      <w:tr w:rsidR="00B53FD7" w:rsidRPr="007E2B9F" w:rsidTr="006714E5">
        <w:trPr>
          <w:trHeight w:val="300"/>
        </w:trPr>
        <w:tc>
          <w:tcPr>
            <w:tcW w:w="2429" w:type="dxa"/>
            <w:tcBorders>
              <w:top w:val="nil"/>
              <w:left w:val="nil"/>
            </w:tcBorders>
            <w:noWrap/>
            <w:vAlign w:val="bottom"/>
          </w:tcPr>
          <w:p w:rsidR="00B53FD7" w:rsidRPr="007E2B9F" w:rsidRDefault="00B53FD7" w:rsidP="006714E5">
            <w:pPr>
              <w:spacing w:after="120" w:line="240" w:lineRule="auto"/>
              <w:rPr>
                <w:rFonts w:eastAsia="Times New Roman"/>
                <w:color w:val="000000"/>
                <w:sz w:val="24"/>
                <w:szCs w:val="24"/>
              </w:rPr>
            </w:pPr>
            <w:r w:rsidRPr="007E2B9F">
              <w:rPr>
                <w:rFonts w:eastAsia="Times New Roman"/>
                <w:color w:val="000000"/>
                <w:sz w:val="24"/>
                <w:szCs w:val="24"/>
              </w:rPr>
              <w:t>Doxycycline</w:t>
            </w:r>
          </w:p>
        </w:tc>
        <w:tc>
          <w:tcPr>
            <w:tcW w:w="1578" w:type="dxa"/>
            <w:tcBorders>
              <w:top w:val="nil"/>
            </w:tcBorders>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6.6%</w:t>
            </w:r>
          </w:p>
        </w:tc>
        <w:tc>
          <w:tcPr>
            <w:tcW w:w="1578" w:type="dxa"/>
            <w:tcBorders>
              <w:top w:val="nil"/>
            </w:tcBorders>
            <w:noWrap/>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3.0%</w:t>
            </w:r>
          </w:p>
        </w:tc>
        <w:tc>
          <w:tcPr>
            <w:tcW w:w="1717" w:type="dxa"/>
            <w:tcBorders>
              <w:top w:val="nil"/>
            </w:tcBorders>
            <w:noWrap/>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6.1%</w:t>
            </w:r>
          </w:p>
        </w:tc>
        <w:tc>
          <w:tcPr>
            <w:tcW w:w="1440" w:type="dxa"/>
            <w:tcBorders>
              <w:top w:val="nil"/>
              <w:right w:val="nil"/>
            </w:tcBorders>
            <w:noWrap/>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6.5%</w:t>
            </w:r>
          </w:p>
        </w:tc>
      </w:tr>
      <w:tr w:rsidR="00B53FD7" w:rsidRPr="007E2B9F" w:rsidTr="006714E5">
        <w:trPr>
          <w:trHeight w:val="300"/>
        </w:trPr>
        <w:tc>
          <w:tcPr>
            <w:tcW w:w="2429" w:type="dxa"/>
            <w:tcBorders>
              <w:top w:val="nil"/>
              <w:left w:val="nil"/>
              <w:bottom w:val="single" w:sz="4" w:space="0" w:color="auto"/>
            </w:tcBorders>
            <w:noWrap/>
            <w:vAlign w:val="bottom"/>
          </w:tcPr>
          <w:p w:rsidR="00B53FD7" w:rsidRPr="007E2B9F" w:rsidRDefault="00B53FD7" w:rsidP="006714E5">
            <w:pPr>
              <w:spacing w:after="120" w:line="240" w:lineRule="auto"/>
              <w:rPr>
                <w:rFonts w:eastAsia="Times New Roman"/>
                <w:color w:val="000000"/>
                <w:sz w:val="24"/>
                <w:szCs w:val="24"/>
              </w:rPr>
            </w:pPr>
            <w:r w:rsidRPr="007E2B9F">
              <w:rPr>
                <w:rFonts w:eastAsia="Times New Roman"/>
                <w:color w:val="000000"/>
                <w:sz w:val="24"/>
                <w:szCs w:val="24"/>
              </w:rPr>
              <w:t>Mefloquine</w:t>
            </w:r>
          </w:p>
        </w:tc>
        <w:tc>
          <w:tcPr>
            <w:tcW w:w="1578" w:type="dxa"/>
            <w:tcBorders>
              <w:top w:val="nil"/>
              <w:bottom w:val="single" w:sz="4" w:space="0" w:color="auto"/>
            </w:tcBorders>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8.2%</w:t>
            </w:r>
          </w:p>
        </w:tc>
        <w:tc>
          <w:tcPr>
            <w:tcW w:w="1578" w:type="dxa"/>
            <w:tcBorders>
              <w:top w:val="nil"/>
              <w:bottom w:val="single" w:sz="4" w:space="0" w:color="auto"/>
            </w:tcBorders>
            <w:noWrap/>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21.2%</w:t>
            </w:r>
          </w:p>
        </w:tc>
        <w:tc>
          <w:tcPr>
            <w:tcW w:w="1717" w:type="dxa"/>
            <w:tcBorders>
              <w:top w:val="nil"/>
              <w:bottom w:val="single" w:sz="4" w:space="0" w:color="auto"/>
            </w:tcBorders>
            <w:noWrap/>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34.7%</w:t>
            </w:r>
          </w:p>
        </w:tc>
        <w:tc>
          <w:tcPr>
            <w:tcW w:w="1440" w:type="dxa"/>
            <w:tcBorders>
              <w:top w:val="nil"/>
              <w:bottom w:val="single" w:sz="4" w:space="0" w:color="auto"/>
              <w:right w:val="nil"/>
            </w:tcBorders>
            <w:noWrap/>
          </w:tcPr>
          <w:p w:rsidR="00B53FD7" w:rsidRPr="007E2B9F" w:rsidRDefault="00B53FD7" w:rsidP="006714E5">
            <w:pPr>
              <w:spacing w:after="120" w:line="240" w:lineRule="auto"/>
              <w:ind w:right="288"/>
              <w:jc w:val="right"/>
              <w:rPr>
                <w:rFonts w:eastAsia="Times New Roman"/>
                <w:color w:val="000000"/>
                <w:sz w:val="24"/>
                <w:szCs w:val="24"/>
              </w:rPr>
            </w:pPr>
            <w:r w:rsidRPr="007E2B9F">
              <w:rPr>
                <w:rFonts w:eastAsia="Times New Roman"/>
                <w:color w:val="000000"/>
                <w:sz w:val="24"/>
                <w:szCs w:val="24"/>
              </w:rPr>
              <w:t>64.9%</w:t>
            </w:r>
          </w:p>
        </w:tc>
      </w:tr>
    </w:tbl>
    <w:p w:rsidR="00B53FD7" w:rsidRPr="007E2B9F" w:rsidRDefault="00B53FD7" w:rsidP="00752A4D">
      <w:pPr>
        <w:spacing w:after="0" w:line="480" w:lineRule="auto"/>
        <w:rPr>
          <w:sz w:val="20"/>
          <w:szCs w:val="20"/>
        </w:rPr>
      </w:pPr>
      <w:r w:rsidRPr="007E2B9F">
        <w:rPr>
          <w:sz w:val="20"/>
          <w:szCs w:val="20"/>
          <w:vertAlign w:val="superscript"/>
        </w:rPr>
        <w:t>a</w:t>
      </w:r>
      <w:r>
        <w:rPr>
          <w:sz w:val="20"/>
          <w:szCs w:val="20"/>
          <w:vertAlign w:val="superscript"/>
        </w:rPr>
        <w:t xml:space="preserve"> </w:t>
      </w:r>
      <w:r w:rsidRPr="007E2B9F">
        <w:rPr>
          <w:sz w:val="20"/>
          <w:szCs w:val="20"/>
        </w:rPr>
        <w:t>West Africa included Benin, Burkina Faso, Cape Verde, C</w:t>
      </w:r>
      <w:r w:rsidRPr="007E2B9F">
        <w:rPr>
          <w:rFonts w:cs="Calibri"/>
          <w:sz w:val="20"/>
          <w:szCs w:val="20"/>
        </w:rPr>
        <w:t>ô</w:t>
      </w:r>
      <w:r w:rsidRPr="007E2B9F">
        <w:rPr>
          <w:sz w:val="20"/>
          <w:szCs w:val="20"/>
        </w:rPr>
        <w:t>te d’Ivoire, The Gambia, Ghana, Guinea, Guinea-Bissau, Liberia, Mali, Mauritania, Niger, Nigeria, S</w:t>
      </w:r>
      <w:r w:rsidRPr="007E2B9F">
        <w:rPr>
          <w:rFonts w:cs="Calibri"/>
          <w:sz w:val="20"/>
          <w:szCs w:val="20"/>
        </w:rPr>
        <w:t>ã</w:t>
      </w:r>
      <w:r w:rsidRPr="007E2B9F">
        <w:rPr>
          <w:sz w:val="20"/>
          <w:szCs w:val="20"/>
        </w:rPr>
        <w:t>o Tom</w:t>
      </w:r>
      <w:r w:rsidRPr="007E2B9F">
        <w:rPr>
          <w:rFonts w:cs="Calibri"/>
          <w:sz w:val="20"/>
          <w:szCs w:val="20"/>
        </w:rPr>
        <w:t>é</w:t>
      </w:r>
      <w:r w:rsidRPr="007E2B9F">
        <w:rPr>
          <w:sz w:val="20"/>
          <w:szCs w:val="20"/>
        </w:rPr>
        <w:t xml:space="preserve"> and Pr</w:t>
      </w:r>
      <w:r w:rsidRPr="007E2B9F">
        <w:rPr>
          <w:rFonts w:cs="Calibri"/>
          <w:sz w:val="20"/>
          <w:szCs w:val="20"/>
        </w:rPr>
        <w:t>í</w:t>
      </w:r>
      <w:r w:rsidRPr="007E2B9F">
        <w:rPr>
          <w:sz w:val="20"/>
          <w:szCs w:val="20"/>
        </w:rPr>
        <w:t>ncipe, Senegal, Sierra Leone, and Togo.</w:t>
      </w:r>
      <w:hyperlink w:anchor="_ENREF_1" w:tooltip="Center for Disease Control and Prevention, 2011 #1" w:history="1">
        <w:r w:rsidRPr="007E2B9F">
          <w:rPr>
            <w:sz w:val="20"/>
            <w:szCs w:val="20"/>
          </w:rPr>
          <w:fldChar w:fldCharType="begin"/>
        </w:r>
        <w:r w:rsidRPr="007E2B9F">
          <w:rPr>
            <w:sz w:val="20"/>
            <w:szCs w:val="20"/>
          </w:rPr>
          <w:instrText xml:space="preserve"> ADDIN EN.CITE &lt;EndNote&gt;&lt;Cite&gt;&lt;Author&gt;Center for Disease Control and Prevention&lt;/Author&gt;&lt;Year&gt;2011&lt;/Year&gt;&lt;RecNum&gt;1&lt;/RecNum&gt;&lt;DisplayText&gt;&lt;style face="superscript"&gt;1&lt;/style&gt;&lt;/DisplayText&gt;&lt;record&gt;&lt;rec-number&gt;1&lt;/rec-number&gt;&lt;foreign-keys&gt;&lt;key app="EN" db-id="xfrepwstvr0z94e0wxpprwxa000900wepr59"&gt;1&lt;/key&gt;&lt;/foreign-keys&gt;&lt;ref-type name="Book"&gt;6&lt;/ref-type&gt;&lt;contributors&gt;&lt;authors&gt;&lt;author&gt;Center for Disease Control and Prevention,&lt;/author&gt;&lt;/authors&gt;&lt;/contributors&gt;&lt;titles&gt;&lt;title&gt;CDC health information for international travel 2012 : the yellow book &lt;/title&gt;&lt;/titles&gt;&lt;dates&gt;&lt;year&gt;2011&lt;/year&gt;&lt;/dates&gt;&lt;pub-location&gt;Atlanta&lt;/pub-location&gt;&lt;publisher&gt;U.S. Department of Health and Human Services, Public Health Services&lt;/publisher&gt;&lt;isbn&gt;9780199769018 019976901X&lt;/isbn&gt;&lt;urls&gt;&lt;/urls&gt;&lt;remote-database-name&gt;/z-wcorg/&lt;/remote-database-name&gt;&lt;remote-database-provider&gt;http://worldcat.org&lt;/remote-database-provider&gt;&lt;language&gt;English&lt;/language&gt;&lt;/record&gt;&lt;/Cite&gt;&lt;/EndNote&gt;</w:instrText>
        </w:r>
        <w:r w:rsidRPr="007E2B9F">
          <w:rPr>
            <w:sz w:val="20"/>
            <w:szCs w:val="20"/>
          </w:rPr>
          <w:fldChar w:fldCharType="separate"/>
        </w:r>
        <w:r w:rsidRPr="007E2B9F">
          <w:rPr>
            <w:noProof/>
            <w:sz w:val="20"/>
            <w:szCs w:val="20"/>
            <w:vertAlign w:val="superscript"/>
          </w:rPr>
          <w:t>1</w:t>
        </w:r>
        <w:r w:rsidRPr="007E2B9F">
          <w:rPr>
            <w:sz w:val="20"/>
            <w:szCs w:val="20"/>
          </w:rPr>
          <w:fldChar w:fldCharType="end"/>
        </w:r>
      </w:hyperlink>
      <w:r w:rsidRPr="007E2B9F">
        <w:rPr>
          <w:sz w:val="20"/>
          <w:szCs w:val="20"/>
        </w:rPr>
        <w:t xml:space="preserve">  Travelers to West Africa were identified as those travelers who planned to visit one or more countries only in West Africa (Appendix Section 1).</w:t>
      </w:r>
    </w:p>
    <w:p w:rsidR="00B53FD7" w:rsidRPr="007E2B9F" w:rsidRDefault="00B53FD7" w:rsidP="00752A4D">
      <w:pPr>
        <w:spacing w:after="0" w:line="480" w:lineRule="auto"/>
        <w:rPr>
          <w:sz w:val="20"/>
          <w:szCs w:val="20"/>
        </w:rPr>
      </w:pPr>
      <w:r w:rsidRPr="007E2B9F">
        <w:rPr>
          <w:sz w:val="20"/>
          <w:szCs w:val="20"/>
          <w:vertAlign w:val="superscript"/>
        </w:rPr>
        <w:t>b</w:t>
      </w:r>
      <w:r>
        <w:rPr>
          <w:sz w:val="20"/>
          <w:szCs w:val="20"/>
          <w:vertAlign w:val="superscript"/>
        </w:rPr>
        <w:t xml:space="preserve"> </w:t>
      </w:r>
      <w:r w:rsidRPr="007E2B9F">
        <w:rPr>
          <w:sz w:val="20"/>
          <w:szCs w:val="20"/>
        </w:rPr>
        <w:t xml:space="preserve">For their pre-travel health consultations, travelers were asked to report their purpose(s) of travel from the following (multiple choices were allowed): leisure, business, returning to region of origin of self or family to visit friends and relatives (VFR), adoption, providing medical care, receiving medical care, research/education, nonmedical service work, missionary work, military service, adventuring, attending </w:t>
      </w:r>
      <w:r>
        <w:rPr>
          <w:sz w:val="20"/>
          <w:szCs w:val="20"/>
        </w:rPr>
        <w:t xml:space="preserve">a </w:t>
      </w:r>
      <w:r w:rsidRPr="007E2B9F">
        <w:rPr>
          <w:sz w:val="20"/>
          <w:szCs w:val="20"/>
        </w:rPr>
        <w:t xml:space="preserve">large gathering or event, or other activities.  For this analysis, travelers who reported only one of the three purposes (i.e., business, leisure, or VFR) were selected.  All purposes denote all travelers to West Africa.   </w:t>
      </w:r>
    </w:p>
    <w:p w:rsidR="00B53FD7" w:rsidRPr="007E2B9F" w:rsidRDefault="00B53FD7" w:rsidP="00752A4D">
      <w:pPr>
        <w:spacing w:after="0" w:line="480" w:lineRule="auto"/>
        <w:rPr>
          <w:sz w:val="20"/>
          <w:szCs w:val="20"/>
        </w:rPr>
      </w:pPr>
      <w:r w:rsidRPr="007E2B9F">
        <w:rPr>
          <w:sz w:val="20"/>
          <w:szCs w:val="20"/>
          <w:vertAlign w:val="superscript"/>
        </w:rPr>
        <w:t>c</w:t>
      </w:r>
      <w:r>
        <w:rPr>
          <w:sz w:val="20"/>
          <w:szCs w:val="20"/>
          <w:vertAlign w:val="superscript"/>
        </w:rPr>
        <w:t xml:space="preserve"> </w:t>
      </w:r>
      <w:r w:rsidRPr="007E2B9F">
        <w:rPr>
          <w:sz w:val="20"/>
          <w:szCs w:val="20"/>
        </w:rPr>
        <w:t>The frequencies were calculated among travelers who were prescribed one of the above three chemoprophylaxi</w:t>
      </w:r>
      <w:r w:rsidRPr="00584D92">
        <w:rPr>
          <w:sz w:val="20"/>
          <w:szCs w:val="20"/>
        </w:rPr>
        <w:t xml:space="preserve">s options. Travelers who were prescribed </w:t>
      </w:r>
      <w:r>
        <w:rPr>
          <w:sz w:val="20"/>
          <w:szCs w:val="20"/>
        </w:rPr>
        <w:t>an</w:t>
      </w:r>
      <w:r w:rsidRPr="00584D92">
        <w:rPr>
          <w:sz w:val="20"/>
          <w:szCs w:val="20"/>
        </w:rPr>
        <w:t>other chemoprophylaxis or more than one chemoprophylaxis consisted about 3% of travelers to West Africa and were omitted to calculate the frequency in the table.</w:t>
      </w:r>
    </w:p>
    <w:p w:rsidR="00B53FD7" w:rsidRPr="007E2B9F" w:rsidRDefault="00B53FD7" w:rsidP="00752A4D">
      <w:pPr>
        <w:spacing w:after="0" w:line="480" w:lineRule="auto"/>
        <w:ind w:right="806"/>
        <w:rPr>
          <w:rFonts w:cs="Calibri"/>
          <w:sz w:val="24"/>
          <w:szCs w:val="24"/>
        </w:rPr>
      </w:pPr>
    </w:p>
    <w:p w:rsidR="00B53FD7" w:rsidRPr="007E2B9F" w:rsidRDefault="00B53FD7" w:rsidP="00043BC2">
      <w:pPr>
        <w:spacing w:after="0" w:line="480" w:lineRule="auto"/>
        <w:rPr>
          <w:rFonts w:cs="Calibri"/>
          <w:sz w:val="24"/>
          <w:szCs w:val="24"/>
        </w:rPr>
      </w:pPr>
    </w:p>
    <w:p w:rsidR="00B53FD7" w:rsidRPr="007E2B9F" w:rsidRDefault="00B53FD7" w:rsidP="00043BC2">
      <w:pPr>
        <w:spacing w:after="0" w:line="480" w:lineRule="auto"/>
        <w:rPr>
          <w:rFonts w:cs="Calibri"/>
          <w:sz w:val="24"/>
          <w:szCs w:val="24"/>
        </w:rPr>
        <w:sectPr w:rsidR="00B53FD7" w:rsidRPr="007E2B9F" w:rsidSect="00D15317">
          <w:pgSz w:w="12240" w:h="15840"/>
          <w:pgMar w:top="1440" w:right="1440" w:bottom="1440" w:left="1440" w:header="720" w:footer="720" w:gutter="0"/>
          <w:cols w:space="720"/>
          <w:docGrid w:linePitch="360"/>
        </w:sectPr>
      </w:pPr>
    </w:p>
    <w:p w:rsidR="00B53FD7" w:rsidRPr="007E2B9F" w:rsidRDefault="00B53FD7" w:rsidP="00474A55">
      <w:pPr>
        <w:spacing w:after="0" w:line="240" w:lineRule="auto"/>
        <w:rPr>
          <w:b/>
          <w:sz w:val="24"/>
          <w:szCs w:val="24"/>
        </w:rPr>
      </w:pPr>
      <w:r w:rsidRPr="007E2B9F">
        <w:rPr>
          <w:b/>
          <w:sz w:val="24"/>
          <w:szCs w:val="24"/>
        </w:rPr>
        <w:t>Table A2. From Health</w:t>
      </w:r>
      <w:r>
        <w:rPr>
          <w:b/>
          <w:sz w:val="24"/>
          <w:szCs w:val="24"/>
        </w:rPr>
        <w:t>care</w:t>
      </w:r>
      <w:r w:rsidRPr="007E2B9F">
        <w:rPr>
          <w:b/>
          <w:sz w:val="24"/>
          <w:szCs w:val="24"/>
        </w:rPr>
        <w:t xml:space="preserve"> Payer Perspective: Direct Costs of Pre-travel </w:t>
      </w:r>
      <w:r>
        <w:rPr>
          <w:b/>
          <w:sz w:val="24"/>
          <w:szCs w:val="24"/>
        </w:rPr>
        <w:t xml:space="preserve">Health </w:t>
      </w:r>
      <w:r w:rsidRPr="007E2B9F">
        <w:rPr>
          <w:b/>
          <w:sz w:val="24"/>
          <w:szCs w:val="24"/>
        </w:rPr>
        <w:t>Consultation, Malaria Chemoprophylaxis, and Treatment of Adverse Events associated with Malaria Chemoprophylaxis for Travelers to West Africa</w:t>
      </w:r>
      <w:r w:rsidRPr="007E2B9F">
        <w:rPr>
          <w:b/>
          <w:sz w:val="24"/>
          <w:szCs w:val="24"/>
          <w:vertAlign w:val="superscript"/>
        </w:rPr>
        <w:t>a</w:t>
      </w:r>
    </w:p>
    <w:tbl>
      <w:tblPr>
        <w:tblW w:w="0" w:type="auto"/>
        <w:tblBorders>
          <w:top w:val="single" w:sz="4" w:space="0" w:color="auto"/>
          <w:bottom w:val="single" w:sz="4" w:space="0" w:color="auto"/>
        </w:tblBorders>
        <w:tblLayout w:type="fixed"/>
        <w:tblLook w:val="00A0"/>
      </w:tblPr>
      <w:tblGrid>
        <w:gridCol w:w="6228"/>
        <w:gridCol w:w="1544"/>
        <w:gridCol w:w="1545"/>
        <w:gridCol w:w="1544"/>
        <w:gridCol w:w="1545"/>
      </w:tblGrid>
      <w:tr w:rsidR="00B53FD7" w:rsidRPr="007E2B9F" w:rsidTr="00A607CC">
        <w:trPr>
          <w:trHeight w:val="278"/>
        </w:trPr>
        <w:tc>
          <w:tcPr>
            <w:tcW w:w="6228" w:type="dxa"/>
            <w:tcBorders>
              <w:top w:val="single" w:sz="4" w:space="0" w:color="auto"/>
            </w:tcBorders>
          </w:tcPr>
          <w:p w:rsidR="00B53FD7" w:rsidRPr="007E2B9F" w:rsidRDefault="00B53FD7" w:rsidP="00A607CC">
            <w:pPr>
              <w:spacing w:after="0" w:line="240" w:lineRule="auto"/>
              <w:rPr>
                <w:sz w:val="24"/>
                <w:szCs w:val="24"/>
              </w:rPr>
            </w:pPr>
          </w:p>
        </w:tc>
        <w:tc>
          <w:tcPr>
            <w:tcW w:w="6178" w:type="dxa"/>
            <w:gridSpan w:val="4"/>
            <w:tcBorders>
              <w:top w:val="single" w:sz="4" w:space="0" w:color="auto"/>
              <w:bottom w:val="single" w:sz="4" w:space="0" w:color="auto"/>
            </w:tcBorders>
          </w:tcPr>
          <w:p w:rsidR="00B53FD7" w:rsidRPr="007E2B9F" w:rsidRDefault="00B53FD7" w:rsidP="00A607CC">
            <w:pPr>
              <w:spacing w:after="0" w:line="240" w:lineRule="auto"/>
              <w:jc w:val="center"/>
              <w:rPr>
                <w:sz w:val="24"/>
                <w:szCs w:val="24"/>
              </w:rPr>
            </w:pPr>
            <w:r w:rsidRPr="007E2B9F">
              <w:rPr>
                <w:sz w:val="24"/>
                <w:szCs w:val="24"/>
              </w:rPr>
              <w:t>Purpose of travel</w:t>
            </w:r>
            <w:r w:rsidRPr="007E2B9F">
              <w:rPr>
                <w:sz w:val="24"/>
                <w:szCs w:val="24"/>
                <w:vertAlign w:val="superscript"/>
              </w:rPr>
              <w:t>b</w:t>
            </w:r>
            <w:r w:rsidRPr="007E2B9F">
              <w:rPr>
                <w:sz w:val="24"/>
                <w:szCs w:val="24"/>
              </w:rPr>
              <w:t xml:space="preserve"> and median planned length of travel</w:t>
            </w:r>
            <w:r w:rsidRPr="007E2B9F">
              <w:rPr>
                <w:sz w:val="24"/>
                <w:szCs w:val="24"/>
                <w:vertAlign w:val="superscript"/>
              </w:rPr>
              <w:t>c</w:t>
            </w:r>
          </w:p>
        </w:tc>
      </w:tr>
      <w:tr w:rsidR="00B53FD7" w:rsidRPr="007E2B9F" w:rsidTr="00A607CC">
        <w:trPr>
          <w:trHeight w:val="296"/>
        </w:trPr>
        <w:tc>
          <w:tcPr>
            <w:tcW w:w="6228" w:type="dxa"/>
            <w:tcBorders>
              <w:bottom w:val="nil"/>
            </w:tcBorders>
          </w:tcPr>
          <w:p w:rsidR="00B53FD7" w:rsidRPr="007E2B9F" w:rsidRDefault="00B53FD7" w:rsidP="00A607CC">
            <w:pPr>
              <w:spacing w:after="0" w:line="240" w:lineRule="auto"/>
              <w:jc w:val="center"/>
              <w:rPr>
                <w:rFonts w:eastAsia="Times New Roman" w:cs="Calibri"/>
                <w:color w:val="000000"/>
                <w:sz w:val="24"/>
                <w:szCs w:val="24"/>
              </w:rPr>
            </w:pPr>
          </w:p>
        </w:tc>
        <w:tc>
          <w:tcPr>
            <w:tcW w:w="1544" w:type="dxa"/>
            <w:tcBorders>
              <w:top w:val="single" w:sz="4" w:space="0" w:color="auto"/>
              <w:bottom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Business</w:t>
            </w:r>
          </w:p>
        </w:tc>
        <w:tc>
          <w:tcPr>
            <w:tcW w:w="1545" w:type="dxa"/>
            <w:tcBorders>
              <w:top w:val="single" w:sz="4" w:space="0" w:color="auto"/>
              <w:bottom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Leisure</w:t>
            </w:r>
          </w:p>
        </w:tc>
        <w:tc>
          <w:tcPr>
            <w:tcW w:w="1544" w:type="dxa"/>
            <w:tcBorders>
              <w:top w:val="single" w:sz="4" w:space="0" w:color="auto"/>
              <w:bottom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All purposes</w:t>
            </w:r>
          </w:p>
        </w:tc>
        <w:tc>
          <w:tcPr>
            <w:tcW w:w="1545" w:type="dxa"/>
            <w:tcBorders>
              <w:top w:val="single" w:sz="4" w:space="0" w:color="auto"/>
              <w:bottom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VFR</w:t>
            </w:r>
            <w:r w:rsidRPr="007E2B9F">
              <w:rPr>
                <w:rFonts w:eastAsia="Times New Roman" w:cs="Calibri"/>
                <w:color w:val="000000"/>
                <w:sz w:val="24"/>
                <w:szCs w:val="24"/>
                <w:vertAlign w:val="superscript"/>
              </w:rPr>
              <w:t>b</w:t>
            </w:r>
          </w:p>
        </w:tc>
      </w:tr>
      <w:tr w:rsidR="00B53FD7" w:rsidRPr="007E2B9F" w:rsidTr="00A607CC">
        <w:trPr>
          <w:trHeight w:val="261"/>
        </w:trPr>
        <w:tc>
          <w:tcPr>
            <w:tcW w:w="6228" w:type="dxa"/>
            <w:tcBorders>
              <w:top w:val="nil"/>
              <w:bottom w:val="single" w:sz="4" w:space="0" w:color="auto"/>
            </w:tcBorders>
          </w:tcPr>
          <w:p w:rsidR="00B53FD7" w:rsidRPr="007E2B9F" w:rsidRDefault="00B53FD7" w:rsidP="00A607CC">
            <w:pPr>
              <w:spacing w:after="0" w:line="240" w:lineRule="auto"/>
              <w:jc w:val="center"/>
              <w:rPr>
                <w:rFonts w:eastAsia="Times New Roman" w:cs="Calibri"/>
                <w:color w:val="000000"/>
                <w:sz w:val="24"/>
                <w:szCs w:val="24"/>
              </w:rPr>
            </w:pPr>
          </w:p>
        </w:tc>
        <w:tc>
          <w:tcPr>
            <w:tcW w:w="1544" w:type="dxa"/>
            <w:tcBorders>
              <w:top w:val="nil"/>
              <w:bottom w:val="single" w:sz="4" w:space="0" w:color="auto"/>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9 days</w:t>
            </w:r>
          </w:p>
        </w:tc>
        <w:tc>
          <w:tcPr>
            <w:tcW w:w="1545" w:type="dxa"/>
            <w:tcBorders>
              <w:top w:val="nil"/>
              <w:bottom w:val="single" w:sz="4" w:space="0" w:color="auto"/>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14 days</w:t>
            </w:r>
          </w:p>
        </w:tc>
        <w:tc>
          <w:tcPr>
            <w:tcW w:w="1544" w:type="dxa"/>
            <w:tcBorders>
              <w:top w:val="nil"/>
              <w:bottom w:val="single" w:sz="4" w:space="0" w:color="auto"/>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21 days</w:t>
            </w:r>
          </w:p>
        </w:tc>
        <w:tc>
          <w:tcPr>
            <w:tcW w:w="1545" w:type="dxa"/>
            <w:tcBorders>
              <w:top w:val="nil"/>
              <w:bottom w:val="single" w:sz="4" w:space="0" w:color="auto"/>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30 days</w:t>
            </w:r>
          </w:p>
        </w:tc>
      </w:tr>
      <w:tr w:rsidR="00B53FD7" w:rsidRPr="007E2B9F" w:rsidTr="00A607CC">
        <w:trPr>
          <w:trHeight w:val="300"/>
        </w:trPr>
        <w:tc>
          <w:tcPr>
            <w:tcW w:w="6228" w:type="dxa"/>
            <w:tcBorders>
              <w:bottom w:val="single" w:sz="4" w:space="0" w:color="auto"/>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Weighted average probability of chemoprophylaxis-related adverse events requiring medical attention</w:t>
            </w:r>
            <w:r w:rsidRPr="007E2B9F">
              <w:rPr>
                <w:rFonts w:eastAsia="Times New Roman" w:cs="Calibri"/>
                <w:color w:val="000000"/>
                <w:sz w:val="24"/>
                <w:szCs w:val="24"/>
                <w:vertAlign w:val="superscript"/>
              </w:rPr>
              <w:t>d</w:t>
            </w:r>
          </w:p>
        </w:tc>
        <w:tc>
          <w:tcPr>
            <w:tcW w:w="1544" w:type="dxa"/>
            <w:tcBorders>
              <w:bottom w:val="single" w:sz="4" w:space="0" w:color="auto"/>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0.072</w:t>
            </w:r>
          </w:p>
        </w:tc>
        <w:tc>
          <w:tcPr>
            <w:tcW w:w="1545" w:type="dxa"/>
            <w:tcBorders>
              <w:bottom w:val="single" w:sz="4" w:space="0" w:color="auto"/>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0.078</w:t>
            </w:r>
          </w:p>
        </w:tc>
        <w:tc>
          <w:tcPr>
            <w:tcW w:w="1544" w:type="dxa"/>
            <w:tcBorders>
              <w:bottom w:val="single" w:sz="4" w:space="0" w:color="auto"/>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0.086</w:t>
            </w:r>
          </w:p>
        </w:tc>
        <w:tc>
          <w:tcPr>
            <w:tcW w:w="1545" w:type="dxa"/>
            <w:tcBorders>
              <w:bottom w:val="single" w:sz="4" w:space="0" w:color="auto"/>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0.100</w:t>
            </w:r>
          </w:p>
        </w:tc>
      </w:tr>
      <w:tr w:rsidR="00B53FD7" w:rsidRPr="007E2B9F" w:rsidTr="00A607CC">
        <w:trPr>
          <w:trHeight w:val="300"/>
        </w:trPr>
        <w:tc>
          <w:tcPr>
            <w:tcW w:w="12406" w:type="dxa"/>
            <w:gridSpan w:val="5"/>
            <w:tcBorders>
              <w:top w:val="single" w:sz="4" w:space="0" w:color="auto"/>
              <w:left w:val="single" w:sz="4" w:space="0" w:color="auto"/>
              <w:bottom w:val="single" w:sz="4" w:space="0" w:color="auto"/>
              <w:right w:val="single" w:sz="4" w:space="0" w:color="auto"/>
            </w:tcBorders>
          </w:tcPr>
          <w:p w:rsidR="00B53FD7" w:rsidRPr="007E2B9F" w:rsidRDefault="00B53FD7" w:rsidP="00A607CC">
            <w:pPr>
              <w:spacing w:after="120"/>
              <w:rPr>
                <w:rFonts w:eastAsia="Times New Roman" w:cs="Calibri"/>
                <w:sz w:val="24"/>
                <w:szCs w:val="24"/>
              </w:rPr>
            </w:pPr>
            <w:r w:rsidRPr="007E2B9F">
              <w:rPr>
                <w:rFonts w:eastAsia="Times New Roman" w:cs="Calibri"/>
                <w:sz w:val="24"/>
                <w:szCs w:val="24"/>
              </w:rPr>
              <w:t>Explanation of Results: 1) Cost of travel clinic visit for pre-travel consultation from Table 2; 2) Prorated cost of travel clinic visit for pre-travel clinic visit related to malaria prevention (i.e., 0.148</w:t>
            </w:r>
            <w:r>
              <w:rPr>
                <w:rFonts w:eastAsia="Times New Roman" w:cs="Calibri"/>
                <w:sz w:val="24"/>
                <w:szCs w:val="24"/>
              </w:rPr>
              <w:t xml:space="preserve"> </w:t>
            </w:r>
            <w:r w:rsidRPr="007E2B9F">
              <w:rPr>
                <w:rFonts w:eastAsia="Times New Roman" w:cs="Calibri"/>
                <w:sz w:val="24"/>
                <w:szCs w:val="24"/>
              </w:rPr>
              <w:t>x</w:t>
            </w:r>
            <w:r>
              <w:rPr>
                <w:rFonts w:eastAsia="Times New Roman" w:cs="Calibri"/>
                <w:sz w:val="24"/>
                <w:szCs w:val="24"/>
              </w:rPr>
              <w:t xml:space="preserve"> </w:t>
            </w:r>
            <w:r w:rsidRPr="007E2B9F">
              <w:rPr>
                <w:rFonts w:eastAsia="Times New Roman" w:cs="Calibri"/>
                <w:sz w:val="24"/>
                <w:szCs w:val="24"/>
              </w:rPr>
              <w:t>$148.52); 3) Weighted average cost of malaria chemoprophylaxis based on the median planned length of travel from Tables 2 and A1; 4) Cost of physician visit and drug for treatment of an adverse event associated with malaria chemoprophylaxis from Table 2; 5) Risk adjusted cost of an adverse event (e.g., 0.072</w:t>
            </w:r>
            <w:r>
              <w:rPr>
                <w:rFonts w:eastAsia="Times New Roman" w:cs="Calibri"/>
                <w:sz w:val="24"/>
                <w:szCs w:val="24"/>
              </w:rPr>
              <w:t xml:space="preserve"> </w:t>
            </w:r>
            <w:r w:rsidRPr="007E2B9F">
              <w:rPr>
                <w:rFonts w:eastAsia="Times New Roman" w:cs="Calibri"/>
                <w:sz w:val="24"/>
                <w:szCs w:val="24"/>
              </w:rPr>
              <w:t>x</w:t>
            </w:r>
            <w:r>
              <w:rPr>
                <w:rFonts w:eastAsia="Times New Roman" w:cs="Calibri"/>
                <w:sz w:val="24"/>
                <w:szCs w:val="24"/>
              </w:rPr>
              <w:t xml:space="preserve"> </w:t>
            </w:r>
            <w:r w:rsidRPr="007E2B9F">
              <w:rPr>
                <w:rFonts w:eastAsia="Times New Roman" w:cs="Calibri"/>
                <w:sz w:val="24"/>
                <w:szCs w:val="24"/>
              </w:rPr>
              <w:t>$92); 6) Total cost of pre-travel consultation, chemoprophylaxis, and treatment of an adverse event (the sum of #2, #3, and #5)</w:t>
            </w:r>
          </w:p>
        </w:tc>
      </w:tr>
      <w:tr w:rsidR="00B53FD7" w:rsidRPr="007E2B9F" w:rsidTr="00A607CC">
        <w:trPr>
          <w:trHeight w:val="300"/>
        </w:trPr>
        <w:tc>
          <w:tcPr>
            <w:tcW w:w="6228" w:type="dxa"/>
            <w:tcBorders>
              <w:top w:val="single" w:sz="4" w:space="0" w:color="auto"/>
            </w:tcBorders>
          </w:tcPr>
          <w:p w:rsidR="00B53FD7" w:rsidRPr="007E2B9F" w:rsidRDefault="00B53FD7" w:rsidP="00A607CC">
            <w:pPr>
              <w:pStyle w:val="ListParagraph"/>
              <w:numPr>
                <w:ilvl w:val="0"/>
                <w:numId w:val="35"/>
              </w:numPr>
              <w:spacing w:after="0"/>
              <w:ind w:left="274" w:hanging="274"/>
              <w:contextualSpacing w:val="0"/>
              <w:rPr>
                <w:rFonts w:eastAsia="Times New Roman" w:cs="Calibri"/>
                <w:color w:val="000000"/>
                <w:sz w:val="24"/>
                <w:szCs w:val="24"/>
              </w:rPr>
            </w:pPr>
            <w:r w:rsidRPr="007E2B9F">
              <w:rPr>
                <w:rFonts w:eastAsia="Times New Roman" w:cs="Calibri"/>
                <w:color w:val="000000"/>
                <w:sz w:val="24"/>
                <w:szCs w:val="24"/>
              </w:rPr>
              <w:t>Cost of travel clinic visit for pre-travel consultation, $</w:t>
            </w:r>
          </w:p>
        </w:tc>
        <w:tc>
          <w:tcPr>
            <w:tcW w:w="6178" w:type="dxa"/>
            <w:gridSpan w:val="4"/>
            <w:tcBorders>
              <w:top w:val="single" w:sz="4" w:space="0" w:color="auto"/>
            </w:tcBorders>
            <w:noWrap/>
          </w:tcPr>
          <w:p w:rsidR="00B53FD7" w:rsidRPr="007E2B9F" w:rsidRDefault="00B53FD7" w:rsidP="00A607CC">
            <w:pPr>
              <w:tabs>
                <w:tab w:val="left" w:pos="11952"/>
              </w:tabs>
              <w:spacing w:after="120"/>
              <w:jc w:val="center"/>
              <w:rPr>
                <w:rFonts w:eastAsia="Times New Roman" w:cs="Calibri"/>
                <w:color w:val="000000"/>
                <w:sz w:val="24"/>
                <w:szCs w:val="24"/>
              </w:rPr>
            </w:pPr>
            <w:r w:rsidRPr="007E2B9F">
              <w:rPr>
                <w:rFonts w:eastAsia="Times New Roman" w:cs="Calibri"/>
                <w:color w:val="000000"/>
                <w:sz w:val="24"/>
                <w:szCs w:val="24"/>
              </w:rPr>
              <w:t>148.52</w:t>
            </w:r>
          </w:p>
        </w:tc>
      </w:tr>
      <w:tr w:rsidR="00B53FD7" w:rsidRPr="007E2B9F" w:rsidTr="00A607CC">
        <w:trPr>
          <w:trHeight w:val="300"/>
        </w:trPr>
        <w:tc>
          <w:tcPr>
            <w:tcW w:w="6228" w:type="dxa"/>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2) Prorated cost of travel clinic visit for pre-travel consultation related to malaria prevention, $</w:t>
            </w:r>
            <w:r w:rsidRPr="007E2B9F">
              <w:rPr>
                <w:rFonts w:eastAsia="Times New Roman" w:cs="Calibri"/>
                <w:color w:val="000000"/>
                <w:sz w:val="24"/>
                <w:szCs w:val="24"/>
                <w:vertAlign w:val="superscript"/>
              </w:rPr>
              <w:t>e</w:t>
            </w:r>
          </w:p>
        </w:tc>
        <w:tc>
          <w:tcPr>
            <w:tcW w:w="6178" w:type="dxa"/>
            <w:gridSpan w:val="4"/>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22.00</w:t>
            </w:r>
          </w:p>
        </w:tc>
      </w:tr>
      <w:tr w:rsidR="00B53FD7" w:rsidRPr="007E2B9F" w:rsidTr="00A607CC">
        <w:trPr>
          <w:trHeight w:val="300"/>
        </w:trPr>
        <w:tc>
          <w:tcPr>
            <w:tcW w:w="6228" w:type="dxa"/>
          </w:tcPr>
          <w:p w:rsidR="00B53FD7" w:rsidRPr="007E2B9F" w:rsidRDefault="00B53FD7" w:rsidP="00A607CC">
            <w:pPr>
              <w:spacing w:after="120"/>
              <w:rPr>
                <w:rFonts w:eastAsia="Times New Roman" w:cs="Calibri"/>
                <w:b/>
                <w:color w:val="000000"/>
                <w:sz w:val="24"/>
                <w:szCs w:val="24"/>
              </w:rPr>
            </w:pPr>
            <w:r w:rsidRPr="007E2B9F">
              <w:rPr>
                <w:rFonts w:eastAsia="Times New Roman" w:cs="Calibri"/>
                <w:color w:val="000000"/>
                <w:sz w:val="24"/>
                <w:szCs w:val="24"/>
              </w:rPr>
              <w:t>3) Weighted average cost of malaria chemoprophylaxis for the median planned length of travel, $</w:t>
            </w:r>
            <w:r w:rsidRPr="007E2B9F">
              <w:rPr>
                <w:rFonts w:eastAsia="Times New Roman" w:cs="Calibri"/>
                <w:color w:val="000000"/>
                <w:sz w:val="24"/>
                <w:szCs w:val="24"/>
                <w:vertAlign w:val="superscript"/>
              </w:rPr>
              <w:t>d,f</w:t>
            </w:r>
          </w:p>
        </w:tc>
        <w:tc>
          <w:tcPr>
            <w:tcW w:w="1544" w:type="dxa"/>
            <w:noWrap/>
            <w:vAlign w:val="center"/>
          </w:tcPr>
          <w:p w:rsidR="00B53FD7" w:rsidRPr="007E2B9F" w:rsidRDefault="00B53FD7" w:rsidP="00A607CC">
            <w:pPr>
              <w:spacing w:after="120"/>
              <w:ind w:right="19"/>
              <w:jc w:val="center"/>
              <w:rPr>
                <w:rFonts w:eastAsia="Times New Roman" w:cs="Calibri"/>
                <w:color w:val="000000"/>
                <w:sz w:val="24"/>
                <w:szCs w:val="24"/>
              </w:rPr>
            </w:pPr>
            <w:r w:rsidRPr="007E2B9F">
              <w:rPr>
                <w:rFonts w:eastAsia="Times New Roman" w:cs="Calibri"/>
                <w:color w:val="000000"/>
                <w:sz w:val="24"/>
                <w:szCs w:val="24"/>
              </w:rPr>
              <w:t>132.80</w:t>
            </w:r>
          </w:p>
        </w:tc>
        <w:tc>
          <w:tcPr>
            <w:tcW w:w="1545" w:type="dxa"/>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160.61</w:t>
            </w:r>
          </w:p>
        </w:tc>
        <w:tc>
          <w:tcPr>
            <w:tcW w:w="1544" w:type="dxa"/>
            <w:noWrap/>
            <w:vAlign w:val="center"/>
          </w:tcPr>
          <w:p w:rsidR="00B53FD7" w:rsidRPr="007E2B9F" w:rsidRDefault="00B53FD7" w:rsidP="00A607CC">
            <w:pPr>
              <w:spacing w:after="120"/>
              <w:ind w:right="3"/>
              <w:jc w:val="center"/>
              <w:rPr>
                <w:rFonts w:eastAsia="Times New Roman" w:cs="Calibri"/>
                <w:color w:val="000000"/>
                <w:sz w:val="24"/>
                <w:szCs w:val="24"/>
              </w:rPr>
            </w:pPr>
            <w:r w:rsidRPr="007E2B9F">
              <w:rPr>
                <w:rFonts w:eastAsia="Times New Roman" w:cs="Calibri"/>
                <w:color w:val="000000"/>
                <w:sz w:val="24"/>
                <w:szCs w:val="24"/>
              </w:rPr>
              <w:t>177.66</w:t>
            </w:r>
          </w:p>
        </w:tc>
        <w:tc>
          <w:tcPr>
            <w:tcW w:w="1545" w:type="dxa"/>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175.84</w:t>
            </w:r>
          </w:p>
        </w:tc>
      </w:tr>
      <w:tr w:rsidR="00B53FD7" w:rsidRPr="007E2B9F" w:rsidTr="00A607CC">
        <w:trPr>
          <w:trHeight w:val="300"/>
        </w:trPr>
        <w:tc>
          <w:tcPr>
            <w:tcW w:w="6228" w:type="dxa"/>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4) Cost of physician visit and drug for treatment of an adverse event associated with malaria chemoprophylaxis (cost of an adverse event), $</w:t>
            </w:r>
          </w:p>
        </w:tc>
        <w:tc>
          <w:tcPr>
            <w:tcW w:w="6178" w:type="dxa"/>
            <w:gridSpan w:val="4"/>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92.00</w:t>
            </w:r>
          </w:p>
        </w:tc>
      </w:tr>
      <w:tr w:rsidR="00B53FD7" w:rsidRPr="007E2B9F" w:rsidTr="00A607CC">
        <w:trPr>
          <w:trHeight w:val="300"/>
        </w:trPr>
        <w:tc>
          <w:tcPr>
            <w:tcW w:w="6228" w:type="dxa"/>
            <w:tcBorders>
              <w:bottom w:val="double" w:sz="4" w:space="0" w:color="auto"/>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5) Risk</w:t>
            </w:r>
            <w:r>
              <w:rPr>
                <w:rFonts w:eastAsia="Times New Roman" w:cs="Calibri"/>
                <w:color w:val="000000"/>
                <w:sz w:val="24"/>
                <w:szCs w:val="24"/>
              </w:rPr>
              <w:t>-</w:t>
            </w:r>
            <w:r w:rsidRPr="007E2B9F">
              <w:rPr>
                <w:rFonts w:eastAsia="Times New Roman" w:cs="Calibri"/>
                <w:color w:val="000000"/>
                <w:sz w:val="24"/>
                <w:szCs w:val="24"/>
              </w:rPr>
              <w:t>adjusted cost of an adverse event, $</w:t>
            </w:r>
          </w:p>
        </w:tc>
        <w:tc>
          <w:tcPr>
            <w:tcW w:w="1544" w:type="dxa"/>
            <w:tcBorders>
              <w:bottom w:val="double" w:sz="4" w:space="0" w:color="auto"/>
            </w:tcBorders>
            <w:noWrap/>
          </w:tcPr>
          <w:p w:rsidR="00B53FD7" w:rsidRPr="007E2B9F" w:rsidRDefault="00B53FD7" w:rsidP="00C74FEA">
            <w:pPr>
              <w:spacing w:after="120"/>
              <w:jc w:val="center"/>
              <w:rPr>
                <w:rFonts w:eastAsia="Times New Roman" w:cs="Calibri"/>
                <w:color w:val="000000"/>
                <w:sz w:val="24"/>
                <w:szCs w:val="24"/>
              </w:rPr>
            </w:pPr>
            <w:r w:rsidRPr="007E2B9F">
              <w:rPr>
                <w:rFonts w:eastAsia="Times New Roman" w:cs="Calibri"/>
                <w:color w:val="000000"/>
                <w:sz w:val="24"/>
                <w:szCs w:val="24"/>
              </w:rPr>
              <w:t>6.62</w:t>
            </w:r>
          </w:p>
        </w:tc>
        <w:tc>
          <w:tcPr>
            <w:tcW w:w="1545" w:type="dxa"/>
            <w:tcBorders>
              <w:bottom w:val="double" w:sz="4" w:space="0" w:color="auto"/>
            </w:tcBorders>
            <w:noWrap/>
          </w:tcPr>
          <w:p w:rsidR="00B53FD7" w:rsidRPr="007E2B9F" w:rsidRDefault="00B53FD7" w:rsidP="00C74FEA">
            <w:pPr>
              <w:spacing w:after="120"/>
              <w:jc w:val="center"/>
              <w:rPr>
                <w:rFonts w:eastAsia="Times New Roman" w:cs="Calibri"/>
                <w:color w:val="000000"/>
                <w:sz w:val="24"/>
                <w:szCs w:val="24"/>
              </w:rPr>
            </w:pPr>
            <w:r w:rsidRPr="007E2B9F">
              <w:rPr>
                <w:rFonts w:eastAsia="Times New Roman" w:cs="Calibri"/>
                <w:color w:val="000000"/>
                <w:sz w:val="24"/>
                <w:szCs w:val="24"/>
              </w:rPr>
              <w:t>7.15</w:t>
            </w:r>
          </w:p>
        </w:tc>
        <w:tc>
          <w:tcPr>
            <w:tcW w:w="1544" w:type="dxa"/>
            <w:tcBorders>
              <w:bottom w:val="double" w:sz="4" w:space="0" w:color="auto"/>
            </w:tcBorders>
            <w:noWrap/>
          </w:tcPr>
          <w:p w:rsidR="00B53FD7" w:rsidRPr="007E2B9F" w:rsidRDefault="00B53FD7" w:rsidP="00C74FEA">
            <w:pPr>
              <w:spacing w:after="120"/>
              <w:jc w:val="center"/>
              <w:rPr>
                <w:rFonts w:eastAsia="Times New Roman" w:cs="Calibri"/>
                <w:color w:val="000000"/>
                <w:sz w:val="24"/>
                <w:szCs w:val="24"/>
              </w:rPr>
            </w:pPr>
            <w:r w:rsidRPr="007E2B9F">
              <w:rPr>
                <w:rFonts w:eastAsia="Times New Roman" w:cs="Calibri"/>
                <w:color w:val="000000"/>
                <w:sz w:val="24"/>
                <w:szCs w:val="24"/>
              </w:rPr>
              <w:t>7.93</w:t>
            </w:r>
          </w:p>
        </w:tc>
        <w:tc>
          <w:tcPr>
            <w:tcW w:w="1545" w:type="dxa"/>
            <w:tcBorders>
              <w:bottom w:val="double" w:sz="4" w:space="0" w:color="auto"/>
            </w:tcBorders>
            <w:noWrap/>
          </w:tcPr>
          <w:p w:rsidR="00B53FD7" w:rsidRPr="007E2B9F" w:rsidRDefault="00B53FD7" w:rsidP="00C74FEA">
            <w:pPr>
              <w:spacing w:after="120"/>
              <w:jc w:val="center"/>
              <w:rPr>
                <w:rFonts w:eastAsia="Times New Roman" w:cs="Calibri"/>
                <w:color w:val="000000"/>
                <w:sz w:val="24"/>
                <w:szCs w:val="24"/>
              </w:rPr>
            </w:pPr>
            <w:r w:rsidRPr="007E2B9F">
              <w:rPr>
                <w:rFonts w:eastAsia="Times New Roman" w:cs="Calibri"/>
                <w:color w:val="000000"/>
                <w:sz w:val="24"/>
                <w:szCs w:val="24"/>
              </w:rPr>
              <w:t>9.18</w:t>
            </w:r>
          </w:p>
        </w:tc>
      </w:tr>
      <w:tr w:rsidR="00B53FD7" w:rsidRPr="007E2B9F" w:rsidTr="00A607CC">
        <w:trPr>
          <w:trHeight w:val="300"/>
        </w:trPr>
        <w:tc>
          <w:tcPr>
            <w:tcW w:w="6228" w:type="dxa"/>
            <w:tcBorders>
              <w:top w:val="double" w:sz="4" w:space="0" w:color="auto"/>
              <w:bottom w:val="single" w:sz="4" w:space="0" w:color="auto"/>
            </w:tcBorders>
          </w:tcPr>
          <w:p w:rsidR="00B53FD7" w:rsidRPr="007E2B9F" w:rsidRDefault="00B53FD7" w:rsidP="00A607CC">
            <w:pPr>
              <w:spacing w:after="120"/>
              <w:rPr>
                <w:rFonts w:eastAsia="Times New Roman" w:cs="Calibri"/>
                <w:b/>
                <w:color w:val="000000"/>
                <w:sz w:val="24"/>
                <w:szCs w:val="24"/>
              </w:rPr>
            </w:pPr>
            <w:r w:rsidRPr="007E2B9F">
              <w:rPr>
                <w:rFonts w:eastAsia="Times New Roman" w:cs="Calibri"/>
                <w:b/>
                <w:color w:val="000000"/>
                <w:sz w:val="24"/>
                <w:szCs w:val="24"/>
              </w:rPr>
              <w:t xml:space="preserve">6) Total cost of pre-travel </w:t>
            </w:r>
            <w:r>
              <w:rPr>
                <w:rFonts w:eastAsia="Times New Roman" w:cs="Calibri"/>
                <w:b/>
                <w:color w:val="000000"/>
                <w:sz w:val="24"/>
                <w:szCs w:val="24"/>
              </w:rPr>
              <w:t xml:space="preserve">health </w:t>
            </w:r>
            <w:r w:rsidRPr="007E2B9F">
              <w:rPr>
                <w:rFonts w:eastAsia="Times New Roman" w:cs="Calibri"/>
                <w:b/>
                <w:color w:val="000000"/>
                <w:sz w:val="24"/>
                <w:szCs w:val="24"/>
              </w:rPr>
              <w:t xml:space="preserve">consultation, chemoprophylaxis, and treatment of an adverse event, $ </w:t>
            </w:r>
          </w:p>
        </w:tc>
        <w:tc>
          <w:tcPr>
            <w:tcW w:w="1544" w:type="dxa"/>
            <w:tcBorders>
              <w:top w:val="double" w:sz="4" w:space="0" w:color="auto"/>
              <w:bottom w:val="single" w:sz="4" w:space="0" w:color="auto"/>
            </w:tcBorders>
            <w:noWrap/>
          </w:tcPr>
          <w:p w:rsidR="00B53FD7" w:rsidRPr="007E2B9F" w:rsidRDefault="00B53FD7" w:rsidP="00C74FEA">
            <w:pPr>
              <w:spacing w:after="120"/>
              <w:jc w:val="center"/>
              <w:rPr>
                <w:rFonts w:eastAsia="Times New Roman" w:cs="Calibri"/>
                <w:b/>
                <w:color w:val="000000"/>
                <w:sz w:val="24"/>
                <w:szCs w:val="24"/>
              </w:rPr>
            </w:pPr>
            <w:r w:rsidRPr="007E2B9F">
              <w:rPr>
                <w:rFonts w:eastAsia="Times New Roman" w:cs="Calibri"/>
                <w:b/>
                <w:color w:val="000000"/>
                <w:sz w:val="24"/>
                <w:szCs w:val="24"/>
              </w:rPr>
              <w:t>161.42</w:t>
            </w:r>
          </w:p>
        </w:tc>
        <w:tc>
          <w:tcPr>
            <w:tcW w:w="1545" w:type="dxa"/>
            <w:tcBorders>
              <w:top w:val="double" w:sz="4" w:space="0" w:color="auto"/>
              <w:bottom w:val="single" w:sz="4" w:space="0" w:color="auto"/>
            </w:tcBorders>
            <w:noWrap/>
          </w:tcPr>
          <w:p w:rsidR="00B53FD7" w:rsidRPr="007E2B9F" w:rsidRDefault="00B53FD7" w:rsidP="00C74FEA">
            <w:pPr>
              <w:spacing w:after="120"/>
              <w:jc w:val="center"/>
              <w:rPr>
                <w:rFonts w:eastAsia="Times New Roman" w:cs="Calibri"/>
                <w:b/>
                <w:color w:val="000000"/>
                <w:sz w:val="24"/>
                <w:szCs w:val="24"/>
              </w:rPr>
            </w:pPr>
            <w:r w:rsidRPr="007E2B9F">
              <w:rPr>
                <w:rFonts w:eastAsia="Times New Roman" w:cs="Calibri"/>
                <w:b/>
                <w:color w:val="000000"/>
                <w:sz w:val="24"/>
                <w:szCs w:val="24"/>
              </w:rPr>
              <w:t>189.76</w:t>
            </w:r>
          </w:p>
        </w:tc>
        <w:tc>
          <w:tcPr>
            <w:tcW w:w="1544" w:type="dxa"/>
            <w:tcBorders>
              <w:top w:val="double" w:sz="4" w:space="0" w:color="auto"/>
              <w:bottom w:val="single" w:sz="4" w:space="0" w:color="auto"/>
            </w:tcBorders>
            <w:noWrap/>
          </w:tcPr>
          <w:p w:rsidR="00B53FD7" w:rsidRPr="007E2B9F" w:rsidRDefault="00B53FD7" w:rsidP="00C74FEA">
            <w:pPr>
              <w:spacing w:after="120"/>
              <w:jc w:val="center"/>
              <w:rPr>
                <w:rFonts w:eastAsia="Times New Roman" w:cs="Calibri"/>
                <w:b/>
                <w:color w:val="000000"/>
                <w:sz w:val="24"/>
                <w:szCs w:val="24"/>
              </w:rPr>
            </w:pPr>
            <w:r w:rsidRPr="007E2B9F">
              <w:rPr>
                <w:rFonts w:eastAsia="Times New Roman" w:cs="Calibri"/>
                <w:b/>
                <w:color w:val="000000"/>
                <w:sz w:val="24"/>
                <w:szCs w:val="24"/>
              </w:rPr>
              <w:t>207.59</w:t>
            </w:r>
          </w:p>
        </w:tc>
        <w:tc>
          <w:tcPr>
            <w:tcW w:w="1545" w:type="dxa"/>
            <w:tcBorders>
              <w:top w:val="double" w:sz="4" w:space="0" w:color="auto"/>
              <w:bottom w:val="single" w:sz="4" w:space="0" w:color="auto"/>
            </w:tcBorders>
            <w:noWrap/>
          </w:tcPr>
          <w:p w:rsidR="00B53FD7" w:rsidRPr="007E2B9F" w:rsidRDefault="00B53FD7" w:rsidP="00C74FEA">
            <w:pPr>
              <w:spacing w:after="120"/>
              <w:jc w:val="center"/>
              <w:rPr>
                <w:rFonts w:eastAsia="Times New Roman" w:cs="Calibri"/>
                <w:b/>
                <w:color w:val="000000"/>
                <w:sz w:val="24"/>
                <w:szCs w:val="24"/>
              </w:rPr>
            </w:pPr>
            <w:r w:rsidRPr="007E2B9F">
              <w:rPr>
                <w:rFonts w:eastAsia="Times New Roman" w:cs="Calibri"/>
                <w:b/>
                <w:color w:val="000000"/>
                <w:sz w:val="24"/>
                <w:szCs w:val="24"/>
              </w:rPr>
              <w:t>207.03</w:t>
            </w:r>
          </w:p>
        </w:tc>
      </w:tr>
    </w:tbl>
    <w:p w:rsidR="00B53FD7" w:rsidRPr="007E2B9F" w:rsidRDefault="00B53FD7" w:rsidP="00752A4D">
      <w:pPr>
        <w:spacing w:after="0" w:line="480" w:lineRule="auto"/>
        <w:rPr>
          <w:sz w:val="20"/>
          <w:szCs w:val="20"/>
        </w:rPr>
      </w:pPr>
      <w:r w:rsidRPr="007E2B9F">
        <w:rPr>
          <w:sz w:val="20"/>
          <w:szCs w:val="20"/>
          <w:vertAlign w:val="superscript"/>
        </w:rPr>
        <w:t>a</w:t>
      </w:r>
      <w:r>
        <w:rPr>
          <w:sz w:val="20"/>
          <w:szCs w:val="20"/>
          <w:vertAlign w:val="superscript"/>
        </w:rPr>
        <w:t xml:space="preserve"> </w:t>
      </w:r>
      <w:r w:rsidRPr="007E2B9F">
        <w:rPr>
          <w:sz w:val="20"/>
          <w:szCs w:val="20"/>
        </w:rPr>
        <w:t>Costs were in 2009 dollars. West Africa included Benin, Burkina Faso, Cape Verde, C</w:t>
      </w:r>
      <w:r w:rsidRPr="007E2B9F">
        <w:rPr>
          <w:rFonts w:cs="Calibri"/>
          <w:sz w:val="20"/>
          <w:szCs w:val="20"/>
        </w:rPr>
        <w:t>ô</w:t>
      </w:r>
      <w:r w:rsidRPr="007E2B9F">
        <w:rPr>
          <w:sz w:val="20"/>
          <w:szCs w:val="20"/>
        </w:rPr>
        <w:t>te d’Ivoire, The Gambia, Ghana, Guinea, Guinea-Bissau, Liberia, Mali, Mauritania, Niger, Nigeria, S</w:t>
      </w:r>
      <w:r w:rsidRPr="007E2B9F">
        <w:rPr>
          <w:rFonts w:cs="Calibri"/>
          <w:sz w:val="20"/>
          <w:szCs w:val="20"/>
        </w:rPr>
        <w:t>ã</w:t>
      </w:r>
      <w:r w:rsidRPr="007E2B9F">
        <w:rPr>
          <w:sz w:val="20"/>
          <w:szCs w:val="20"/>
        </w:rPr>
        <w:t>o Tom</w:t>
      </w:r>
      <w:r w:rsidRPr="007E2B9F">
        <w:rPr>
          <w:rFonts w:cs="Calibri"/>
          <w:sz w:val="20"/>
          <w:szCs w:val="20"/>
        </w:rPr>
        <w:t>é</w:t>
      </w:r>
      <w:r w:rsidRPr="007E2B9F">
        <w:rPr>
          <w:sz w:val="20"/>
          <w:szCs w:val="20"/>
        </w:rPr>
        <w:t xml:space="preserve"> and Pr</w:t>
      </w:r>
      <w:r w:rsidRPr="007E2B9F">
        <w:rPr>
          <w:rFonts w:cs="Calibri"/>
          <w:sz w:val="20"/>
          <w:szCs w:val="20"/>
        </w:rPr>
        <w:t>í</w:t>
      </w:r>
      <w:r w:rsidRPr="007E2B9F">
        <w:rPr>
          <w:sz w:val="20"/>
          <w:szCs w:val="20"/>
        </w:rPr>
        <w:t>ncipe, Senegal, Sierra Leone, and Togo.</w:t>
      </w:r>
      <w:hyperlink w:anchor="_ENREF_1" w:tooltip="Center for Disease Control and Prevention, 2011 #1" w:history="1">
        <w:r w:rsidRPr="007E2B9F">
          <w:rPr>
            <w:sz w:val="20"/>
            <w:szCs w:val="20"/>
          </w:rPr>
          <w:fldChar w:fldCharType="begin"/>
        </w:r>
        <w:r w:rsidRPr="007E2B9F">
          <w:rPr>
            <w:sz w:val="20"/>
            <w:szCs w:val="20"/>
          </w:rPr>
          <w:instrText xml:space="preserve"> ADDIN EN.CITE &lt;EndNote&gt;&lt;Cite&gt;&lt;Author&gt;Center for Disease Control and Prevention&lt;/Author&gt;&lt;Year&gt;2011&lt;/Year&gt;&lt;RecNum&gt;1&lt;/RecNum&gt;&lt;DisplayText&gt;&lt;style face="superscript"&gt;1&lt;/style&gt;&lt;/DisplayText&gt;&lt;record&gt;&lt;rec-number&gt;1&lt;/rec-number&gt;&lt;foreign-keys&gt;&lt;key app="EN" db-id="xfrepwstvr0z94e0wxpprwxa000900wepr59"&gt;1&lt;/key&gt;&lt;/foreign-keys&gt;&lt;ref-type name="Book"&gt;6&lt;/ref-type&gt;&lt;contributors&gt;&lt;authors&gt;&lt;author&gt;Center for Disease Control and Prevention,&lt;/author&gt;&lt;/authors&gt;&lt;/contributors&gt;&lt;titles&gt;&lt;title&gt;CDC health information for international travel 2012 : the yellow book &lt;/title&gt;&lt;/titles&gt;&lt;dates&gt;&lt;year&gt;2011&lt;/year&gt;&lt;/dates&gt;&lt;pub-location&gt;Atlanta&lt;/pub-location&gt;&lt;publisher&gt;U.S. Department of Health and Human Services, Public Health Services&lt;/publisher&gt;&lt;isbn&gt;9780199769018 019976901X&lt;/isbn&gt;&lt;urls&gt;&lt;/urls&gt;&lt;remote-database-name&gt;/z-wcorg/&lt;/remote-database-name&gt;&lt;remote-database-provider&gt;http://worldcat.org&lt;/remote-database-provider&gt;&lt;language&gt;English&lt;/language&gt;&lt;/record&gt;&lt;/Cite&gt;&lt;/EndNote&gt;</w:instrText>
        </w:r>
        <w:r w:rsidRPr="007E2B9F">
          <w:rPr>
            <w:sz w:val="20"/>
            <w:szCs w:val="20"/>
          </w:rPr>
          <w:fldChar w:fldCharType="separate"/>
        </w:r>
        <w:r w:rsidRPr="007E2B9F">
          <w:rPr>
            <w:noProof/>
            <w:sz w:val="20"/>
            <w:szCs w:val="20"/>
            <w:vertAlign w:val="superscript"/>
          </w:rPr>
          <w:t>1</w:t>
        </w:r>
        <w:r w:rsidRPr="007E2B9F">
          <w:rPr>
            <w:sz w:val="20"/>
            <w:szCs w:val="20"/>
          </w:rPr>
          <w:fldChar w:fldCharType="end"/>
        </w:r>
      </w:hyperlink>
      <w:r w:rsidRPr="007E2B9F">
        <w:rPr>
          <w:sz w:val="20"/>
          <w:szCs w:val="20"/>
        </w:rPr>
        <w:t xml:space="preserve">  Travelers to West Africa were identified as those travelers who planned to visit one or more countries only in West Africa (Appendix Section 1).  </w:t>
      </w:r>
    </w:p>
    <w:p w:rsidR="00B53FD7" w:rsidRPr="007E2B9F" w:rsidRDefault="00B53FD7" w:rsidP="00752A4D">
      <w:pPr>
        <w:spacing w:after="0" w:line="480" w:lineRule="auto"/>
        <w:rPr>
          <w:sz w:val="20"/>
          <w:szCs w:val="20"/>
        </w:rPr>
      </w:pPr>
      <w:r w:rsidRPr="007E2B9F">
        <w:rPr>
          <w:sz w:val="20"/>
          <w:szCs w:val="20"/>
          <w:vertAlign w:val="superscript"/>
        </w:rPr>
        <w:t>b</w:t>
      </w:r>
      <w:r>
        <w:rPr>
          <w:sz w:val="20"/>
          <w:szCs w:val="20"/>
          <w:vertAlign w:val="superscript"/>
        </w:rPr>
        <w:t xml:space="preserve"> </w:t>
      </w:r>
      <w:r w:rsidRPr="007E2B9F">
        <w:rPr>
          <w:sz w:val="20"/>
          <w:szCs w:val="20"/>
        </w:rPr>
        <w:t>For their pre-travel health consultations, travelers were asked to report their purpose(s) of travel from the following (multiple choices were allowed): leisure, business, returning to region of origin of self or family to visit friends and relatives (VFR), adoption, providing medical care, receiving medical care, research/education, nonmedical service work, missionary work, military service, adventuring, attending large gathering or event, or other activities.  For this analysis, travelers who reported only one of the three purposes (i.e., business, leisure, and VFR) were selected.  All purposes denote all travelers to West Africa.</w:t>
      </w:r>
    </w:p>
    <w:p w:rsidR="00B53FD7" w:rsidRPr="007E2B9F" w:rsidRDefault="00B53FD7" w:rsidP="00752A4D">
      <w:pPr>
        <w:spacing w:after="0" w:line="480" w:lineRule="auto"/>
        <w:rPr>
          <w:sz w:val="20"/>
          <w:szCs w:val="20"/>
          <w:vertAlign w:val="superscript"/>
        </w:rPr>
      </w:pPr>
      <w:r w:rsidRPr="007E2B9F">
        <w:rPr>
          <w:sz w:val="20"/>
          <w:szCs w:val="20"/>
          <w:vertAlign w:val="superscript"/>
        </w:rPr>
        <w:t>c</w:t>
      </w:r>
      <w:r>
        <w:rPr>
          <w:sz w:val="20"/>
          <w:szCs w:val="20"/>
          <w:vertAlign w:val="superscript"/>
        </w:rPr>
        <w:t xml:space="preserve"> </w:t>
      </w:r>
      <w:r w:rsidRPr="007E2B9F">
        <w:rPr>
          <w:sz w:val="20"/>
          <w:szCs w:val="20"/>
        </w:rPr>
        <w:t>The median planned length of travel for each category of the purposes of travel was calculated among travelers to West Africa (Table A1).</w:t>
      </w:r>
    </w:p>
    <w:p w:rsidR="00B53FD7" w:rsidRPr="007E2B9F" w:rsidRDefault="00B53FD7" w:rsidP="00752A4D">
      <w:pPr>
        <w:spacing w:after="0" w:line="480" w:lineRule="auto"/>
        <w:rPr>
          <w:sz w:val="20"/>
          <w:szCs w:val="20"/>
        </w:rPr>
      </w:pPr>
      <w:r w:rsidRPr="007E2B9F">
        <w:rPr>
          <w:sz w:val="20"/>
          <w:szCs w:val="20"/>
          <w:vertAlign w:val="superscript"/>
        </w:rPr>
        <w:t>d</w:t>
      </w:r>
      <w:r>
        <w:rPr>
          <w:sz w:val="20"/>
          <w:szCs w:val="20"/>
          <w:vertAlign w:val="superscript"/>
        </w:rPr>
        <w:t xml:space="preserve"> </w:t>
      </w:r>
      <w:r w:rsidRPr="007E2B9F">
        <w:rPr>
          <w:sz w:val="20"/>
          <w:szCs w:val="20"/>
        </w:rPr>
        <w:t>The frequency of chemoprophylaxis prescription (Table A1) was used as weights.</w:t>
      </w:r>
    </w:p>
    <w:p w:rsidR="00B53FD7" w:rsidRPr="007E2B9F" w:rsidRDefault="00B53FD7" w:rsidP="00752A4D">
      <w:pPr>
        <w:spacing w:after="0" w:line="480" w:lineRule="auto"/>
        <w:rPr>
          <w:sz w:val="20"/>
          <w:szCs w:val="20"/>
          <w:vertAlign w:val="superscript"/>
        </w:rPr>
      </w:pPr>
      <w:r w:rsidRPr="007E2B9F">
        <w:rPr>
          <w:sz w:val="20"/>
          <w:szCs w:val="20"/>
          <w:vertAlign w:val="superscript"/>
        </w:rPr>
        <w:t>e</w:t>
      </w:r>
      <w:r w:rsidRPr="007E2B9F">
        <w:rPr>
          <w:sz w:val="20"/>
          <w:szCs w:val="20"/>
        </w:rPr>
        <w:t>14.8% of time for pre-travel health consultations was estimated to be associated with malaria prevention, i.e., protocol of chemoprophylaxis and advice regarding activities/behaviors during travel, for example, wearing proper clothing.</w:t>
      </w:r>
    </w:p>
    <w:p w:rsidR="00B53FD7" w:rsidRPr="007E2B9F" w:rsidRDefault="00B53FD7" w:rsidP="00752A4D">
      <w:pPr>
        <w:spacing w:after="0" w:line="480" w:lineRule="auto"/>
        <w:rPr>
          <w:sz w:val="20"/>
          <w:szCs w:val="20"/>
        </w:rPr>
      </w:pPr>
      <w:r w:rsidRPr="007E2B9F">
        <w:rPr>
          <w:sz w:val="20"/>
          <w:szCs w:val="20"/>
          <w:vertAlign w:val="superscript"/>
        </w:rPr>
        <w:t>f</w:t>
      </w:r>
      <w:r>
        <w:rPr>
          <w:sz w:val="20"/>
          <w:szCs w:val="20"/>
          <w:vertAlign w:val="superscript"/>
        </w:rPr>
        <w:t xml:space="preserve"> </w:t>
      </w:r>
      <w:r w:rsidRPr="007E2B9F">
        <w:rPr>
          <w:sz w:val="20"/>
          <w:szCs w:val="20"/>
        </w:rPr>
        <w:t xml:space="preserve">The costs were calculated based on the following adult dose regimens: 1) Atovaquone/proguanil, daily, begin 2 days before travel </w:t>
      </w:r>
      <w:r>
        <w:rPr>
          <w:sz w:val="20"/>
          <w:szCs w:val="20"/>
        </w:rPr>
        <w:t>un</w:t>
      </w:r>
      <w:r w:rsidRPr="007E2B9F">
        <w:rPr>
          <w:sz w:val="20"/>
          <w:szCs w:val="20"/>
        </w:rPr>
        <w:t xml:space="preserve">til 7 days after travel; 2) Doxycycline, daily, begin 2 days before travel </w:t>
      </w:r>
      <w:r>
        <w:rPr>
          <w:sz w:val="20"/>
          <w:szCs w:val="20"/>
        </w:rPr>
        <w:t>un</w:t>
      </w:r>
      <w:r w:rsidRPr="007E2B9F">
        <w:rPr>
          <w:sz w:val="20"/>
          <w:szCs w:val="20"/>
        </w:rPr>
        <w:t xml:space="preserve">til 4 weeks after travel; and 3) Mefloquine, once a week, begin 2 weeks before travel </w:t>
      </w:r>
      <w:r>
        <w:rPr>
          <w:sz w:val="20"/>
          <w:szCs w:val="20"/>
        </w:rPr>
        <w:t>un</w:t>
      </w:r>
      <w:r w:rsidRPr="007E2B9F">
        <w:rPr>
          <w:sz w:val="20"/>
          <w:szCs w:val="20"/>
        </w:rPr>
        <w:t>til 4 weeks after travel.</w:t>
      </w:r>
      <w:hyperlink w:anchor="_ENREF_1" w:tooltip="Center for Disease Control and Prevention, 2011 #1" w:history="1">
        <w:r w:rsidRPr="007E2B9F">
          <w:rPr>
            <w:sz w:val="20"/>
            <w:szCs w:val="20"/>
          </w:rPr>
          <w:fldChar w:fldCharType="begin"/>
        </w:r>
        <w:r w:rsidRPr="007E2B9F">
          <w:rPr>
            <w:sz w:val="20"/>
            <w:szCs w:val="20"/>
          </w:rPr>
          <w:instrText xml:space="preserve"> ADDIN EN.CITE &lt;EndNote&gt;&lt;Cite&gt;&lt;Author&gt;Center for Disease Control and Prevention&lt;/Author&gt;&lt;Year&gt;2011&lt;/Year&gt;&lt;RecNum&gt;1&lt;/RecNum&gt;&lt;DisplayText&gt;&lt;style face="superscript"&gt;1&lt;/style&gt;&lt;/DisplayText&gt;&lt;record&gt;&lt;rec-number&gt;1&lt;/rec-number&gt;&lt;foreign-keys&gt;&lt;key app="EN" db-id="xfrepwstvr0z94e0wxpprwxa000900wepr59"&gt;1&lt;/key&gt;&lt;/foreign-keys&gt;&lt;ref-type name="Book"&gt;6&lt;/ref-type&gt;&lt;contributors&gt;&lt;authors&gt;&lt;author&gt;Center for Disease Control and Prevention,&lt;/author&gt;&lt;/authors&gt;&lt;/contributors&gt;&lt;titles&gt;&lt;title&gt;CDC health information for international travel 2012 : the yellow book &lt;/title&gt;&lt;/titles&gt;&lt;dates&gt;&lt;year&gt;2011&lt;/year&gt;&lt;/dates&gt;&lt;pub-location&gt;Atlanta&lt;/pub-location&gt;&lt;publisher&gt;U.S. Department of Health and Human Services, Public Health Services&lt;/publisher&gt;&lt;isbn&gt;9780199769018 019976901X&lt;/isbn&gt;&lt;urls&gt;&lt;/urls&gt;&lt;remote-database-name&gt;/z-wcorg/&lt;/remote-database-name&gt;&lt;remote-database-provider&gt;http://worldcat.org&lt;/remote-database-provider&gt;&lt;language&gt;English&lt;/language&gt;&lt;/record&gt;&lt;/Cite&gt;&lt;/EndNote&gt;</w:instrText>
        </w:r>
        <w:r w:rsidRPr="007E2B9F">
          <w:rPr>
            <w:sz w:val="20"/>
            <w:szCs w:val="20"/>
          </w:rPr>
          <w:fldChar w:fldCharType="separate"/>
        </w:r>
        <w:r w:rsidRPr="007E2B9F">
          <w:rPr>
            <w:noProof/>
            <w:sz w:val="20"/>
            <w:szCs w:val="20"/>
            <w:vertAlign w:val="superscript"/>
          </w:rPr>
          <w:t>1</w:t>
        </w:r>
        <w:r w:rsidRPr="007E2B9F">
          <w:rPr>
            <w:sz w:val="20"/>
            <w:szCs w:val="20"/>
          </w:rPr>
          <w:fldChar w:fldCharType="end"/>
        </w:r>
      </w:hyperlink>
    </w:p>
    <w:p w:rsidR="00B53FD7" w:rsidRPr="007E2B9F" w:rsidRDefault="00B53FD7" w:rsidP="00043BC2">
      <w:pPr>
        <w:spacing w:after="0" w:line="480" w:lineRule="auto"/>
        <w:rPr>
          <w:rFonts w:cs="Calibri"/>
          <w:sz w:val="24"/>
          <w:szCs w:val="24"/>
        </w:rPr>
      </w:pPr>
    </w:p>
    <w:p w:rsidR="00B53FD7" w:rsidRPr="007E2B9F" w:rsidRDefault="00B53FD7">
      <w:pPr>
        <w:spacing w:after="0" w:line="240" w:lineRule="auto"/>
        <w:rPr>
          <w:b/>
          <w:sz w:val="24"/>
          <w:szCs w:val="24"/>
        </w:rPr>
      </w:pPr>
      <w:r w:rsidRPr="007E2B9F">
        <w:rPr>
          <w:b/>
          <w:sz w:val="24"/>
          <w:szCs w:val="24"/>
        </w:rPr>
        <w:br w:type="page"/>
      </w:r>
    </w:p>
    <w:p w:rsidR="00B53FD7" w:rsidRPr="007E2B9F" w:rsidRDefault="00B53FD7" w:rsidP="00474A55">
      <w:pPr>
        <w:spacing w:after="0" w:line="240" w:lineRule="auto"/>
        <w:rPr>
          <w:b/>
          <w:sz w:val="24"/>
          <w:szCs w:val="24"/>
        </w:rPr>
      </w:pPr>
      <w:r w:rsidRPr="007E2B9F">
        <w:rPr>
          <w:b/>
          <w:sz w:val="24"/>
          <w:szCs w:val="24"/>
        </w:rPr>
        <w:t xml:space="preserve">Table A3. From Traveler’s Perspective: Direct and Indirect Costs of Pre-travel </w:t>
      </w:r>
      <w:r>
        <w:rPr>
          <w:b/>
          <w:sz w:val="24"/>
          <w:szCs w:val="24"/>
        </w:rPr>
        <w:t xml:space="preserve">Health </w:t>
      </w:r>
      <w:r w:rsidRPr="007E2B9F">
        <w:rPr>
          <w:b/>
          <w:sz w:val="24"/>
          <w:szCs w:val="24"/>
        </w:rPr>
        <w:t>Consultation, Malaria Chemoprophylaxis, and Treatment of an Adverse Event associated with Malaria Chemoprophylaxis for Travelers to West Africa</w:t>
      </w:r>
      <w:r w:rsidRPr="007E2B9F">
        <w:rPr>
          <w:b/>
          <w:sz w:val="24"/>
          <w:szCs w:val="24"/>
          <w:vertAlign w:val="superscript"/>
        </w:rPr>
        <w:t>a</w:t>
      </w:r>
    </w:p>
    <w:tbl>
      <w:tblPr>
        <w:tblW w:w="0" w:type="auto"/>
        <w:tblBorders>
          <w:top w:val="single" w:sz="4" w:space="0" w:color="auto"/>
          <w:bottom w:val="single" w:sz="4" w:space="0" w:color="auto"/>
        </w:tblBorders>
        <w:tblLayout w:type="fixed"/>
        <w:tblLook w:val="00A0"/>
      </w:tblPr>
      <w:tblGrid>
        <w:gridCol w:w="5508"/>
        <w:gridCol w:w="1724"/>
        <w:gridCol w:w="1725"/>
        <w:gridCol w:w="1724"/>
        <w:gridCol w:w="1725"/>
      </w:tblGrid>
      <w:tr w:rsidR="00B53FD7" w:rsidRPr="007E2B9F" w:rsidTr="00A607CC">
        <w:trPr>
          <w:trHeight w:val="278"/>
        </w:trPr>
        <w:tc>
          <w:tcPr>
            <w:tcW w:w="5508" w:type="dxa"/>
            <w:tcBorders>
              <w:top w:val="single" w:sz="4" w:space="0" w:color="auto"/>
              <w:right w:val="nil"/>
            </w:tcBorders>
          </w:tcPr>
          <w:p w:rsidR="00B53FD7" w:rsidRPr="007E2B9F" w:rsidRDefault="00B53FD7" w:rsidP="00A607CC">
            <w:pPr>
              <w:spacing w:after="0" w:line="240" w:lineRule="auto"/>
              <w:rPr>
                <w:sz w:val="24"/>
                <w:szCs w:val="24"/>
              </w:rPr>
            </w:pPr>
          </w:p>
        </w:tc>
        <w:tc>
          <w:tcPr>
            <w:tcW w:w="6898" w:type="dxa"/>
            <w:gridSpan w:val="4"/>
            <w:tcBorders>
              <w:top w:val="single" w:sz="4" w:space="0" w:color="auto"/>
              <w:left w:val="nil"/>
              <w:bottom w:val="single" w:sz="4" w:space="0" w:color="auto"/>
            </w:tcBorders>
          </w:tcPr>
          <w:p w:rsidR="00B53FD7" w:rsidRPr="007E2B9F" w:rsidRDefault="00B53FD7" w:rsidP="00A607CC">
            <w:pPr>
              <w:spacing w:after="0" w:line="240" w:lineRule="auto"/>
              <w:jc w:val="center"/>
              <w:rPr>
                <w:sz w:val="24"/>
                <w:szCs w:val="24"/>
              </w:rPr>
            </w:pPr>
            <w:r w:rsidRPr="007E2B9F">
              <w:rPr>
                <w:sz w:val="24"/>
                <w:szCs w:val="24"/>
              </w:rPr>
              <w:t>Purpose of travel</w:t>
            </w:r>
            <w:r w:rsidRPr="007E2B9F">
              <w:rPr>
                <w:sz w:val="24"/>
                <w:szCs w:val="24"/>
                <w:vertAlign w:val="superscript"/>
              </w:rPr>
              <w:t>b</w:t>
            </w:r>
            <w:r w:rsidRPr="007E2B9F">
              <w:rPr>
                <w:sz w:val="24"/>
                <w:szCs w:val="24"/>
              </w:rPr>
              <w:t xml:space="preserve"> and median planned length of travel</w:t>
            </w:r>
            <w:r w:rsidRPr="007E2B9F">
              <w:rPr>
                <w:sz w:val="24"/>
                <w:szCs w:val="24"/>
                <w:vertAlign w:val="superscript"/>
              </w:rPr>
              <w:t>c</w:t>
            </w:r>
          </w:p>
        </w:tc>
      </w:tr>
      <w:tr w:rsidR="00B53FD7" w:rsidRPr="007E2B9F" w:rsidTr="00A607CC">
        <w:trPr>
          <w:trHeight w:val="296"/>
        </w:trPr>
        <w:tc>
          <w:tcPr>
            <w:tcW w:w="5508" w:type="dxa"/>
            <w:tcBorders>
              <w:bottom w:val="nil"/>
              <w:right w:val="nil"/>
            </w:tcBorders>
          </w:tcPr>
          <w:p w:rsidR="00B53FD7" w:rsidRPr="007E2B9F" w:rsidRDefault="00B53FD7" w:rsidP="00A607CC">
            <w:pPr>
              <w:spacing w:after="0" w:line="240" w:lineRule="auto"/>
              <w:jc w:val="center"/>
              <w:rPr>
                <w:rFonts w:eastAsia="Times New Roman" w:cs="Calibri"/>
                <w:color w:val="000000"/>
                <w:sz w:val="24"/>
                <w:szCs w:val="24"/>
              </w:rPr>
            </w:pPr>
          </w:p>
        </w:tc>
        <w:tc>
          <w:tcPr>
            <w:tcW w:w="1724" w:type="dxa"/>
            <w:tcBorders>
              <w:top w:val="single" w:sz="4" w:space="0" w:color="auto"/>
              <w:left w:val="nil"/>
              <w:bottom w:val="nil"/>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Business</w:t>
            </w:r>
          </w:p>
        </w:tc>
        <w:tc>
          <w:tcPr>
            <w:tcW w:w="1725" w:type="dxa"/>
            <w:tcBorders>
              <w:top w:val="single" w:sz="4" w:space="0" w:color="auto"/>
              <w:left w:val="nil"/>
              <w:bottom w:val="nil"/>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Leisure</w:t>
            </w:r>
          </w:p>
        </w:tc>
        <w:tc>
          <w:tcPr>
            <w:tcW w:w="1724" w:type="dxa"/>
            <w:tcBorders>
              <w:top w:val="single" w:sz="4" w:space="0" w:color="auto"/>
              <w:left w:val="nil"/>
              <w:bottom w:val="nil"/>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All purposes</w:t>
            </w:r>
          </w:p>
        </w:tc>
        <w:tc>
          <w:tcPr>
            <w:tcW w:w="1725" w:type="dxa"/>
            <w:tcBorders>
              <w:top w:val="single" w:sz="4" w:space="0" w:color="auto"/>
              <w:left w:val="nil"/>
              <w:bottom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VFR</w:t>
            </w:r>
            <w:r w:rsidRPr="007E2B9F">
              <w:rPr>
                <w:rFonts w:eastAsia="Times New Roman" w:cs="Calibri"/>
                <w:color w:val="000000"/>
                <w:sz w:val="24"/>
                <w:szCs w:val="24"/>
                <w:vertAlign w:val="superscript"/>
              </w:rPr>
              <w:t>b</w:t>
            </w:r>
          </w:p>
        </w:tc>
      </w:tr>
      <w:tr w:rsidR="00B53FD7" w:rsidRPr="007E2B9F" w:rsidTr="00A607CC">
        <w:trPr>
          <w:trHeight w:val="261"/>
        </w:trPr>
        <w:tc>
          <w:tcPr>
            <w:tcW w:w="5508" w:type="dxa"/>
            <w:tcBorders>
              <w:top w:val="nil"/>
              <w:bottom w:val="single" w:sz="4" w:space="0" w:color="auto"/>
              <w:right w:val="nil"/>
            </w:tcBorders>
          </w:tcPr>
          <w:p w:rsidR="00B53FD7" w:rsidRPr="007E2B9F" w:rsidRDefault="00B53FD7" w:rsidP="00A607CC">
            <w:pPr>
              <w:spacing w:after="0" w:line="240" w:lineRule="auto"/>
              <w:jc w:val="center"/>
              <w:rPr>
                <w:rFonts w:eastAsia="Times New Roman" w:cs="Calibri"/>
                <w:color w:val="000000"/>
                <w:sz w:val="24"/>
                <w:szCs w:val="24"/>
              </w:rPr>
            </w:pPr>
          </w:p>
        </w:tc>
        <w:tc>
          <w:tcPr>
            <w:tcW w:w="1724" w:type="dxa"/>
            <w:tcBorders>
              <w:top w:val="nil"/>
              <w:left w:val="nil"/>
              <w:bottom w:val="single" w:sz="4" w:space="0" w:color="auto"/>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9 days</w:t>
            </w:r>
          </w:p>
        </w:tc>
        <w:tc>
          <w:tcPr>
            <w:tcW w:w="1725" w:type="dxa"/>
            <w:tcBorders>
              <w:top w:val="nil"/>
              <w:left w:val="nil"/>
              <w:bottom w:val="single" w:sz="4" w:space="0" w:color="auto"/>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14 days</w:t>
            </w:r>
          </w:p>
        </w:tc>
        <w:tc>
          <w:tcPr>
            <w:tcW w:w="1724" w:type="dxa"/>
            <w:tcBorders>
              <w:top w:val="nil"/>
              <w:left w:val="nil"/>
              <w:bottom w:val="single" w:sz="4" w:space="0" w:color="auto"/>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21 days</w:t>
            </w:r>
          </w:p>
        </w:tc>
        <w:tc>
          <w:tcPr>
            <w:tcW w:w="1725" w:type="dxa"/>
            <w:tcBorders>
              <w:top w:val="nil"/>
              <w:left w:val="nil"/>
              <w:bottom w:val="single" w:sz="4" w:space="0" w:color="auto"/>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30 days</w:t>
            </w:r>
          </w:p>
        </w:tc>
      </w:tr>
      <w:tr w:rsidR="00B53FD7" w:rsidRPr="007E2B9F" w:rsidTr="00A607CC">
        <w:trPr>
          <w:trHeight w:val="300"/>
        </w:trPr>
        <w:tc>
          <w:tcPr>
            <w:tcW w:w="5508" w:type="dxa"/>
            <w:tcBorders>
              <w:bottom w:val="single" w:sz="4" w:space="0" w:color="auto"/>
              <w:right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Weighted average probability of prophylaxis-related adverse events requiring medical attention</w:t>
            </w:r>
            <w:r w:rsidRPr="007E2B9F">
              <w:rPr>
                <w:rFonts w:eastAsia="Times New Roman" w:cs="Calibri"/>
                <w:color w:val="000000"/>
                <w:sz w:val="24"/>
                <w:szCs w:val="24"/>
                <w:vertAlign w:val="superscript"/>
              </w:rPr>
              <w:t>d</w:t>
            </w:r>
          </w:p>
        </w:tc>
        <w:tc>
          <w:tcPr>
            <w:tcW w:w="1724" w:type="dxa"/>
            <w:tcBorders>
              <w:left w:val="nil"/>
              <w:bottom w:val="single" w:sz="4" w:space="0" w:color="auto"/>
              <w:right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0.072</w:t>
            </w:r>
          </w:p>
        </w:tc>
        <w:tc>
          <w:tcPr>
            <w:tcW w:w="1725" w:type="dxa"/>
            <w:tcBorders>
              <w:left w:val="nil"/>
              <w:bottom w:val="single" w:sz="4" w:space="0" w:color="auto"/>
              <w:right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0.078</w:t>
            </w:r>
          </w:p>
        </w:tc>
        <w:tc>
          <w:tcPr>
            <w:tcW w:w="1724" w:type="dxa"/>
            <w:tcBorders>
              <w:left w:val="nil"/>
              <w:bottom w:val="single" w:sz="4" w:space="0" w:color="auto"/>
              <w:right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0.086</w:t>
            </w:r>
          </w:p>
        </w:tc>
        <w:tc>
          <w:tcPr>
            <w:tcW w:w="1725" w:type="dxa"/>
            <w:tcBorders>
              <w:left w:val="nil"/>
              <w:bottom w:val="single" w:sz="4" w:space="0" w:color="auto"/>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0.100</w:t>
            </w:r>
          </w:p>
        </w:tc>
      </w:tr>
      <w:tr w:rsidR="00B53FD7" w:rsidRPr="007E2B9F" w:rsidTr="00A607CC">
        <w:trPr>
          <w:trHeight w:val="300"/>
        </w:trPr>
        <w:tc>
          <w:tcPr>
            <w:tcW w:w="12406" w:type="dxa"/>
            <w:gridSpan w:val="5"/>
            <w:tcBorders>
              <w:top w:val="single" w:sz="4" w:space="0" w:color="auto"/>
              <w:left w:val="single" w:sz="4" w:space="0" w:color="auto"/>
              <w:bottom w:val="single" w:sz="4" w:space="0" w:color="auto"/>
              <w:right w:val="single" w:sz="4" w:space="0" w:color="auto"/>
            </w:tcBorders>
          </w:tcPr>
          <w:p w:rsidR="00B53FD7" w:rsidRPr="007E2B9F" w:rsidRDefault="00B53FD7" w:rsidP="00A607CC">
            <w:pPr>
              <w:spacing w:after="120"/>
              <w:rPr>
                <w:rFonts w:eastAsia="Times New Roman" w:cs="Calibri"/>
                <w:sz w:val="24"/>
                <w:szCs w:val="24"/>
              </w:rPr>
            </w:pPr>
            <w:r w:rsidRPr="007E2B9F">
              <w:rPr>
                <w:rFonts w:eastAsia="Times New Roman" w:cs="Calibri"/>
                <w:color w:val="000000"/>
                <w:sz w:val="24"/>
                <w:szCs w:val="24"/>
              </w:rPr>
              <w:t>For explanations 1) through 5), see Table A2.</w:t>
            </w:r>
            <w:r w:rsidRPr="007E2B9F">
              <w:rPr>
                <w:rFonts w:eastAsia="Times New Roman" w:cs="Calibri"/>
                <w:sz w:val="24"/>
                <w:szCs w:val="24"/>
              </w:rPr>
              <w:t>6) Costs of lost work hours to visit a travel clinic from Table 2; 7) Prorated cost of lost work hours due to travel clinic visit related to malaria prevention (i.e., 0.148</w:t>
            </w:r>
            <w:r>
              <w:rPr>
                <w:rFonts w:eastAsia="Times New Roman" w:cs="Calibri"/>
                <w:sz w:val="24"/>
                <w:szCs w:val="24"/>
              </w:rPr>
              <w:t xml:space="preserve"> </w:t>
            </w:r>
            <w:r w:rsidRPr="007E2B9F">
              <w:rPr>
                <w:rFonts w:eastAsia="Times New Roman" w:cs="Calibri"/>
                <w:sz w:val="24"/>
                <w:szCs w:val="24"/>
              </w:rPr>
              <w:t>x</w:t>
            </w:r>
            <w:r>
              <w:rPr>
                <w:rFonts w:eastAsia="Times New Roman" w:cs="Calibri"/>
                <w:sz w:val="24"/>
                <w:szCs w:val="24"/>
              </w:rPr>
              <w:t xml:space="preserve"> </w:t>
            </w:r>
            <w:r w:rsidRPr="007E2B9F">
              <w:rPr>
                <w:rFonts w:eastAsia="Times New Roman" w:cs="Calibri"/>
                <w:sz w:val="24"/>
                <w:szCs w:val="24"/>
              </w:rPr>
              <w:t>$65.57); 8) Costs of lost work hours to visit a physician office associated with treatment of an adverse event from Table 2; 9) Risk adjusted costs of lost work hours for physician visit due to an adverse event (e.g., 0.072</w:t>
            </w:r>
            <w:r>
              <w:rPr>
                <w:rFonts w:eastAsia="Times New Roman" w:cs="Calibri"/>
                <w:sz w:val="24"/>
                <w:szCs w:val="24"/>
              </w:rPr>
              <w:t xml:space="preserve"> </w:t>
            </w:r>
            <w:r w:rsidRPr="007E2B9F">
              <w:rPr>
                <w:rFonts w:eastAsia="Times New Roman" w:cs="Calibri"/>
                <w:sz w:val="24"/>
                <w:szCs w:val="24"/>
              </w:rPr>
              <w:t>x</w:t>
            </w:r>
            <w:r>
              <w:rPr>
                <w:rFonts w:eastAsia="Times New Roman" w:cs="Calibri"/>
                <w:sz w:val="24"/>
                <w:szCs w:val="24"/>
              </w:rPr>
              <w:t xml:space="preserve"> </w:t>
            </w:r>
            <w:r w:rsidRPr="007E2B9F">
              <w:rPr>
                <w:rFonts w:eastAsia="Times New Roman" w:cs="Calibri"/>
                <w:sz w:val="24"/>
                <w:szCs w:val="24"/>
              </w:rPr>
              <w:t>$32.79); and 10) Total cost of pre-travel consultation, chemoprophylaxis, and treatment of an adverse event (the sum of #2, #3, #5, #7, and #9).</w:t>
            </w:r>
          </w:p>
        </w:tc>
      </w:tr>
      <w:tr w:rsidR="00B53FD7" w:rsidRPr="007E2B9F" w:rsidTr="00A607CC">
        <w:trPr>
          <w:trHeight w:val="300"/>
        </w:trPr>
        <w:tc>
          <w:tcPr>
            <w:tcW w:w="5508" w:type="dxa"/>
            <w:tcBorders>
              <w:top w:val="single" w:sz="4" w:space="0" w:color="auto"/>
              <w:bottom w:val="nil"/>
              <w:right w:val="nil"/>
            </w:tcBorders>
          </w:tcPr>
          <w:p w:rsidR="00B53FD7" w:rsidRPr="007E2B9F" w:rsidRDefault="00B53FD7" w:rsidP="00A607CC">
            <w:pPr>
              <w:spacing w:after="120"/>
              <w:rPr>
                <w:rFonts w:eastAsia="Times New Roman" w:cs="Calibri"/>
                <w:b/>
                <w:color w:val="000000"/>
                <w:sz w:val="24"/>
                <w:szCs w:val="24"/>
              </w:rPr>
            </w:pPr>
            <w:r w:rsidRPr="007E2B9F">
              <w:rPr>
                <w:rFonts w:eastAsia="Times New Roman" w:cs="Calibri"/>
                <w:b/>
                <w:color w:val="000000"/>
                <w:sz w:val="24"/>
                <w:szCs w:val="24"/>
              </w:rPr>
              <w:t>Direct costs</w:t>
            </w:r>
          </w:p>
        </w:tc>
        <w:tc>
          <w:tcPr>
            <w:tcW w:w="6898" w:type="dxa"/>
            <w:gridSpan w:val="4"/>
            <w:tcBorders>
              <w:top w:val="single" w:sz="4" w:space="0" w:color="auto"/>
              <w:left w:val="nil"/>
              <w:bottom w:val="nil"/>
            </w:tcBorders>
            <w:noWrap/>
          </w:tcPr>
          <w:p w:rsidR="00B53FD7" w:rsidRPr="007E2B9F" w:rsidRDefault="00B53FD7" w:rsidP="00A607CC">
            <w:pPr>
              <w:spacing w:after="120"/>
              <w:ind w:right="432"/>
              <w:jc w:val="center"/>
              <w:rPr>
                <w:rFonts w:eastAsia="Times New Roman" w:cs="Calibri"/>
                <w:color w:val="000000"/>
                <w:sz w:val="24"/>
                <w:szCs w:val="24"/>
              </w:rPr>
            </w:pPr>
          </w:p>
        </w:tc>
      </w:tr>
      <w:tr w:rsidR="00B53FD7" w:rsidRPr="007E2B9F" w:rsidTr="00A607CC">
        <w:trPr>
          <w:trHeight w:val="300"/>
        </w:trPr>
        <w:tc>
          <w:tcPr>
            <w:tcW w:w="5508" w:type="dxa"/>
            <w:tcBorders>
              <w:top w:val="nil"/>
              <w:bottom w:val="nil"/>
              <w:right w:val="nil"/>
            </w:tcBorders>
          </w:tcPr>
          <w:p w:rsidR="00B53FD7" w:rsidRPr="007E2B9F" w:rsidRDefault="00B53FD7" w:rsidP="00A607CC">
            <w:pPr>
              <w:spacing w:after="0"/>
              <w:rPr>
                <w:rFonts w:eastAsia="Times New Roman" w:cs="Calibri"/>
                <w:color w:val="000000"/>
                <w:sz w:val="24"/>
                <w:szCs w:val="24"/>
              </w:rPr>
            </w:pPr>
            <w:r w:rsidRPr="007E2B9F">
              <w:rPr>
                <w:rFonts w:eastAsia="Times New Roman" w:cs="Calibri"/>
                <w:color w:val="000000"/>
                <w:sz w:val="24"/>
                <w:szCs w:val="24"/>
              </w:rPr>
              <w:t>1) Cost (co-payment) of travel clinic visit for pre-travel consultation, $</w:t>
            </w:r>
          </w:p>
        </w:tc>
        <w:tc>
          <w:tcPr>
            <w:tcW w:w="6898" w:type="dxa"/>
            <w:gridSpan w:val="4"/>
            <w:tcBorders>
              <w:top w:val="nil"/>
              <w:left w:val="nil"/>
              <w:bottom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30.00</w:t>
            </w:r>
          </w:p>
        </w:tc>
      </w:tr>
      <w:tr w:rsidR="00B53FD7" w:rsidRPr="007E2B9F" w:rsidTr="00A607CC">
        <w:trPr>
          <w:trHeight w:val="300"/>
        </w:trPr>
        <w:tc>
          <w:tcPr>
            <w:tcW w:w="5508" w:type="dxa"/>
            <w:tcBorders>
              <w:top w:val="nil"/>
              <w:right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2) Prorated cost of travel clinic visit for pre-travel consultation related to malaria prevention, $</w:t>
            </w:r>
            <w:r w:rsidRPr="007E2B9F">
              <w:rPr>
                <w:rFonts w:eastAsia="Times New Roman" w:cs="Calibri"/>
                <w:color w:val="000000"/>
                <w:sz w:val="24"/>
                <w:szCs w:val="24"/>
                <w:vertAlign w:val="superscript"/>
              </w:rPr>
              <w:t>e</w:t>
            </w:r>
          </w:p>
        </w:tc>
        <w:tc>
          <w:tcPr>
            <w:tcW w:w="6898" w:type="dxa"/>
            <w:gridSpan w:val="4"/>
            <w:tcBorders>
              <w:top w:val="nil"/>
              <w:lef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4.44</w:t>
            </w:r>
          </w:p>
        </w:tc>
      </w:tr>
      <w:tr w:rsidR="00B53FD7" w:rsidRPr="007E2B9F" w:rsidTr="00A607CC">
        <w:trPr>
          <w:trHeight w:val="300"/>
        </w:trPr>
        <w:tc>
          <w:tcPr>
            <w:tcW w:w="5508" w:type="dxa"/>
            <w:tcBorders>
              <w:right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3) Cost (co-payment) of malaria chemoprophylaxis, $</w:t>
            </w:r>
          </w:p>
        </w:tc>
        <w:tc>
          <w:tcPr>
            <w:tcW w:w="6898" w:type="dxa"/>
            <w:gridSpan w:val="4"/>
            <w:tcBorders>
              <w:lef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25.00</w:t>
            </w:r>
          </w:p>
        </w:tc>
      </w:tr>
      <w:tr w:rsidR="00B53FD7" w:rsidRPr="007E2B9F" w:rsidTr="00A607CC">
        <w:trPr>
          <w:trHeight w:val="300"/>
        </w:trPr>
        <w:tc>
          <w:tcPr>
            <w:tcW w:w="5508" w:type="dxa"/>
            <w:tcBorders>
              <w:right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4) Cost (co-payment) of physician visit and drug for treatment of an adverse event associated with malaria chemoprophylaxis (cost of an adverse event), $</w:t>
            </w:r>
          </w:p>
        </w:tc>
        <w:tc>
          <w:tcPr>
            <w:tcW w:w="6898" w:type="dxa"/>
            <w:gridSpan w:val="4"/>
            <w:tcBorders>
              <w:lef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31.50</w:t>
            </w:r>
          </w:p>
        </w:tc>
      </w:tr>
      <w:tr w:rsidR="00B53FD7" w:rsidRPr="007E2B9F" w:rsidTr="00A607CC">
        <w:trPr>
          <w:trHeight w:val="300"/>
        </w:trPr>
        <w:tc>
          <w:tcPr>
            <w:tcW w:w="5508" w:type="dxa"/>
            <w:tcBorders>
              <w:right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5) Risk</w:t>
            </w:r>
            <w:r>
              <w:rPr>
                <w:rFonts w:eastAsia="Times New Roman" w:cs="Calibri"/>
                <w:color w:val="000000"/>
                <w:sz w:val="24"/>
                <w:szCs w:val="24"/>
              </w:rPr>
              <w:t>-</w:t>
            </w:r>
            <w:r w:rsidRPr="007E2B9F">
              <w:rPr>
                <w:rFonts w:eastAsia="Times New Roman" w:cs="Calibri"/>
                <w:color w:val="000000"/>
                <w:sz w:val="24"/>
                <w:szCs w:val="24"/>
              </w:rPr>
              <w:t>adjusted costs of an adverse events, $</w:t>
            </w:r>
          </w:p>
        </w:tc>
        <w:tc>
          <w:tcPr>
            <w:tcW w:w="1724" w:type="dxa"/>
            <w:tcBorders>
              <w:left w:val="nil"/>
              <w:righ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2.27</w:t>
            </w:r>
          </w:p>
        </w:tc>
        <w:tc>
          <w:tcPr>
            <w:tcW w:w="1725" w:type="dxa"/>
            <w:tcBorders>
              <w:left w:val="nil"/>
              <w:righ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2.46</w:t>
            </w:r>
          </w:p>
        </w:tc>
        <w:tc>
          <w:tcPr>
            <w:tcW w:w="1724" w:type="dxa"/>
            <w:tcBorders>
              <w:left w:val="nil"/>
              <w:righ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2.71</w:t>
            </w:r>
          </w:p>
        </w:tc>
        <w:tc>
          <w:tcPr>
            <w:tcW w:w="1725" w:type="dxa"/>
            <w:tcBorders>
              <w:lef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3.15</w:t>
            </w:r>
          </w:p>
        </w:tc>
      </w:tr>
      <w:tr w:rsidR="00B53FD7" w:rsidRPr="007E2B9F" w:rsidTr="00A607CC">
        <w:trPr>
          <w:trHeight w:val="300"/>
        </w:trPr>
        <w:tc>
          <w:tcPr>
            <w:tcW w:w="5508" w:type="dxa"/>
            <w:tcBorders>
              <w:right w:val="nil"/>
            </w:tcBorders>
          </w:tcPr>
          <w:p w:rsidR="00B53FD7" w:rsidRPr="007E2B9F" w:rsidRDefault="00B53FD7" w:rsidP="00A607CC">
            <w:pPr>
              <w:spacing w:after="120"/>
              <w:rPr>
                <w:rFonts w:eastAsia="Times New Roman" w:cs="Calibri"/>
                <w:b/>
                <w:color w:val="000000"/>
                <w:sz w:val="24"/>
                <w:szCs w:val="24"/>
              </w:rPr>
            </w:pPr>
            <w:r w:rsidRPr="007E2B9F">
              <w:rPr>
                <w:rFonts w:eastAsia="Times New Roman" w:cs="Calibri"/>
                <w:b/>
                <w:color w:val="000000"/>
                <w:sz w:val="24"/>
                <w:szCs w:val="24"/>
              </w:rPr>
              <w:t>Indirect costs (lost wages)</w:t>
            </w:r>
          </w:p>
        </w:tc>
        <w:tc>
          <w:tcPr>
            <w:tcW w:w="1724" w:type="dxa"/>
            <w:tcBorders>
              <w:left w:val="nil"/>
              <w:right w:val="nil"/>
            </w:tcBorders>
            <w:noWrap/>
            <w:vAlign w:val="center"/>
          </w:tcPr>
          <w:p w:rsidR="00B53FD7" w:rsidRPr="007E2B9F" w:rsidRDefault="00B53FD7" w:rsidP="00A607CC">
            <w:pPr>
              <w:spacing w:after="120"/>
              <w:jc w:val="center"/>
              <w:rPr>
                <w:rFonts w:eastAsia="Times New Roman" w:cs="Calibri"/>
                <w:b/>
                <w:color w:val="000000"/>
                <w:sz w:val="24"/>
                <w:szCs w:val="24"/>
              </w:rPr>
            </w:pPr>
          </w:p>
        </w:tc>
        <w:tc>
          <w:tcPr>
            <w:tcW w:w="1725" w:type="dxa"/>
            <w:tcBorders>
              <w:left w:val="nil"/>
              <w:right w:val="nil"/>
            </w:tcBorders>
            <w:noWrap/>
            <w:vAlign w:val="center"/>
          </w:tcPr>
          <w:p w:rsidR="00B53FD7" w:rsidRPr="007E2B9F" w:rsidRDefault="00B53FD7" w:rsidP="00A607CC">
            <w:pPr>
              <w:spacing w:after="120"/>
              <w:jc w:val="center"/>
              <w:rPr>
                <w:rFonts w:eastAsia="Times New Roman" w:cs="Calibri"/>
                <w:b/>
                <w:color w:val="000000"/>
                <w:sz w:val="24"/>
                <w:szCs w:val="24"/>
              </w:rPr>
            </w:pPr>
          </w:p>
        </w:tc>
        <w:tc>
          <w:tcPr>
            <w:tcW w:w="1724" w:type="dxa"/>
            <w:tcBorders>
              <w:left w:val="nil"/>
              <w:right w:val="nil"/>
            </w:tcBorders>
            <w:noWrap/>
            <w:vAlign w:val="center"/>
          </w:tcPr>
          <w:p w:rsidR="00B53FD7" w:rsidRPr="007E2B9F" w:rsidRDefault="00B53FD7" w:rsidP="00A607CC">
            <w:pPr>
              <w:spacing w:after="120"/>
              <w:jc w:val="center"/>
              <w:rPr>
                <w:rFonts w:eastAsia="Times New Roman" w:cs="Calibri"/>
                <w:b/>
                <w:color w:val="000000"/>
                <w:sz w:val="24"/>
                <w:szCs w:val="24"/>
              </w:rPr>
            </w:pPr>
          </w:p>
        </w:tc>
        <w:tc>
          <w:tcPr>
            <w:tcW w:w="1725" w:type="dxa"/>
            <w:tcBorders>
              <w:left w:val="nil"/>
            </w:tcBorders>
            <w:noWrap/>
            <w:vAlign w:val="center"/>
          </w:tcPr>
          <w:p w:rsidR="00B53FD7" w:rsidRPr="007E2B9F" w:rsidRDefault="00B53FD7" w:rsidP="00A607CC">
            <w:pPr>
              <w:spacing w:after="120"/>
              <w:jc w:val="center"/>
              <w:rPr>
                <w:rFonts w:eastAsia="Times New Roman" w:cs="Calibri"/>
                <w:b/>
                <w:color w:val="000000"/>
                <w:sz w:val="24"/>
                <w:szCs w:val="24"/>
              </w:rPr>
            </w:pPr>
          </w:p>
        </w:tc>
      </w:tr>
      <w:tr w:rsidR="00B53FD7" w:rsidRPr="007E2B9F" w:rsidTr="00A607CC">
        <w:trPr>
          <w:trHeight w:val="300"/>
        </w:trPr>
        <w:tc>
          <w:tcPr>
            <w:tcW w:w="5508" w:type="dxa"/>
            <w:tcBorders>
              <w:bottom w:val="nil"/>
              <w:right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6) Lost work hours for travel clinic visit, $</w:t>
            </w:r>
          </w:p>
        </w:tc>
        <w:tc>
          <w:tcPr>
            <w:tcW w:w="6898" w:type="dxa"/>
            <w:gridSpan w:val="4"/>
            <w:tcBorders>
              <w:left w:val="nil"/>
              <w:bottom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65.57</w:t>
            </w:r>
          </w:p>
        </w:tc>
      </w:tr>
      <w:tr w:rsidR="00B53FD7" w:rsidRPr="007E2B9F" w:rsidTr="00A607CC">
        <w:trPr>
          <w:trHeight w:val="300"/>
        </w:trPr>
        <w:tc>
          <w:tcPr>
            <w:tcW w:w="5508" w:type="dxa"/>
            <w:tcBorders>
              <w:right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7) Prorated lost work hours for travel clinic visit, $</w:t>
            </w:r>
            <w:r w:rsidRPr="007E2B9F">
              <w:rPr>
                <w:rFonts w:eastAsia="Times New Roman" w:cs="Calibri"/>
                <w:color w:val="000000"/>
                <w:sz w:val="24"/>
                <w:szCs w:val="24"/>
                <w:vertAlign w:val="superscript"/>
              </w:rPr>
              <w:t>e</w:t>
            </w:r>
          </w:p>
        </w:tc>
        <w:tc>
          <w:tcPr>
            <w:tcW w:w="6898" w:type="dxa"/>
            <w:gridSpan w:val="4"/>
            <w:tcBorders>
              <w:lef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9.71</w:t>
            </w:r>
          </w:p>
        </w:tc>
      </w:tr>
      <w:tr w:rsidR="00B53FD7" w:rsidRPr="007E2B9F" w:rsidTr="00A607CC">
        <w:trPr>
          <w:trHeight w:val="300"/>
        </w:trPr>
        <w:tc>
          <w:tcPr>
            <w:tcW w:w="5508" w:type="dxa"/>
            <w:tcBorders>
              <w:top w:val="nil"/>
              <w:bottom w:val="nil"/>
              <w:right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8) Lost work hours for physician visit – an adverse event associated with malaria chemoprophylaxis, $</w:t>
            </w:r>
          </w:p>
        </w:tc>
        <w:tc>
          <w:tcPr>
            <w:tcW w:w="6898" w:type="dxa"/>
            <w:gridSpan w:val="4"/>
            <w:tcBorders>
              <w:top w:val="nil"/>
              <w:left w:val="nil"/>
              <w:bottom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32.79</w:t>
            </w:r>
          </w:p>
        </w:tc>
      </w:tr>
      <w:tr w:rsidR="00B53FD7" w:rsidRPr="007E2B9F" w:rsidTr="00A607CC">
        <w:trPr>
          <w:trHeight w:val="300"/>
        </w:trPr>
        <w:tc>
          <w:tcPr>
            <w:tcW w:w="5508" w:type="dxa"/>
            <w:tcBorders>
              <w:bottom w:val="double" w:sz="4" w:space="0" w:color="auto"/>
              <w:right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9) Risk adjusted lost work hours for physician visit due to an adverse event, $</w:t>
            </w:r>
          </w:p>
        </w:tc>
        <w:tc>
          <w:tcPr>
            <w:tcW w:w="1724" w:type="dxa"/>
            <w:tcBorders>
              <w:left w:val="nil"/>
              <w:bottom w:val="double" w:sz="4" w:space="0" w:color="auto"/>
              <w:righ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2.36</w:t>
            </w:r>
          </w:p>
        </w:tc>
        <w:tc>
          <w:tcPr>
            <w:tcW w:w="1725" w:type="dxa"/>
            <w:tcBorders>
              <w:left w:val="nil"/>
              <w:bottom w:val="double" w:sz="4" w:space="0" w:color="auto"/>
              <w:righ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2.56</w:t>
            </w:r>
          </w:p>
        </w:tc>
        <w:tc>
          <w:tcPr>
            <w:tcW w:w="1724" w:type="dxa"/>
            <w:tcBorders>
              <w:left w:val="nil"/>
              <w:bottom w:val="double" w:sz="4" w:space="0" w:color="auto"/>
              <w:right w:val="nil"/>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2.82</w:t>
            </w:r>
          </w:p>
        </w:tc>
        <w:tc>
          <w:tcPr>
            <w:tcW w:w="1725" w:type="dxa"/>
            <w:tcBorders>
              <w:left w:val="nil"/>
              <w:bottom w:val="double" w:sz="4" w:space="0" w:color="auto"/>
            </w:tcBorders>
            <w:noWrap/>
            <w:vAlign w:val="center"/>
          </w:tcPr>
          <w:p w:rsidR="00B53FD7" w:rsidRPr="007E2B9F" w:rsidRDefault="00B53FD7" w:rsidP="00A607CC">
            <w:pPr>
              <w:spacing w:after="120"/>
              <w:jc w:val="center"/>
              <w:rPr>
                <w:rFonts w:eastAsia="Times New Roman" w:cs="Calibri"/>
                <w:color w:val="000000"/>
                <w:sz w:val="24"/>
                <w:szCs w:val="24"/>
              </w:rPr>
            </w:pPr>
            <w:r w:rsidRPr="007E2B9F">
              <w:rPr>
                <w:rFonts w:eastAsia="Times New Roman" w:cs="Calibri"/>
                <w:color w:val="000000"/>
                <w:sz w:val="24"/>
                <w:szCs w:val="24"/>
              </w:rPr>
              <w:t>3.28</w:t>
            </w:r>
          </w:p>
        </w:tc>
      </w:tr>
      <w:tr w:rsidR="00B53FD7" w:rsidRPr="007E2B9F" w:rsidTr="00A607CC">
        <w:trPr>
          <w:trHeight w:val="825"/>
        </w:trPr>
        <w:tc>
          <w:tcPr>
            <w:tcW w:w="5508" w:type="dxa"/>
            <w:tcBorders>
              <w:top w:val="double" w:sz="4" w:space="0" w:color="auto"/>
              <w:bottom w:val="single" w:sz="4" w:space="0" w:color="auto"/>
              <w:right w:val="nil"/>
            </w:tcBorders>
          </w:tcPr>
          <w:p w:rsidR="00B53FD7" w:rsidRPr="007E2B9F" w:rsidRDefault="00B53FD7" w:rsidP="00A607CC">
            <w:pPr>
              <w:spacing w:after="0" w:line="240" w:lineRule="auto"/>
              <w:rPr>
                <w:rFonts w:eastAsia="Times New Roman" w:cs="Calibri"/>
                <w:b/>
                <w:color w:val="000000"/>
                <w:sz w:val="24"/>
                <w:szCs w:val="24"/>
              </w:rPr>
            </w:pPr>
            <w:r w:rsidRPr="007E2B9F">
              <w:rPr>
                <w:rFonts w:eastAsia="Times New Roman" w:cs="Calibri"/>
                <w:b/>
                <w:color w:val="000000"/>
                <w:sz w:val="24"/>
                <w:szCs w:val="24"/>
              </w:rPr>
              <w:t xml:space="preserve">10) Total cost of pre-travel </w:t>
            </w:r>
            <w:r>
              <w:rPr>
                <w:rFonts w:eastAsia="Times New Roman" w:cs="Calibri"/>
                <w:b/>
                <w:color w:val="000000"/>
                <w:sz w:val="24"/>
                <w:szCs w:val="24"/>
              </w:rPr>
              <w:t xml:space="preserve">health </w:t>
            </w:r>
            <w:r w:rsidRPr="007E2B9F">
              <w:rPr>
                <w:rFonts w:eastAsia="Times New Roman" w:cs="Calibri"/>
                <w:b/>
                <w:color w:val="000000"/>
                <w:sz w:val="24"/>
                <w:szCs w:val="24"/>
              </w:rPr>
              <w:t>consultation, chemoprophylaxis, and treatment of an adverse event, $</w:t>
            </w:r>
          </w:p>
        </w:tc>
        <w:tc>
          <w:tcPr>
            <w:tcW w:w="1724" w:type="dxa"/>
            <w:tcBorders>
              <w:top w:val="double" w:sz="4" w:space="0" w:color="auto"/>
              <w:left w:val="nil"/>
              <w:bottom w:val="single" w:sz="4" w:space="0" w:color="auto"/>
              <w:right w:val="nil"/>
            </w:tcBorders>
            <w:noWrap/>
            <w:vAlign w:val="center"/>
          </w:tcPr>
          <w:p w:rsidR="00B53FD7" w:rsidRPr="007E2B9F" w:rsidRDefault="00B53FD7" w:rsidP="00A607CC">
            <w:pPr>
              <w:spacing w:after="120"/>
              <w:jc w:val="center"/>
              <w:rPr>
                <w:rFonts w:eastAsia="Times New Roman" w:cs="Calibri"/>
                <w:b/>
                <w:color w:val="000000"/>
                <w:sz w:val="24"/>
                <w:szCs w:val="24"/>
              </w:rPr>
            </w:pPr>
            <w:r w:rsidRPr="007E2B9F">
              <w:rPr>
                <w:rFonts w:eastAsia="Times New Roman" w:cs="Calibri"/>
                <w:b/>
                <w:color w:val="000000"/>
                <w:sz w:val="24"/>
                <w:szCs w:val="24"/>
              </w:rPr>
              <w:t>43.78</w:t>
            </w:r>
          </w:p>
        </w:tc>
        <w:tc>
          <w:tcPr>
            <w:tcW w:w="1725" w:type="dxa"/>
            <w:tcBorders>
              <w:top w:val="double" w:sz="4" w:space="0" w:color="auto"/>
              <w:left w:val="nil"/>
              <w:bottom w:val="single" w:sz="4" w:space="0" w:color="auto"/>
              <w:right w:val="nil"/>
            </w:tcBorders>
            <w:noWrap/>
            <w:vAlign w:val="center"/>
          </w:tcPr>
          <w:p w:rsidR="00B53FD7" w:rsidRPr="007E2B9F" w:rsidRDefault="00B53FD7" w:rsidP="00A607CC">
            <w:pPr>
              <w:spacing w:after="120"/>
              <w:jc w:val="center"/>
              <w:rPr>
                <w:rFonts w:eastAsia="Times New Roman" w:cs="Calibri"/>
                <w:b/>
                <w:color w:val="000000"/>
                <w:sz w:val="24"/>
                <w:szCs w:val="24"/>
              </w:rPr>
            </w:pPr>
            <w:r w:rsidRPr="007E2B9F">
              <w:rPr>
                <w:rFonts w:eastAsia="Times New Roman" w:cs="Calibri"/>
                <w:b/>
                <w:color w:val="000000"/>
                <w:sz w:val="24"/>
                <w:szCs w:val="24"/>
              </w:rPr>
              <w:t>44.15</w:t>
            </w:r>
          </w:p>
        </w:tc>
        <w:tc>
          <w:tcPr>
            <w:tcW w:w="1724" w:type="dxa"/>
            <w:tcBorders>
              <w:top w:val="double" w:sz="4" w:space="0" w:color="auto"/>
              <w:left w:val="nil"/>
              <w:bottom w:val="single" w:sz="4" w:space="0" w:color="auto"/>
              <w:right w:val="nil"/>
            </w:tcBorders>
            <w:noWrap/>
            <w:vAlign w:val="center"/>
          </w:tcPr>
          <w:p w:rsidR="00B53FD7" w:rsidRPr="007E2B9F" w:rsidRDefault="00B53FD7" w:rsidP="00A607CC">
            <w:pPr>
              <w:spacing w:after="120"/>
              <w:jc w:val="center"/>
              <w:rPr>
                <w:rFonts w:eastAsia="Times New Roman" w:cs="Calibri"/>
                <w:b/>
                <w:color w:val="000000"/>
                <w:sz w:val="24"/>
                <w:szCs w:val="24"/>
              </w:rPr>
            </w:pPr>
            <w:r w:rsidRPr="007E2B9F">
              <w:rPr>
                <w:rFonts w:eastAsia="Times New Roman" w:cs="Calibri"/>
                <w:b/>
                <w:color w:val="000000"/>
                <w:sz w:val="24"/>
                <w:szCs w:val="24"/>
              </w:rPr>
              <w:t>44.70</w:t>
            </w:r>
          </w:p>
        </w:tc>
        <w:tc>
          <w:tcPr>
            <w:tcW w:w="1725" w:type="dxa"/>
            <w:tcBorders>
              <w:top w:val="double" w:sz="4" w:space="0" w:color="auto"/>
              <w:left w:val="nil"/>
              <w:bottom w:val="single" w:sz="4" w:space="0" w:color="auto"/>
            </w:tcBorders>
            <w:noWrap/>
            <w:vAlign w:val="center"/>
          </w:tcPr>
          <w:p w:rsidR="00B53FD7" w:rsidRPr="007E2B9F" w:rsidRDefault="00B53FD7" w:rsidP="00A607CC">
            <w:pPr>
              <w:spacing w:after="120"/>
              <w:jc w:val="center"/>
              <w:rPr>
                <w:rFonts w:eastAsia="Times New Roman" w:cs="Calibri"/>
                <w:b/>
                <w:color w:val="000000"/>
                <w:sz w:val="24"/>
                <w:szCs w:val="24"/>
              </w:rPr>
            </w:pPr>
            <w:r w:rsidRPr="007E2B9F">
              <w:rPr>
                <w:rFonts w:eastAsia="Times New Roman" w:cs="Calibri"/>
                <w:b/>
                <w:color w:val="000000"/>
                <w:sz w:val="24"/>
                <w:szCs w:val="24"/>
              </w:rPr>
              <w:t>45.58</w:t>
            </w:r>
          </w:p>
        </w:tc>
      </w:tr>
    </w:tbl>
    <w:p w:rsidR="00B53FD7" w:rsidRPr="007E2B9F" w:rsidRDefault="00B53FD7" w:rsidP="00752A4D">
      <w:pPr>
        <w:spacing w:after="0" w:line="480" w:lineRule="auto"/>
        <w:rPr>
          <w:sz w:val="20"/>
          <w:szCs w:val="20"/>
        </w:rPr>
      </w:pPr>
      <w:r w:rsidRPr="007E2B9F">
        <w:rPr>
          <w:sz w:val="20"/>
          <w:szCs w:val="20"/>
          <w:vertAlign w:val="superscript"/>
        </w:rPr>
        <w:t>a</w:t>
      </w:r>
      <w:r>
        <w:rPr>
          <w:sz w:val="20"/>
          <w:szCs w:val="20"/>
          <w:vertAlign w:val="superscript"/>
        </w:rPr>
        <w:t xml:space="preserve"> </w:t>
      </w:r>
      <w:r w:rsidRPr="007E2B9F">
        <w:rPr>
          <w:sz w:val="20"/>
          <w:szCs w:val="20"/>
        </w:rPr>
        <w:t>Costs were in US 2009 dollars. West Africa includes Benin, Burkina Faso, Cape Verde, C</w:t>
      </w:r>
      <w:r w:rsidRPr="007E2B9F">
        <w:rPr>
          <w:rFonts w:cs="Calibri"/>
          <w:sz w:val="20"/>
          <w:szCs w:val="20"/>
        </w:rPr>
        <w:t>ô</w:t>
      </w:r>
      <w:r w:rsidRPr="007E2B9F">
        <w:rPr>
          <w:sz w:val="20"/>
          <w:szCs w:val="20"/>
        </w:rPr>
        <w:t>te d’Ivoire, The Gambia, Ghana, Guinea, Guinea-Bissau, Liberia, Mali, Mauritania, Niger, Nigeria, S</w:t>
      </w:r>
      <w:r w:rsidRPr="007E2B9F">
        <w:rPr>
          <w:rFonts w:cs="Calibri"/>
          <w:sz w:val="20"/>
          <w:szCs w:val="20"/>
        </w:rPr>
        <w:t>ã</w:t>
      </w:r>
      <w:r w:rsidRPr="007E2B9F">
        <w:rPr>
          <w:sz w:val="20"/>
          <w:szCs w:val="20"/>
        </w:rPr>
        <w:t xml:space="preserve">o </w:t>
      </w:r>
      <w:r w:rsidRPr="000A6C5C">
        <w:rPr>
          <w:sz w:val="20"/>
          <w:szCs w:val="20"/>
        </w:rPr>
        <w:t>Tom</w:t>
      </w:r>
      <w:r w:rsidRPr="000A6C5C">
        <w:rPr>
          <w:rFonts w:cs="Calibri"/>
          <w:sz w:val="20"/>
          <w:szCs w:val="20"/>
        </w:rPr>
        <w:t>é</w:t>
      </w:r>
      <w:r w:rsidRPr="000A6C5C">
        <w:rPr>
          <w:sz w:val="20"/>
          <w:szCs w:val="20"/>
        </w:rPr>
        <w:t xml:space="preserve"> and Pr</w:t>
      </w:r>
      <w:r w:rsidRPr="000A6C5C">
        <w:rPr>
          <w:rFonts w:cs="Calibri"/>
          <w:sz w:val="20"/>
          <w:szCs w:val="20"/>
        </w:rPr>
        <w:t>í</w:t>
      </w:r>
      <w:r w:rsidRPr="000A6C5C">
        <w:rPr>
          <w:sz w:val="20"/>
          <w:szCs w:val="20"/>
        </w:rPr>
        <w:t>ncipe, Senegal, Sierra Leone, and Togo.  Travelers to West Africa were identified as those travelers who planned to visit one or more countries only in West Africa (Appendix Section 1).</w:t>
      </w:r>
    </w:p>
    <w:p w:rsidR="00B53FD7" w:rsidRPr="007E2B9F" w:rsidRDefault="00B53FD7" w:rsidP="00752A4D">
      <w:pPr>
        <w:spacing w:after="0" w:line="480" w:lineRule="auto"/>
        <w:rPr>
          <w:sz w:val="20"/>
          <w:szCs w:val="20"/>
        </w:rPr>
      </w:pPr>
      <w:r w:rsidRPr="007E2B9F">
        <w:rPr>
          <w:sz w:val="20"/>
          <w:szCs w:val="20"/>
          <w:vertAlign w:val="superscript"/>
        </w:rPr>
        <w:t>b</w:t>
      </w:r>
      <w:r>
        <w:rPr>
          <w:sz w:val="20"/>
          <w:szCs w:val="20"/>
          <w:vertAlign w:val="superscript"/>
        </w:rPr>
        <w:t xml:space="preserve"> </w:t>
      </w:r>
      <w:r w:rsidRPr="007E2B9F">
        <w:rPr>
          <w:sz w:val="20"/>
          <w:szCs w:val="20"/>
        </w:rPr>
        <w:t>For their pre-travel health consultations, travelers were asked to report their purpose(s) of travel from the following (multiple choices were allowed): leisure, business, returning to region of origin of self or family to visit friends and relatives (VFR), adoption, providing medical care, receiving medical care, research/education, nonmedical service work, missionary work, military service, adventuring, attending large gathering or event, or other activities.  For this analysis, travelers who reported only one of the three purposes (i.e., business, leisure, and VFR) were selected.  All purposes denote all travelers to West Africa.</w:t>
      </w:r>
    </w:p>
    <w:p w:rsidR="00B53FD7" w:rsidRPr="007E2B9F" w:rsidRDefault="00B53FD7" w:rsidP="00752A4D">
      <w:pPr>
        <w:spacing w:after="0" w:line="480" w:lineRule="auto"/>
        <w:rPr>
          <w:sz w:val="20"/>
          <w:szCs w:val="20"/>
          <w:vertAlign w:val="superscript"/>
        </w:rPr>
      </w:pPr>
      <w:r w:rsidRPr="007E2B9F">
        <w:rPr>
          <w:sz w:val="20"/>
          <w:szCs w:val="20"/>
          <w:vertAlign w:val="superscript"/>
        </w:rPr>
        <w:t>c</w:t>
      </w:r>
      <w:r>
        <w:rPr>
          <w:sz w:val="20"/>
          <w:szCs w:val="20"/>
          <w:vertAlign w:val="superscript"/>
        </w:rPr>
        <w:t xml:space="preserve"> </w:t>
      </w:r>
      <w:r w:rsidRPr="007E2B9F">
        <w:rPr>
          <w:sz w:val="20"/>
          <w:szCs w:val="20"/>
        </w:rPr>
        <w:t>The median planned length of travel for each category of the purposes of travel was calculated among travelers to West Africa (Table A1).</w:t>
      </w:r>
    </w:p>
    <w:p w:rsidR="00B53FD7" w:rsidRPr="007E2B9F" w:rsidRDefault="00B53FD7" w:rsidP="00752A4D">
      <w:pPr>
        <w:spacing w:after="0" w:line="480" w:lineRule="auto"/>
        <w:rPr>
          <w:sz w:val="20"/>
          <w:szCs w:val="20"/>
        </w:rPr>
      </w:pPr>
      <w:r w:rsidRPr="007E2B9F">
        <w:rPr>
          <w:sz w:val="20"/>
          <w:szCs w:val="20"/>
          <w:vertAlign w:val="superscript"/>
        </w:rPr>
        <w:t>d</w:t>
      </w:r>
      <w:r>
        <w:rPr>
          <w:sz w:val="20"/>
          <w:szCs w:val="20"/>
          <w:vertAlign w:val="superscript"/>
        </w:rPr>
        <w:t xml:space="preserve"> </w:t>
      </w:r>
      <w:r w:rsidRPr="007E2B9F">
        <w:rPr>
          <w:sz w:val="20"/>
          <w:szCs w:val="20"/>
        </w:rPr>
        <w:t>The frequency of chemoprophylaxis prescription (Table A1) was used as weights.</w:t>
      </w:r>
    </w:p>
    <w:p w:rsidR="00B53FD7" w:rsidRPr="007E2B9F" w:rsidRDefault="00B53FD7" w:rsidP="00752A4D">
      <w:pPr>
        <w:spacing w:after="0" w:line="480" w:lineRule="auto"/>
        <w:rPr>
          <w:sz w:val="20"/>
          <w:szCs w:val="20"/>
          <w:vertAlign w:val="superscript"/>
        </w:rPr>
      </w:pPr>
      <w:r w:rsidRPr="007E2B9F">
        <w:rPr>
          <w:sz w:val="20"/>
          <w:szCs w:val="20"/>
          <w:vertAlign w:val="superscript"/>
        </w:rPr>
        <w:t>e</w:t>
      </w:r>
      <w:r w:rsidRPr="007E2B9F">
        <w:rPr>
          <w:sz w:val="20"/>
          <w:szCs w:val="20"/>
        </w:rPr>
        <w:t>14.8% of time for pre-travel health consultations was estimated to be associated with malaria prevention, i.e., protocol of chemoprophylaxis and advice regarding activities/behaviors during travel, for example, wearing proper clothing.</w:t>
      </w:r>
    </w:p>
    <w:p w:rsidR="00B53FD7" w:rsidRPr="007E2B9F" w:rsidRDefault="00B53FD7" w:rsidP="00752A4D">
      <w:pPr>
        <w:spacing w:after="0" w:line="480" w:lineRule="auto"/>
        <w:rPr>
          <w:sz w:val="20"/>
          <w:szCs w:val="20"/>
          <w:vertAlign w:val="superscript"/>
        </w:rPr>
      </w:pPr>
    </w:p>
    <w:p w:rsidR="00B53FD7" w:rsidRPr="007E2B9F" w:rsidRDefault="00B53FD7">
      <w:pPr>
        <w:spacing w:after="0" w:line="240" w:lineRule="auto"/>
        <w:rPr>
          <w:rFonts w:cs="Calibri"/>
          <w:sz w:val="24"/>
          <w:szCs w:val="24"/>
        </w:rPr>
      </w:pPr>
      <w:r w:rsidRPr="007E2B9F">
        <w:rPr>
          <w:rFonts w:cs="Calibri"/>
          <w:sz w:val="24"/>
          <w:szCs w:val="24"/>
        </w:rPr>
        <w:br w:type="page"/>
      </w:r>
    </w:p>
    <w:p w:rsidR="00B53FD7" w:rsidRDefault="00B53FD7" w:rsidP="00E74A9B">
      <w:pPr>
        <w:spacing w:after="0" w:line="240" w:lineRule="auto"/>
        <w:rPr>
          <w:rFonts w:cs="Calibri"/>
          <w:b/>
          <w:sz w:val="24"/>
          <w:szCs w:val="24"/>
        </w:rPr>
      </w:pPr>
      <w:r w:rsidRPr="007E2B9F">
        <w:rPr>
          <w:rFonts w:cs="Calibri"/>
          <w:b/>
          <w:sz w:val="24"/>
          <w:szCs w:val="24"/>
        </w:rPr>
        <w:t>Table A4. Selected Occupation Categories in Office of Travel and Tourism Industries (OTTI) Survey and Their Matched Categories from Occupational Employee Statistics (OES) and Average Hourly Wage</w:t>
      </w:r>
    </w:p>
    <w:p w:rsidR="00B53FD7" w:rsidRPr="007E2B9F" w:rsidRDefault="00B53FD7" w:rsidP="00E74A9B">
      <w:pPr>
        <w:spacing w:after="0" w:line="240" w:lineRule="auto"/>
        <w:rPr>
          <w:rFonts w:cs="Calibri"/>
          <w:b/>
          <w:sz w:val="24"/>
          <w:szCs w:val="24"/>
        </w:rPr>
      </w:pPr>
    </w:p>
    <w:tbl>
      <w:tblPr>
        <w:tblW w:w="12795" w:type="dxa"/>
        <w:tblInd w:w="93" w:type="dxa"/>
        <w:tblLook w:val="00A0"/>
      </w:tblPr>
      <w:tblGrid>
        <w:gridCol w:w="2715"/>
        <w:gridCol w:w="5220"/>
        <w:gridCol w:w="3060"/>
        <w:gridCol w:w="1800"/>
      </w:tblGrid>
      <w:tr w:rsidR="00B53FD7" w:rsidRPr="007E2B9F" w:rsidTr="00E74A9B">
        <w:trPr>
          <w:trHeight w:val="645"/>
        </w:trPr>
        <w:tc>
          <w:tcPr>
            <w:tcW w:w="2715" w:type="dxa"/>
            <w:tcBorders>
              <w:top w:val="single" w:sz="4" w:space="0" w:color="auto"/>
              <w:bottom w:val="single" w:sz="4" w:space="0" w:color="auto"/>
              <w:right w:val="nil"/>
            </w:tcBorders>
          </w:tcPr>
          <w:p w:rsidR="00B53FD7" w:rsidRPr="007E2B9F" w:rsidRDefault="00B53FD7" w:rsidP="002B5D0D">
            <w:pPr>
              <w:spacing w:after="0" w:line="240" w:lineRule="auto"/>
              <w:rPr>
                <w:rFonts w:cs="Calibri"/>
                <w:b/>
                <w:color w:val="000000"/>
                <w:sz w:val="24"/>
                <w:szCs w:val="24"/>
              </w:rPr>
            </w:pPr>
            <w:r w:rsidRPr="007E2B9F">
              <w:rPr>
                <w:rFonts w:cs="Calibri"/>
                <w:b/>
                <w:color w:val="000000"/>
                <w:sz w:val="24"/>
                <w:szCs w:val="24"/>
              </w:rPr>
              <w:t>Occupation Categories in OTTI Survey</w:t>
            </w:r>
            <w:hyperlink w:anchor="_ENREF_25" w:tooltip="U.S. Department of Commerce,  #25" w:history="1">
              <w:r w:rsidRPr="007E2B9F">
                <w:rPr>
                  <w:rFonts w:cs="Calibri"/>
                  <w:b/>
                  <w:color w:val="000000"/>
                  <w:sz w:val="24"/>
                  <w:szCs w:val="24"/>
                </w:rPr>
                <w:fldChar w:fldCharType="begin"/>
              </w:r>
              <w:r w:rsidRPr="007E2B9F">
                <w:rPr>
                  <w:rFonts w:cs="Calibri"/>
                  <w:b/>
                  <w:color w:val="000000"/>
                  <w:sz w:val="24"/>
                  <w:szCs w:val="24"/>
                </w:rPr>
                <w:instrText xml:space="preserve"> ADDIN EN.CITE &lt;EndNote&gt;&lt;Cite&gt;&lt;Author&gt;U.S. Department of Commerce&lt;/Author&gt;&lt;RecNum&gt;25&lt;/RecNum&gt;&lt;DisplayText&gt;&lt;style face="superscript"&gt;25&lt;/style&gt;&lt;/DisplayText&gt;&lt;record&gt;&lt;rec-number&gt;25&lt;/rec-number&gt;&lt;foreign-keys&gt;&lt;key app="EN" db-id="xfrepwstvr0z94e0wxpprwxa000900wepr59"&gt;25&lt;/key&gt;&lt;/foreign-keys&gt;&lt;ref-type name="Government Document"&gt;46&lt;/ref-type&gt;&lt;contributors&gt;&lt;authors&gt;&lt;author&gt;U.S. Department of Commerce, &lt;/author&gt;&lt;author&gt;Office of Travel and Tourism Industries,&lt;/author&gt;&lt;/authors&gt;&lt;/contributors&gt;&lt;titles&gt;&lt;title&gt;Profile of U.S. Resident Travelers Visiting Overseas Destinations: 2009 Outbound&lt;/title&gt;&lt;/titles&gt;&lt;dates&gt;&lt;/dates&gt;&lt;urls&gt;&lt;related-urls&gt;&lt;url&gt;http://tinet.ita.doc.gov/outreachpages/download_data_table/2009_Outbound_Profile.pdf&lt;/url&gt;&lt;/related-urls&gt;&lt;/urls&gt;&lt;/record&gt;&lt;/Cite&gt;&lt;/EndNote&gt;</w:instrText>
              </w:r>
              <w:r w:rsidRPr="007E2B9F">
                <w:rPr>
                  <w:rFonts w:cs="Calibri"/>
                  <w:b/>
                  <w:color w:val="000000"/>
                  <w:sz w:val="24"/>
                  <w:szCs w:val="24"/>
                </w:rPr>
                <w:fldChar w:fldCharType="separate"/>
              </w:r>
              <w:r w:rsidRPr="007E2B9F">
                <w:rPr>
                  <w:rFonts w:cs="Calibri"/>
                  <w:b/>
                  <w:noProof/>
                  <w:color w:val="000000"/>
                  <w:sz w:val="24"/>
                  <w:szCs w:val="24"/>
                  <w:vertAlign w:val="superscript"/>
                </w:rPr>
                <w:t>25</w:t>
              </w:r>
              <w:r w:rsidRPr="007E2B9F">
                <w:rPr>
                  <w:rFonts w:cs="Calibri"/>
                  <w:b/>
                  <w:color w:val="000000"/>
                  <w:sz w:val="24"/>
                  <w:szCs w:val="24"/>
                </w:rPr>
                <w:fldChar w:fldCharType="end"/>
              </w:r>
            </w:hyperlink>
          </w:p>
        </w:tc>
        <w:tc>
          <w:tcPr>
            <w:tcW w:w="5220" w:type="dxa"/>
            <w:tcBorders>
              <w:top w:val="single" w:sz="4" w:space="0" w:color="auto"/>
              <w:left w:val="nil"/>
              <w:bottom w:val="single" w:sz="4" w:space="0" w:color="auto"/>
              <w:right w:val="nil"/>
            </w:tcBorders>
          </w:tcPr>
          <w:p w:rsidR="00B53FD7" w:rsidRPr="007E2B9F" w:rsidRDefault="00B53FD7" w:rsidP="002B5D0D">
            <w:pPr>
              <w:spacing w:after="0" w:line="240" w:lineRule="auto"/>
              <w:rPr>
                <w:rFonts w:cs="Calibri"/>
                <w:b/>
                <w:color w:val="000000"/>
                <w:sz w:val="24"/>
                <w:szCs w:val="24"/>
              </w:rPr>
            </w:pPr>
            <w:r w:rsidRPr="007E2B9F">
              <w:rPr>
                <w:rFonts w:cs="Calibri"/>
                <w:b/>
                <w:color w:val="000000"/>
                <w:sz w:val="24"/>
                <w:szCs w:val="24"/>
              </w:rPr>
              <w:t>Matched Occupation Categories from OES</w:t>
            </w:r>
            <w:hyperlink w:anchor="_ENREF_26" w:tooltip="Bureau of Labor Statistics,  #25" w:history="1">
              <w:r w:rsidRPr="007E2B9F">
                <w:rPr>
                  <w:rFonts w:cs="Calibri"/>
                  <w:b/>
                  <w:color w:val="000000"/>
                  <w:sz w:val="24"/>
                  <w:szCs w:val="24"/>
                </w:rPr>
                <w:fldChar w:fldCharType="begin"/>
              </w:r>
              <w:r w:rsidRPr="007E2B9F">
                <w:rPr>
                  <w:rFonts w:cs="Calibri"/>
                  <w:b/>
                  <w:color w:val="000000"/>
                  <w:sz w:val="24"/>
                  <w:szCs w:val="24"/>
                </w:rPr>
                <w:instrText xml:space="preserve"> ADDIN EN.CITE &lt;EndNote&gt;&lt;Cite&gt;&lt;Author&gt;Bureau of Labor Statistics&lt;/Author&gt;&lt;RecNum&gt;25&lt;/RecNum&gt;&lt;DisplayText&gt;&lt;style face="superscript"&gt;26&lt;/style&gt;&lt;/DisplayText&gt;&lt;record&gt;&lt;rec-number&gt;25&lt;/rec-number&gt;&lt;foreign-keys&gt;&lt;key app="EN" db-id="teeevzreit0ww9exdf2v05dqav0rxzxxap0s"&gt;25&lt;/key&gt;&lt;/foreign-keys&gt;&lt;ref-type name="Web Page"&gt;12&lt;/ref-type&gt;&lt;contributors&gt;&lt;authors&gt;&lt;author&gt;Bureau of Labor Statistics,&lt;/author&gt;&lt;/authors&gt;&lt;/contributors&gt;&lt;titles&gt;&lt;title&gt;Occupational Employment Statistics. Occupational employment and wages, May 2009&lt;/title&gt;&lt;/titles&gt;&lt;dates&gt;&lt;/dates&gt;&lt;publisher&gt;U.S. Department of Labor, Bureau of Labor Statistics&lt;/publisher&gt;&lt;urls&gt;&lt;related-urls&gt;&lt;url&gt;http://www.bls.gov/oes/oes_dl.htm#2009&lt;/url&gt;&lt;/related-urls&gt;&lt;/urls&gt;&lt;access-date&gt;August, 2011&lt;/access-date&gt;&lt;/record&gt;&lt;/Cite&gt;&lt;/EndNote&gt;</w:instrText>
              </w:r>
              <w:r w:rsidRPr="007E2B9F">
                <w:rPr>
                  <w:rFonts w:cs="Calibri"/>
                  <w:b/>
                  <w:color w:val="000000"/>
                  <w:sz w:val="24"/>
                  <w:szCs w:val="24"/>
                </w:rPr>
                <w:fldChar w:fldCharType="separate"/>
              </w:r>
              <w:r w:rsidRPr="007E2B9F">
                <w:rPr>
                  <w:rFonts w:cs="Calibri"/>
                  <w:b/>
                  <w:noProof/>
                  <w:color w:val="000000"/>
                  <w:sz w:val="24"/>
                  <w:szCs w:val="24"/>
                  <w:vertAlign w:val="superscript"/>
                </w:rPr>
                <w:t>26</w:t>
              </w:r>
              <w:r w:rsidRPr="007E2B9F">
                <w:rPr>
                  <w:rFonts w:cs="Calibri"/>
                  <w:b/>
                  <w:color w:val="000000"/>
                  <w:sz w:val="24"/>
                  <w:szCs w:val="24"/>
                </w:rPr>
                <w:fldChar w:fldCharType="end"/>
              </w:r>
            </w:hyperlink>
          </w:p>
        </w:tc>
        <w:tc>
          <w:tcPr>
            <w:tcW w:w="3060" w:type="dxa"/>
            <w:tcBorders>
              <w:top w:val="single" w:sz="4" w:space="0" w:color="auto"/>
              <w:left w:val="nil"/>
              <w:bottom w:val="single" w:sz="4" w:space="0" w:color="auto"/>
              <w:right w:val="nil"/>
            </w:tcBorders>
          </w:tcPr>
          <w:p w:rsidR="00B53FD7" w:rsidRPr="007E2B9F" w:rsidRDefault="00B53FD7" w:rsidP="002B5D0D">
            <w:pPr>
              <w:spacing w:after="0" w:line="240" w:lineRule="auto"/>
              <w:rPr>
                <w:rFonts w:cs="Calibri"/>
                <w:b/>
                <w:color w:val="000000"/>
                <w:sz w:val="24"/>
                <w:szCs w:val="24"/>
              </w:rPr>
            </w:pPr>
            <w:r w:rsidRPr="007E2B9F">
              <w:rPr>
                <w:rFonts w:cs="Calibri"/>
                <w:b/>
                <w:color w:val="000000"/>
                <w:sz w:val="24"/>
                <w:szCs w:val="24"/>
              </w:rPr>
              <w:t>National Average Hourly Wage from OES</w:t>
            </w:r>
            <w:hyperlink w:anchor="_ENREF_26" w:tooltip="Bureau of Labor Statistics,  #25" w:history="1">
              <w:r w:rsidRPr="007E2B9F">
                <w:rPr>
                  <w:rFonts w:cs="Calibri"/>
                  <w:b/>
                  <w:color w:val="000000"/>
                  <w:sz w:val="24"/>
                  <w:szCs w:val="24"/>
                </w:rPr>
                <w:fldChar w:fldCharType="begin"/>
              </w:r>
              <w:r w:rsidRPr="007E2B9F">
                <w:rPr>
                  <w:rFonts w:cs="Calibri"/>
                  <w:b/>
                  <w:color w:val="000000"/>
                  <w:sz w:val="24"/>
                  <w:szCs w:val="24"/>
                </w:rPr>
                <w:instrText xml:space="preserve"> ADDIN EN.CITE &lt;EndNote&gt;&lt;Cite&gt;&lt;Author&gt;Bureau of Labor Statistics&lt;/Author&gt;&lt;RecNum&gt;25&lt;/RecNum&gt;&lt;DisplayText&gt;&lt;style face="superscript"&gt;26&lt;/style&gt;&lt;/DisplayText&gt;&lt;record&gt;&lt;rec-number&gt;25&lt;/rec-number&gt;&lt;foreign-keys&gt;&lt;key app="EN" db-id="teeevzreit0ww9exdf2v05dqav0rxzxxap0s"&gt;25&lt;/key&gt;&lt;/foreign-keys&gt;&lt;ref-type name="Web Page"&gt;12&lt;/ref-type&gt;&lt;contributors&gt;&lt;authors&gt;&lt;author&gt;Bureau of Labor Statistics,&lt;/author&gt;&lt;/authors&gt;&lt;/contributors&gt;&lt;titles&gt;&lt;title&gt;Occupational Employment Statistics. Occupational employment and wages, May 2009&lt;/title&gt;&lt;/titles&gt;&lt;dates&gt;&lt;/dates&gt;&lt;publisher&gt;U.S. Department of Labor, Bureau of Labor Statistics&lt;/publisher&gt;&lt;urls&gt;&lt;related-urls&gt;&lt;url&gt;http://www.bls.gov/oes/oes_dl.htm#2009&lt;/url&gt;&lt;/related-urls&gt;&lt;/urls&gt;&lt;access-date&gt;August, 2011&lt;/access-date&gt;&lt;/record&gt;&lt;/Cite&gt;&lt;Cite&gt;&lt;Author&gt;Bureau of Labor Statistics&lt;/Author&gt;&lt;RecNum&gt;25&lt;/RecNum&gt;&lt;record&gt;&lt;rec-number&gt;25&lt;/rec-number&gt;&lt;foreign-keys&gt;&lt;key app="EN" db-id="teeevzreit0ww9exdf2v05dqav0rxzxxap0s"&gt;25&lt;/key&gt;&lt;/foreign-keys&gt;&lt;ref-type name="Web Page"&gt;12&lt;/ref-type&gt;&lt;contributors&gt;&lt;authors&gt;&lt;author&gt;Bureau of Labor Statistics,&lt;/author&gt;&lt;/authors&gt;&lt;/contributors&gt;&lt;titles&gt;&lt;title&gt;Occupational Employment Statistics. Occupational employment and wages, May 2009&lt;/title&gt;&lt;/titles&gt;&lt;dates&gt;&lt;/dates&gt;&lt;publisher&gt;U.S. Department of Labor, Bureau of Labor Statistics&lt;/publisher&gt;&lt;urls&gt;&lt;related-urls&gt;&lt;url&gt;http://www.bls.gov/oes/oes_dl.htm#2009&lt;/url&gt;&lt;/related-urls&gt;&lt;/urls&gt;&lt;access-date&gt;August, 2011&lt;/access-date&gt;&lt;/record&gt;&lt;/Cite&gt;&lt;/EndNote&gt;</w:instrText>
              </w:r>
              <w:r w:rsidRPr="007E2B9F">
                <w:rPr>
                  <w:rFonts w:cs="Calibri"/>
                  <w:b/>
                  <w:color w:val="000000"/>
                  <w:sz w:val="24"/>
                  <w:szCs w:val="24"/>
                </w:rPr>
                <w:fldChar w:fldCharType="separate"/>
              </w:r>
              <w:r w:rsidRPr="007E2B9F">
                <w:rPr>
                  <w:rFonts w:cs="Calibri"/>
                  <w:b/>
                  <w:noProof/>
                  <w:color w:val="000000"/>
                  <w:sz w:val="24"/>
                  <w:szCs w:val="24"/>
                  <w:vertAlign w:val="superscript"/>
                </w:rPr>
                <w:t>26</w:t>
              </w:r>
              <w:r w:rsidRPr="007E2B9F">
                <w:rPr>
                  <w:rFonts w:cs="Calibri"/>
                  <w:b/>
                  <w:color w:val="000000"/>
                  <w:sz w:val="24"/>
                  <w:szCs w:val="24"/>
                </w:rPr>
                <w:fldChar w:fldCharType="end"/>
              </w:r>
            </w:hyperlink>
            <w:r w:rsidRPr="007E2B9F">
              <w:rPr>
                <w:rFonts w:cs="Calibri"/>
                <w:b/>
                <w:color w:val="000000"/>
                <w:sz w:val="24"/>
                <w:szCs w:val="24"/>
              </w:rPr>
              <w:t xml:space="preserve"> (US $2009)</w:t>
            </w:r>
          </w:p>
        </w:tc>
        <w:tc>
          <w:tcPr>
            <w:tcW w:w="1800" w:type="dxa"/>
            <w:tcBorders>
              <w:top w:val="single" w:sz="4" w:space="0" w:color="auto"/>
              <w:left w:val="nil"/>
              <w:bottom w:val="single" w:sz="4" w:space="0" w:color="auto"/>
            </w:tcBorders>
          </w:tcPr>
          <w:p w:rsidR="00B53FD7" w:rsidRPr="007E2B9F" w:rsidRDefault="00B53FD7" w:rsidP="00E74A9B">
            <w:pPr>
              <w:spacing w:after="0" w:line="240" w:lineRule="auto"/>
              <w:rPr>
                <w:rFonts w:cs="Calibri"/>
                <w:b/>
                <w:color w:val="000000"/>
                <w:sz w:val="24"/>
                <w:szCs w:val="24"/>
              </w:rPr>
            </w:pPr>
            <w:r w:rsidRPr="007E2B9F">
              <w:rPr>
                <w:rFonts w:cs="Calibri"/>
                <w:b/>
                <w:color w:val="000000"/>
                <w:sz w:val="24"/>
                <w:szCs w:val="24"/>
              </w:rPr>
              <w:t>Average Hourly Wage (US $2009)</w:t>
            </w:r>
          </w:p>
        </w:tc>
      </w:tr>
      <w:tr w:rsidR="00B53FD7" w:rsidRPr="007E2B9F" w:rsidTr="00E74A9B">
        <w:trPr>
          <w:trHeight w:val="315"/>
        </w:trPr>
        <w:tc>
          <w:tcPr>
            <w:tcW w:w="2715" w:type="dxa"/>
            <w:vMerge w:val="restart"/>
            <w:tcBorders>
              <w:right w:val="nil"/>
            </w:tcBorders>
          </w:tcPr>
          <w:p w:rsidR="00B53FD7" w:rsidRPr="007E2B9F" w:rsidRDefault="00B53FD7" w:rsidP="00E74A9B">
            <w:pPr>
              <w:spacing w:after="0" w:line="240" w:lineRule="auto"/>
              <w:rPr>
                <w:rFonts w:cs="Calibri"/>
                <w:color w:val="000000"/>
                <w:sz w:val="24"/>
                <w:szCs w:val="24"/>
              </w:rPr>
            </w:pPr>
            <w:r w:rsidRPr="007E2B9F">
              <w:rPr>
                <w:rFonts w:cs="Calibri"/>
                <w:color w:val="000000"/>
                <w:sz w:val="24"/>
                <w:szCs w:val="24"/>
              </w:rPr>
              <w:t>Professional/ Technical</w:t>
            </w:r>
          </w:p>
        </w:tc>
        <w:tc>
          <w:tcPr>
            <w:tcW w:w="5220" w:type="dxa"/>
            <w:tcBorders>
              <w:left w:val="nil"/>
              <w:right w:val="nil"/>
            </w:tcBorders>
          </w:tcPr>
          <w:p w:rsidR="00B53FD7" w:rsidRPr="007E2B9F" w:rsidRDefault="00B53FD7" w:rsidP="00E74A9B">
            <w:pPr>
              <w:spacing w:after="120" w:line="240" w:lineRule="auto"/>
              <w:rPr>
                <w:rFonts w:cs="Calibri"/>
                <w:color w:val="000000"/>
                <w:sz w:val="24"/>
                <w:szCs w:val="24"/>
              </w:rPr>
            </w:pPr>
            <w:r w:rsidRPr="007E2B9F">
              <w:rPr>
                <w:rFonts w:cs="Calibri"/>
                <w:color w:val="000000"/>
                <w:sz w:val="24"/>
                <w:szCs w:val="24"/>
              </w:rPr>
              <w:t>Computer and Mathematical Science Occupations</w:t>
            </w:r>
          </w:p>
        </w:tc>
        <w:tc>
          <w:tcPr>
            <w:tcW w:w="3060" w:type="dxa"/>
            <w:tcBorders>
              <w:left w:val="nil"/>
              <w:right w:val="nil"/>
            </w:tcBorders>
          </w:tcPr>
          <w:p w:rsidR="00B53FD7" w:rsidRPr="007E2B9F" w:rsidRDefault="00B53FD7" w:rsidP="00E74A9B">
            <w:pPr>
              <w:spacing w:after="120" w:line="240" w:lineRule="auto"/>
              <w:jc w:val="center"/>
              <w:rPr>
                <w:rFonts w:cs="Calibri"/>
                <w:color w:val="000000"/>
                <w:sz w:val="24"/>
                <w:szCs w:val="24"/>
              </w:rPr>
            </w:pPr>
            <w:r w:rsidRPr="007E2B9F">
              <w:rPr>
                <w:rFonts w:cs="Calibri"/>
                <w:color w:val="000000"/>
                <w:sz w:val="24"/>
                <w:szCs w:val="24"/>
              </w:rPr>
              <w:t>36.68</w:t>
            </w:r>
          </w:p>
        </w:tc>
        <w:tc>
          <w:tcPr>
            <w:tcW w:w="1800" w:type="dxa"/>
            <w:vMerge w:val="restart"/>
            <w:tcBorders>
              <w:left w:val="nil"/>
            </w:tcBorders>
          </w:tcPr>
          <w:p w:rsidR="00B53FD7" w:rsidRPr="007E2B9F" w:rsidRDefault="00B53FD7" w:rsidP="00E74A9B">
            <w:pPr>
              <w:spacing w:after="0" w:line="240" w:lineRule="auto"/>
              <w:jc w:val="center"/>
              <w:rPr>
                <w:rFonts w:cs="Calibri"/>
                <w:color w:val="000000"/>
                <w:sz w:val="24"/>
                <w:szCs w:val="24"/>
              </w:rPr>
            </w:pPr>
            <w:r w:rsidRPr="007E2B9F">
              <w:rPr>
                <w:rFonts w:cs="Calibri"/>
                <w:color w:val="000000"/>
                <w:sz w:val="24"/>
                <w:szCs w:val="24"/>
              </w:rPr>
              <w:t>30.97</w:t>
            </w:r>
          </w:p>
        </w:tc>
      </w:tr>
      <w:tr w:rsidR="00B53FD7" w:rsidRPr="007E2B9F" w:rsidTr="00E74A9B">
        <w:trPr>
          <w:trHeight w:val="315"/>
        </w:trPr>
        <w:tc>
          <w:tcPr>
            <w:tcW w:w="2715" w:type="dxa"/>
            <w:vMerge/>
            <w:tcBorders>
              <w:right w:val="nil"/>
            </w:tcBorders>
            <w:vAlign w:val="center"/>
          </w:tcPr>
          <w:p w:rsidR="00B53FD7" w:rsidRPr="007E2B9F" w:rsidRDefault="00B53FD7" w:rsidP="00E74A9B">
            <w:pPr>
              <w:spacing w:after="0" w:line="240" w:lineRule="auto"/>
              <w:rPr>
                <w:rFonts w:cs="Calibri"/>
                <w:color w:val="000000"/>
                <w:sz w:val="24"/>
                <w:szCs w:val="24"/>
              </w:rPr>
            </w:pPr>
          </w:p>
        </w:tc>
        <w:tc>
          <w:tcPr>
            <w:tcW w:w="5220" w:type="dxa"/>
            <w:tcBorders>
              <w:left w:val="nil"/>
              <w:right w:val="nil"/>
            </w:tcBorders>
            <w:vAlign w:val="center"/>
          </w:tcPr>
          <w:p w:rsidR="00B53FD7" w:rsidRPr="007E2B9F" w:rsidRDefault="00B53FD7" w:rsidP="00E74A9B">
            <w:pPr>
              <w:spacing w:after="120" w:line="240" w:lineRule="auto"/>
              <w:rPr>
                <w:rFonts w:cs="Calibri"/>
                <w:color w:val="000000"/>
                <w:sz w:val="24"/>
                <w:szCs w:val="24"/>
              </w:rPr>
            </w:pPr>
            <w:r w:rsidRPr="007E2B9F">
              <w:rPr>
                <w:rFonts w:cs="Calibri"/>
                <w:color w:val="000000"/>
                <w:sz w:val="24"/>
                <w:szCs w:val="24"/>
              </w:rPr>
              <w:t>Architecture and Engineering Occupations</w:t>
            </w:r>
          </w:p>
        </w:tc>
        <w:tc>
          <w:tcPr>
            <w:tcW w:w="3060" w:type="dxa"/>
            <w:tcBorders>
              <w:left w:val="nil"/>
              <w:right w:val="nil"/>
            </w:tcBorders>
          </w:tcPr>
          <w:p w:rsidR="00B53FD7" w:rsidRPr="007E2B9F" w:rsidRDefault="00B53FD7" w:rsidP="00E74A9B">
            <w:pPr>
              <w:spacing w:after="120" w:line="240" w:lineRule="auto"/>
              <w:jc w:val="center"/>
              <w:rPr>
                <w:rFonts w:cs="Calibri"/>
                <w:color w:val="000000"/>
                <w:sz w:val="24"/>
                <w:szCs w:val="24"/>
              </w:rPr>
            </w:pPr>
            <w:r w:rsidRPr="007E2B9F">
              <w:rPr>
                <w:rFonts w:cs="Calibri"/>
                <w:color w:val="000000"/>
                <w:sz w:val="24"/>
                <w:szCs w:val="24"/>
              </w:rPr>
              <w:t>35.38</w:t>
            </w:r>
          </w:p>
        </w:tc>
        <w:tc>
          <w:tcPr>
            <w:tcW w:w="1800" w:type="dxa"/>
            <w:vMerge/>
            <w:tcBorders>
              <w:left w:val="nil"/>
            </w:tcBorders>
            <w:vAlign w:val="center"/>
          </w:tcPr>
          <w:p w:rsidR="00B53FD7" w:rsidRPr="007E2B9F" w:rsidRDefault="00B53FD7" w:rsidP="00E74A9B">
            <w:pPr>
              <w:spacing w:after="0" w:line="240" w:lineRule="auto"/>
              <w:rPr>
                <w:rFonts w:cs="Calibri"/>
                <w:color w:val="000000"/>
                <w:sz w:val="24"/>
                <w:szCs w:val="24"/>
              </w:rPr>
            </w:pPr>
          </w:p>
        </w:tc>
      </w:tr>
      <w:tr w:rsidR="00B53FD7" w:rsidRPr="007E2B9F" w:rsidTr="00E74A9B">
        <w:trPr>
          <w:trHeight w:val="300"/>
        </w:trPr>
        <w:tc>
          <w:tcPr>
            <w:tcW w:w="2715" w:type="dxa"/>
            <w:vMerge/>
            <w:tcBorders>
              <w:right w:val="nil"/>
            </w:tcBorders>
            <w:vAlign w:val="center"/>
          </w:tcPr>
          <w:p w:rsidR="00B53FD7" w:rsidRPr="007E2B9F" w:rsidRDefault="00B53FD7" w:rsidP="00E74A9B">
            <w:pPr>
              <w:spacing w:after="0" w:line="240" w:lineRule="auto"/>
              <w:rPr>
                <w:rFonts w:cs="Calibri"/>
                <w:color w:val="000000"/>
                <w:sz w:val="24"/>
                <w:szCs w:val="24"/>
              </w:rPr>
            </w:pPr>
          </w:p>
        </w:tc>
        <w:tc>
          <w:tcPr>
            <w:tcW w:w="5220" w:type="dxa"/>
            <w:tcBorders>
              <w:left w:val="nil"/>
              <w:right w:val="nil"/>
            </w:tcBorders>
            <w:vAlign w:val="center"/>
          </w:tcPr>
          <w:p w:rsidR="00B53FD7" w:rsidRPr="007E2B9F" w:rsidRDefault="00B53FD7" w:rsidP="00E74A9B">
            <w:pPr>
              <w:spacing w:after="120" w:line="240" w:lineRule="auto"/>
              <w:rPr>
                <w:rFonts w:cs="Calibri"/>
                <w:color w:val="000000"/>
                <w:sz w:val="24"/>
                <w:szCs w:val="24"/>
              </w:rPr>
            </w:pPr>
            <w:r w:rsidRPr="007E2B9F">
              <w:rPr>
                <w:rFonts w:cs="Calibri"/>
                <w:color w:val="000000"/>
                <w:sz w:val="24"/>
                <w:szCs w:val="24"/>
              </w:rPr>
              <w:t>Life, Physical, and Social Science Occupations</w:t>
            </w:r>
          </w:p>
        </w:tc>
        <w:tc>
          <w:tcPr>
            <w:tcW w:w="3060" w:type="dxa"/>
            <w:tcBorders>
              <w:left w:val="nil"/>
              <w:right w:val="nil"/>
            </w:tcBorders>
          </w:tcPr>
          <w:p w:rsidR="00B53FD7" w:rsidRPr="007E2B9F" w:rsidRDefault="00B53FD7" w:rsidP="00E74A9B">
            <w:pPr>
              <w:spacing w:after="120" w:line="240" w:lineRule="auto"/>
              <w:jc w:val="center"/>
              <w:rPr>
                <w:rFonts w:cs="Calibri"/>
                <w:color w:val="000000"/>
                <w:sz w:val="24"/>
                <w:szCs w:val="24"/>
              </w:rPr>
            </w:pPr>
            <w:r w:rsidRPr="007E2B9F">
              <w:rPr>
                <w:rFonts w:cs="Calibri"/>
                <w:color w:val="000000"/>
                <w:sz w:val="24"/>
                <w:szCs w:val="24"/>
              </w:rPr>
              <w:t>31.57</w:t>
            </w:r>
          </w:p>
        </w:tc>
        <w:tc>
          <w:tcPr>
            <w:tcW w:w="1800" w:type="dxa"/>
            <w:vMerge/>
            <w:tcBorders>
              <w:left w:val="nil"/>
            </w:tcBorders>
            <w:vAlign w:val="center"/>
          </w:tcPr>
          <w:p w:rsidR="00B53FD7" w:rsidRPr="007E2B9F" w:rsidRDefault="00B53FD7" w:rsidP="00E74A9B">
            <w:pPr>
              <w:spacing w:after="0" w:line="240" w:lineRule="auto"/>
              <w:rPr>
                <w:rFonts w:cs="Calibri"/>
                <w:color w:val="000000"/>
                <w:sz w:val="24"/>
                <w:szCs w:val="24"/>
              </w:rPr>
            </w:pPr>
          </w:p>
        </w:tc>
      </w:tr>
      <w:tr w:rsidR="00B53FD7" w:rsidRPr="007E2B9F" w:rsidTr="00E74A9B">
        <w:trPr>
          <w:trHeight w:val="287"/>
        </w:trPr>
        <w:tc>
          <w:tcPr>
            <w:tcW w:w="2715" w:type="dxa"/>
            <w:vMerge/>
            <w:tcBorders>
              <w:right w:val="nil"/>
            </w:tcBorders>
            <w:vAlign w:val="center"/>
          </w:tcPr>
          <w:p w:rsidR="00B53FD7" w:rsidRPr="007E2B9F" w:rsidRDefault="00B53FD7" w:rsidP="00E74A9B">
            <w:pPr>
              <w:spacing w:after="0" w:line="240" w:lineRule="auto"/>
              <w:rPr>
                <w:rFonts w:cs="Calibri"/>
                <w:color w:val="000000"/>
                <w:sz w:val="24"/>
                <w:szCs w:val="24"/>
              </w:rPr>
            </w:pPr>
          </w:p>
        </w:tc>
        <w:tc>
          <w:tcPr>
            <w:tcW w:w="5220" w:type="dxa"/>
            <w:tcBorders>
              <w:left w:val="nil"/>
              <w:right w:val="nil"/>
            </w:tcBorders>
            <w:vAlign w:val="center"/>
          </w:tcPr>
          <w:p w:rsidR="00B53FD7" w:rsidRPr="007E2B9F" w:rsidRDefault="00B53FD7" w:rsidP="00E74A9B">
            <w:pPr>
              <w:spacing w:after="120" w:line="240" w:lineRule="auto"/>
              <w:rPr>
                <w:rFonts w:cs="Calibri"/>
                <w:color w:val="000000"/>
                <w:sz w:val="24"/>
                <w:szCs w:val="24"/>
              </w:rPr>
            </w:pPr>
            <w:r w:rsidRPr="007E2B9F">
              <w:rPr>
                <w:rFonts w:cs="Calibri"/>
                <w:color w:val="000000"/>
                <w:sz w:val="24"/>
                <w:szCs w:val="24"/>
              </w:rPr>
              <w:t>Arts, Design, Entertainment, Sports, and Me</w:t>
            </w:r>
            <w:bookmarkStart w:id="0" w:name="_GoBack"/>
            <w:bookmarkEnd w:id="0"/>
            <w:r w:rsidRPr="007E2B9F">
              <w:rPr>
                <w:rFonts w:cs="Calibri"/>
                <w:color w:val="000000"/>
                <w:sz w:val="24"/>
                <w:szCs w:val="24"/>
              </w:rPr>
              <w:t>dia Occupations</w:t>
            </w:r>
          </w:p>
        </w:tc>
        <w:tc>
          <w:tcPr>
            <w:tcW w:w="3060" w:type="dxa"/>
            <w:tcBorders>
              <w:left w:val="nil"/>
              <w:right w:val="nil"/>
            </w:tcBorders>
          </w:tcPr>
          <w:p w:rsidR="00B53FD7" w:rsidRPr="007E2B9F" w:rsidRDefault="00B53FD7" w:rsidP="00E74A9B">
            <w:pPr>
              <w:spacing w:after="120" w:line="240" w:lineRule="auto"/>
              <w:jc w:val="center"/>
              <w:rPr>
                <w:rFonts w:cs="Calibri"/>
                <w:color w:val="000000"/>
                <w:sz w:val="24"/>
                <w:szCs w:val="24"/>
              </w:rPr>
            </w:pPr>
            <w:r w:rsidRPr="007E2B9F">
              <w:rPr>
                <w:rFonts w:cs="Calibri"/>
                <w:color w:val="000000"/>
                <w:sz w:val="24"/>
                <w:szCs w:val="24"/>
              </w:rPr>
              <w:t>24.87</w:t>
            </w:r>
          </w:p>
        </w:tc>
        <w:tc>
          <w:tcPr>
            <w:tcW w:w="1800" w:type="dxa"/>
            <w:vMerge/>
            <w:tcBorders>
              <w:left w:val="nil"/>
            </w:tcBorders>
            <w:vAlign w:val="center"/>
          </w:tcPr>
          <w:p w:rsidR="00B53FD7" w:rsidRPr="007E2B9F" w:rsidRDefault="00B53FD7" w:rsidP="00E74A9B">
            <w:pPr>
              <w:spacing w:after="0" w:line="240" w:lineRule="auto"/>
              <w:rPr>
                <w:rFonts w:cs="Calibri"/>
                <w:color w:val="000000"/>
                <w:sz w:val="24"/>
                <w:szCs w:val="24"/>
              </w:rPr>
            </w:pPr>
          </w:p>
        </w:tc>
      </w:tr>
      <w:tr w:rsidR="00B53FD7" w:rsidRPr="007E2B9F" w:rsidTr="00E74A9B">
        <w:trPr>
          <w:trHeight w:val="315"/>
        </w:trPr>
        <w:tc>
          <w:tcPr>
            <w:tcW w:w="2715" w:type="dxa"/>
            <w:vMerge/>
            <w:tcBorders>
              <w:right w:val="nil"/>
            </w:tcBorders>
            <w:vAlign w:val="center"/>
          </w:tcPr>
          <w:p w:rsidR="00B53FD7" w:rsidRPr="007E2B9F" w:rsidRDefault="00B53FD7" w:rsidP="00E74A9B">
            <w:pPr>
              <w:spacing w:after="0" w:line="240" w:lineRule="auto"/>
              <w:rPr>
                <w:rFonts w:cs="Calibri"/>
                <w:color w:val="000000"/>
                <w:sz w:val="24"/>
                <w:szCs w:val="24"/>
              </w:rPr>
            </w:pPr>
          </w:p>
        </w:tc>
        <w:tc>
          <w:tcPr>
            <w:tcW w:w="5220" w:type="dxa"/>
            <w:tcBorders>
              <w:left w:val="nil"/>
              <w:right w:val="nil"/>
            </w:tcBorders>
            <w:vAlign w:val="center"/>
          </w:tcPr>
          <w:p w:rsidR="00B53FD7" w:rsidRPr="007E2B9F" w:rsidRDefault="00B53FD7" w:rsidP="00E74A9B">
            <w:pPr>
              <w:spacing w:after="120" w:line="240" w:lineRule="auto"/>
              <w:rPr>
                <w:rFonts w:cs="Calibri"/>
                <w:color w:val="000000"/>
                <w:sz w:val="24"/>
                <w:szCs w:val="24"/>
              </w:rPr>
            </w:pPr>
            <w:r w:rsidRPr="007E2B9F">
              <w:rPr>
                <w:rFonts w:cs="Calibri"/>
                <w:color w:val="000000"/>
                <w:sz w:val="24"/>
                <w:szCs w:val="24"/>
              </w:rPr>
              <w:t>Healthcare Practitioner and Technical Occupations</w:t>
            </w:r>
          </w:p>
        </w:tc>
        <w:tc>
          <w:tcPr>
            <w:tcW w:w="3060" w:type="dxa"/>
            <w:tcBorders>
              <w:left w:val="nil"/>
              <w:right w:val="nil"/>
            </w:tcBorders>
          </w:tcPr>
          <w:p w:rsidR="00B53FD7" w:rsidRPr="007E2B9F" w:rsidRDefault="00B53FD7" w:rsidP="00E74A9B">
            <w:pPr>
              <w:spacing w:after="120" w:line="240" w:lineRule="auto"/>
              <w:jc w:val="center"/>
              <w:rPr>
                <w:rFonts w:cs="Calibri"/>
                <w:color w:val="000000"/>
                <w:sz w:val="24"/>
                <w:szCs w:val="24"/>
              </w:rPr>
            </w:pPr>
            <w:r w:rsidRPr="007E2B9F">
              <w:rPr>
                <w:rFonts w:cs="Calibri"/>
                <w:color w:val="000000"/>
                <w:sz w:val="24"/>
                <w:szCs w:val="24"/>
              </w:rPr>
              <w:t>33.51</w:t>
            </w:r>
          </w:p>
        </w:tc>
        <w:tc>
          <w:tcPr>
            <w:tcW w:w="1800" w:type="dxa"/>
            <w:vMerge/>
            <w:tcBorders>
              <w:left w:val="nil"/>
            </w:tcBorders>
            <w:vAlign w:val="center"/>
          </w:tcPr>
          <w:p w:rsidR="00B53FD7" w:rsidRPr="007E2B9F" w:rsidRDefault="00B53FD7" w:rsidP="00E74A9B">
            <w:pPr>
              <w:spacing w:after="0" w:line="240" w:lineRule="auto"/>
              <w:rPr>
                <w:rFonts w:cs="Calibri"/>
                <w:color w:val="000000"/>
                <w:sz w:val="24"/>
                <w:szCs w:val="24"/>
              </w:rPr>
            </w:pPr>
          </w:p>
        </w:tc>
      </w:tr>
      <w:tr w:rsidR="00B53FD7" w:rsidRPr="007E2B9F" w:rsidTr="00E74A9B">
        <w:trPr>
          <w:trHeight w:val="300"/>
        </w:trPr>
        <w:tc>
          <w:tcPr>
            <w:tcW w:w="2715" w:type="dxa"/>
            <w:vMerge/>
            <w:tcBorders>
              <w:right w:val="nil"/>
            </w:tcBorders>
            <w:vAlign w:val="center"/>
          </w:tcPr>
          <w:p w:rsidR="00B53FD7" w:rsidRPr="007E2B9F" w:rsidRDefault="00B53FD7" w:rsidP="00E74A9B">
            <w:pPr>
              <w:spacing w:after="0" w:line="240" w:lineRule="auto"/>
              <w:rPr>
                <w:rFonts w:cs="Calibri"/>
                <w:color w:val="000000"/>
                <w:sz w:val="24"/>
                <w:szCs w:val="24"/>
              </w:rPr>
            </w:pPr>
          </w:p>
        </w:tc>
        <w:tc>
          <w:tcPr>
            <w:tcW w:w="5220" w:type="dxa"/>
            <w:tcBorders>
              <w:left w:val="nil"/>
              <w:right w:val="nil"/>
            </w:tcBorders>
            <w:vAlign w:val="center"/>
          </w:tcPr>
          <w:p w:rsidR="00B53FD7" w:rsidRPr="007E2B9F" w:rsidRDefault="00B53FD7" w:rsidP="00E74A9B">
            <w:pPr>
              <w:spacing w:after="120" w:line="240" w:lineRule="auto"/>
              <w:rPr>
                <w:rFonts w:cs="Calibri"/>
                <w:color w:val="000000"/>
                <w:sz w:val="24"/>
                <w:szCs w:val="24"/>
              </w:rPr>
            </w:pPr>
            <w:r w:rsidRPr="007E2B9F">
              <w:rPr>
                <w:rFonts w:cs="Calibri"/>
                <w:color w:val="000000"/>
                <w:sz w:val="24"/>
                <w:szCs w:val="24"/>
              </w:rPr>
              <w:t>Education, Training, and Library Occupations</w:t>
            </w:r>
          </w:p>
        </w:tc>
        <w:tc>
          <w:tcPr>
            <w:tcW w:w="3060" w:type="dxa"/>
            <w:tcBorders>
              <w:left w:val="nil"/>
              <w:right w:val="nil"/>
            </w:tcBorders>
          </w:tcPr>
          <w:p w:rsidR="00B53FD7" w:rsidRPr="007E2B9F" w:rsidRDefault="00B53FD7" w:rsidP="00E74A9B">
            <w:pPr>
              <w:spacing w:after="120" w:line="240" w:lineRule="auto"/>
              <w:jc w:val="center"/>
              <w:rPr>
                <w:rFonts w:cs="Calibri"/>
                <w:color w:val="000000"/>
                <w:sz w:val="24"/>
                <w:szCs w:val="24"/>
              </w:rPr>
            </w:pPr>
            <w:r w:rsidRPr="007E2B9F">
              <w:rPr>
                <w:rFonts w:cs="Calibri"/>
                <w:color w:val="000000"/>
                <w:sz w:val="24"/>
                <w:szCs w:val="24"/>
              </w:rPr>
              <w:t>23.81</w:t>
            </w:r>
          </w:p>
        </w:tc>
        <w:tc>
          <w:tcPr>
            <w:tcW w:w="1800" w:type="dxa"/>
            <w:vMerge/>
            <w:tcBorders>
              <w:left w:val="nil"/>
            </w:tcBorders>
            <w:vAlign w:val="center"/>
          </w:tcPr>
          <w:p w:rsidR="00B53FD7" w:rsidRPr="007E2B9F" w:rsidRDefault="00B53FD7" w:rsidP="00E74A9B">
            <w:pPr>
              <w:spacing w:after="0" w:line="240" w:lineRule="auto"/>
              <w:rPr>
                <w:rFonts w:cs="Calibri"/>
                <w:color w:val="000000"/>
                <w:sz w:val="24"/>
                <w:szCs w:val="24"/>
              </w:rPr>
            </w:pPr>
          </w:p>
        </w:tc>
      </w:tr>
      <w:tr w:rsidR="00B53FD7" w:rsidRPr="007E2B9F" w:rsidTr="00E74A9B">
        <w:trPr>
          <w:trHeight w:val="300"/>
        </w:trPr>
        <w:tc>
          <w:tcPr>
            <w:tcW w:w="2715" w:type="dxa"/>
            <w:vMerge w:val="restart"/>
            <w:tcBorders>
              <w:right w:val="nil"/>
            </w:tcBorders>
          </w:tcPr>
          <w:p w:rsidR="00B53FD7" w:rsidRPr="007E2B9F" w:rsidRDefault="00B53FD7" w:rsidP="00E74A9B">
            <w:pPr>
              <w:spacing w:after="0" w:line="240" w:lineRule="auto"/>
              <w:rPr>
                <w:rFonts w:cs="Calibri"/>
                <w:color w:val="000000"/>
                <w:sz w:val="24"/>
                <w:szCs w:val="24"/>
              </w:rPr>
            </w:pPr>
            <w:r w:rsidRPr="007E2B9F">
              <w:rPr>
                <w:rFonts w:cs="Calibri"/>
                <w:color w:val="000000"/>
                <w:sz w:val="24"/>
                <w:szCs w:val="24"/>
              </w:rPr>
              <w:t>Manager/Executive</w:t>
            </w:r>
          </w:p>
        </w:tc>
        <w:tc>
          <w:tcPr>
            <w:tcW w:w="5220" w:type="dxa"/>
            <w:tcBorders>
              <w:left w:val="nil"/>
              <w:right w:val="nil"/>
            </w:tcBorders>
            <w:vAlign w:val="center"/>
          </w:tcPr>
          <w:p w:rsidR="00B53FD7" w:rsidRPr="007E2B9F" w:rsidRDefault="00B53FD7" w:rsidP="00E74A9B">
            <w:pPr>
              <w:spacing w:after="120" w:line="240" w:lineRule="auto"/>
              <w:rPr>
                <w:rFonts w:cs="Calibri"/>
                <w:color w:val="000000"/>
                <w:sz w:val="24"/>
                <w:szCs w:val="24"/>
              </w:rPr>
            </w:pPr>
            <w:r w:rsidRPr="007E2B9F">
              <w:rPr>
                <w:rFonts w:cs="Calibri"/>
                <w:color w:val="000000"/>
                <w:sz w:val="24"/>
                <w:szCs w:val="24"/>
              </w:rPr>
              <w:t>Management Occupations</w:t>
            </w:r>
          </w:p>
        </w:tc>
        <w:tc>
          <w:tcPr>
            <w:tcW w:w="3060" w:type="dxa"/>
            <w:tcBorders>
              <w:left w:val="nil"/>
              <w:right w:val="nil"/>
            </w:tcBorders>
          </w:tcPr>
          <w:p w:rsidR="00B53FD7" w:rsidRPr="007E2B9F" w:rsidRDefault="00B53FD7" w:rsidP="00E74A9B">
            <w:pPr>
              <w:spacing w:after="120" w:line="240" w:lineRule="auto"/>
              <w:jc w:val="center"/>
              <w:rPr>
                <w:rFonts w:cs="Calibri"/>
                <w:color w:val="000000"/>
                <w:sz w:val="24"/>
                <w:szCs w:val="24"/>
              </w:rPr>
            </w:pPr>
            <w:r w:rsidRPr="007E2B9F">
              <w:rPr>
                <w:rFonts w:cs="Calibri"/>
                <w:color w:val="000000"/>
                <w:sz w:val="24"/>
                <w:szCs w:val="24"/>
              </w:rPr>
              <w:t>49.47</w:t>
            </w:r>
          </w:p>
        </w:tc>
        <w:tc>
          <w:tcPr>
            <w:tcW w:w="1800" w:type="dxa"/>
            <w:vMerge w:val="restart"/>
            <w:tcBorders>
              <w:left w:val="nil"/>
            </w:tcBorders>
          </w:tcPr>
          <w:p w:rsidR="00B53FD7" w:rsidRPr="007E2B9F" w:rsidRDefault="00B53FD7" w:rsidP="00E74A9B">
            <w:pPr>
              <w:spacing w:after="0" w:line="240" w:lineRule="auto"/>
              <w:jc w:val="center"/>
              <w:rPr>
                <w:rFonts w:cs="Calibri"/>
                <w:color w:val="000000"/>
                <w:sz w:val="24"/>
                <w:szCs w:val="24"/>
              </w:rPr>
            </w:pPr>
            <w:r w:rsidRPr="007E2B9F">
              <w:rPr>
                <w:rFonts w:cs="Calibri"/>
                <w:color w:val="000000"/>
                <w:sz w:val="24"/>
                <w:szCs w:val="24"/>
              </w:rPr>
              <w:t>42.41</w:t>
            </w:r>
          </w:p>
        </w:tc>
      </w:tr>
      <w:tr w:rsidR="00B53FD7" w:rsidRPr="007E2B9F" w:rsidTr="00E74A9B">
        <w:trPr>
          <w:trHeight w:val="315"/>
        </w:trPr>
        <w:tc>
          <w:tcPr>
            <w:tcW w:w="2715" w:type="dxa"/>
            <w:vMerge/>
            <w:tcBorders>
              <w:right w:val="nil"/>
            </w:tcBorders>
            <w:vAlign w:val="center"/>
          </w:tcPr>
          <w:p w:rsidR="00B53FD7" w:rsidRPr="007E2B9F" w:rsidRDefault="00B53FD7" w:rsidP="00E74A9B">
            <w:pPr>
              <w:spacing w:after="0" w:line="240" w:lineRule="auto"/>
              <w:rPr>
                <w:rFonts w:cs="Calibri"/>
                <w:color w:val="000000"/>
                <w:sz w:val="24"/>
                <w:szCs w:val="24"/>
              </w:rPr>
            </w:pPr>
          </w:p>
        </w:tc>
        <w:tc>
          <w:tcPr>
            <w:tcW w:w="5220" w:type="dxa"/>
            <w:tcBorders>
              <w:left w:val="nil"/>
              <w:right w:val="nil"/>
            </w:tcBorders>
            <w:vAlign w:val="center"/>
          </w:tcPr>
          <w:p w:rsidR="00B53FD7" w:rsidRPr="007E2B9F" w:rsidRDefault="00B53FD7" w:rsidP="00E74A9B">
            <w:pPr>
              <w:spacing w:after="120" w:line="240" w:lineRule="auto"/>
              <w:rPr>
                <w:rFonts w:cs="Calibri"/>
                <w:color w:val="000000"/>
                <w:sz w:val="24"/>
                <w:szCs w:val="24"/>
              </w:rPr>
            </w:pPr>
            <w:r w:rsidRPr="007E2B9F">
              <w:rPr>
                <w:rFonts w:cs="Calibri"/>
                <w:color w:val="000000"/>
                <w:sz w:val="24"/>
                <w:szCs w:val="24"/>
              </w:rPr>
              <w:t>Business and Financial Operations Occupations</w:t>
            </w:r>
          </w:p>
        </w:tc>
        <w:tc>
          <w:tcPr>
            <w:tcW w:w="3060" w:type="dxa"/>
            <w:tcBorders>
              <w:left w:val="nil"/>
              <w:right w:val="nil"/>
            </w:tcBorders>
          </w:tcPr>
          <w:p w:rsidR="00B53FD7" w:rsidRPr="007E2B9F" w:rsidRDefault="00B53FD7" w:rsidP="00E74A9B">
            <w:pPr>
              <w:spacing w:after="120" w:line="240" w:lineRule="auto"/>
              <w:jc w:val="center"/>
              <w:rPr>
                <w:rFonts w:cs="Calibri"/>
                <w:color w:val="000000"/>
                <w:sz w:val="24"/>
                <w:szCs w:val="24"/>
              </w:rPr>
            </w:pPr>
            <w:r w:rsidRPr="007E2B9F">
              <w:rPr>
                <w:rFonts w:cs="Calibri"/>
                <w:color w:val="000000"/>
                <w:sz w:val="24"/>
                <w:szCs w:val="24"/>
              </w:rPr>
              <w:t>31.68</w:t>
            </w:r>
          </w:p>
        </w:tc>
        <w:tc>
          <w:tcPr>
            <w:tcW w:w="1800" w:type="dxa"/>
            <w:vMerge/>
            <w:tcBorders>
              <w:left w:val="nil"/>
            </w:tcBorders>
            <w:vAlign w:val="center"/>
          </w:tcPr>
          <w:p w:rsidR="00B53FD7" w:rsidRPr="007E2B9F" w:rsidRDefault="00B53FD7" w:rsidP="00E74A9B">
            <w:pPr>
              <w:spacing w:after="0" w:line="240" w:lineRule="auto"/>
              <w:rPr>
                <w:rFonts w:cs="Calibri"/>
                <w:color w:val="000000"/>
                <w:sz w:val="24"/>
                <w:szCs w:val="24"/>
              </w:rPr>
            </w:pPr>
          </w:p>
        </w:tc>
      </w:tr>
      <w:tr w:rsidR="00B53FD7" w:rsidRPr="007E2B9F" w:rsidTr="00E74A9B">
        <w:trPr>
          <w:trHeight w:val="300"/>
        </w:trPr>
        <w:tc>
          <w:tcPr>
            <w:tcW w:w="2715" w:type="dxa"/>
            <w:vMerge/>
            <w:tcBorders>
              <w:bottom w:val="single" w:sz="4" w:space="0" w:color="auto"/>
              <w:right w:val="nil"/>
            </w:tcBorders>
            <w:vAlign w:val="center"/>
          </w:tcPr>
          <w:p w:rsidR="00B53FD7" w:rsidRPr="007E2B9F" w:rsidRDefault="00B53FD7" w:rsidP="00E74A9B">
            <w:pPr>
              <w:spacing w:after="0" w:line="240" w:lineRule="auto"/>
              <w:rPr>
                <w:rFonts w:cs="Calibri"/>
                <w:color w:val="000000"/>
                <w:sz w:val="24"/>
                <w:szCs w:val="24"/>
              </w:rPr>
            </w:pPr>
          </w:p>
        </w:tc>
        <w:tc>
          <w:tcPr>
            <w:tcW w:w="5220" w:type="dxa"/>
            <w:tcBorders>
              <w:left w:val="nil"/>
              <w:bottom w:val="single" w:sz="4" w:space="0" w:color="auto"/>
              <w:right w:val="nil"/>
            </w:tcBorders>
            <w:vAlign w:val="center"/>
          </w:tcPr>
          <w:p w:rsidR="00B53FD7" w:rsidRPr="007E2B9F" w:rsidRDefault="00B53FD7" w:rsidP="00E74A9B">
            <w:pPr>
              <w:spacing w:after="120" w:line="240" w:lineRule="auto"/>
              <w:rPr>
                <w:rFonts w:cs="Calibri"/>
                <w:color w:val="000000"/>
                <w:sz w:val="24"/>
                <w:szCs w:val="24"/>
              </w:rPr>
            </w:pPr>
            <w:r w:rsidRPr="007E2B9F">
              <w:rPr>
                <w:rFonts w:cs="Calibri"/>
                <w:color w:val="000000"/>
                <w:sz w:val="24"/>
                <w:szCs w:val="24"/>
              </w:rPr>
              <w:t>Legal Occupations</w:t>
            </w:r>
          </w:p>
        </w:tc>
        <w:tc>
          <w:tcPr>
            <w:tcW w:w="3060" w:type="dxa"/>
            <w:tcBorders>
              <w:left w:val="nil"/>
              <w:bottom w:val="single" w:sz="4" w:space="0" w:color="auto"/>
              <w:right w:val="nil"/>
            </w:tcBorders>
          </w:tcPr>
          <w:p w:rsidR="00B53FD7" w:rsidRPr="007E2B9F" w:rsidRDefault="00B53FD7" w:rsidP="00E74A9B">
            <w:pPr>
              <w:spacing w:after="120" w:line="240" w:lineRule="auto"/>
              <w:jc w:val="center"/>
              <w:rPr>
                <w:rFonts w:cs="Calibri"/>
                <w:color w:val="000000"/>
                <w:sz w:val="24"/>
                <w:szCs w:val="24"/>
              </w:rPr>
            </w:pPr>
            <w:r w:rsidRPr="007E2B9F">
              <w:rPr>
                <w:rFonts w:cs="Calibri"/>
                <w:color w:val="000000"/>
                <w:sz w:val="24"/>
                <w:szCs w:val="24"/>
              </w:rPr>
              <w:t>46.07</w:t>
            </w:r>
          </w:p>
        </w:tc>
        <w:tc>
          <w:tcPr>
            <w:tcW w:w="1800" w:type="dxa"/>
            <w:vMerge/>
            <w:tcBorders>
              <w:left w:val="nil"/>
              <w:bottom w:val="single" w:sz="4" w:space="0" w:color="auto"/>
            </w:tcBorders>
            <w:vAlign w:val="center"/>
          </w:tcPr>
          <w:p w:rsidR="00B53FD7" w:rsidRPr="007E2B9F" w:rsidRDefault="00B53FD7" w:rsidP="00E74A9B">
            <w:pPr>
              <w:spacing w:after="0" w:line="240" w:lineRule="auto"/>
              <w:rPr>
                <w:rFonts w:cs="Calibri"/>
                <w:color w:val="000000"/>
                <w:sz w:val="24"/>
                <w:szCs w:val="24"/>
              </w:rPr>
            </w:pPr>
          </w:p>
        </w:tc>
      </w:tr>
    </w:tbl>
    <w:p w:rsidR="00B53FD7" w:rsidRPr="007E2B9F" w:rsidRDefault="00B53FD7" w:rsidP="00E74A9B">
      <w:pPr>
        <w:spacing w:after="0" w:line="480" w:lineRule="auto"/>
        <w:rPr>
          <w:rFonts w:cs="Calibri"/>
          <w:sz w:val="24"/>
          <w:szCs w:val="24"/>
        </w:rPr>
      </w:pPr>
    </w:p>
    <w:p w:rsidR="00B53FD7" w:rsidRPr="007E2B9F" w:rsidRDefault="00B53FD7">
      <w:pPr>
        <w:spacing w:after="0" w:line="240" w:lineRule="auto"/>
        <w:rPr>
          <w:rFonts w:cs="Calibri"/>
          <w:sz w:val="24"/>
          <w:szCs w:val="24"/>
        </w:rPr>
      </w:pPr>
      <w:r w:rsidRPr="007E2B9F">
        <w:rPr>
          <w:rFonts w:cs="Calibri"/>
          <w:sz w:val="24"/>
          <w:szCs w:val="24"/>
        </w:rPr>
        <w:br w:type="page"/>
      </w:r>
    </w:p>
    <w:p w:rsidR="00B53FD7" w:rsidRPr="007E2B9F" w:rsidRDefault="00B53FD7" w:rsidP="009922A5">
      <w:pPr>
        <w:spacing w:after="0" w:line="240" w:lineRule="auto"/>
        <w:rPr>
          <w:b/>
          <w:sz w:val="24"/>
          <w:szCs w:val="24"/>
        </w:rPr>
      </w:pPr>
      <w:r w:rsidRPr="007E2B9F">
        <w:rPr>
          <w:b/>
          <w:sz w:val="24"/>
          <w:szCs w:val="24"/>
        </w:rPr>
        <w:t>Table A5. One-way Sensitivity Analyses: Net Savings per Traveler per Trip to West Africa and Break-even Risk of Contracting Malaria by Altering the Type of Malaria Chemoprophylaxis (US$2009)</w:t>
      </w:r>
      <w:r w:rsidRPr="007E2B9F">
        <w:rPr>
          <w:b/>
          <w:sz w:val="24"/>
          <w:szCs w:val="24"/>
          <w:vertAlign w:val="superscript"/>
        </w:rPr>
        <w:t>a</w:t>
      </w:r>
    </w:p>
    <w:tbl>
      <w:tblPr>
        <w:tblW w:w="0" w:type="auto"/>
        <w:tblBorders>
          <w:top w:val="single" w:sz="4" w:space="0" w:color="auto"/>
          <w:bottom w:val="single" w:sz="4" w:space="0" w:color="auto"/>
        </w:tblBorders>
        <w:tblLook w:val="00A0"/>
      </w:tblPr>
      <w:tblGrid>
        <w:gridCol w:w="4428"/>
        <w:gridCol w:w="1987"/>
        <w:gridCol w:w="1987"/>
        <w:gridCol w:w="1987"/>
        <w:gridCol w:w="2047"/>
      </w:tblGrid>
      <w:tr w:rsidR="00B53FD7" w:rsidRPr="007E2B9F" w:rsidTr="00A607CC">
        <w:trPr>
          <w:trHeight w:val="278"/>
        </w:trPr>
        <w:tc>
          <w:tcPr>
            <w:tcW w:w="4428" w:type="dxa"/>
            <w:tcBorders>
              <w:top w:val="single" w:sz="4" w:space="0" w:color="auto"/>
              <w:bottom w:val="nil"/>
              <w:right w:val="nil"/>
            </w:tcBorders>
          </w:tcPr>
          <w:p w:rsidR="00B53FD7" w:rsidRPr="007E2B9F" w:rsidRDefault="00B53FD7" w:rsidP="00A607CC">
            <w:pPr>
              <w:spacing w:after="0" w:line="240" w:lineRule="auto"/>
              <w:rPr>
                <w:sz w:val="24"/>
                <w:szCs w:val="24"/>
              </w:rPr>
            </w:pPr>
          </w:p>
        </w:tc>
        <w:tc>
          <w:tcPr>
            <w:tcW w:w="8008" w:type="dxa"/>
            <w:gridSpan w:val="4"/>
            <w:tcBorders>
              <w:top w:val="single" w:sz="4" w:space="0" w:color="auto"/>
              <w:left w:val="nil"/>
              <w:bottom w:val="single" w:sz="4" w:space="0" w:color="auto"/>
            </w:tcBorders>
          </w:tcPr>
          <w:p w:rsidR="00B53FD7" w:rsidRPr="007E2B9F" w:rsidRDefault="00B53FD7" w:rsidP="00A607CC">
            <w:pPr>
              <w:spacing w:after="0" w:line="240" w:lineRule="auto"/>
              <w:jc w:val="center"/>
              <w:rPr>
                <w:sz w:val="24"/>
                <w:szCs w:val="24"/>
              </w:rPr>
            </w:pPr>
            <w:r w:rsidRPr="007E2B9F">
              <w:rPr>
                <w:sz w:val="24"/>
                <w:szCs w:val="24"/>
              </w:rPr>
              <w:t>Purpose of travel</w:t>
            </w:r>
            <w:r w:rsidRPr="007E2B9F">
              <w:rPr>
                <w:sz w:val="24"/>
                <w:szCs w:val="24"/>
                <w:vertAlign w:val="superscript"/>
              </w:rPr>
              <w:t>b</w:t>
            </w:r>
            <w:r w:rsidRPr="007E2B9F">
              <w:rPr>
                <w:sz w:val="24"/>
                <w:szCs w:val="24"/>
              </w:rPr>
              <w:t xml:space="preserve"> and median planned length of travel</w:t>
            </w:r>
            <w:r w:rsidRPr="007E2B9F">
              <w:rPr>
                <w:sz w:val="24"/>
                <w:szCs w:val="24"/>
                <w:vertAlign w:val="superscript"/>
              </w:rPr>
              <w:t>c</w:t>
            </w:r>
          </w:p>
        </w:tc>
      </w:tr>
      <w:tr w:rsidR="00B53FD7" w:rsidRPr="007E2B9F" w:rsidTr="00A607CC">
        <w:trPr>
          <w:trHeight w:val="296"/>
        </w:trPr>
        <w:tc>
          <w:tcPr>
            <w:tcW w:w="4428" w:type="dxa"/>
            <w:tcBorders>
              <w:top w:val="nil"/>
              <w:bottom w:val="nil"/>
              <w:right w:val="nil"/>
            </w:tcBorders>
          </w:tcPr>
          <w:p w:rsidR="00B53FD7" w:rsidRPr="007E2B9F" w:rsidRDefault="00B53FD7" w:rsidP="00A607CC">
            <w:pPr>
              <w:spacing w:after="0" w:line="240" w:lineRule="auto"/>
              <w:jc w:val="center"/>
              <w:rPr>
                <w:rFonts w:eastAsia="Times New Roman" w:cs="Calibri"/>
                <w:color w:val="000000"/>
                <w:sz w:val="24"/>
                <w:szCs w:val="24"/>
              </w:rPr>
            </w:pPr>
          </w:p>
        </w:tc>
        <w:tc>
          <w:tcPr>
            <w:tcW w:w="1987" w:type="dxa"/>
            <w:tcBorders>
              <w:top w:val="single" w:sz="4" w:space="0" w:color="auto"/>
              <w:left w:val="nil"/>
              <w:bottom w:val="nil"/>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Business</w:t>
            </w:r>
          </w:p>
        </w:tc>
        <w:tc>
          <w:tcPr>
            <w:tcW w:w="1987" w:type="dxa"/>
            <w:tcBorders>
              <w:top w:val="single" w:sz="4" w:space="0" w:color="auto"/>
              <w:left w:val="nil"/>
              <w:bottom w:val="nil"/>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Leisure</w:t>
            </w:r>
          </w:p>
        </w:tc>
        <w:tc>
          <w:tcPr>
            <w:tcW w:w="1987" w:type="dxa"/>
            <w:tcBorders>
              <w:top w:val="single" w:sz="4" w:space="0" w:color="auto"/>
              <w:left w:val="nil"/>
              <w:bottom w:val="nil"/>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All purposes</w:t>
            </w:r>
          </w:p>
        </w:tc>
        <w:tc>
          <w:tcPr>
            <w:tcW w:w="2047" w:type="dxa"/>
            <w:tcBorders>
              <w:top w:val="single" w:sz="4" w:space="0" w:color="auto"/>
              <w:left w:val="nil"/>
              <w:bottom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VFR</w:t>
            </w:r>
            <w:r w:rsidRPr="007E2B9F">
              <w:rPr>
                <w:sz w:val="24"/>
                <w:szCs w:val="24"/>
                <w:vertAlign w:val="superscript"/>
              </w:rPr>
              <w:t>b</w:t>
            </w:r>
          </w:p>
        </w:tc>
      </w:tr>
      <w:tr w:rsidR="00B53FD7" w:rsidRPr="007E2B9F" w:rsidTr="00A607CC">
        <w:trPr>
          <w:trHeight w:val="261"/>
        </w:trPr>
        <w:tc>
          <w:tcPr>
            <w:tcW w:w="4428" w:type="dxa"/>
            <w:tcBorders>
              <w:top w:val="nil"/>
              <w:bottom w:val="single" w:sz="4" w:space="0" w:color="auto"/>
              <w:right w:val="nil"/>
            </w:tcBorders>
          </w:tcPr>
          <w:p w:rsidR="00B53FD7" w:rsidRPr="007E2B9F" w:rsidRDefault="00B53FD7" w:rsidP="00A607CC">
            <w:pPr>
              <w:spacing w:after="0" w:line="240" w:lineRule="auto"/>
              <w:jc w:val="center"/>
              <w:rPr>
                <w:rFonts w:eastAsia="Times New Roman" w:cs="Calibri"/>
                <w:color w:val="000000"/>
                <w:sz w:val="24"/>
                <w:szCs w:val="24"/>
              </w:rPr>
            </w:pPr>
          </w:p>
        </w:tc>
        <w:tc>
          <w:tcPr>
            <w:tcW w:w="1987" w:type="dxa"/>
            <w:tcBorders>
              <w:top w:val="nil"/>
              <w:left w:val="nil"/>
              <w:bottom w:val="single" w:sz="4" w:space="0" w:color="auto"/>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9 days</w:t>
            </w:r>
          </w:p>
        </w:tc>
        <w:tc>
          <w:tcPr>
            <w:tcW w:w="1987" w:type="dxa"/>
            <w:tcBorders>
              <w:top w:val="nil"/>
              <w:left w:val="nil"/>
              <w:bottom w:val="single" w:sz="4" w:space="0" w:color="auto"/>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14 days</w:t>
            </w:r>
          </w:p>
        </w:tc>
        <w:tc>
          <w:tcPr>
            <w:tcW w:w="1987" w:type="dxa"/>
            <w:tcBorders>
              <w:top w:val="nil"/>
              <w:left w:val="nil"/>
              <w:bottom w:val="single" w:sz="4" w:space="0" w:color="auto"/>
              <w:right w:val="nil"/>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21 days</w:t>
            </w:r>
          </w:p>
        </w:tc>
        <w:tc>
          <w:tcPr>
            <w:tcW w:w="2047" w:type="dxa"/>
            <w:tcBorders>
              <w:top w:val="nil"/>
              <w:left w:val="nil"/>
              <w:bottom w:val="single" w:sz="4" w:space="0" w:color="auto"/>
            </w:tcBorders>
          </w:tcPr>
          <w:p w:rsidR="00B53FD7" w:rsidRPr="007E2B9F" w:rsidRDefault="00B53FD7" w:rsidP="00A607CC">
            <w:pPr>
              <w:spacing w:after="0" w:line="240" w:lineRule="auto"/>
              <w:jc w:val="center"/>
              <w:rPr>
                <w:rFonts w:eastAsia="Times New Roman" w:cs="Calibri"/>
                <w:color w:val="000000"/>
                <w:sz w:val="24"/>
                <w:szCs w:val="24"/>
              </w:rPr>
            </w:pPr>
            <w:r w:rsidRPr="007E2B9F">
              <w:rPr>
                <w:rFonts w:eastAsia="Times New Roman" w:cs="Calibri"/>
                <w:color w:val="000000"/>
                <w:sz w:val="24"/>
                <w:szCs w:val="24"/>
              </w:rPr>
              <w:t>30 days</w:t>
            </w:r>
          </w:p>
        </w:tc>
      </w:tr>
      <w:tr w:rsidR="00B53FD7" w:rsidRPr="007E2B9F" w:rsidTr="00A607CC">
        <w:trPr>
          <w:trHeight w:val="300"/>
        </w:trPr>
        <w:tc>
          <w:tcPr>
            <w:tcW w:w="12436" w:type="dxa"/>
            <w:gridSpan w:val="5"/>
            <w:tcBorders>
              <w:top w:val="nil"/>
              <w:bottom w:val="nil"/>
            </w:tcBorders>
          </w:tcPr>
          <w:p w:rsidR="00B53FD7" w:rsidRPr="007E2B9F" w:rsidRDefault="00B53FD7" w:rsidP="00A607CC">
            <w:pPr>
              <w:spacing w:after="120" w:line="240" w:lineRule="auto"/>
              <w:ind w:right="432"/>
              <w:rPr>
                <w:rFonts w:eastAsia="Times New Roman" w:cs="Calibri"/>
                <w:b/>
                <w:color w:val="000000"/>
                <w:sz w:val="28"/>
                <w:szCs w:val="28"/>
              </w:rPr>
            </w:pPr>
            <w:r w:rsidRPr="007E2B9F">
              <w:rPr>
                <w:rFonts w:eastAsia="Times New Roman" w:cs="Calibri"/>
                <w:b/>
                <w:color w:val="000000"/>
                <w:sz w:val="28"/>
                <w:szCs w:val="28"/>
              </w:rPr>
              <w:t>HEALTHCARE PAYER PERSPECTIVE</w:t>
            </w:r>
          </w:p>
        </w:tc>
      </w:tr>
      <w:tr w:rsidR="00B53FD7" w:rsidRPr="007E2B9F" w:rsidTr="00A607CC">
        <w:trPr>
          <w:trHeight w:val="300"/>
        </w:trPr>
        <w:tc>
          <w:tcPr>
            <w:tcW w:w="12436" w:type="dxa"/>
            <w:gridSpan w:val="5"/>
            <w:tcBorders>
              <w:top w:val="nil"/>
              <w:bottom w:val="nil"/>
            </w:tcBorders>
          </w:tcPr>
          <w:p w:rsidR="00B53FD7" w:rsidRPr="007E2B9F" w:rsidRDefault="00B53FD7" w:rsidP="00A607CC">
            <w:pPr>
              <w:spacing w:after="120" w:line="240" w:lineRule="auto"/>
              <w:ind w:right="432"/>
              <w:rPr>
                <w:rFonts w:eastAsia="Times New Roman" w:cs="Calibri"/>
                <w:color w:val="000000"/>
                <w:sz w:val="24"/>
                <w:szCs w:val="24"/>
              </w:rPr>
            </w:pPr>
            <w:r w:rsidRPr="007E2B9F">
              <w:rPr>
                <w:rFonts w:eastAsia="Times New Roman" w:cs="Calibri"/>
                <w:b/>
                <w:color w:val="000000"/>
                <w:sz w:val="24"/>
                <w:szCs w:val="24"/>
              </w:rPr>
              <w:t>Net savings per traveler per trip to West Africa</w:t>
            </w:r>
            <w:r w:rsidRPr="007E2B9F">
              <w:rPr>
                <w:rFonts w:eastAsia="Times New Roman" w:cs="Calibri"/>
                <w:b/>
                <w:color w:val="000000"/>
                <w:sz w:val="24"/>
                <w:szCs w:val="24"/>
                <w:vertAlign w:val="superscript"/>
              </w:rPr>
              <w:t>d</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Baseline analysis (Table 5) based on weighted average of three malaria chemoprophylaxis</w:t>
            </w:r>
          </w:p>
        </w:tc>
        <w:tc>
          <w:tcPr>
            <w:tcW w:w="1987" w:type="dxa"/>
            <w:tcBorders>
              <w:top w:val="nil"/>
              <w:bottom w:val="nil"/>
            </w:tcBorders>
            <w:noWrap/>
          </w:tcPr>
          <w:p w:rsidR="00B53FD7" w:rsidRPr="007E2B9F" w:rsidRDefault="00B53FD7" w:rsidP="00A607CC">
            <w:pPr>
              <w:spacing w:after="120" w:line="240" w:lineRule="auto"/>
              <w:ind w:right="432"/>
              <w:jc w:val="right"/>
              <w:rPr>
                <w:rFonts w:eastAsia="Times New Roman" w:cs="Calibri"/>
                <w:color w:val="000000"/>
                <w:sz w:val="24"/>
                <w:szCs w:val="24"/>
              </w:rPr>
            </w:pPr>
            <w:r w:rsidRPr="007E2B9F">
              <w:rPr>
                <w:rFonts w:eastAsia="Times New Roman" w:cs="Calibri"/>
                <w:color w:val="000000"/>
                <w:sz w:val="24"/>
                <w:szCs w:val="24"/>
              </w:rPr>
              <w:t>$13.65</w:t>
            </w:r>
          </w:p>
        </w:tc>
        <w:tc>
          <w:tcPr>
            <w:tcW w:w="1987" w:type="dxa"/>
            <w:tcBorders>
              <w:top w:val="nil"/>
              <w:bottom w:val="nil"/>
            </w:tcBorders>
            <w:noWrap/>
          </w:tcPr>
          <w:p w:rsidR="00B53FD7" w:rsidRPr="007E2B9F" w:rsidRDefault="00B53FD7" w:rsidP="00A607CC">
            <w:pPr>
              <w:spacing w:after="120" w:line="240" w:lineRule="auto"/>
              <w:ind w:right="432"/>
              <w:jc w:val="right"/>
              <w:rPr>
                <w:rFonts w:eastAsia="Times New Roman" w:cs="Calibri"/>
                <w:color w:val="000000"/>
                <w:sz w:val="24"/>
                <w:szCs w:val="24"/>
              </w:rPr>
            </w:pPr>
            <w:r w:rsidRPr="007E2B9F">
              <w:rPr>
                <w:rFonts w:eastAsia="Times New Roman" w:cs="Calibri"/>
                <w:color w:val="000000"/>
                <w:sz w:val="24"/>
                <w:szCs w:val="24"/>
              </w:rPr>
              <w:t>$82.32</w:t>
            </w:r>
          </w:p>
        </w:tc>
        <w:tc>
          <w:tcPr>
            <w:tcW w:w="1987" w:type="dxa"/>
            <w:tcBorders>
              <w:top w:val="nil"/>
              <w:bottom w:val="nil"/>
            </w:tcBorders>
            <w:noWrap/>
          </w:tcPr>
          <w:p w:rsidR="00B53FD7" w:rsidRPr="007E2B9F" w:rsidRDefault="00B53FD7" w:rsidP="00A607CC">
            <w:pPr>
              <w:spacing w:after="120" w:line="240" w:lineRule="auto"/>
              <w:ind w:right="432"/>
              <w:jc w:val="right"/>
              <w:rPr>
                <w:rFonts w:eastAsia="Times New Roman" w:cs="Calibri"/>
                <w:color w:val="000000"/>
                <w:sz w:val="24"/>
                <w:szCs w:val="24"/>
              </w:rPr>
            </w:pPr>
            <w:r w:rsidRPr="007E2B9F">
              <w:rPr>
                <w:rFonts w:eastAsia="Times New Roman" w:cs="Calibri"/>
                <w:color w:val="000000"/>
                <w:sz w:val="24"/>
                <w:szCs w:val="24"/>
              </w:rPr>
              <w:t>$199.14</w:t>
            </w:r>
          </w:p>
        </w:tc>
        <w:tc>
          <w:tcPr>
            <w:tcW w:w="2047" w:type="dxa"/>
            <w:tcBorders>
              <w:top w:val="nil"/>
              <w:bottom w:val="nil"/>
            </w:tcBorders>
            <w:noWrap/>
          </w:tcPr>
          <w:p w:rsidR="00B53FD7" w:rsidRPr="007E2B9F" w:rsidRDefault="00B53FD7" w:rsidP="00A607CC">
            <w:pPr>
              <w:spacing w:after="120" w:line="240" w:lineRule="auto"/>
              <w:ind w:right="432"/>
              <w:jc w:val="right"/>
              <w:rPr>
                <w:rFonts w:eastAsia="Times New Roman" w:cs="Calibri"/>
                <w:color w:val="000000"/>
                <w:sz w:val="24"/>
                <w:szCs w:val="24"/>
              </w:rPr>
            </w:pPr>
            <w:r w:rsidRPr="007E2B9F">
              <w:rPr>
                <w:rFonts w:eastAsia="Times New Roman" w:cs="Calibri"/>
                <w:color w:val="000000"/>
                <w:sz w:val="24"/>
                <w:szCs w:val="24"/>
              </w:rPr>
              <w:t>$371.64</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Atovaquone/proguanil only</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$5.51</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$63.72</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$145.22</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$250.00</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Doxycycline only</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$100.10</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$189.01</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$313.47</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$473.50</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Mefloquine only</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$35.75</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$131.99</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$253.55</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$400.44</w:t>
            </w:r>
          </w:p>
        </w:tc>
      </w:tr>
      <w:tr w:rsidR="00B53FD7" w:rsidRPr="007E2B9F" w:rsidTr="00A607CC">
        <w:trPr>
          <w:trHeight w:val="300"/>
        </w:trPr>
        <w:tc>
          <w:tcPr>
            <w:tcW w:w="12436" w:type="dxa"/>
            <w:gridSpan w:val="5"/>
            <w:tcBorders>
              <w:top w:val="nil"/>
              <w:bottom w:val="nil"/>
            </w:tcBorders>
          </w:tcPr>
          <w:p w:rsidR="00B53FD7" w:rsidRPr="007E2B9F" w:rsidRDefault="00B53FD7" w:rsidP="00454338">
            <w:pPr>
              <w:spacing w:after="120"/>
              <w:ind w:right="432"/>
              <w:rPr>
                <w:rFonts w:eastAsia="Times New Roman" w:cs="Calibri"/>
                <w:color w:val="000000"/>
                <w:sz w:val="24"/>
                <w:szCs w:val="24"/>
              </w:rPr>
            </w:pPr>
            <w:r w:rsidRPr="007E2B9F">
              <w:rPr>
                <w:rFonts w:eastAsia="Times New Roman" w:cs="Calibri"/>
                <w:b/>
                <w:color w:val="000000"/>
                <w:sz w:val="24"/>
                <w:szCs w:val="24"/>
              </w:rPr>
              <w:t>Break-even risk of contracting malaria</w:t>
            </w:r>
            <w:r w:rsidRPr="007E2B9F">
              <w:rPr>
                <w:rFonts w:eastAsia="Times New Roman" w:cs="Calibri"/>
                <w:b/>
                <w:color w:val="000000"/>
                <w:sz w:val="24"/>
                <w:szCs w:val="24"/>
                <w:vertAlign w:val="superscript"/>
              </w:rPr>
              <w:t>e</w:t>
            </w:r>
            <w:r>
              <w:rPr>
                <w:rFonts w:eastAsia="Times New Roman" w:cs="Calibri"/>
                <w:b/>
                <w:color w:val="000000"/>
                <w:sz w:val="24"/>
                <w:szCs w:val="24"/>
                <w:vertAlign w:val="superscript"/>
              </w:rPr>
              <w:t xml:space="preserve"> </w:t>
            </w:r>
            <w:r w:rsidRPr="007E2B9F">
              <w:rPr>
                <w:rFonts w:eastAsia="Times New Roman" w:cs="Calibri"/>
                <w:b/>
                <w:color w:val="000000"/>
                <w:sz w:val="24"/>
                <w:szCs w:val="24"/>
              </w:rPr>
              <w:t>(per 1000</w:t>
            </w:r>
            <w:r>
              <w:rPr>
                <w:rFonts w:eastAsia="Times New Roman" w:cs="Calibri"/>
                <w:b/>
                <w:color w:val="000000"/>
                <w:sz w:val="24"/>
                <w:szCs w:val="24"/>
              </w:rPr>
              <w:t xml:space="preserve"> </w:t>
            </w:r>
            <w:r>
              <w:rPr>
                <w:rFonts w:cs="Calibri"/>
                <w:b/>
                <w:color w:val="000000"/>
                <w:sz w:val="24"/>
                <w:szCs w:val="24"/>
              </w:rPr>
              <w:t>with median planned length of travel</w:t>
            </w:r>
            <w:r w:rsidRPr="007E2B9F">
              <w:rPr>
                <w:rFonts w:eastAsia="Times New Roman" w:cs="Calibri"/>
                <w:b/>
                <w:color w:val="000000"/>
                <w:sz w:val="24"/>
                <w:szCs w:val="24"/>
              </w:rPr>
              <w:t>)</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From baseline analysis based on weighted average of three malaria chemoprophylaxis</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6.7</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7.9</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8.6</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8.7</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Atovaquone/proguanil only</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7.0</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8.7</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10.9</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13.9</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Doxycycline only</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3.0</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3.2</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3.5</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3.9</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Mefloquine only</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5.8</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5.8</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6.3</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7.4</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b/>
                <w:color w:val="000000"/>
                <w:sz w:val="28"/>
                <w:szCs w:val="28"/>
              </w:rPr>
            </w:pPr>
            <w:r w:rsidRPr="007E2B9F">
              <w:rPr>
                <w:rFonts w:eastAsia="Times New Roman" w:cs="Calibri"/>
                <w:b/>
                <w:color w:val="000000"/>
                <w:sz w:val="28"/>
                <w:szCs w:val="28"/>
              </w:rPr>
              <w:t>TRAVELER’S PERSPECTIVE</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p>
        </w:tc>
      </w:tr>
      <w:tr w:rsidR="00B53FD7" w:rsidRPr="007E2B9F" w:rsidTr="00A607CC">
        <w:trPr>
          <w:trHeight w:val="300"/>
        </w:trPr>
        <w:tc>
          <w:tcPr>
            <w:tcW w:w="12436" w:type="dxa"/>
            <w:gridSpan w:val="5"/>
            <w:tcBorders>
              <w:top w:val="nil"/>
              <w:bottom w:val="nil"/>
            </w:tcBorders>
          </w:tcPr>
          <w:p w:rsidR="00B53FD7" w:rsidRPr="007E2B9F" w:rsidRDefault="00B53FD7" w:rsidP="00A607CC">
            <w:pPr>
              <w:spacing w:after="120"/>
              <w:ind w:right="432"/>
              <w:rPr>
                <w:rFonts w:eastAsia="Times New Roman" w:cs="Calibri"/>
                <w:color w:val="000000"/>
                <w:sz w:val="24"/>
                <w:szCs w:val="24"/>
              </w:rPr>
            </w:pPr>
            <w:r w:rsidRPr="007E2B9F">
              <w:rPr>
                <w:rFonts w:eastAsia="Times New Roman" w:cs="Calibri"/>
                <w:b/>
                <w:color w:val="000000"/>
                <w:sz w:val="24"/>
                <w:szCs w:val="24"/>
              </w:rPr>
              <w:t>Net costs/savings per traveler per trip to West Africa</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Baseline analysis (Table 5) based on weighted average of three malaria chemoprophylaxis</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$20.30</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costs)</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$7.66</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costs)</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$9.86</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savings)</w:t>
            </w:r>
          </w:p>
        </w:tc>
        <w:tc>
          <w:tcPr>
            <w:tcW w:w="204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$32.04</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savings)</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Atovaquone/proguanil only</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$20.10</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costs)</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$7.02</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costs)</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$11.30</w:t>
            </w:r>
          </w:p>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(Net savings)</w:t>
            </w:r>
          </w:p>
        </w:tc>
        <w:tc>
          <w:tcPr>
            <w:tcW w:w="204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$34.86</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savings)</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Doxycycline only</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$20.25</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costs)</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$7.60</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costs)</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$10.11</w:t>
            </w:r>
          </w:p>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(Net savings)</w:t>
            </w:r>
          </w:p>
        </w:tc>
        <w:tc>
          <w:tcPr>
            <w:tcW w:w="204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$32.88</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savings)</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Mefloquine only</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$23.00</w:t>
            </w:r>
          </w:p>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(Net costs)</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$10.09</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costs)</w:t>
            </w:r>
          </w:p>
        </w:tc>
        <w:tc>
          <w:tcPr>
            <w:tcW w:w="198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$7.98</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savings)</w:t>
            </w:r>
          </w:p>
        </w:tc>
        <w:tc>
          <w:tcPr>
            <w:tcW w:w="2047" w:type="dxa"/>
            <w:tcBorders>
              <w:top w:val="nil"/>
              <w:bottom w:val="nil"/>
            </w:tcBorders>
            <w:noWrap/>
          </w:tcPr>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$31.22</w:t>
            </w:r>
          </w:p>
          <w:p w:rsidR="00B53FD7" w:rsidRPr="007E2B9F" w:rsidRDefault="00B53FD7" w:rsidP="00A607CC">
            <w:pPr>
              <w:spacing w:after="0" w:line="240" w:lineRule="auto"/>
              <w:ind w:right="432"/>
              <w:jc w:val="right"/>
              <w:rPr>
                <w:rFonts w:eastAsia="Times New Roman" w:cs="Calibri"/>
                <w:color w:val="000000"/>
                <w:sz w:val="24"/>
                <w:szCs w:val="24"/>
              </w:rPr>
            </w:pPr>
            <w:r w:rsidRPr="007E2B9F">
              <w:rPr>
                <w:rFonts w:eastAsia="Times New Roman" w:cs="Calibri"/>
                <w:color w:val="000000"/>
                <w:sz w:val="24"/>
                <w:szCs w:val="24"/>
              </w:rPr>
              <w:t>(Net savings)</w:t>
            </w:r>
          </w:p>
        </w:tc>
      </w:tr>
      <w:tr w:rsidR="00B53FD7" w:rsidRPr="007E2B9F" w:rsidTr="00A607CC">
        <w:trPr>
          <w:trHeight w:val="300"/>
        </w:trPr>
        <w:tc>
          <w:tcPr>
            <w:tcW w:w="12436" w:type="dxa"/>
            <w:gridSpan w:val="5"/>
            <w:tcBorders>
              <w:top w:val="nil"/>
              <w:bottom w:val="nil"/>
            </w:tcBorders>
          </w:tcPr>
          <w:p w:rsidR="00B53FD7" w:rsidRPr="007E2B9F" w:rsidRDefault="00B53FD7" w:rsidP="00454338">
            <w:pPr>
              <w:spacing w:after="120"/>
              <w:ind w:right="432"/>
              <w:rPr>
                <w:rFonts w:eastAsia="Times New Roman" w:cs="Calibri"/>
                <w:color w:val="000000"/>
                <w:sz w:val="24"/>
                <w:szCs w:val="24"/>
              </w:rPr>
            </w:pPr>
            <w:r w:rsidRPr="007E2B9F">
              <w:rPr>
                <w:rFonts w:eastAsia="Times New Roman" w:cs="Calibri"/>
                <w:b/>
                <w:color w:val="000000"/>
                <w:sz w:val="24"/>
                <w:szCs w:val="24"/>
              </w:rPr>
              <w:t>Break-even risk of contracting malaria</w:t>
            </w:r>
            <w:r w:rsidRPr="007E2B9F">
              <w:rPr>
                <w:rFonts w:eastAsia="Times New Roman" w:cs="Calibri"/>
                <w:b/>
                <w:color w:val="000000"/>
                <w:sz w:val="24"/>
                <w:szCs w:val="24"/>
                <w:vertAlign w:val="superscript"/>
              </w:rPr>
              <w:t>e</w:t>
            </w:r>
            <w:r>
              <w:rPr>
                <w:rFonts w:eastAsia="Times New Roman" w:cs="Calibri"/>
                <w:b/>
                <w:color w:val="000000"/>
                <w:sz w:val="24"/>
                <w:szCs w:val="24"/>
                <w:vertAlign w:val="superscript"/>
              </w:rPr>
              <w:t xml:space="preserve"> </w:t>
            </w:r>
            <w:r w:rsidRPr="007E2B9F">
              <w:rPr>
                <w:rFonts w:eastAsia="Times New Roman" w:cs="Calibri"/>
                <w:b/>
                <w:color w:val="000000"/>
                <w:sz w:val="24"/>
                <w:szCs w:val="24"/>
              </w:rPr>
              <w:t>(per 1000</w:t>
            </w:r>
            <w:r>
              <w:rPr>
                <w:rFonts w:eastAsia="Times New Roman" w:cs="Calibri"/>
                <w:b/>
                <w:color w:val="000000"/>
                <w:sz w:val="24"/>
                <w:szCs w:val="24"/>
              </w:rPr>
              <w:t xml:space="preserve"> </w:t>
            </w:r>
            <w:r>
              <w:rPr>
                <w:rFonts w:cs="Calibri"/>
                <w:b/>
                <w:color w:val="000000"/>
                <w:sz w:val="24"/>
                <w:szCs w:val="24"/>
              </w:rPr>
              <w:t>with median planned length of travel</w:t>
            </w:r>
            <w:r w:rsidRPr="007E2B9F">
              <w:rPr>
                <w:rFonts w:eastAsia="Times New Roman" w:cs="Calibri"/>
                <w:b/>
                <w:color w:val="000000"/>
                <w:sz w:val="24"/>
                <w:szCs w:val="24"/>
              </w:rPr>
              <w:t>)</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Baseline analysis based on weighted average of three malaria chemoprophylaxis</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13.5</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13.7</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13.9</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14.2</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Atovaquone/proguanil only</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13.5</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13.5</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13.5</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13.5</w:t>
            </w:r>
          </w:p>
        </w:tc>
      </w:tr>
      <w:tr w:rsidR="00B53FD7" w:rsidRPr="007E2B9F" w:rsidTr="00A607CC">
        <w:trPr>
          <w:trHeight w:val="300"/>
        </w:trPr>
        <w:tc>
          <w:tcPr>
            <w:tcW w:w="4428" w:type="dxa"/>
            <w:tcBorders>
              <w:top w:val="nil"/>
              <w:bottom w:val="nil"/>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Doxycycline only</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13.7</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13.7</w:t>
            </w:r>
          </w:p>
        </w:tc>
        <w:tc>
          <w:tcPr>
            <w:tcW w:w="198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13.7</w:t>
            </w:r>
          </w:p>
        </w:tc>
        <w:tc>
          <w:tcPr>
            <w:tcW w:w="2047" w:type="dxa"/>
            <w:tcBorders>
              <w:top w:val="nil"/>
              <w:bottom w:val="nil"/>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13.7</w:t>
            </w:r>
          </w:p>
        </w:tc>
      </w:tr>
      <w:tr w:rsidR="00B53FD7" w:rsidRPr="007E2B9F" w:rsidTr="00A607CC">
        <w:trPr>
          <w:trHeight w:val="300"/>
        </w:trPr>
        <w:tc>
          <w:tcPr>
            <w:tcW w:w="4428" w:type="dxa"/>
            <w:tcBorders>
              <w:top w:val="nil"/>
              <w:bottom w:val="single" w:sz="4" w:space="0" w:color="auto"/>
            </w:tcBorders>
          </w:tcPr>
          <w:p w:rsidR="00B53FD7" w:rsidRPr="007E2B9F" w:rsidRDefault="00B53FD7" w:rsidP="00A607CC">
            <w:pPr>
              <w:spacing w:after="120"/>
              <w:rPr>
                <w:rFonts w:eastAsia="Times New Roman" w:cs="Calibri"/>
                <w:color w:val="000000"/>
                <w:sz w:val="24"/>
                <w:szCs w:val="24"/>
              </w:rPr>
            </w:pPr>
            <w:r w:rsidRPr="007E2B9F">
              <w:rPr>
                <w:rFonts w:eastAsia="Times New Roman" w:cs="Calibri"/>
                <w:color w:val="000000"/>
                <w:sz w:val="24"/>
                <w:szCs w:val="24"/>
              </w:rPr>
              <w:t>Mefloquine only</w:t>
            </w:r>
          </w:p>
        </w:tc>
        <w:tc>
          <w:tcPr>
            <w:tcW w:w="1987" w:type="dxa"/>
            <w:tcBorders>
              <w:top w:val="nil"/>
              <w:bottom w:val="single" w:sz="4" w:space="0" w:color="auto"/>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14.4</w:t>
            </w:r>
          </w:p>
        </w:tc>
        <w:tc>
          <w:tcPr>
            <w:tcW w:w="1987" w:type="dxa"/>
            <w:tcBorders>
              <w:top w:val="nil"/>
              <w:bottom w:val="single" w:sz="4" w:space="0" w:color="auto"/>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14.4</w:t>
            </w:r>
          </w:p>
        </w:tc>
        <w:tc>
          <w:tcPr>
            <w:tcW w:w="1987" w:type="dxa"/>
            <w:tcBorders>
              <w:top w:val="nil"/>
              <w:bottom w:val="single" w:sz="4" w:space="0" w:color="auto"/>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14.4</w:t>
            </w:r>
          </w:p>
        </w:tc>
        <w:tc>
          <w:tcPr>
            <w:tcW w:w="2047" w:type="dxa"/>
            <w:tcBorders>
              <w:top w:val="nil"/>
              <w:bottom w:val="single" w:sz="4" w:space="0" w:color="auto"/>
            </w:tcBorders>
            <w:noWrap/>
          </w:tcPr>
          <w:p w:rsidR="00B53FD7" w:rsidRPr="007E2B9F" w:rsidRDefault="00B53FD7" w:rsidP="00A607CC">
            <w:pPr>
              <w:spacing w:after="120"/>
              <w:ind w:right="432"/>
              <w:jc w:val="right"/>
              <w:rPr>
                <w:rFonts w:eastAsia="Times New Roman" w:cs="Calibri"/>
                <w:color w:val="000000"/>
                <w:sz w:val="24"/>
                <w:szCs w:val="24"/>
              </w:rPr>
            </w:pPr>
            <w:r w:rsidRPr="007E2B9F">
              <w:rPr>
                <w:rFonts w:eastAsia="Times New Roman" w:cs="Calibri"/>
                <w:color w:val="000000"/>
                <w:sz w:val="24"/>
                <w:szCs w:val="24"/>
              </w:rPr>
              <w:t>14.4</w:t>
            </w:r>
          </w:p>
        </w:tc>
      </w:tr>
    </w:tbl>
    <w:p w:rsidR="00B53FD7" w:rsidRPr="007E2B9F" w:rsidRDefault="00B53FD7" w:rsidP="00752A4D">
      <w:pPr>
        <w:spacing w:after="0" w:line="480" w:lineRule="auto"/>
        <w:rPr>
          <w:sz w:val="20"/>
          <w:szCs w:val="20"/>
        </w:rPr>
      </w:pPr>
      <w:r w:rsidRPr="007E2B9F">
        <w:rPr>
          <w:sz w:val="20"/>
          <w:szCs w:val="20"/>
        </w:rPr>
        <w:t>NOTE:</w:t>
      </w:r>
      <w:r>
        <w:rPr>
          <w:sz w:val="20"/>
          <w:szCs w:val="20"/>
        </w:rPr>
        <w:t xml:space="preserve"> </w:t>
      </w:r>
      <w:r w:rsidRPr="007E2B9F">
        <w:rPr>
          <w:sz w:val="20"/>
          <w:szCs w:val="20"/>
        </w:rPr>
        <w:t xml:space="preserve">100% adherence for malaria chemoprophylaxis regimens was assumed.  Input and cost parameters were set at their baseline values, except for efficacy and costs of malaria chemoprophylaxis. </w:t>
      </w:r>
    </w:p>
    <w:p w:rsidR="00B53FD7" w:rsidRPr="007E2B9F" w:rsidRDefault="00B53FD7" w:rsidP="00752A4D">
      <w:pPr>
        <w:spacing w:after="0" w:line="480" w:lineRule="auto"/>
        <w:rPr>
          <w:sz w:val="20"/>
          <w:szCs w:val="20"/>
        </w:rPr>
      </w:pPr>
      <w:r w:rsidRPr="007E2B9F">
        <w:rPr>
          <w:sz w:val="20"/>
          <w:szCs w:val="20"/>
          <w:vertAlign w:val="superscript"/>
        </w:rPr>
        <w:t>a</w:t>
      </w:r>
      <w:r>
        <w:rPr>
          <w:sz w:val="20"/>
          <w:szCs w:val="20"/>
          <w:vertAlign w:val="superscript"/>
        </w:rPr>
        <w:t xml:space="preserve"> </w:t>
      </w:r>
      <w:r w:rsidRPr="007E2B9F">
        <w:rPr>
          <w:sz w:val="20"/>
          <w:szCs w:val="20"/>
        </w:rPr>
        <w:t>Costs were in 2009 dollars. West Africa included Benin, Burkina Faso, Cape Verde, C</w:t>
      </w:r>
      <w:r w:rsidRPr="007E2B9F">
        <w:rPr>
          <w:rFonts w:cs="Calibri"/>
          <w:sz w:val="20"/>
          <w:szCs w:val="20"/>
        </w:rPr>
        <w:t>ô</w:t>
      </w:r>
      <w:r w:rsidRPr="007E2B9F">
        <w:rPr>
          <w:sz w:val="20"/>
          <w:szCs w:val="20"/>
        </w:rPr>
        <w:t>te d’Ivoire, The Gambia, Ghana, Guinea, Guinea-Bissau, Liberia, Mali, Mauritania, Niger, Nigeria, S</w:t>
      </w:r>
      <w:r w:rsidRPr="007E2B9F">
        <w:rPr>
          <w:rFonts w:cs="Calibri"/>
          <w:sz w:val="20"/>
          <w:szCs w:val="20"/>
        </w:rPr>
        <w:t>ã</w:t>
      </w:r>
      <w:r w:rsidRPr="007E2B9F">
        <w:rPr>
          <w:sz w:val="20"/>
          <w:szCs w:val="20"/>
        </w:rPr>
        <w:t>o Tom</w:t>
      </w:r>
      <w:r w:rsidRPr="007E2B9F">
        <w:rPr>
          <w:rFonts w:cs="Calibri"/>
          <w:sz w:val="20"/>
          <w:szCs w:val="20"/>
        </w:rPr>
        <w:t>é</w:t>
      </w:r>
      <w:r w:rsidRPr="007E2B9F">
        <w:rPr>
          <w:sz w:val="20"/>
          <w:szCs w:val="20"/>
        </w:rPr>
        <w:t xml:space="preserve"> and Pr</w:t>
      </w:r>
      <w:r w:rsidRPr="007E2B9F">
        <w:rPr>
          <w:rFonts w:cs="Calibri"/>
          <w:sz w:val="20"/>
          <w:szCs w:val="20"/>
        </w:rPr>
        <w:t>í</w:t>
      </w:r>
      <w:r w:rsidRPr="007E2B9F">
        <w:rPr>
          <w:sz w:val="20"/>
          <w:szCs w:val="20"/>
        </w:rPr>
        <w:t>ncipe, Senegal, Sierra Leone, and Togo.</w:t>
      </w:r>
      <w:hyperlink w:anchor="_ENREF_1" w:tooltip="Center for Disease Control and Prevention, 2011 #1" w:history="1">
        <w:r w:rsidRPr="007E2B9F">
          <w:rPr>
            <w:sz w:val="20"/>
            <w:szCs w:val="20"/>
          </w:rPr>
          <w:fldChar w:fldCharType="begin"/>
        </w:r>
        <w:r w:rsidRPr="007E2B9F">
          <w:rPr>
            <w:sz w:val="20"/>
            <w:szCs w:val="20"/>
          </w:rPr>
          <w:instrText xml:space="preserve"> ADDIN EN.CITE &lt;EndNote&gt;&lt;Cite&gt;&lt;Author&gt;Center for Disease Control and Prevention&lt;/Author&gt;&lt;Year&gt;2011&lt;/Year&gt;&lt;RecNum&gt;1&lt;/RecNum&gt;&lt;DisplayText&gt;&lt;style face="superscript"&gt;1&lt;/style&gt;&lt;/DisplayText&gt;&lt;record&gt;&lt;rec-number&gt;1&lt;/rec-number&gt;&lt;foreign-keys&gt;&lt;key app="EN" db-id="xfrepwstvr0z94e0wxpprwxa000900wepr59"&gt;1&lt;/key&gt;&lt;/foreign-keys&gt;&lt;ref-type name="Book"&gt;6&lt;/ref-type&gt;&lt;contributors&gt;&lt;authors&gt;&lt;author&gt;Center for Disease Control and Prevention,&lt;/author&gt;&lt;/authors&gt;&lt;/contributors&gt;&lt;titles&gt;&lt;title&gt;CDC health information for international travel 2012 : the yellow book &lt;/title&gt;&lt;/titles&gt;&lt;dates&gt;&lt;year&gt;2011&lt;/year&gt;&lt;/dates&gt;&lt;pub-location&gt;Atlanta&lt;/pub-location&gt;&lt;publisher&gt;U.S. Department of Health and Human Services, Public Health Services&lt;/publisher&gt;&lt;isbn&gt;9780199769018 019976901X&lt;/isbn&gt;&lt;urls&gt;&lt;/urls&gt;&lt;remote-database-name&gt;/z-wcorg/&lt;/remote-database-name&gt;&lt;remote-database-provider&gt;http://worldcat.org&lt;/remote-database-provider&gt;&lt;language&gt;English&lt;/language&gt;&lt;/record&gt;&lt;/Cite&gt;&lt;Cite&gt;&lt;Author&gt;Center for Disease Control and Prevention&lt;/Author&gt;&lt;Year&gt;2011&lt;/Year&gt;&lt;RecNum&gt;1&lt;/RecNum&gt;&lt;record&gt;&lt;rec-number&gt;1&lt;/rec-number&gt;&lt;foreign-keys&gt;&lt;key app="EN" db-id="xfrepwstvr0z94e0wxpprwxa000900wepr59"&gt;1&lt;/key&gt;&lt;/foreign-keys&gt;&lt;ref-type name="Book"&gt;6&lt;/ref-type&gt;&lt;contributors&gt;&lt;authors&gt;&lt;author&gt;Center for Disease Control and Prevention,&lt;/author&gt;&lt;/authors&gt;&lt;/contributors&gt;&lt;titles&gt;&lt;title&gt;CDC health information for international travel 2012 : the yellow book &lt;/title&gt;&lt;/titles&gt;&lt;dates&gt;&lt;year&gt;2011&lt;/year&gt;&lt;/dates&gt;&lt;pub-location&gt;Atlanta&lt;/pub-location&gt;&lt;publisher&gt;U.S. Department of Health and Human Services, Public Health Services&lt;/publisher&gt;&lt;isbn&gt;9780199769018 019976901X&lt;/isbn&gt;&lt;urls&gt;&lt;/urls&gt;&lt;remote-database-name&gt;/z-wcorg/&lt;/remote-database-name&gt;&lt;remote-database-provider&gt;http://worldcat.org&lt;/remote-database-provider&gt;&lt;language&gt;English&lt;/language&gt;&lt;/record&gt;&lt;/Cite&gt;&lt;/EndNote&gt;</w:instrText>
        </w:r>
        <w:r w:rsidRPr="007E2B9F">
          <w:rPr>
            <w:sz w:val="20"/>
            <w:szCs w:val="20"/>
          </w:rPr>
          <w:fldChar w:fldCharType="separate"/>
        </w:r>
        <w:r w:rsidRPr="007E2B9F">
          <w:rPr>
            <w:noProof/>
            <w:sz w:val="20"/>
            <w:szCs w:val="20"/>
            <w:vertAlign w:val="superscript"/>
          </w:rPr>
          <w:t>1</w:t>
        </w:r>
        <w:r w:rsidRPr="007E2B9F">
          <w:rPr>
            <w:sz w:val="20"/>
            <w:szCs w:val="20"/>
          </w:rPr>
          <w:fldChar w:fldCharType="end"/>
        </w:r>
      </w:hyperlink>
      <w:r w:rsidRPr="007E2B9F">
        <w:rPr>
          <w:sz w:val="20"/>
          <w:szCs w:val="20"/>
        </w:rPr>
        <w:t xml:space="preserve">  Travelers to West Africa were identified as those travelers who planned to visit one or more countries only in West Africa (Appendix Section 1).</w:t>
      </w:r>
    </w:p>
    <w:p w:rsidR="00B53FD7" w:rsidRPr="007E2B9F" w:rsidRDefault="00B53FD7" w:rsidP="00752A4D">
      <w:pPr>
        <w:spacing w:after="0" w:line="480" w:lineRule="auto"/>
        <w:rPr>
          <w:sz w:val="20"/>
          <w:szCs w:val="20"/>
        </w:rPr>
      </w:pPr>
      <w:r w:rsidRPr="007E2B9F">
        <w:rPr>
          <w:sz w:val="20"/>
          <w:szCs w:val="20"/>
          <w:vertAlign w:val="superscript"/>
        </w:rPr>
        <w:t>b</w:t>
      </w:r>
      <w:r>
        <w:rPr>
          <w:sz w:val="20"/>
          <w:szCs w:val="20"/>
          <w:vertAlign w:val="superscript"/>
        </w:rPr>
        <w:t xml:space="preserve"> </w:t>
      </w:r>
      <w:r w:rsidRPr="007E2B9F">
        <w:rPr>
          <w:sz w:val="20"/>
          <w:szCs w:val="20"/>
        </w:rPr>
        <w:t xml:space="preserve">For their pre-travel </w:t>
      </w:r>
      <w:r>
        <w:rPr>
          <w:sz w:val="20"/>
          <w:szCs w:val="20"/>
        </w:rPr>
        <w:t xml:space="preserve">health </w:t>
      </w:r>
      <w:r w:rsidRPr="007E2B9F">
        <w:rPr>
          <w:sz w:val="20"/>
          <w:szCs w:val="20"/>
        </w:rPr>
        <w:t>consultations, travelers were asked to report their purpose(s) of travel from the following (multiple choices were allowed): leisure, business, returning to region of origin of self or family to visit friends and relatives (VFR), adoption, providing medical care, receiving medical care, research/education, nonmedical service work, missionary work, military service, adventuring, attending large gathering or event, or other activities.  For this analysis, travelers who reported only one of the three purposes (i.e., business, leisure, and VFR) were selected.  All purposes denote all travelers to West Africa.</w:t>
      </w:r>
    </w:p>
    <w:p w:rsidR="00B53FD7" w:rsidRPr="007E2B9F" w:rsidRDefault="00B53FD7" w:rsidP="00752A4D">
      <w:pPr>
        <w:spacing w:after="0" w:line="480" w:lineRule="auto"/>
        <w:rPr>
          <w:sz w:val="20"/>
          <w:szCs w:val="20"/>
          <w:vertAlign w:val="superscript"/>
        </w:rPr>
      </w:pPr>
      <w:r w:rsidRPr="007E2B9F">
        <w:rPr>
          <w:sz w:val="20"/>
          <w:szCs w:val="20"/>
          <w:vertAlign w:val="superscript"/>
        </w:rPr>
        <w:t>c</w:t>
      </w:r>
      <w:r>
        <w:rPr>
          <w:sz w:val="20"/>
          <w:szCs w:val="20"/>
          <w:vertAlign w:val="superscript"/>
        </w:rPr>
        <w:t xml:space="preserve"> </w:t>
      </w:r>
      <w:r w:rsidRPr="007E2B9F">
        <w:rPr>
          <w:sz w:val="20"/>
          <w:szCs w:val="20"/>
        </w:rPr>
        <w:t>The median planned length of travel for each category of the purposes of travel was calculated among travelers to West Africa (Table A1).</w:t>
      </w:r>
    </w:p>
    <w:p w:rsidR="00B53FD7" w:rsidRPr="007E2B9F" w:rsidRDefault="00B53FD7" w:rsidP="00752A4D">
      <w:pPr>
        <w:spacing w:after="0" w:line="480" w:lineRule="auto"/>
        <w:rPr>
          <w:sz w:val="20"/>
          <w:szCs w:val="20"/>
        </w:rPr>
      </w:pPr>
      <w:r w:rsidRPr="007E2B9F">
        <w:rPr>
          <w:sz w:val="20"/>
          <w:szCs w:val="20"/>
          <w:vertAlign w:val="superscript"/>
        </w:rPr>
        <w:t>d</w:t>
      </w:r>
      <w:r>
        <w:rPr>
          <w:sz w:val="20"/>
          <w:szCs w:val="20"/>
          <w:vertAlign w:val="superscript"/>
        </w:rPr>
        <w:t xml:space="preserve"> </w:t>
      </w:r>
      <w:r w:rsidRPr="007E2B9F">
        <w:rPr>
          <w:sz w:val="20"/>
          <w:szCs w:val="20"/>
        </w:rPr>
        <w:t xml:space="preserve">Values indicated a net saving to the </w:t>
      </w:r>
      <w:r>
        <w:rPr>
          <w:sz w:val="20"/>
          <w:szCs w:val="20"/>
        </w:rPr>
        <w:t>healthcare</w:t>
      </w:r>
      <w:r w:rsidRPr="007E2B9F">
        <w:rPr>
          <w:sz w:val="20"/>
          <w:szCs w:val="20"/>
        </w:rPr>
        <w:t xml:space="preserve"> payer.</w:t>
      </w:r>
    </w:p>
    <w:p w:rsidR="00B53FD7" w:rsidRDefault="00B53FD7" w:rsidP="00752A4D">
      <w:pPr>
        <w:spacing w:after="0" w:line="480" w:lineRule="auto"/>
        <w:rPr>
          <w:sz w:val="20"/>
          <w:szCs w:val="20"/>
        </w:rPr>
      </w:pPr>
      <w:r w:rsidRPr="007E2B9F">
        <w:rPr>
          <w:sz w:val="20"/>
          <w:szCs w:val="20"/>
          <w:vertAlign w:val="superscript"/>
        </w:rPr>
        <w:t>e</w:t>
      </w:r>
      <w:r>
        <w:rPr>
          <w:sz w:val="20"/>
          <w:szCs w:val="20"/>
          <w:vertAlign w:val="superscript"/>
        </w:rPr>
        <w:t xml:space="preserve"> </w:t>
      </w:r>
      <w:r w:rsidRPr="007E2B9F">
        <w:rPr>
          <w:sz w:val="20"/>
          <w:szCs w:val="20"/>
        </w:rPr>
        <w:t>Break-even risk was estimated by setting</w:t>
      </w:r>
      <w:r>
        <w:rPr>
          <w:sz w:val="20"/>
          <w:szCs w:val="20"/>
        </w:rPr>
        <w:t xml:space="preserve"> net saving/cost equal to zero.</w:t>
      </w:r>
    </w:p>
    <w:p w:rsidR="00B53FD7" w:rsidRDefault="00B53FD7" w:rsidP="00752A4D">
      <w:pPr>
        <w:spacing w:after="0" w:line="480" w:lineRule="auto"/>
        <w:rPr>
          <w:sz w:val="20"/>
          <w:szCs w:val="20"/>
        </w:rPr>
      </w:pPr>
    </w:p>
    <w:p w:rsidR="00B53FD7" w:rsidRDefault="00B53FD7" w:rsidP="00B47284">
      <w:pPr>
        <w:spacing w:after="0" w:line="480" w:lineRule="auto"/>
        <w:rPr>
          <w:sz w:val="24"/>
          <w:szCs w:val="24"/>
        </w:rPr>
        <w:sectPr w:rsidR="00B53FD7" w:rsidSect="005B5295">
          <w:pgSz w:w="15840" w:h="12240" w:orient="landscape"/>
          <w:pgMar w:top="1080" w:right="1152" w:bottom="1080" w:left="1152" w:header="720" w:footer="720" w:gutter="0"/>
          <w:cols w:space="720"/>
          <w:docGrid w:linePitch="360"/>
        </w:sectPr>
      </w:pPr>
    </w:p>
    <w:p w:rsidR="00B53FD7" w:rsidRPr="002B5D0D" w:rsidRDefault="00B53FD7" w:rsidP="00752A4D">
      <w:pPr>
        <w:spacing w:after="0" w:line="480" w:lineRule="auto"/>
        <w:jc w:val="center"/>
        <w:rPr>
          <w:rFonts w:cs="Calibri"/>
          <w:noProof/>
          <w:szCs w:val="24"/>
        </w:rPr>
      </w:pPr>
      <w:r w:rsidRPr="007E2B9F">
        <w:rPr>
          <w:sz w:val="24"/>
          <w:szCs w:val="24"/>
        </w:rPr>
        <w:fldChar w:fldCharType="begin"/>
      </w:r>
      <w:r w:rsidRPr="007E2B9F">
        <w:rPr>
          <w:sz w:val="24"/>
          <w:szCs w:val="24"/>
        </w:rPr>
        <w:instrText xml:space="preserve"> ADDIN EN.REFLIST </w:instrText>
      </w:r>
      <w:r w:rsidRPr="007E2B9F">
        <w:rPr>
          <w:sz w:val="24"/>
          <w:szCs w:val="24"/>
        </w:rPr>
        <w:fldChar w:fldCharType="separate"/>
      </w:r>
      <w:r w:rsidRPr="002B5D0D">
        <w:rPr>
          <w:rFonts w:cs="Calibri"/>
          <w:noProof/>
          <w:szCs w:val="24"/>
        </w:rPr>
        <w:t>References</w:t>
      </w:r>
    </w:p>
    <w:p w:rsidR="00B53FD7" w:rsidRPr="002B5D0D" w:rsidRDefault="00B53FD7" w:rsidP="00752A4D">
      <w:pPr>
        <w:spacing w:after="0" w:line="480" w:lineRule="auto"/>
        <w:jc w:val="center"/>
        <w:rPr>
          <w:rFonts w:cs="Calibri"/>
          <w:noProof/>
          <w:szCs w:val="24"/>
        </w:rPr>
      </w:pPr>
    </w:p>
    <w:p w:rsidR="00B53FD7" w:rsidRDefault="00B53FD7" w:rsidP="00752A4D">
      <w:pPr>
        <w:spacing w:after="0" w:line="480" w:lineRule="auto"/>
        <w:ind w:left="720" w:hanging="720"/>
        <w:rPr>
          <w:rFonts w:cs="Calibri"/>
          <w:noProof/>
          <w:szCs w:val="24"/>
        </w:rPr>
      </w:pPr>
      <w:bookmarkStart w:id="1" w:name="_ENREF_1"/>
      <w:r w:rsidRPr="002B5D0D">
        <w:rPr>
          <w:rFonts w:cs="Calibri"/>
          <w:b/>
          <w:noProof/>
          <w:szCs w:val="24"/>
        </w:rPr>
        <w:t>1.</w:t>
      </w:r>
      <w:r>
        <w:rPr>
          <w:rFonts w:cs="Calibri"/>
          <w:noProof/>
          <w:szCs w:val="24"/>
        </w:rPr>
        <w:tab/>
        <w:t xml:space="preserve">Centers for Disease Control and Prevention. </w:t>
      </w:r>
      <w:r w:rsidRPr="002B5D0D">
        <w:rPr>
          <w:rFonts w:cs="Calibri"/>
          <w:i/>
          <w:noProof/>
          <w:szCs w:val="24"/>
        </w:rPr>
        <w:t xml:space="preserve">CDC </w:t>
      </w:r>
      <w:r>
        <w:rPr>
          <w:rFonts w:cs="Calibri"/>
          <w:i/>
          <w:noProof/>
          <w:szCs w:val="24"/>
        </w:rPr>
        <w:t>H</w:t>
      </w:r>
      <w:r w:rsidRPr="002B5D0D">
        <w:rPr>
          <w:rFonts w:cs="Calibri"/>
          <w:i/>
          <w:noProof/>
          <w:szCs w:val="24"/>
        </w:rPr>
        <w:t xml:space="preserve">ealth </w:t>
      </w:r>
      <w:r>
        <w:rPr>
          <w:rFonts w:cs="Calibri"/>
          <w:i/>
          <w:noProof/>
          <w:szCs w:val="24"/>
        </w:rPr>
        <w:t>I</w:t>
      </w:r>
      <w:r w:rsidRPr="002B5D0D">
        <w:rPr>
          <w:rFonts w:cs="Calibri"/>
          <w:i/>
          <w:noProof/>
          <w:szCs w:val="24"/>
        </w:rPr>
        <w:t xml:space="preserve">nformation for </w:t>
      </w:r>
      <w:r>
        <w:rPr>
          <w:rFonts w:cs="Calibri"/>
          <w:i/>
          <w:noProof/>
          <w:szCs w:val="24"/>
        </w:rPr>
        <w:t>I</w:t>
      </w:r>
      <w:r w:rsidRPr="002B5D0D">
        <w:rPr>
          <w:rFonts w:cs="Calibri"/>
          <w:i/>
          <w:noProof/>
          <w:szCs w:val="24"/>
        </w:rPr>
        <w:t xml:space="preserve">nternational </w:t>
      </w:r>
      <w:r>
        <w:rPr>
          <w:rFonts w:cs="Calibri"/>
          <w:i/>
          <w:noProof/>
          <w:szCs w:val="24"/>
        </w:rPr>
        <w:t>T</w:t>
      </w:r>
      <w:r w:rsidRPr="002B5D0D">
        <w:rPr>
          <w:rFonts w:cs="Calibri"/>
          <w:i/>
          <w:noProof/>
          <w:szCs w:val="24"/>
        </w:rPr>
        <w:t xml:space="preserve">ravel 2012 : the </w:t>
      </w:r>
      <w:r>
        <w:rPr>
          <w:rFonts w:cs="Calibri"/>
          <w:i/>
          <w:noProof/>
          <w:szCs w:val="24"/>
        </w:rPr>
        <w:t>Y</w:t>
      </w:r>
      <w:r w:rsidRPr="002B5D0D">
        <w:rPr>
          <w:rFonts w:cs="Calibri"/>
          <w:i/>
          <w:noProof/>
          <w:szCs w:val="24"/>
        </w:rPr>
        <w:t xml:space="preserve">ellow </w:t>
      </w:r>
      <w:r>
        <w:rPr>
          <w:rFonts w:cs="Calibri"/>
          <w:i/>
          <w:noProof/>
          <w:szCs w:val="24"/>
        </w:rPr>
        <w:t>B</w:t>
      </w:r>
      <w:r w:rsidRPr="002B5D0D">
        <w:rPr>
          <w:rFonts w:cs="Calibri"/>
          <w:i/>
          <w:noProof/>
          <w:szCs w:val="24"/>
        </w:rPr>
        <w:t xml:space="preserve">ook </w:t>
      </w:r>
      <w:r>
        <w:rPr>
          <w:rFonts w:cs="Calibri"/>
          <w:noProof/>
          <w:szCs w:val="24"/>
        </w:rPr>
        <w:t>Atlanta: U.S. Department of Health and Human Services, Public Health Services; 2011.</w:t>
      </w:r>
      <w:bookmarkEnd w:id="1"/>
    </w:p>
    <w:p w:rsidR="00B53FD7" w:rsidRDefault="00B53FD7" w:rsidP="00752A4D">
      <w:pPr>
        <w:spacing w:after="0" w:line="480" w:lineRule="auto"/>
        <w:ind w:left="720" w:hanging="720"/>
        <w:rPr>
          <w:rFonts w:cs="Calibri"/>
          <w:noProof/>
          <w:szCs w:val="24"/>
        </w:rPr>
      </w:pPr>
      <w:bookmarkStart w:id="2" w:name="_ENREF_2"/>
      <w:r w:rsidRPr="002B5D0D">
        <w:rPr>
          <w:rFonts w:cs="Calibri"/>
          <w:b/>
          <w:noProof/>
          <w:szCs w:val="24"/>
        </w:rPr>
        <w:t>2.</w:t>
      </w:r>
      <w:r>
        <w:rPr>
          <w:rFonts w:cs="Calibri"/>
          <w:noProof/>
          <w:szCs w:val="24"/>
        </w:rPr>
        <w:tab/>
        <w:t xml:space="preserve">Heywood AE, Watkins RE, Iamsirithaworn S, Nilvarangkul K, Macintyre CR. A cross-sectional study of pre-travel health-seeking practices among travelers departing Sydney and Bangkok airports. </w:t>
      </w:r>
      <w:r w:rsidRPr="002B5D0D">
        <w:rPr>
          <w:rFonts w:cs="Calibri"/>
          <w:i/>
          <w:noProof/>
          <w:szCs w:val="24"/>
        </w:rPr>
        <w:t xml:space="preserve">BMC public health. </w:t>
      </w:r>
      <w:r>
        <w:rPr>
          <w:rFonts w:cs="Calibri"/>
          <w:noProof/>
          <w:szCs w:val="24"/>
        </w:rPr>
        <w:t>May 2 2012;12(1):321.</w:t>
      </w:r>
      <w:bookmarkEnd w:id="2"/>
    </w:p>
    <w:p w:rsidR="00B53FD7" w:rsidRDefault="00B53FD7" w:rsidP="00752A4D">
      <w:pPr>
        <w:spacing w:after="0" w:line="480" w:lineRule="auto"/>
        <w:ind w:left="720" w:hanging="720"/>
        <w:rPr>
          <w:rFonts w:cs="Calibri"/>
          <w:noProof/>
          <w:szCs w:val="24"/>
        </w:rPr>
      </w:pPr>
      <w:bookmarkStart w:id="3" w:name="_ENREF_3"/>
      <w:r w:rsidRPr="002B5D0D">
        <w:rPr>
          <w:rFonts w:cs="Calibri"/>
          <w:b/>
          <w:noProof/>
          <w:szCs w:val="24"/>
        </w:rPr>
        <w:t>3.</w:t>
      </w:r>
      <w:r>
        <w:rPr>
          <w:rFonts w:cs="Calibri"/>
          <w:noProof/>
          <w:szCs w:val="24"/>
        </w:rPr>
        <w:tab/>
        <w:t xml:space="preserve">Hamer DH, Connor BA. Travel health knowledge, attitudes and practices among United States travelers. </w:t>
      </w:r>
      <w:r w:rsidRPr="002B5D0D">
        <w:rPr>
          <w:rFonts w:cs="Calibri"/>
          <w:i/>
          <w:noProof/>
          <w:szCs w:val="24"/>
        </w:rPr>
        <w:t xml:space="preserve">J Travel Med. </w:t>
      </w:r>
      <w:r>
        <w:rPr>
          <w:rFonts w:cs="Calibri"/>
          <w:noProof/>
          <w:szCs w:val="24"/>
        </w:rPr>
        <w:t>Jan-Feb 2004;11(1):23-26.</w:t>
      </w:r>
      <w:bookmarkEnd w:id="3"/>
    </w:p>
    <w:p w:rsidR="00B53FD7" w:rsidRDefault="00B53FD7" w:rsidP="00752A4D">
      <w:pPr>
        <w:spacing w:after="0" w:line="480" w:lineRule="auto"/>
        <w:ind w:left="720" w:hanging="720"/>
        <w:rPr>
          <w:rFonts w:cs="Calibri"/>
          <w:noProof/>
          <w:szCs w:val="24"/>
        </w:rPr>
      </w:pPr>
      <w:bookmarkStart w:id="4" w:name="_ENREF_4"/>
      <w:r w:rsidRPr="002B5D0D">
        <w:rPr>
          <w:rFonts w:cs="Calibri"/>
          <w:b/>
          <w:noProof/>
          <w:szCs w:val="24"/>
        </w:rPr>
        <w:t>4.</w:t>
      </w:r>
      <w:r>
        <w:rPr>
          <w:rFonts w:cs="Calibri"/>
          <w:noProof/>
          <w:szCs w:val="24"/>
        </w:rPr>
        <w:tab/>
        <w:t xml:space="preserve">LaRocque RC, Rao SR, Tsibris A, et al. Pre-travel Health Advice-Seeking Behavior Among US International Travelers Departing From Boston Logan International Airport. </w:t>
      </w:r>
      <w:r w:rsidRPr="002B5D0D">
        <w:rPr>
          <w:rFonts w:cs="Calibri"/>
          <w:i/>
          <w:noProof/>
          <w:szCs w:val="24"/>
        </w:rPr>
        <w:t xml:space="preserve">Journal of Travel Medicine. </w:t>
      </w:r>
      <w:r>
        <w:rPr>
          <w:rFonts w:cs="Calibri"/>
          <w:noProof/>
          <w:szCs w:val="24"/>
        </w:rPr>
        <w:t>2010;17(6):387-391.</w:t>
      </w:r>
      <w:bookmarkEnd w:id="4"/>
    </w:p>
    <w:p w:rsidR="00B53FD7" w:rsidRDefault="00B53FD7" w:rsidP="00752A4D">
      <w:pPr>
        <w:spacing w:after="0" w:line="480" w:lineRule="auto"/>
        <w:ind w:left="720" w:hanging="720"/>
        <w:rPr>
          <w:rFonts w:cs="Calibri"/>
          <w:noProof/>
          <w:szCs w:val="24"/>
        </w:rPr>
      </w:pPr>
      <w:bookmarkStart w:id="5" w:name="_ENREF_5"/>
      <w:r w:rsidRPr="002B5D0D">
        <w:rPr>
          <w:rFonts w:cs="Calibri"/>
          <w:b/>
          <w:noProof/>
          <w:szCs w:val="24"/>
        </w:rPr>
        <w:t>5.</w:t>
      </w:r>
      <w:r>
        <w:rPr>
          <w:rFonts w:cs="Calibri"/>
          <w:noProof/>
          <w:szCs w:val="24"/>
        </w:rPr>
        <w:tab/>
        <w:t xml:space="preserve">Hill DR. Starting, Organizing and Marketing a Travel Clinic. In: Keystone JS, Kozarsky PE, Freedman DO, Nothdurft HD, Connor BA, eds. </w:t>
      </w:r>
      <w:r w:rsidRPr="002B5D0D">
        <w:rPr>
          <w:rFonts w:cs="Calibri"/>
          <w:i/>
          <w:noProof/>
          <w:szCs w:val="24"/>
        </w:rPr>
        <w:t>Travel Medicine</w:t>
      </w:r>
      <w:r>
        <w:rPr>
          <w:rFonts w:cs="Calibri"/>
          <w:noProof/>
          <w:szCs w:val="24"/>
        </w:rPr>
        <w:t>. New York: Mosby; 2004.</w:t>
      </w:r>
      <w:bookmarkEnd w:id="5"/>
    </w:p>
    <w:p w:rsidR="00B53FD7" w:rsidRDefault="00B53FD7" w:rsidP="00752A4D">
      <w:pPr>
        <w:spacing w:after="0" w:line="480" w:lineRule="auto"/>
        <w:ind w:left="720" w:hanging="720"/>
        <w:rPr>
          <w:rFonts w:cs="Calibri"/>
          <w:noProof/>
          <w:szCs w:val="24"/>
        </w:rPr>
      </w:pPr>
      <w:bookmarkStart w:id="6" w:name="_ENREF_6"/>
      <w:r w:rsidRPr="002B5D0D">
        <w:rPr>
          <w:rFonts w:cs="Calibri"/>
          <w:b/>
          <w:noProof/>
          <w:szCs w:val="24"/>
        </w:rPr>
        <w:t>6.</w:t>
      </w:r>
      <w:r>
        <w:rPr>
          <w:rFonts w:cs="Calibri"/>
          <w:noProof/>
          <w:szCs w:val="24"/>
        </w:rPr>
        <w:tab/>
        <w:t xml:space="preserve">World Health Organization. </w:t>
      </w:r>
      <w:r w:rsidRPr="002B5D0D">
        <w:rPr>
          <w:rFonts w:cs="Calibri"/>
          <w:i/>
          <w:noProof/>
          <w:szCs w:val="24"/>
        </w:rPr>
        <w:t>World Malaria Report 2011.</w:t>
      </w:r>
      <w:r>
        <w:rPr>
          <w:rFonts w:cs="Calibri"/>
          <w:noProof/>
          <w:szCs w:val="24"/>
        </w:rPr>
        <w:t xml:space="preserve"> Geneva, Switzerland 2011.</w:t>
      </w:r>
      <w:bookmarkEnd w:id="6"/>
    </w:p>
    <w:p w:rsidR="00B53FD7" w:rsidRDefault="00B53FD7" w:rsidP="00752A4D">
      <w:pPr>
        <w:spacing w:after="0" w:line="480" w:lineRule="auto"/>
        <w:ind w:left="720" w:hanging="720"/>
        <w:rPr>
          <w:rFonts w:cs="Calibri"/>
          <w:noProof/>
          <w:szCs w:val="24"/>
        </w:rPr>
      </w:pPr>
      <w:bookmarkStart w:id="7" w:name="_ENREF_7"/>
      <w:r w:rsidRPr="002B5D0D">
        <w:rPr>
          <w:rFonts w:cs="Calibri"/>
          <w:b/>
          <w:noProof/>
          <w:szCs w:val="24"/>
        </w:rPr>
        <w:t>7.</w:t>
      </w:r>
      <w:r>
        <w:rPr>
          <w:rFonts w:cs="Calibri"/>
          <w:noProof/>
          <w:szCs w:val="24"/>
        </w:rPr>
        <w:tab/>
        <w:t xml:space="preserve">Mali S, Tan KR, Arguin PM. Malaria surveillance--United States, 2009. </w:t>
      </w:r>
      <w:r w:rsidRPr="002B5D0D">
        <w:rPr>
          <w:rFonts w:cs="Calibri"/>
          <w:i/>
          <w:noProof/>
          <w:szCs w:val="24"/>
        </w:rPr>
        <w:t xml:space="preserve">MMWR Surveill Summ. </w:t>
      </w:r>
      <w:r>
        <w:rPr>
          <w:rFonts w:cs="Calibri"/>
          <w:noProof/>
          <w:szCs w:val="24"/>
        </w:rPr>
        <w:t>2011;60(3):1-15.</w:t>
      </w:r>
      <w:bookmarkEnd w:id="7"/>
    </w:p>
    <w:p w:rsidR="00B53FD7" w:rsidRDefault="00B53FD7" w:rsidP="00752A4D">
      <w:pPr>
        <w:spacing w:after="0" w:line="480" w:lineRule="auto"/>
        <w:ind w:left="720" w:hanging="720"/>
        <w:rPr>
          <w:rFonts w:cs="Calibri"/>
          <w:noProof/>
          <w:szCs w:val="24"/>
        </w:rPr>
      </w:pPr>
      <w:bookmarkStart w:id="8" w:name="_ENREF_8"/>
      <w:r w:rsidRPr="002B5D0D">
        <w:rPr>
          <w:rFonts w:cs="Calibri"/>
          <w:b/>
          <w:noProof/>
          <w:szCs w:val="24"/>
        </w:rPr>
        <w:t>8.</w:t>
      </w:r>
      <w:r>
        <w:rPr>
          <w:rFonts w:cs="Calibri"/>
          <w:noProof/>
          <w:szCs w:val="24"/>
        </w:rPr>
        <w:tab/>
        <w:t xml:space="preserve">LaRocque RC, Rao SR, Lee J, et al. Global TravEpiNet: A National Consortium of Clinics Providing Care to International Travelers—Analysis of Demographic Characteristics, Travel Destinations, and Pretravel Healthcare of High-Risk US International Travelers, 2009–2011. </w:t>
      </w:r>
      <w:r w:rsidRPr="002B5D0D">
        <w:rPr>
          <w:rFonts w:cs="Calibri"/>
          <w:i/>
          <w:noProof/>
          <w:szCs w:val="24"/>
        </w:rPr>
        <w:t xml:space="preserve">Clinical Infectious Diseases. </w:t>
      </w:r>
      <w:r>
        <w:rPr>
          <w:rFonts w:cs="Calibri"/>
          <w:noProof/>
          <w:szCs w:val="24"/>
        </w:rPr>
        <w:t>February 15, 2012 2012;54(4):455-462.</w:t>
      </w:r>
      <w:bookmarkEnd w:id="8"/>
    </w:p>
    <w:p w:rsidR="00B53FD7" w:rsidRDefault="00B53FD7" w:rsidP="00752A4D">
      <w:pPr>
        <w:spacing w:after="0" w:line="480" w:lineRule="auto"/>
        <w:ind w:left="720" w:hanging="720"/>
        <w:rPr>
          <w:rFonts w:cs="Calibri"/>
          <w:noProof/>
          <w:szCs w:val="24"/>
        </w:rPr>
      </w:pPr>
      <w:bookmarkStart w:id="9" w:name="_ENREF_9"/>
      <w:r w:rsidRPr="002B5D0D">
        <w:rPr>
          <w:rFonts w:cs="Calibri"/>
          <w:b/>
          <w:noProof/>
          <w:szCs w:val="24"/>
        </w:rPr>
        <w:t>9.</w:t>
      </w:r>
      <w:r>
        <w:rPr>
          <w:rFonts w:cs="Calibri"/>
          <w:noProof/>
          <w:szCs w:val="24"/>
        </w:rPr>
        <w:tab/>
        <w:t xml:space="preserve">Steffen R, Heusser R, Machler R, et al. Malaria chemoprophylaxis among European tourists in tropical Africa: use, adverse reactions, and efficacy. </w:t>
      </w:r>
      <w:r w:rsidRPr="002B5D0D">
        <w:rPr>
          <w:rFonts w:cs="Calibri"/>
          <w:i/>
          <w:noProof/>
          <w:szCs w:val="24"/>
        </w:rPr>
        <w:t xml:space="preserve">Bull World Health Organ. </w:t>
      </w:r>
      <w:r>
        <w:rPr>
          <w:rFonts w:cs="Calibri"/>
          <w:noProof/>
          <w:szCs w:val="24"/>
        </w:rPr>
        <w:t>1990;68(3):313-322.</w:t>
      </w:r>
      <w:bookmarkEnd w:id="9"/>
    </w:p>
    <w:p w:rsidR="00B53FD7" w:rsidRDefault="00B53FD7" w:rsidP="00752A4D">
      <w:pPr>
        <w:spacing w:after="0" w:line="480" w:lineRule="auto"/>
        <w:ind w:left="720" w:hanging="720"/>
        <w:rPr>
          <w:rFonts w:cs="Calibri"/>
          <w:noProof/>
          <w:szCs w:val="24"/>
        </w:rPr>
      </w:pPr>
      <w:bookmarkStart w:id="10" w:name="_ENREF_10"/>
      <w:r w:rsidRPr="002B5D0D">
        <w:rPr>
          <w:rFonts w:cs="Calibri"/>
          <w:b/>
          <w:noProof/>
          <w:szCs w:val="24"/>
        </w:rPr>
        <w:t>10.</w:t>
      </w:r>
      <w:r>
        <w:rPr>
          <w:rFonts w:cs="Calibri"/>
          <w:noProof/>
          <w:szCs w:val="24"/>
        </w:rPr>
        <w:tab/>
        <w:t xml:space="preserve">Nakato H, Vivancos R, Hunter PR. A systematic review and meta-analysis of the effectiveness and safety of atovaquone proguanil (Malarone) for chemoprophylaxis against malaria. </w:t>
      </w:r>
      <w:r w:rsidRPr="002B5D0D">
        <w:rPr>
          <w:rFonts w:cs="Calibri"/>
          <w:i/>
          <w:noProof/>
          <w:szCs w:val="24"/>
        </w:rPr>
        <w:t xml:space="preserve">J Antimicrob Chemother. </w:t>
      </w:r>
      <w:r>
        <w:rPr>
          <w:rFonts w:cs="Calibri"/>
          <w:noProof/>
          <w:szCs w:val="24"/>
        </w:rPr>
        <w:t>Nov 2007;60(5):929-936.</w:t>
      </w:r>
      <w:bookmarkEnd w:id="10"/>
    </w:p>
    <w:p w:rsidR="00B53FD7" w:rsidRPr="00DD14E5" w:rsidRDefault="00B53FD7" w:rsidP="00752A4D">
      <w:pPr>
        <w:spacing w:after="0" w:line="480" w:lineRule="auto"/>
        <w:ind w:left="720" w:hanging="720"/>
        <w:rPr>
          <w:rFonts w:cs="Calibri"/>
          <w:noProof/>
          <w:szCs w:val="24"/>
          <w:lang w:val="de-DE"/>
        </w:rPr>
      </w:pPr>
      <w:bookmarkStart w:id="11" w:name="_ENREF_11"/>
      <w:r w:rsidRPr="002B5D0D">
        <w:rPr>
          <w:rFonts w:cs="Calibri"/>
          <w:b/>
          <w:noProof/>
          <w:szCs w:val="24"/>
        </w:rPr>
        <w:t>11.</w:t>
      </w:r>
      <w:r>
        <w:rPr>
          <w:rFonts w:cs="Calibri"/>
          <w:noProof/>
          <w:szCs w:val="24"/>
        </w:rPr>
        <w:tab/>
        <w:t xml:space="preserve">Andersen SL, Oloo AJ, Gordon DM, et al. Successful double-blinded, randomized, placebo-controlled field trial of azithromycin and doxycycline as prophylaxis for malaria in western Kenya. </w:t>
      </w:r>
      <w:r w:rsidRPr="00DD14E5">
        <w:rPr>
          <w:rFonts w:cs="Calibri"/>
          <w:i/>
          <w:noProof/>
          <w:szCs w:val="24"/>
          <w:lang w:val="de-DE"/>
        </w:rPr>
        <w:t xml:space="preserve">Clin Infect Dis. </w:t>
      </w:r>
      <w:r w:rsidRPr="00DD14E5">
        <w:rPr>
          <w:rFonts w:cs="Calibri"/>
          <w:noProof/>
          <w:szCs w:val="24"/>
          <w:lang w:val="de-DE"/>
        </w:rPr>
        <w:t>Jan 1998;26(1):146-150.</w:t>
      </w:r>
      <w:bookmarkEnd w:id="11"/>
    </w:p>
    <w:p w:rsidR="00B53FD7" w:rsidRDefault="00B53FD7" w:rsidP="00752A4D">
      <w:pPr>
        <w:spacing w:after="0" w:line="480" w:lineRule="auto"/>
        <w:ind w:left="720" w:hanging="720"/>
        <w:rPr>
          <w:rFonts w:cs="Calibri"/>
          <w:noProof/>
          <w:szCs w:val="24"/>
        </w:rPr>
      </w:pPr>
      <w:bookmarkStart w:id="12" w:name="_ENREF_12"/>
      <w:r w:rsidRPr="00A95CD1">
        <w:rPr>
          <w:rFonts w:cs="Calibri"/>
          <w:b/>
          <w:noProof/>
          <w:szCs w:val="24"/>
          <w:lang w:val="fr-FR"/>
        </w:rPr>
        <w:t>12.</w:t>
      </w:r>
      <w:r w:rsidRPr="003352C9">
        <w:rPr>
          <w:rFonts w:cs="Calibri"/>
          <w:noProof/>
          <w:szCs w:val="24"/>
          <w:lang w:val="fr-FR"/>
        </w:rPr>
        <w:tab/>
      </w:r>
      <w:r w:rsidRPr="00A95CD1">
        <w:rPr>
          <w:rFonts w:cs="Calibri"/>
          <w:noProof/>
          <w:szCs w:val="24"/>
          <w:lang w:val="fr-FR"/>
        </w:rPr>
        <w:t xml:space="preserve">Muehlberger N, Jelinek T, Schlipkoeter U, von Sonnenburg F, Nothdurft HD. </w:t>
      </w:r>
      <w:r>
        <w:rPr>
          <w:rFonts w:cs="Calibri"/>
          <w:noProof/>
          <w:szCs w:val="24"/>
        </w:rPr>
        <w:t xml:space="preserve">Effectiveness of chemoprophylaxis and other determinants of malaria in travellers to Kenya. </w:t>
      </w:r>
      <w:r w:rsidRPr="002B5D0D">
        <w:rPr>
          <w:rFonts w:cs="Calibri"/>
          <w:i/>
          <w:noProof/>
          <w:szCs w:val="24"/>
        </w:rPr>
        <w:t xml:space="preserve">Trop Med Int Health. </w:t>
      </w:r>
      <w:r>
        <w:rPr>
          <w:rFonts w:cs="Calibri"/>
          <w:noProof/>
          <w:szCs w:val="24"/>
        </w:rPr>
        <w:t>May 1998;3(5):357-363.</w:t>
      </w:r>
      <w:bookmarkEnd w:id="12"/>
    </w:p>
    <w:p w:rsidR="00B53FD7" w:rsidRDefault="00B53FD7" w:rsidP="00752A4D">
      <w:pPr>
        <w:spacing w:after="0" w:line="480" w:lineRule="auto"/>
        <w:ind w:left="720" w:hanging="720"/>
        <w:rPr>
          <w:rFonts w:cs="Calibri"/>
          <w:noProof/>
          <w:szCs w:val="24"/>
        </w:rPr>
      </w:pPr>
      <w:bookmarkStart w:id="13" w:name="_ENREF_13"/>
      <w:r w:rsidRPr="002B5D0D">
        <w:rPr>
          <w:rFonts w:cs="Calibri"/>
          <w:b/>
          <w:noProof/>
          <w:szCs w:val="24"/>
        </w:rPr>
        <w:t>13.</w:t>
      </w:r>
      <w:r>
        <w:rPr>
          <w:rFonts w:cs="Calibri"/>
          <w:noProof/>
          <w:szCs w:val="24"/>
        </w:rPr>
        <w:tab/>
        <w:t xml:space="preserve">Schlagenhauf P, Tschopp A, Johnson R, et al. Tolerability Of Malaria Chemoprophylaxis In Non-Immune Travellers To Sub-Saharan Africa: Multicentre, Randomised, Double Blind, Four Arm Study. </w:t>
      </w:r>
      <w:r w:rsidRPr="002B5D0D">
        <w:rPr>
          <w:rFonts w:cs="Calibri"/>
          <w:i/>
          <w:noProof/>
          <w:szCs w:val="24"/>
        </w:rPr>
        <w:t xml:space="preserve">BMJ: British Medical Journal. </w:t>
      </w:r>
      <w:r>
        <w:rPr>
          <w:rFonts w:cs="Calibri"/>
          <w:noProof/>
          <w:szCs w:val="24"/>
        </w:rPr>
        <w:t>2003;327(7423):1078-1081.</w:t>
      </w:r>
      <w:bookmarkEnd w:id="13"/>
    </w:p>
    <w:p w:rsidR="00B53FD7" w:rsidRDefault="00B53FD7" w:rsidP="00752A4D">
      <w:pPr>
        <w:spacing w:after="0" w:line="480" w:lineRule="auto"/>
        <w:ind w:left="720" w:hanging="720"/>
        <w:rPr>
          <w:rFonts w:cs="Calibri"/>
          <w:noProof/>
          <w:szCs w:val="24"/>
        </w:rPr>
      </w:pPr>
      <w:bookmarkStart w:id="14" w:name="_ENREF_14"/>
      <w:r w:rsidRPr="002B5D0D">
        <w:rPr>
          <w:rFonts w:cs="Calibri"/>
          <w:b/>
          <w:noProof/>
          <w:szCs w:val="24"/>
        </w:rPr>
        <w:t>14.</w:t>
      </w:r>
      <w:r>
        <w:rPr>
          <w:rFonts w:cs="Calibri"/>
          <w:noProof/>
          <w:szCs w:val="24"/>
        </w:rPr>
        <w:tab/>
        <w:t>Physicians' Fee and Coding Guide 2009. 20th Annual Edition ed. Duluth, GA: MAG Mutual Healthcare Solutions Inc.; 2008.</w:t>
      </w:r>
      <w:bookmarkEnd w:id="14"/>
    </w:p>
    <w:p w:rsidR="00B53FD7" w:rsidRDefault="00B53FD7" w:rsidP="00752A4D">
      <w:pPr>
        <w:spacing w:after="0" w:line="480" w:lineRule="auto"/>
        <w:ind w:left="720" w:hanging="720"/>
        <w:rPr>
          <w:rFonts w:cs="Calibri"/>
          <w:noProof/>
          <w:szCs w:val="24"/>
        </w:rPr>
      </w:pPr>
      <w:bookmarkStart w:id="15" w:name="_ENREF_15"/>
      <w:r w:rsidRPr="002B5D0D">
        <w:rPr>
          <w:rFonts w:cs="Calibri"/>
          <w:b/>
          <w:noProof/>
          <w:szCs w:val="24"/>
        </w:rPr>
        <w:t>15.</w:t>
      </w:r>
      <w:r>
        <w:rPr>
          <w:rFonts w:cs="Calibri"/>
          <w:noProof/>
          <w:szCs w:val="24"/>
        </w:rPr>
        <w:tab/>
        <w:t>Red Book Pharmacy’s Fundamental Reference 2009. New York, NY: Thomson Reuters; 2008.</w:t>
      </w:r>
      <w:bookmarkEnd w:id="15"/>
    </w:p>
    <w:p w:rsidR="00B53FD7" w:rsidRDefault="00B53FD7" w:rsidP="00752A4D">
      <w:pPr>
        <w:spacing w:after="0" w:line="480" w:lineRule="auto"/>
        <w:ind w:left="720" w:hanging="720"/>
        <w:rPr>
          <w:rFonts w:cs="Calibri"/>
          <w:noProof/>
          <w:szCs w:val="24"/>
        </w:rPr>
      </w:pPr>
      <w:bookmarkStart w:id="16" w:name="_ENREF_16"/>
      <w:r w:rsidRPr="002B5D0D">
        <w:rPr>
          <w:rFonts w:cs="Calibri"/>
          <w:b/>
          <w:noProof/>
          <w:szCs w:val="24"/>
        </w:rPr>
        <w:t>16.</w:t>
      </w:r>
      <w:r>
        <w:rPr>
          <w:rFonts w:cs="Calibri"/>
          <w:noProof/>
          <w:szCs w:val="24"/>
        </w:rPr>
        <w:tab/>
        <w:t xml:space="preserve">HCUP Nationwide Inpatient Sample (NIS). Healthcare Cost and Utilization Project (HCUP). 2009. Agency for Healthcare Research and Quality, Rockville, MD. </w:t>
      </w:r>
      <w:hyperlink r:id="rId10" w:history="1">
        <w:r w:rsidRPr="002B5D0D">
          <w:rPr>
            <w:rStyle w:val="Hyperlink"/>
            <w:rFonts w:cs="Calibri"/>
            <w:noProof/>
            <w:szCs w:val="24"/>
          </w:rPr>
          <w:t>www.hcup-us.ahrq.gov/nisoverview.jsp</w:t>
        </w:r>
      </w:hyperlink>
      <w:r>
        <w:rPr>
          <w:rFonts w:cs="Calibri"/>
          <w:noProof/>
          <w:szCs w:val="24"/>
        </w:rPr>
        <w:t>.</w:t>
      </w:r>
      <w:bookmarkEnd w:id="16"/>
    </w:p>
    <w:p w:rsidR="00B53FD7" w:rsidRPr="00C74FEA" w:rsidRDefault="00B53FD7" w:rsidP="00752A4D">
      <w:pPr>
        <w:spacing w:after="0" w:line="480" w:lineRule="auto"/>
        <w:ind w:left="720" w:hanging="720"/>
        <w:rPr>
          <w:rFonts w:cs="Calibri"/>
          <w:noProof/>
        </w:rPr>
      </w:pPr>
      <w:bookmarkStart w:id="17" w:name="_ENREF_17"/>
      <w:r w:rsidRPr="002B5D0D">
        <w:rPr>
          <w:rFonts w:cs="Calibri"/>
          <w:b/>
          <w:noProof/>
          <w:szCs w:val="24"/>
        </w:rPr>
        <w:t>17.</w:t>
      </w:r>
      <w:r>
        <w:rPr>
          <w:rFonts w:cs="Calibri"/>
          <w:noProof/>
          <w:szCs w:val="24"/>
        </w:rPr>
        <w:tab/>
        <w:t>Centers for Disease Control and Prevention. Guidelines for Treatment of Malaria in the United States.</w:t>
      </w:r>
      <w:bookmarkEnd w:id="17"/>
      <w:r w:rsidRPr="00C74FEA">
        <w:rPr>
          <w:rFonts w:cs="Calibri"/>
          <w:lang w:eastAsia="en-US"/>
        </w:rPr>
        <w:t>Available at http://www.cdc.gov/malaria/resources/pdf/treatmenttable.pdf</w:t>
      </w:r>
      <w:r>
        <w:rPr>
          <w:rFonts w:cs="Calibri"/>
          <w:lang w:eastAsia="en-US"/>
        </w:rPr>
        <w:t>.Accessed November, 2011.</w:t>
      </w:r>
    </w:p>
    <w:p w:rsidR="00B53FD7" w:rsidRDefault="00B53FD7" w:rsidP="00752A4D">
      <w:pPr>
        <w:spacing w:after="0" w:line="480" w:lineRule="auto"/>
        <w:ind w:left="720" w:hanging="720"/>
        <w:rPr>
          <w:rFonts w:cs="Calibri"/>
          <w:noProof/>
          <w:szCs w:val="24"/>
        </w:rPr>
      </w:pPr>
      <w:bookmarkStart w:id="18" w:name="_ENREF_18"/>
      <w:r w:rsidRPr="002B5D0D">
        <w:rPr>
          <w:rFonts w:cs="Calibri"/>
          <w:b/>
          <w:noProof/>
          <w:szCs w:val="24"/>
        </w:rPr>
        <w:t>18.</w:t>
      </w:r>
      <w:r>
        <w:rPr>
          <w:rFonts w:cs="Calibri"/>
          <w:noProof/>
          <w:szCs w:val="24"/>
        </w:rPr>
        <w:tab/>
        <w:t xml:space="preserve">Barnett PG. An improved set of standards for finding cost for cost-effectiveness analysis. </w:t>
      </w:r>
      <w:r w:rsidRPr="002B5D0D">
        <w:rPr>
          <w:rFonts w:cs="Calibri"/>
          <w:i/>
          <w:noProof/>
          <w:szCs w:val="24"/>
        </w:rPr>
        <w:t xml:space="preserve">Med Care. </w:t>
      </w:r>
      <w:r>
        <w:rPr>
          <w:rFonts w:cs="Calibri"/>
          <w:noProof/>
          <w:szCs w:val="24"/>
        </w:rPr>
        <w:t>Jul 2009;47(7 Suppl 1):S82-88.</w:t>
      </w:r>
      <w:bookmarkEnd w:id="18"/>
    </w:p>
    <w:p w:rsidR="00B53FD7" w:rsidRDefault="00B53FD7" w:rsidP="00752A4D">
      <w:pPr>
        <w:spacing w:after="0" w:line="480" w:lineRule="auto"/>
        <w:ind w:left="720" w:hanging="720"/>
        <w:rPr>
          <w:rFonts w:cs="Calibri"/>
          <w:noProof/>
          <w:szCs w:val="24"/>
        </w:rPr>
      </w:pPr>
      <w:bookmarkStart w:id="19" w:name="_ENREF_19"/>
      <w:r w:rsidRPr="002B5D0D">
        <w:rPr>
          <w:rFonts w:cs="Calibri"/>
          <w:b/>
          <w:noProof/>
          <w:szCs w:val="24"/>
        </w:rPr>
        <w:t>19.</w:t>
      </w:r>
      <w:r>
        <w:rPr>
          <w:rFonts w:cs="Calibri"/>
          <w:noProof/>
          <w:szCs w:val="24"/>
        </w:rPr>
        <w:tab/>
        <w:t xml:space="preserve">Roca-Feltrer A, Carneiro I, Armstrong Schellenberg JR. Estimates of the burden of malaria morbidity in Africa in children under the age of 5 years. </w:t>
      </w:r>
      <w:r w:rsidRPr="002B5D0D">
        <w:rPr>
          <w:rFonts w:cs="Calibri"/>
          <w:i/>
          <w:noProof/>
          <w:szCs w:val="24"/>
        </w:rPr>
        <w:t xml:space="preserve">Tropical medicine &amp; international health : TM &amp; IH. </w:t>
      </w:r>
      <w:r>
        <w:rPr>
          <w:rFonts w:cs="Calibri"/>
          <w:noProof/>
          <w:szCs w:val="24"/>
        </w:rPr>
        <w:t>Jun 2008;13(6):771-783.</w:t>
      </w:r>
      <w:bookmarkEnd w:id="19"/>
    </w:p>
    <w:p w:rsidR="00B53FD7" w:rsidRDefault="00B53FD7" w:rsidP="00752A4D">
      <w:pPr>
        <w:spacing w:after="0" w:line="480" w:lineRule="auto"/>
        <w:ind w:left="720" w:hanging="720"/>
        <w:rPr>
          <w:rFonts w:cs="Calibri"/>
          <w:noProof/>
          <w:szCs w:val="24"/>
        </w:rPr>
      </w:pPr>
      <w:bookmarkStart w:id="20" w:name="_ENREF_20"/>
      <w:r w:rsidRPr="002B5D0D">
        <w:rPr>
          <w:rFonts w:cs="Calibri"/>
          <w:b/>
          <w:noProof/>
          <w:szCs w:val="24"/>
        </w:rPr>
        <w:t>20.</w:t>
      </w:r>
      <w:r>
        <w:rPr>
          <w:rFonts w:cs="Calibri"/>
          <w:noProof/>
          <w:szCs w:val="24"/>
        </w:rPr>
        <w:tab/>
        <w:t xml:space="preserve">Behrens RH, Roberts JA. Is travel prophylaxis worth while? Economic appraisal of prophylactic measures against malaria, hepatitis A, and typhoid in travellers. </w:t>
      </w:r>
      <w:r w:rsidRPr="002B5D0D">
        <w:rPr>
          <w:rFonts w:cs="Calibri"/>
          <w:i/>
          <w:noProof/>
          <w:szCs w:val="24"/>
        </w:rPr>
        <w:t xml:space="preserve">BMJ. </w:t>
      </w:r>
      <w:r>
        <w:rPr>
          <w:rFonts w:cs="Calibri"/>
          <w:noProof/>
          <w:szCs w:val="24"/>
        </w:rPr>
        <w:t>Oct 8 1994;309(6959):918-922.</w:t>
      </w:r>
      <w:bookmarkEnd w:id="20"/>
    </w:p>
    <w:p w:rsidR="00B53FD7" w:rsidRDefault="00B53FD7" w:rsidP="00752A4D">
      <w:pPr>
        <w:spacing w:after="0" w:line="480" w:lineRule="auto"/>
        <w:ind w:left="720" w:hanging="720"/>
        <w:rPr>
          <w:rFonts w:cs="Calibri"/>
          <w:noProof/>
          <w:szCs w:val="24"/>
        </w:rPr>
      </w:pPr>
      <w:bookmarkStart w:id="21" w:name="_ENREF_21"/>
      <w:r w:rsidRPr="002B5D0D">
        <w:rPr>
          <w:rFonts w:cs="Calibri"/>
          <w:b/>
          <w:noProof/>
          <w:szCs w:val="24"/>
        </w:rPr>
        <w:t>21.</w:t>
      </w:r>
      <w:r>
        <w:rPr>
          <w:rFonts w:cs="Calibri"/>
          <w:noProof/>
          <w:szCs w:val="24"/>
        </w:rPr>
        <w:tab/>
        <w:t xml:space="preserve">Widmer LL, Blank PR, Van Herck K, Hatz C, Schlagenhauf P. Cost-effectiveness analysis of malaria chemoprophylaxis for travellers to West-Africa. </w:t>
      </w:r>
      <w:r w:rsidRPr="002B5D0D">
        <w:rPr>
          <w:rFonts w:cs="Calibri"/>
          <w:i/>
          <w:noProof/>
          <w:szCs w:val="24"/>
        </w:rPr>
        <w:t xml:space="preserve">BMC Infect Dis. </w:t>
      </w:r>
      <w:r>
        <w:rPr>
          <w:rFonts w:cs="Calibri"/>
          <w:noProof/>
          <w:szCs w:val="24"/>
        </w:rPr>
        <w:t>2010;10:279.</w:t>
      </w:r>
      <w:bookmarkEnd w:id="21"/>
    </w:p>
    <w:p w:rsidR="00B53FD7" w:rsidRDefault="00B53FD7" w:rsidP="00752A4D">
      <w:pPr>
        <w:spacing w:after="0" w:line="480" w:lineRule="auto"/>
        <w:ind w:left="720" w:hanging="720"/>
        <w:rPr>
          <w:rFonts w:cs="Calibri"/>
          <w:noProof/>
          <w:szCs w:val="24"/>
        </w:rPr>
      </w:pPr>
      <w:bookmarkStart w:id="22" w:name="_ENREF_22"/>
      <w:r w:rsidRPr="002B5D0D">
        <w:rPr>
          <w:rFonts w:cs="Calibri"/>
          <w:b/>
          <w:noProof/>
          <w:szCs w:val="24"/>
        </w:rPr>
        <w:t>22.</w:t>
      </w:r>
      <w:r>
        <w:rPr>
          <w:rFonts w:cs="Calibri"/>
          <w:noProof/>
          <w:szCs w:val="24"/>
        </w:rPr>
        <w:tab/>
        <w:t xml:space="preserve">Massad E, Behrens B, Coutinho F, Behrens R. Cost risk benefit analysis to support chemoprophylaxis policy for travellers to malaria endemic countries. </w:t>
      </w:r>
      <w:r w:rsidRPr="002B5D0D">
        <w:rPr>
          <w:rFonts w:cs="Calibri"/>
          <w:i/>
          <w:noProof/>
          <w:szCs w:val="24"/>
        </w:rPr>
        <w:t xml:space="preserve">Malaria Journal. </w:t>
      </w:r>
      <w:r>
        <w:rPr>
          <w:rFonts w:cs="Calibri"/>
          <w:noProof/>
          <w:szCs w:val="24"/>
        </w:rPr>
        <w:t>2011;10(1):130.</w:t>
      </w:r>
      <w:bookmarkEnd w:id="22"/>
    </w:p>
    <w:p w:rsidR="00B53FD7" w:rsidRDefault="00B53FD7" w:rsidP="00752A4D">
      <w:pPr>
        <w:spacing w:after="0" w:line="480" w:lineRule="auto"/>
        <w:ind w:left="720" w:hanging="720"/>
        <w:rPr>
          <w:rFonts w:cs="Calibri"/>
          <w:noProof/>
          <w:szCs w:val="24"/>
        </w:rPr>
      </w:pPr>
      <w:bookmarkStart w:id="23" w:name="_ENREF_23"/>
      <w:r w:rsidRPr="002B5D0D">
        <w:rPr>
          <w:rFonts w:cs="Calibri"/>
          <w:b/>
          <w:noProof/>
          <w:szCs w:val="24"/>
        </w:rPr>
        <w:t>23.</w:t>
      </w:r>
      <w:r>
        <w:rPr>
          <w:rFonts w:cs="Calibri"/>
          <w:noProof/>
          <w:szCs w:val="24"/>
        </w:rPr>
        <w:tab/>
        <w:t xml:space="preserve">Hartjes LB, Baumann LC, Henriques JB. Travel health risk perceptions and prevention behaviors of US study abroad students. </w:t>
      </w:r>
      <w:r w:rsidRPr="002B5D0D">
        <w:rPr>
          <w:rFonts w:cs="Calibri"/>
          <w:i/>
          <w:noProof/>
          <w:szCs w:val="24"/>
        </w:rPr>
        <w:t xml:space="preserve">J Travel Med. </w:t>
      </w:r>
      <w:r>
        <w:rPr>
          <w:rFonts w:cs="Calibri"/>
          <w:noProof/>
          <w:szCs w:val="24"/>
        </w:rPr>
        <w:t>Sep-Oct 2009;16(5):338-343.</w:t>
      </w:r>
      <w:bookmarkEnd w:id="23"/>
    </w:p>
    <w:p w:rsidR="00B53FD7" w:rsidRDefault="00B53FD7" w:rsidP="00752A4D">
      <w:pPr>
        <w:spacing w:after="0" w:line="480" w:lineRule="auto"/>
        <w:ind w:left="720" w:hanging="720"/>
        <w:rPr>
          <w:rFonts w:cs="Calibri"/>
          <w:noProof/>
          <w:szCs w:val="24"/>
        </w:rPr>
      </w:pPr>
      <w:bookmarkStart w:id="24" w:name="_ENREF_24"/>
      <w:r w:rsidRPr="002B5D0D">
        <w:rPr>
          <w:rFonts w:cs="Calibri"/>
          <w:b/>
          <w:noProof/>
          <w:szCs w:val="24"/>
        </w:rPr>
        <w:t>24.</w:t>
      </w:r>
      <w:r>
        <w:rPr>
          <w:rFonts w:cs="Calibri"/>
          <w:noProof/>
          <w:szCs w:val="24"/>
        </w:rPr>
        <w:tab/>
        <w:t xml:space="preserve">Lobel HO, Baker MA, Gras FA, et al. Use of malaria prevention measures by North American and European travelers to East Africa. </w:t>
      </w:r>
      <w:r w:rsidRPr="002B5D0D">
        <w:rPr>
          <w:rFonts w:cs="Calibri"/>
          <w:i/>
          <w:noProof/>
          <w:szCs w:val="24"/>
        </w:rPr>
        <w:t xml:space="preserve">J Travel Med. </w:t>
      </w:r>
      <w:r>
        <w:rPr>
          <w:rFonts w:cs="Calibri"/>
          <w:noProof/>
          <w:szCs w:val="24"/>
        </w:rPr>
        <w:t>Jul-Aug 2001;8(4):167-172.</w:t>
      </w:r>
      <w:bookmarkEnd w:id="24"/>
    </w:p>
    <w:p w:rsidR="00B53FD7" w:rsidRDefault="00B53FD7" w:rsidP="00752A4D">
      <w:pPr>
        <w:spacing w:after="0" w:line="480" w:lineRule="auto"/>
        <w:ind w:left="720" w:hanging="720"/>
        <w:rPr>
          <w:rFonts w:cs="Calibri"/>
          <w:noProof/>
          <w:szCs w:val="24"/>
        </w:rPr>
      </w:pPr>
      <w:bookmarkStart w:id="25" w:name="_ENREF_25"/>
      <w:r w:rsidRPr="002B5D0D">
        <w:rPr>
          <w:rFonts w:cs="Calibri"/>
          <w:b/>
          <w:noProof/>
          <w:szCs w:val="24"/>
        </w:rPr>
        <w:t>25.</w:t>
      </w:r>
      <w:r>
        <w:rPr>
          <w:rFonts w:cs="Calibri"/>
          <w:noProof/>
          <w:szCs w:val="24"/>
        </w:rPr>
        <w:tab/>
        <w:t>U.S. Department of Commerce, Office of Travel and Tourism Industries. Profile of U.S. Resident Travelers Visiting Overseas Destinations: 2009 Outbound.</w:t>
      </w:r>
      <w:bookmarkEnd w:id="25"/>
    </w:p>
    <w:p w:rsidR="00B53FD7" w:rsidRDefault="00B53FD7" w:rsidP="00752A4D">
      <w:pPr>
        <w:spacing w:after="0" w:line="480" w:lineRule="auto"/>
        <w:ind w:left="720" w:hanging="720"/>
        <w:rPr>
          <w:rFonts w:cs="Calibri"/>
          <w:noProof/>
          <w:szCs w:val="24"/>
        </w:rPr>
      </w:pPr>
      <w:bookmarkStart w:id="26" w:name="_ENREF_26"/>
      <w:r w:rsidRPr="002B5D0D">
        <w:rPr>
          <w:rFonts w:cs="Calibri"/>
          <w:b/>
          <w:noProof/>
          <w:szCs w:val="24"/>
        </w:rPr>
        <w:t>26.</w:t>
      </w:r>
      <w:r>
        <w:rPr>
          <w:rFonts w:cs="Calibri"/>
          <w:noProof/>
          <w:szCs w:val="24"/>
        </w:rPr>
        <w:tab/>
        <w:t xml:space="preserve">Bureau of Labor Statistics. Occupational Employment Statistics. Occupational employment and wages, May 2009.  </w:t>
      </w:r>
      <w:hyperlink r:id="rId11" w:anchor="2009" w:history="1">
        <w:r w:rsidRPr="002B5D0D">
          <w:rPr>
            <w:rStyle w:val="Hyperlink"/>
            <w:rFonts w:cs="Calibri"/>
            <w:noProof/>
            <w:szCs w:val="24"/>
          </w:rPr>
          <w:t>http://www.bls.gov/oes/oes_dl.htm#2009</w:t>
        </w:r>
      </w:hyperlink>
      <w:r>
        <w:rPr>
          <w:rFonts w:cs="Calibri"/>
          <w:noProof/>
          <w:szCs w:val="24"/>
        </w:rPr>
        <w:t>.</w:t>
      </w:r>
      <w:bookmarkEnd w:id="26"/>
    </w:p>
    <w:p w:rsidR="00B53FD7" w:rsidRDefault="00B53FD7" w:rsidP="00752A4D">
      <w:pPr>
        <w:spacing w:after="0" w:line="480" w:lineRule="auto"/>
        <w:ind w:left="720" w:hanging="720"/>
        <w:rPr>
          <w:rFonts w:cs="Calibri"/>
          <w:noProof/>
          <w:szCs w:val="24"/>
        </w:rPr>
      </w:pPr>
      <w:bookmarkStart w:id="27" w:name="_ENREF_27"/>
      <w:r w:rsidRPr="002B5D0D">
        <w:rPr>
          <w:rFonts w:cs="Calibri"/>
          <w:b/>
          <w:noProof/>
          <w:szCs w:val="24"/>
        </w:rPr>
        <w:t>27.</w:t>
      </w:r>
      <w:r>
        <w:rPr>
          <w:rFonts w:cs="Calibri"/>
          <w:noProof/>
          <w:szCs w:val="24"/>
        </w:rPr>
        <w:tab/>
        <w:t>US Department of Labor, Bureau of Labor Statistics. National Compensation Survey: Health and Retirement Plan Provisions in Private Industry in the United States, 2008.</w:t>
      </w:r>
      <w:bookmarkEnd w:id="27"/>
    </w:p>
    <w:p w:rsidR="00B53FD7" w:rsidRDefault="00B53FD7" w:rsidP="00752A4D">
      <w:pPr>
        <w:spacing w:after="0" w:line="480" w:lineRule="auto"/>
        <w:ind w:left="720" w:hanging="720"/>
        <w:rPr>
          <w:rFonts w:cs="Calibri"/>
          <w:noProof/>
          <w:szCs w:val="24"/>
        </w:rPr>
      </w:pPr>
      <w:bookmarkStart w:id="28" w:name="_ENREF_28"/>
      <w:r w:rsidRPr="002B5D0D">
        <w:rPr>
          <w:rFonts w:cs="Calibri"/>
          <w:b/>
          <w:noProof/>
          <w:szCs w:val="24"/>
        </w:rPr>
        <w:t>28.</w:t>
      </w:r>
      <w:r>
        <w:rPr>
          <w:rFonts w:cs="Calibri"/>
          <w:noProof/>
          <w:szCs w:val="24"/>
        </w:rPr>
        <w:tab/>
        <w:t xml:space="preserve">US Department of Labor, Bureau of Labor Statistics. Employer costs for employee compensation: March - December 2009 </w:t>
      </w:r>
      <w:bookmarkEnd w:id="28"/>
    </w:p>
    <w:p w:rsidR="00B53FD7" w:rsidRDefault="00B53FD7" w:rsidP="00752A4D">
      <w:pPr>
        <w:spacing w:after="0" w:line="480" w:lineRule="auto"/>
        <w:ind w:left="720" w:hanging="720"/>
        <w:rPr>
          <w:rFonts w:cs="Calibri"/>
          <w:noProof/>
          <w:szCs w:val="24"/>
        </w:rPr>
      </w:pPr>
      <w:bookmarkStart w:id="29" w:name="_ENREF_29"/>
      <w:r w:rsidRPr="002B5D0D">
        <w:rPr>
          <w:rFonts w:cs="Calibri"/>
          <w:b/>
          <w:noProof/>
          <w:szCs w:val="24"/>
        </w:rPr>
        <w:t>29.</w:t>
      </w:r>
      <w:r>
        <w:rPr>
          <w:rFonts w:cs="Calibri"/>
          <w:noProof/>
          <w:szCs w:val="24"/>
        </w:rPr>
        <w:tab/>
        <w:t xml:space="preserve">Agency for Healthcare Research and Quality. NIS Description of Data Elements.  Available at: </w:t>
      </w:r>
      <w:hyperlink r:id="rId12" w:history="1">
        <w:r w:rsidRPr="002B5D0D">
          <w:rPr>
            <w:rStyle w:val="Hyperlink"/>
            <w:rFonts w:cs="Calibri"/>
            <w:noProof/>
            <w:szCs w:val="24"/>
          </w:rPr>
          <w:t>http://www.hcup-us.ahrq.gov/db/nation/nis/nisdde.jsp</w:t>
        </w:r>
      </w:hyperlink>
      <w:r>
        <w:rPr>
          <w:rFonts w:cs="Calibri"/>
          <w:noProof/>
          <w:szCs w:val="24"/>
        </w:rPr>
        <w:t>. Accessed October, 2011.</w:t>
      </w:r>
      <w:bookmarkEnd w:id="29"/>
    </w:p>
    <w:p w:rsidR="00B53FD7" w:rsidRPr="007A330A" w:rsidRDefault="00B53FD7" w:rsidP="00752A4D">
      <w:pPr>
        <w:spacing w:after="0" w:line="480" w:lineRule="auto"/>
        <w:rPr>
          <w:rFonts w:cs="Calibri"/>
          <w:b/>
          <w:sz w:val="21"/>
          <w:szCs w:val="21"/>
        </w:rPr>
      </w:pPr>
      <w:r w:rsidRPr="007E2B9F">
        <w:rPr>
          <w:sz w:val="24"/>
          <w:szCs w:val="24"/>
        </w:rPr>
        <w:fldChar w:fldCharType="end"/>
      </w:r>
    </w:p>
    <w:sectPr w:rsidR="00B53FD7" w:rsidRPr="007A330A" w:rsidSect="0078560F">
      <w:pgSz w:w="12240" w:h="15840"/>
      <w:pgMar w:top="1152"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D7" w:rsidRDefault="00B53FD7" w:rsidP="00525BD1">
      <w:pPr>
        <w:spacing w:after="0" w:line="240" w:lineRule="auto"/>
      </w:pPr>
      <w:r>
        <w:separator/>
      </w:r>
    </w:p>
  </w:endnote>
  <w:endnote w:type="continuationSeparator" w:id="0">
    <w:p w:rsidR="00B53FD7" w:rsidRDefault="00B53FD7" w:rsidP="00525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7" w:rsidRDefault="00B53FD7">
    <w:pPr>
      <w:pStyle w:val="Footer"/>
      <w:jc w:val="right"/>
    </w:pPr>
    <w:fldSimple w:instr=" PAGE   \* MERGEFORMAT ">
      <w:r>
        <w:rPr>
          <w:noProof/>
        </w:rPr>
        <w:t>1</w:t>
      </w:r>
    </w:fldSimple>
  </w:p>
  <w:p w:rsidR="00B53FD7" w:rsidRDefault="00B53FD7">
    <w:pPr>
      <w:pStyle w:val="Footer"/>
    </w:pPr>
  </w:p>
  <w:p w:rsidR="00B53FD7" w:rsidRDefault="00B53F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D7" w:rsidRDefault="00B53FD7" w:rsidP="00525BD1">
      <w:pPr>
        <w:spacing w:after="0" w:line="240" w:lineRule="auto"/>
      </w:pPr>
      <w:r>
        <w:separator/>
      </w:r>
    </w:p>
  </w:footnote>
  <w:footnote w:type="continuationSeparator" w:id="0">
    <w:p w:rsidR="00B53FD7" w:rsidRDefault="00B53FD7" w:rsidP="00525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04C5"/>
    <w:multiLevelType w:val="hybridMultilevel"/>
    <w:tmpl w:val="A052FA6E"/>
    <w:lvl w:ilvl="0" w:tplc="E8861100">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05FC4E87"/>
    <w:multiLevelType w:val="hybridMultilevel"/>
    <w:tmpl w:val="9064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D2798"/>
    <w:multiLevelType w:val="hybridMultilevel"/>
    <w:tmpl w:val="6DF609EE"/>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C1476E"/>
    <w:multiLevelType w:val="hybridMultilevel"/>
    <w:tmpl w:val="F6B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007A3"/>
    <w:multiLevelType w:val="hybridMultilevel"/>
    <w:tmpl w:val="3FB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87ECE"/>
    <w:multiLevelType w:val="hybridMultilevel"/>
    <w:tmpl w:val="E17E4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47890"/>
    <w:multiLevelType w:val="hybridMultilevel"/>
    <w:tmpl w:val="FACE5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81DA7"/>
    <w:multiLevelType w:val="hybridMultilevel"/>
    <w:tmpl w:val="FE42F352"/>
    <w:lvl w:ilvl="0" w:tplc="BF76C5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13282F"/>
    <w:multiLevelType w:val="hybridMultilevel"/>
    <w:tmpl w:val="C7FE0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E3581"/>
    <w:multiLevelType w:val="hybridMultilevel"/>
    <w:tmpl w:val="AD7E63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B677F2E"/>
    <w:multiLevelType w:val="hybridMultilevel"/>
    <w:tmpl w:val="7152BA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CA0075"/>
    <w:multiLevelType w:val="hybridMultilevel"/>
    <w:tmpl w:val="DEC4B1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6570E3"/>
    <w:multiLevelType w:val="hybridMultilevel"/>
    <w:tmpl w:val="FE42F352"/>
    <w:lvl w:ilvl="0" w:tplc="BF76C5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252438"/>
    <w:multiLevelType w:val="hybridMultilevel"/>
    <w:tmpl w:val="48EAB38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29932498"/>
    <w:multiLevelType w:val="hybridMultilevel"/>
    <w:tmpl w:val="2304CF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290354"/>
    <w:multiLevelType w:val="hybridMultilevel"/>
    <w:tmpl w:val="AAD05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55109"/>
    <w:multiLevelType w:val="hybridMultilevel"/>
    <w:tmpl w:val="85F44F16"/>
    <w:lvl w:ilvl="0" w:tplc="A6B615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06A1567"/>
    <w:multiLevelType w:val="hybridMultilevel"/>
    <w:tmpl w:val="A77C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1795B"/>
    <w:multiLevelType w:val="hybridMultilevel"/>
    <w:tmpl w:val="A2A2BF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E34FEA"/>
    <w:multiLevelType w:val="hybridMultilevel"/>
    <w:tmpl w:val="0D84C7EC"/>
    <w:lvl w:ilvl="0" w:tplc="BD7CB7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4F12F3B"/>
    <w:multiLevelType w:val="hybridMultilevel"/>
    <w:tmpl w:val="B3D218CE"/>
    <w:lvl w:ilvl="0" w:tplc="43F45830">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nsid w:val="350F34E9"/>
    <w:multiLevelType w:val="hybridMultilevel"/>
    <w:tmpl w:val="B51C7F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F117C7"/>
    <w:multiLevelType w:val="hybridMultilevel"/>
    <w:tmpl w:val="3A040D8A"/>
    <w:lvl w:ilvl="0" w:tplc="E98077D8">
      <w:start w:val="1"/>
      <w:numFmt w:val="decimal"/>
      <w:lvlText w:val="%1."/>
      <w:lvlJc w:val="left"/>
      <w:pPr>
        <w:ind w:left="547" w:hanging="360"/>
      </w:pPr>
      <w:rPr>
        <w:rFonts w:cs="Times New Roman" w:hint="default"/>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23">
    <w:nsid w:val="3D4C494F"/>
    <w:multiLevelType w:val="hybridMultilevel"/>
    <w:tmpl w:val="2C228278"/>
    <w:lvl w:ilvl="0" w:tplc="B1D26C68">
      <w:start w:val="1"/>
      <w:numFmt w:val="decimal"/>
      <w:lvlText w:val="%1)"/>
      <w:lvlJc w:val="left"/>
      <w:pPr>
        <w:ind w:left="540" w:hanging="360"/>
      </w:pPr>
      <w:rPr>
        <w:rFonts w:cs="Times New Roman" w:hint="default"/>
      </w:rPr>
    </w:lvl>
    <w:lvl w:ilvl="1" w:tplc="0409001B">
      <w:start w:val="1"/>
      <w:numFmt w:val="lowerRoman"/>
      <w:lvlText w:val="%2."/>
      <w:lvlJc w:val="righ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4">
    <w:nsid w:val="3F0A261A"/>
    <w:multiLevelType w:val="hybridMultilevel"/>
    <w:tmpl w:val="E0E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7084E"/>
    <w:multiLevelType w:val="hybridMultilevel"/>
    <w:tmpl w:val="B51C7F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9254288"/>
    <w:multiLevelType w:val="hybridMultilevel"/>
    <w:tmpl w:val="CE82F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C14639A"/>
    <w:multiLevelType w:val="hybridMultilevel"/>
    <w:tmpl w:val="31700A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3D6045"/>
    <w:multiLevelType w:val="hybridMultilevel"/>
    <w:tmpl w:val="BD74A2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DD17FC2"/>
    <w:multiLevelType w:val="hybridMultilevel"/>
    <w:tmpl w:val="F310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47A6B"/>
    <w:multiLevelType w:val="hybridMultilevel"/>
    <w:tmpl w:val="F284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67356A"/>
    <w:multiLevelType w:val="hybridMultilevel"/>
    <w:tmpl w:val="CFD26AF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D611A3"/>
    <w:multiLevelType w:val="hybridMultilevel"/>
    <w:tmpl w:val="A1A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F6E64"/>
    <w:multiLevelType w:val="hybridMultilevel"/>
    <w:tmpl w:val="35EAE2FE"/>
    <w:lvl w:ilvl="0" w:tplc="32321768">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9069D"/>
    <w:multiLevelType w:val="hybridMultilevel"/>
    <w:tmpl w:val="9C282E96"/>
    <w:lvl w:ilvl="0" w:tplc="0AE8BF0A">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AF250B"/>
    <w:multiLevelType w:val="hybridMultilevel"/>
    <w:tmpl w:val="931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9386B"/>
    <w:multiLevelType w:val="hybridMultilevel"/>
    <w:tmpl w:val="3D682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E51F20"/>
    <w:multiLevelType w:val="hybridMultilevel"/>
    <w:tmpl w:val="7968149C"/>
    <w:lvl w:ilvl="0" w:tplc="688886EC">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8">
    <w:nsid w:val="6650475F"/>
    <w:multiLevelType w:val="hybridMultilevel"/>
    <w:tmpl w:val="FE42F352"/>
    <w:lvl w:ilvl="0" w:tplc="BF76C5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86544D3"/>
    <w:multiLevelType w:val="hybridMultilevel"/>
    <w:tmpl w:val="5C3A8A30"/>
    <w:lvl w:ilvl="0" w:tplc="B1D26C68">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0">
    <w:nsid w:val="70536C84"/>
    <w:multiLevelType w:val="hybridMultilevel"/>
    <w:tmpl w:val="0D7C96D4"/>
    <w:lvl w:ilvl="0" w:tplc="E05CDC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DA02AD"/>
    <w:multiLevelType w:val="hybridMultilevel"/>
    <w:tmpl w:val="1890BE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537DC4"/>
    <w:multiLevelType w:val="hybridMultilevel"/>
    <w:tmpl w:val="78B4FC82"/>
    <w:lvl w:ilvl="0" w:tplc="0409000F">
      <w:start w:val="1"/>
      <w:numFmt w:val="decimal"/>
      <w:lvlText w:val="%1."/>
      <w:lvlJc w:val="left"/>
      <w:pPr>
        <w:ind w:left="720" w:hanging="360"/>
      </w:pPr>
      <w:rPr>
        <w:rFonts w:cs="Times New Roman" w:hint="default"/>
      </w:rPr>
    </w:lvl>
    <w:lvl w:ilvl="1" w:tplc="F57AFD64">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4967484"/>
    <w:multiLevelType w:val="hybridMultilevel"/>
    <w:tmpl w:val="874E33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C651AA"/>
    <w:multiLevelType w:val="hybridMultilevel"/>
    <w:tmpl w:val="5B94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24080"/>
    <w:multiLevelType w:val="hybridMultilevel"/>
    <w:tmpl w:val="FE42F352"/>
    <w:lvl w:ilvl="0" w:tplc="BF76C5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BE55C36"/>
    <w:multiLevelType w:val="hybridMultilevel"/>
    <w:tmpl w:val="CE82F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D6F6BA7"/>
    <w:multiLevelType w:val="hybridMultilevel"/>
    <w:tmpl w:val="FE42F352"/>
    <w:lvl w:ilvl="0" w:tplc="BF76C5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16"/>
  </w:num>
  <w:num w:numId="4">
    <w:abstractNumId w:val="25"/>
  </w:num>
  <w:num w:numId="5">
    <w:abstractNumId w:val="21"/>
  </w:num>
  <w:num w:numId="6">
    <w:abstractNumId w:val="18"/>
  </w:num>
  <w:num w:numId="7">
    <w:abstractNumId w:val="22"/>
  </w:num>
  <w:num w:numId="8">
    <w:abstractNumId w:val="28"/>
  </w:num>
  <w:num w:numId="9">
    <w:abstractNumId w:val="9"/>
  </w:num>
  <w:num w:numId="10">
    <w:abstractNumId w:val="19"/>
  </w:num>
  <w:num w:numId="11">
    <w:abstractNumId w:val="13"/>
  </w:num>
  <w:num w:numId="12">
    <w:abstractNumId w:val="41"/>
  </w:num>
  <w:num w:numId="13">
    <w:abstractNumId w:val="46"/>
  </w:num>
  <w:num w:numId="14">
    <w:abstractNumId w:val="26"/>
  </w:num>
  <w:num w:numId="15">
    <w:abstractNumId w:val="15"/>
  </w:num>
  <w:num w:numId="16">
    <w:abstractNumId w:val="36"/>
  </w:num>
  <w:num w:numId="17">
    <w:abstractNumId w:val="6"/>
  </w:num>
  <w:num w:numId="18">
    <w:abstractNumId w:val="39"/>
  </w:num>
  <w:num w:numId="19">
    <w:abstractNumId w:val="23"/>
  </w:num>
  <w:num w:numId="20">
    <w:abstractNumId w:val="11"/>
  </w:num>
  <w:num w:numId="21">
    <w:abstractNumId w:val="7"/>
  </w:num>
  <w:num w:numId="22">
    <w:abstractNumId w:val="38"/>
  </w:num>
  <w:num w:numId="23">
    <w:abstractNumId w:val="27"/>
  </w:num>
  <w:num w:numId="24">
    <w:abstractNumId w:val="10"/>
  </w:num>
  <w:num w:numId="25">
    <w:abstractNumId w:val="33"/>
  </w:num>
  <w:num w:numId="26">
    <w:abstractNumId w:val="34"/>
  </w:num>
  <w:num w:numId="27">
    <w:abstractNumId w:val="1"/>
  </w:num>
  <w:num w:numId="28">
    <w:abstractNumId w:val="42"/>
  </w:num>
  <w:num w:numId="29">
    <w:abstractNumId w:val="17"/>
  </w:num>
  <w:num w:numId="30">
    <w:abstractNumId w:val="3"/>
  </w:num>
  <w:num w:numId="31">
    <w:abstractNumId w:val="44"/>
  </w:num>
  <w:num w:numId="32">
    <w:abstractNumId w:val="30"/>
  </w:num>
  <w:num w:numId="33">
    <w:abstractNumId w:val="47"/>
  </w:num>
  <w:num w:numId="34">
    <w:abstractNumId w:val="45"/>
  </w:num>
  <w:num w:numId="35">
    <w:abstractNumId w:val="43"/>
  </w:num>
  <w:num w:numId="36">
    <w:abstractNumId w:val="4"/>
  </w:num>
  <w:num w:numId="37">
    <w:abstractNumId w:val="37"/>
  </w:num>
  <w:num w:numId="38">
    <w:abstractNumId w:val="32"/>
  </w:num>
  <w:num w:numId="39">
    <w:abstractNumId w:val="29"/>
  </w:num>
  <w:num w:numId="40">
    <w:abstractNumId w:val="2"/>
  </w:num>
  <w:num w:numId="41">
    <w:abstractNumId w:val="5"/>
  </w:num>
  <w:num w:numId="42">
    <w:abstractNumId w:val="24"/>
  </w:num>
  <w:num w:numId="43">
    <w:abstractNumId w:val="35"/>
  </w:num>
  <w:num w:numId="44">
    <w:abstractNumId w:val="12"/>
  </w:num>
  <w:num w:numId="45">
    <w:abstractNumId w:val="40"/>
  </w:num>
  <w:num w:numId="46">
    <w:abstractNumId w:val="0"/>
  </w:num>
  <w:num w:numId="47">
    <w:abstractNumId w:val="20"/>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eevzreit0ww9exdf2v05dqav0rxzxxap0s&quot;&gt;Secondary sources&lt;record-ids&gt;&lt;item&gt;1&lt;/item&gt;&lt;item&gt;2&lt;/item&gt;&lt;item&gt;22&lt;/item&gt;&lt;item&gt;24&lt;/item&gt;&lt;item&gt;25&lt;/item&gt;&lt;item&gt;26&lt;/item&gt;&lt;/record-ids&gt;&lt;/item&gt;&lt;item db-id=&quot;xpx59fr9nzvf9zeeswvx55zvrxrrwzwt529e&quot;&gt;malaria - general&lt;record-ids&gt;&lt;item&gt;1&lt;/item&gt;&lt;item&gt;48&lt;/item&gt;&lt;item&gt;66&lt;/item&gt;&lt;item&gt;67&lt;/item&gt;&lt;/record-ids&gt;&lt;/item&gt;&lt;/Libraries&gt;"/>
  </w:docVars>
  <w:rsids>
    <w:rsidRoot w:val="008A3474"/>
    <w:rsid w:val="00000164"/>
    <w:rsid w:val="00000547"/>
    <w:rsid w:val="000008BE"/>
    <w:rsid w:val="00000F7C"/>
    <w:rsid w:val="000018E0"/>
    <w:rsid w:val="000018FA"/>
    <w:rsid w:val="000037C6"/>
    <w:rsid w:val="00003D1D"/>
    <w:rsid w:val="000049CA"/>
    <w:rsid w:val="00004CC7"/>
    <w:rsid w:val="000063D5"/>
    <w:rsid w:val="00006565"/>
    <w:rsid w:val="00006C73"/>
    <w:rsid w:val="00006D3F"/>
    <w:rsid w:val="00007554"/>
    <w:rsid w:val="000103E1"/>
    <w:rsid w:val="00011790"/>
    <w:rsid w:val="000137EE"/>
    <w:rsid w:val="00013F12"/>
    <w:rsid w:val="00014552"/>
    <w:rsid w:val="000151F5"/>
    <w:rsid w:val="00016035"/>
    <w:rsid w:val="00016072"/>
    <w:rsid w:val="00016547"/>
    <w:rsid w:val="000170C6"/>
    <w:rsid w:val="00017976"/>
    <w:rsid w:val="00020B48"/>
    <w:rsid w:val="00020EDB"/>
    <w:rsid w:val="0002195F"/>
    <w:rsid w:val="00021A9C"/>
    <w:rsid w:val="00021E22"/>
    <w:rsid w:val="00021F52"/>
    <w:rsid w:val="00022181"/>
    <w:rsid w:val="00022607"/>
    <w:rsid w:val="00022ABB"/>
    <w:rsid w:val="0002389B"/>
    <w:rsid w:val="00023C5D"/>
    <w:rsid w:val="00024AC2"/>
    <w:rsid w:val="0002531D"/>
    <w:rsid w:val="000257CC"/>
    <w:rsid w:val="000259F8"/>
    <w:rsid w:val="0002607D"/>
    <w:rsid w:val="000262E0"/>
    <w:rsid w:val="000265B8"/>
    <w:rsid w:val="00027709"/>
    <w:rsid w:val="00027A27"/>
    <w:rsid w:val="00027C4E"/>
    <w:rsid w:val="00027CCC"/>
    <w:rsid w:val="00032934"/>
    <w:rsid w:val="00032DED"/>
    <w:rsid w:val="00033172"/>
    <w:rsid w:val="00033C01"/>
    <w:rsid w:val="00033FE0"/>
    <w:rsid w:val="000344CE"/>
    <w:rsid w:val="000348B0"/>
    <w:rsid w:val="000354D6"/>
    <w:rsid w:val="0003662A"/>
    <w:rsid w:val="00036AC2"/>
    <w:rsid w:val="000400FC"/>
    <w:rsid w:val="00041348"/>
    <w:rsid w:val="00042309"/>
    <w:rsid w:val="00043BC2"/>
    <w:rsid w:val="000457E8"/>
    <w:rsid w:val="00045928"/>
    <w:rsid w:val="00045F97"/>
    <w:rsid w:val="00046868"/>
    <w:rsid w:val="00046871"/>
    <w:rsid w:val="00047373"/>
    <w:rsid w:val="00047835"/>
    <w:rsid w:val="00047C75"/>
    <w:rsid w:val="000511CF"/>
    <w:rsid w:val="0005209D"/>
    <w:rsid w:val="00052925"/>
    <w:rsid w:val="00052D16"/>
    <w:rsid w:val="00053494"/>
    <w:rsid w:val="000534C9"/>
    <w:rsid w:val="00053C02"/>
    <w:rsid w:val="00054980"/>
    <w:rsid w:val="0005501D"/>
    <w:rsid w:val="00055438"/>
    <w:rsid w:val="0005670B"/>
    <w:rsid w:val="00056A3B"/>
    <w:rsid w:val="00056C55"/>
    <w:rsid w:val="00056CAA"/>
    <w:rsid w:val="00060C8A"/>
    <w:rsid w:val="00060CD6"/>
    <w:rsid w:val="000613E9"/>
    <w:rsid w:val="00061BD1"/>
    <w:rsid w:val="000621FD"/>
    <w:rsid w:val="00062FA4"/>
    <w:rsid w:val="00063F3C"/>
    <w:rsid w:val="00065B8B"/>
    <w:rsid w:val="00066189"/>
    <w:rsid w:val="000672F9"/>
    <w:rsid w:val="00070272"/>
    <w:rsid w:val="00070E8E"/>
    <w:rsid w:val="0007338B"/>
    <w:rsid w:val="00073923"/>
    <w:rsid w:val="00073E59"/>
    <w:rsid w:val="00075524"/>
    <w:rsid w:val="0007555C"/>
    <w:rsid w:val="00075D5C"/>
    <w:rsid w:val="00080226"/>
    <w:rsid w:val="0008039B"/>
    <w:rsid w:val="000817A7"/>
    <w:rsid w:val="00081A34"/>
    <w:rsid w:val="00081E01"/>
    <w:rsid w:val="00081FAF"/>
    <w:rsid w:val="00082180"/>
    <w:rsid w:val="00084512"/>
    <w:rsid w:val="00084C2D"/>
    <w:rsid w:val="00084E59"/>
    <w:rsid w:val="000850F0"/>
    <w:rsid w:val="00085F9A"/>
    <w:rsid w:val="0008651B"/>
    <w:rsid w:val="00086D26"/>
    <w:rsid w:val="00086E33"/>
    <w:rsid w:val="000877A3"/>
    <w:rsid w:val="00087D98"/>
    <w:rsid w:val="000904EC"/>
    <w:rsid w:val="00090B20"/>
    <w:rsid w:val="00090E1E"/>
    <w:rsid w:val="0009107C"/>
    <w:rsid w:val="000915AE"/>
    <w:rsid w:val="00091BC6"/>
    <w:rsid w:val="00091F2E"/>
    <w:rsid w:val="000923C8"/>
    <w:rsid w:val="00093A09"/>
    <w:rsid w:val="00093AD0"/>
    <w:rsid w:val="000948D7"/>
    <w:rsid w:val="00094C46"/>
    <w:rsid w:val="00095A96"/>
    <w:rsid w:val="0009649F"/>
    <w:rsid w:val="00096C3E"/>
    <w:rsid w:val="000977D8"/>
    <w:rsid w:val="00097B65"/>
    <w:rsid w:val="000A01E5"/>
    <w:rsid w:val="000A036A"/>
    <w:rsid w:val="000A043F"/>
    <w:rsid w:val="000A117B"/>
    <w:rsid w:val="000A2128"/>
    <w:rsid w:val="000A4228"/>
    <w:rsid w:val="000A47EF"/>
    <w:rsid w:val="000A4AED"/>
    <w:rsid w:val="000A6C5C"/>
    <w:rsid w:val="000B1FF2"/>
    <w:rsid w:val="000B2002"/>
    <w:rsid w:val="000B202E"/>
    <w:rsid w:val="000B2031"/>
    <w:rsid w:val="000B209E"/>
    <w:rsid w:val="000B28CA"/>
    <w:rsid w:val="000B292C"/>
    <w:rsid w:val="000B3C1C"/>
    <w:rsid w:val="000B55E1"/>
    <w:rsid w:val="000B5A75"/>
    <w:rsid w:val="000B6C43"/>
    <w:rsid w:val="000B772E"/>
    <w:rsid w:val="000C025F"/>
    <w:rsid w:val="000C0B16"/>
    <w:rsid w:val="000C0D39"/>
    <w:rsid w:val="000C179A"/>
    <w:rsid w:val="000C24CE"/>
    <w:rsid w:val="000C27E6"/>
    <w:rsid w:val="000C3913"/>
    <w:rsid w:val="000C3F5E"/>
    <w:rsid w:val="000C4EE0"/>
    <w:rsid w:val="000C52E4"/>
    <w:rsid w:val="000C67F1"/>
    <w:rsid w:val="000C71B5"/>
    <w:rsid w:val="000C7471"/>
    <w:rsid w:val="000D0421"/>
    <w:rsid w:val="000D0E68"/>
    <w:rsid w:val="000D10C5"/>
    <w:rsid w:val="000D1715"/>
    <w:rsid w:val="000D1B8E"/>
    <w:rsid w:val="000D416C"/>
    <w:rsid w:val="000D57FD"/>
    <w:rsid w:val="000D6C56"/>
    <w:rsid w:val="000D6DEA"/>
    <w:rsid w:val="000E01E4"/>
    <w:rsid w:val="000E040A"/>
    <w:rsid w:val="000E1015"/>
    <w:rsid w:val="000E239A"/>
    <w:rsid w:val="000E2D07"/>
    <w:rsid w:val="000E3577"/>
    <w:rsid w:val="000E37E1"/>
    <w:rsid w:val="000E39DC"/>
    <w:rsid w:val="000E4475"/>
    <w:rsid w:val="000E4593"/>
    <w:rsid w:val="000E4638"/>
    <w:rsid w:val="000E4C75"/>
    <w:rsid w:val="000E50E6"/>
    <w:rsid w:val="000E5580"/>
    <w:rsid w:val="000E62AA"/>
    <w:rsid w:val="000E656E"/>
    <w:rsid w:val="000E7247"/>
    <w:rsid w:val="000F1104"/>
    <w:rsid w:val="000F18F2"/>
    <w:rsid w:val="000F205A"/>
    <w:rsid w:val="000F258C"/>
    <w:rsid w:val="000F25E9"/>
    <w:rsid w:val="000F2881"/>
    <w:rsid w:val="000F29C7"/>
    <w:rsid w:val="000F4300"/>
    <w:rsid w:val="000F4BCC"/>
    <w:rsid w:val="000F50D6"/>
    <w:rsid w:val="000F56B2"/>
    <w:rsid w:val="000F7A79"/>
    <w:rsid w:val="000F7CFA"/>
    <w:rsid w:val="00100B72"/>
    <w:rsid w:val="00101085"/>
    <w:rsid w:val="00101A33"/>
    <w:rsid w:val="00101A59"/>
    <w:rsid w:val="00102086"/>
    <w:rsid w:val="00102116"/>
    <w:rsid w:val="00102470"/>
    <w:rsid w:val="00102785"/>
    <w:rsid w:val="00102F0E"/>
    <w:rsid w:val="0010412E"/>
    <w:rsid w:val="00105FED"/>
    <w:rsid w:val="00106007"/>
    <w:rsid w:val="00106E52"/>
    <w:rsid w:val="001070E5"/>
    <w:rsid w:val="0010746A"/>
    <w:rsid w:val="00107963"/>
    <w:rsid w:val="00107B6A"/>
    <w:rsid w:val="00110651"/>
    <w:rsid w:val="0011078C"/>
    <w:rsid w:val="0011087E"/>
    <w:rsid w:val="00111361"/>
    <w:rsid w:val="00111400"/>
    <w:rsid w:val="00113E68"/>
    <w:rsid w:val="0011464A"/>
    <w:rsid w:val="001157DA"/>
    <w:rsid w:val="00115C87"/>
    <w:rsid w:val="00116C01"/>
    <w:rsid w:val="00117553"/>
    <w:rsid w:val="00117DAE"/>
    <w:rsid w:val="00121EE1"/>
    <w:rsid w:val="001221F7"/>
    <w:rsid w:val="00123099"/>
    <w:rsid w:val="00124428"/>
    <w:rsid w:val="001245B4"/>
    <w:rsid w:val="001248CF"/>
    <w:rsid w:val="001253E0"/>
    <w:rsid w:val="00125D76"/>
    <w:rsid w:val="00126355"/>
    <w:rsid w:val="00126691"/>
    <w:rsid w:val="001267D3"/>
    <w:rsid w:val="00126B71"/>
    <w:rsid w:val="00126C89"/>
    <w:rsid w:val="001277D3"/>
    <w:rsid w:val="0012799E"/>
    <w:rsid w:val="00127C4C"/>
    <w:rsid w:val="00127E51"/>
    <w:rsid w:val="00131219"/>
    <w:rsid w:val="0013208B"/>
    <w:rsid w:val="001324F4"/>
    <w:rsid w:val="001325AC"/>
    <w:rsid w:val="00132DEC"/>
    <w:rsid w:val="00133603"/>
    <w:rsid w:val="00133681"/>
    <w:rsid w:val="0013369B"/>
    <w:rsid w:val="001336F1"/>
    <w:rsid w:val="0013390F"/>
    <w:rsid w:val="00134C4B"/>
    <w:rsid w:val="001375BE"/>
    <w:rsid w:val="001379CE"/>
    <w:rsid w:val="00137E66"/>
    <w:rsid w:val="00137E9D"/>
    <w:rsid w:val="00140813"/>
    <w:rsid w:val="00140AD1"/>
    <w:rsid w:val="00140B2F"/>
    <w:rsid w:val="00140BDF"/>
    <w:rsid w:val="00141762"/>
    <w:rsid w:val="00141CAC"/>
    <w:rsid w:val="00141DB1"/>
    <w:rsid w:val="001432A4"/>
    <w:rsid w:val="00143624"/>
    <w:rsid w:val="00143CD8"/>
    <w:rsid w:val="00144007"/>
    <w:rsid w:val="00144DC4"/>
    <w:rsid w:val="001450A2"/>
    <w:rsid w:val="0014526A"/>
    <w:rsid w:val="00146A8F"/>
    <w:rsid w:val="0014761F"/>
    <w:rsid w:val="0015003D"/>
    <w:rsid w:val="00150B84"/>
    <w:rsid w:val="00151148"/>
    <w:rsid w:val="001523E1"/>
    <w:rsid w:val="001536DD"/>
    <w:rsid w:val="001548D1"/>
    <w:rsid w:val="001564AA"/>
    <w:rsid w:val="001566DC"/>
    <w:rsid w:val="001566F4"/>
    <w:rsid w:val="00156816"/>
    <w:rsid w:val="001568D1"/>
    <w:rsid w:val="00156A5D"/>
    <w:rsid w:val="00157398"/>
    <w:rsid w:val="00160ED3"/>
    <w:rsid w:val="0016142F"/>
    <w:rsid w:val="00161FEB"/>
    <w:rsid w:val="0016219B"/>
    <w:rsid w:val="00162247"/>
    <w:rsid w:val="001623EA"/>
    <w:rsid w:val="00163877"/>
    <w:rsid w:val="00164479"/>
    <w:rsid w:val="00164655"/>
    <w:rsid w:val="001651BF"/>
    <w:rsid w:val="00165434"/>
    <w:rsid w:val="00166555"/>
    <w:rsid w:val="001679E5"/>
    <w:rsid w:val="00167EAE"/>
    <w:rsid w:val="001705F1"/>
    <w:rsid w:val="0017095D"/>
    <w:rsid w:val="0017147C"/>
    <w:rsid w:val="001715EC"/>
    <w:rsid w:val="00171CF3"/>
    <w:rsid w:val="00174BCA"/>
    <w:rsid w:val="00174E11"/>
    <w:rsid w:val="00175AE1"/>
    <w:rsid w:val="001761EC"/>
    <w:rsid w:val="00176CA7"/>
    <w:rsid w:val="00177A14"/>
    <w:rsid w:val="00177D3D"/>
    <w:rsid w:val="00180E0E"/>
    <w:rsid w:val="00181C1A"/>
    <w:rsid w:val="001822C6"/>
    <w:rsid w:val="00182882"/>
    <w:rsid w:val="00183D44"/>
    <w:rsid w:val="00184450"/>
    <w:rsid w:val="001846BB"/>
    <w:rsid w:val="00184BBF"/>
    <w:rsid w:val="00184C9D"/>
    <w:rsid w:val="0019059C"/>
    <w:rsid w:val="001921AE"/>
    <w:rsid w:val="00192525"/>
    <w:rsid w:val="00193B54"/>
    <w:rsid w:val="001942E4"/>
    <w:rsid w:val="00195733"/>
    <w:rsid w:val="0019587D"/>
    <w:rsid w:val="001959DC"/>
    <w:rsid w:val="00195A49"/>
    <w:rsid w:val="00195C81"/>
    <w:rsid w:val="00195D35"/>
    <w:rsid w:val="00195F39"/>
    <w:rsid w:val="00197C4D"/>
    <w:rsid w:val="001A05D6"/>
    <w:rsid w:val="001A1AA9"/>
    <w:rsid w:val="001A2405"/>
    <w:rsid w:val="001A254F"/>
    <w:rsid w:val="001A2554"/>
    <w:rsid w:val="001A2716"/>
    <w:rsid w:val="001A4145"/>
    <w:rsid w:val="001A474D"/>
    <w:rsid w:val="001A4D69"/>
    <w:rsid w:val="001A7089"/>
    <w:rsid w:val="001A7240"/>
    <w:rsid w:val="001A7338"/>
    <w:rsid w:val="001B05E7"/>
    <w:rsid w:val="001B062A"/>
    <w:rsid w:val="001B1F4D"/>
    <w:rsid w:val="001B2A00"/>
    <w:rsid w:val="001B2B35"/>
    <w:rsid w:val="001B2D17"/>
    <w:rsid w:val="001B36DB"/>
    <w:rsid w:val="001B3D6D"/>
    <w:rsid w:val="001B41DF"/>
    <w:rsid w:val="001B5098"/>
    <w:rsid w:val="001B57B9"/>
    <w:rsid w:val="001B5CB0"/>
    <w:rsid w:val="001B5CF6"/>
    <w:rsid w:val="001B6203"/>
    <w:rsid w:val="001B6D66"/>
    <w:rsid w:val="001B6E95"/>
    <w:rsid w:val="001B7BD1"/>
    <w:rsid w:val="001C00DD"/>
    <w:rsid w:val="001C0F19"/>
    <w:rsid w:val="001C1473"/>
    <w:rsid w:val="001C361A"/>
    <w:rsid w:val="001C3ACD"/>
    <w:rsid w:val="001C48EF"/>
    <w:rsid w:val="001C4C3B"/>
    <w:rsid w:val="001C4D71"/>
    <w:rsid w:val="001C50B6"/>
    <w:rsid w:val="001C5342"/>
    <w:rsid w:val="001C79CC"/>
    <w:rsid w:val="001D12A7"/>
    <w:rsid w:val="001D189B"/>
    <w:rsid w:val="001D2994"/>
    <w:rsid w:val="001D2C7B"/>
    <w:rsid w:val="001D3830"/>
    <w:rsid w:val="001D3C60"/>
    <w:rsid w:val="001D437F"/>
    <w:rsid w:val="001D51F4"/>
    <w:rsid w:val="001D6F04"/>
    <w:rsid w:val="001E1528"/>
    <w:rsid w:val="001E1F83"/>
    <w:rsid w:val="001E2610"/>
    <w:rsid w:val="001E271D"/>
    <w:rsid w:val="001E2811"/>
    <w:rsid w:val="001E31DC"/>
    <w:rsid w:val="001E334C"/>
    <w:rsid w:val="001E3A6C"/>
    <w:rsid w:val="001E5ACE"/>
    <w:rsid w:val="001E5D8F"/>
    <w:rsid w:val="001E6CA2"/>
    <w:rsid w:val="001E7916"/>
    <w:rsid w:val="001F0A8C"/>
    <w:rsid w:val="001F0E94"/>
    <w:rsid w:val="001F3389"/>
    <w:rsid w:val="001F3BF4"/>
    <w:rsid w:val="001F3E06"/>
    <w:rsid w:val="001F584B"/>
    <w:rsid w:val="001F6273"/>
    <w:rsid w:val="001F6F0C"/>
    <w:rsid w:val="001F797F"/>
    <w:rsid w:val="002000BD"/>
    <w:rsid w:val="002005A4"/>
    <w:rsid w:val="0020105B"/>
    <w:rsid w:val="00201EB1"/>
    <w:rsid w:val="00202119"/>
    <w:rsid w:val="0020287D"/>
    <w:rsid w:val="00202FE0"/>
    <w:rsid w:val="00203C1D"/>
    <w:rsid w:val="00204652"/>
    <w:rsid w:val="002047F7"/>
    <w:rsid w:val="0020505C"/>
    <w:rsid w:val="002055A7"/>
    <w:rsid w:val="00206515"/>
    <w:rsid w:val="002073C3"/>
    <w:rsid w:val="00210F0E"/>
    <w:rsid w:val="002129A2"/>
    <w:rsid w:val="00212BA6"/>
    <w:rsid w:val="002134D3"/>
    <w:rsid w:val="0021357B"/>
    <w:rsid w:val="00214A39"/>
    <w:rsid w:val="002170AF"/>
    <w:rsid w:val="0021787F"/>
    <w:rsid w:val="00221106"/>
    <w:rsid w:val="0022130C"/>
    <w:rsid w:val="002215BB"/>
    <w:rsid w:val="00222215"/>
    <w:rsid w:val="00222C9F"/>
    <w:rsid w:val="00223306"/>
    <w:rsid w:val="00223349"/>
    <w:rsid w:val="0022358D"/>
    <w:rsid w:val="00223625"/>
    <w:rsid w:val="002240E9"/>
    <w:rsid w:val="002248BD"/>
    <w:rsid w:val="002261C8"/>
    <w:rsid w:val="00226EA6"/>
    <w:rsid w:val="00226EC3"/>
    <w:rsid w:val="0022745C"/>
    <w:rsid w:val="002276AD"/>
    <w:rsid w:val="00227E62"/>
    <w:rsid w:val="0023005A"/>
    <w:rsid w:val="0023046C"/>
    <w:rsid w:val="00230491"/>
    <w:rsid w:val="002308E6"/>
    <w:rsid w:val="002322DE"/>
    <w:rsid w:val="00233565"/>
    <w:rsid w:val="002342CB"/>
    <w:rsid w:val="00235F13"/>
    <w:rsid w:val="002364AA"/>
    <w:rsid w:val="0023753B"/>
    <w:rsid w:val="00240C9D"/>
    <w:rsid w:val="0024245D"/>
    <w:rsid w:val="00242E69"/>
    <w:rsid w:val="00245FF5"/>
    <w:rsid w:val="0024667D"/>
    <w:rsid w:val="00247511"/>
    <w:rsid w:val="002475C9"/>
    <w:rsid w:val="002504FC"/>
    <w:rsid w:val="00250B74"/>
    <w:rsid w:val="002515F6"/>
    <w:rsid w:val="00251D97"/>
    <w:rsid w:val="00253C69"/>
    <w:rsid w:val="00253D33"/>
    <w:rsid w:val="00253DFF"/>
    <w:rsid w:val="00254ABA"/>
    <w:rsid w:val="002553F3"/>
    <w:rsid w:val="002554FF"/>
    <w:rsid w:val="002564E7"/>
    <w:rsid w:val="002601A4"/>
    <w:rsid w:val="0026045A"/>
    <w:rsid w:val="002619AD"/>
    <w:rsid w:val="002625DD"/>
    <w:rsid w:val="00262643"/>
    <w:rsid w:val="00262AB6"/>
    <w:rsid w:val="00263014"/>
    <w:rsid w:val="002632DC"/>
    <w:rsid w:val="0026400B"/>
    <w:rsid w:val="002657E9"/>
    <w:rsid w:val="002662AA"/>
    <w:rsid w:val="00266F6A"/>
    <w:rsid w:val="00270032"/>
    <w:rsid w:val="00270111"/>
    <w:rsid w:val="0027016A"/>
    <w:rsid w:val="002702BF"/>
    <w:rsid w:val="0027075D"/>
    <w:rsid w:val="0027081E"/>
    <w:rsid w:val="00271C7E"/>
    <w:rsid w:val="002720AD"/>
    <w:rsid w:val="00272BD8"/>
    <w:rsid w:val="002732D6"/>
    <w:rsid w:val="00273643"/>
    <w:rsid w:val="00273818"/>
    <w:rsid w:val="00274BE2"/>
    <w:rsid w:val="002752D5"/>
    <w:rsid w:val="00275702"/>
    <w:rsid w:val="002766CE"/>
    <w:rsid w:val="00277293"/>
    <w:rsid w:val="002779B1"/>
    <w:rsid w:val="00281657"/>
    <w:rsid w:val="00281B6F"/>
    <w:rsid w:val="00281F97"/>
    <w:rsid w:val="002821F5"/>
    <w:rsid w:val="00282206"/>
    <w:rsid w:val="00282800"/>
    <w:rsid w:val="00282FD1"/>
    <w:rsid w:val="00283284"/>
    <w:rsid w:val="002838CE"/>
    <w:rsid w:val="00283FE2"/>
    <w:rsid w:val="002841D9"/>
    <w:rsid w:val="00284780"/>
    <w:rsid w:val="00285338"/>
    <w:rsid w:val="00285C2A"/>
    <w:rsid w:val="00285F66"/>
    <w:rsid w:val="0028613D"/>
    <w:rsid w:val="0028691B"/>
    <w:rsid w:val="00287295"/>
    <w:rsid w:val="002872BA"/>
    <w:rsid w:val="0029071C"/>
    <w:rsid w:val="00291CF5"/>
    <w:rsid w:val="00292896"/>
    <w:rsid w:val="00292A09"/>
    <w:rsid w:val="00292AA8"/>
    <w:rsid w:val="00292BBD"/>
    <w:rsid w:val="002932DF"/>
    <w:rsid w:val="0029450F"/>
    <w:rsid w:val="00295D87"/>
    <w:rsid w:val="002A0050"/>
    <w:rsid w:val="002A00CA"/>
    <w:rsid w:val="002A035B"/>
    <w:rsid w:val="002A1529"/>
    <w:rsid w:val="002A1B0B"/>
    <w:rsid w:val="002A1F5A"/>
    <w:rsid w:val="002A1FCB"/>
    <w:rsid w:val="002A20D7"/>
    <w:rsid w:val="002A2EA1"/>
    <w:rsid w:val="002A31AB"/>
    <w:rsid w:val="002A3623"/>
    <w:rsid w:val="002A3A91"/>
    <w:rsid w:val="002A3FF1"/>
    <w:rsid w:val="002A4177"/>
    <w:rsid w:val="002A5251"/>
    <w:rsid w:val="002A55D9"/>
    <w:rsid w:val="002A5686"/>
    <w:rsid w:val="002A63BC"/>
    <w:rsid w:val="002A6EB8"/>
    <w:rsid w:val="002A783C"/>
    <w:rsid w:val="002A79E6"/>
    <w:rsid w:val="002A7EE4"/>
    <w:rsid w:val="002B111A"/>
    <w:rsid w:val="002B28E8"/>
    <w:rsid w:val="002B2B6E"/>
    <w:rsid w:val="002B2FF8"/>
    <w:rsid w:val="002B3297"/>
    <w:rsid w:val="002B35BF"/>
    <w:rsid w:val="002B3675"/>
    <w:rsid w:val="002B3BDA"/>
    <w:rsid w:val="002B4088"/>
    <w:rsid w:val="002B456A"/>
    <w:rsid w:val="002B4D5C"/>
    <w:rsid w:val="002B56C3"/>
    <w:rsid w:val="002B5B78"/>
    <w:rsid w:val="002B5D0D"/>
    <w:rsid w:val="002B639F"/>
    <w:rsid w:val="002C0A30"/>
    <w:rsid w:val="002C0CFF"/>
    <w:rsid w:val="002C1ABF"/>
    <w:rsid w:val="002C30DD"/>
    <w:rsid w:val="002C4090"/>
    <w:rsid w:val="002C463B"/>
    <w:rsid w:val="002C5021"/>
    <w:rsid w:val="002C513F"/>
    <w:rsid w:val="002C5E0B"/>
    <w:rsid w:val="002C73BB"/>
    <w:rsid w:val="002D0953"/>
    <w:rsid w:val="002D1F39"/>
    <w:rsid w:val="002D21EA"/>
    <w:rsid w:val="002D41C6"/>
    <w:rsid w:val="002D567A"/>
    <w:rsid w:val="002D60BC"/>
    <w:rsid w:val="002D6DC9"/>
    <w:rsid w:val="002D6DFB"/>
    <w:rsid w:val="002D6F15"/>
    <w:rsid w:val="002D7A70"/>
    <w:rsid w:val="002E0078"/>
    <w:rsid w:val="002E0387"/>
    <w:rsid w:val="002E131D"/>
    <w:rsid w:val="002E1A96"/>
    <w:rsid w:val="002E1BB9"/>
    <w:rsid w:val="002E1F44"/>
    <w:rsid w:val="002E1F6D"/>
    <w:rsid w:val="002E31F4"/>
    <w:rsid w:val="002E4238"/>
    <w:rsid w:val="002E555A"/>
    <w:rsid w:val="002E5AB9"/>
    <w:rsid w:val="002E5BC0"/>
    <w:rsid w:val="002E5D29"/>
    <w:rsid w:val="002E6692"/>
    <w:rsid w:val="002E6C2A"/>
    <w:rsid w:val="002E6C6C"/>
    <w:rsid w:val="002E7712"/>
    <w:rsid w:val="002E7CF4"/>
    <w:rsid w:val="002E7D08"/>
    <w:rsid w:val="002F0110"/>
    <w:rsid w:val="002F0632"/>
    <w:rsid w:val="002F10E6"/>
    <w:rsid w:val="002F142D"/>
    <w:rsid w:val="002F14FB"/>
    <w:rsid w:val="002F15A7"/>
    <w:rsid w:val="002F190A"/>
    <w:rsid w:val="002F19E0"/>
    <w:rsid w:val="002F3DFC"/>
    <w:rsid w:val="002F5731"/>
    <w:rsid w:val="002F6ACD"/>
    <w:rsid w:val="002F7508"/>
    <w:rsid w:val="00300F4B"/>
    <w:rsid w:val="0030247F"/>
    <w:rsid w:val="00302897"/>
    <w:rsid w:val="00302F17"/>
    <w:rsid w:val="003038E1"/>
    <w:rsid w:val="00305F20"/>
    <w:rsid w:val="00306C78"/>
    <w:rsid w:val="00306E3E"/>
    <w:rsid w:val="0030710F"/>
    <w:rsid w:val="0031046D"/>
    <w:rsid w:val="003107E4"/>
    <w:rsid w:val="00310856"/>
    <w:rsid w:val="00310D8F"/>
    <w:rsid w:val="003117AD"/>
    <w:rsid w:val="00311A3B"/>
    <w:rsid w:val="00311B7B"/>
    <w:rsid w:val="00312394"/>
    <w:rsid w:val="003123B1"/>
    <w:rsid w:val="0031510A"/>
    <w:rsid w:val="003153FC"/>
    <w:rsid w:val="003155C5"/>
    <w:rsid w:val="0031578A"/>
    <w:rsid w:val="00315E35"/>
    <w:rsid w:val="00316CB6"/>
    <w:rsid w:val="00317D92"/>
    <w:rsid w:val="00320535"/>
    <w:rsid w:val="0032150E"/>
    <w:rsid w:val="003227CF"/>
    <w:rsid w:val="00324244"/>
    <w:rsid w:val="003247B9"/>
    <w:rsid w:val="0032492B"/>
    <w:rsid w:val="00324CB3"/>
    <w:rsid w:val="003260DF"/>
    <w:rsid w:val="003265CE"/>
    <w:rsid w:val="00326A7F"/>
    <w:rsid w:val="0032734F"/>
    <w:rsid w:val="00330541"/>
    <w:rsid w:val="00330E13"/>
    <w:rsid w:val="0033136A"/>
    <w:rsid w:val="0033221D"/>
    <w:rsid w:val="00333208"/>
    <w:rsid w:val="00333A54"/>
    <w:rsid w:val="003345F1"/>
    <w:rsid w:val="00334735"/>
    <w:rsid w:val="00334B1D"/>
    <w:rsid w:val="003352C9"/>
    <w:rsid w:val="00336862"/>
    <w:rsid w:val="00336939"/>
    <w:rsid w:val="0033711A"/>
    <w:rsid w:val="00337876"/>
    <w:rsid w:val="00340ECB"/>
    <w:rsid w:val="00340F44"/>
    <w:rsid w:val="00343AD3"/>
    <w:rsid w:val="00344706"/>
    <w:rsid w:val="003455BA"/>
    <w:rsid w:val="00345D3D"/>
    <w:rsid w:val="00346667"/>
    <w:rsid w:val="003466EB"/>
    <w:rsid w:val="0034720E"/>
    <w:rsid w:val="0034750B"/>
    <w:rsid w:val="00347D4A"/>
    <w:rsid w:val="003518E8"/>
    <w:rsid w:val="00351BF6"/>
    <w:rsid w:val="00352B8A"/>
    <w:rsid w:val="00352D3F"/>
    <w:rsid w:val="0035379D"/>
    <w:rsid w:val="00353D8C"/>
    <w:rsid w:val="00354B6B"/>
    <w:rsid w:val="00355472"/>
    <w:rsid w:val="00355A50"/>
    <w:rsid w:val="00356383"/>
    <w:rsid w:val="003564A0"/>
    <w:rsid w:val="00356603"/>
    <w:rsid w:val="00356610"/>
    <w:rsid w:val="00356848"/>
    <w:rsid w:val="0035691B"/>
    <w:rsid w:val="00356B7C"/>
    <w:rsid w:val="003571AF"/>
    <w:rsid w:val="0036046F"/>
    <w:rsid w:val="00360A0C"/>
    <w:rsid w:val="003615C2"/>
    <w:rsid w:val="00362427"/>
    <w:rsid w:val="00363204"/>
    <w:rsid w:val="00364F9B"/>
    <w:rsid w:val="00365744"/>
    <w:rsid w:val="003657B6"/>
    <w:rsid w:val="003669B8"/>
    <w:rsid w:val="0036745F"/>
    <w:rsid w:val="00371868"/>
    <w:rsid w:val="00372128"/>
    <w:rsid w:val="0037290F"/>
    <w:rsid w:val="00372981"/>
    <w:rsid w:val="00374C37"/>
    <w:rsid w:val="00374EBC"/>
    <w:rsid w:val="0037563E"/>
    <w:rsid w:val="00375DA9"/>
    <w:rsid w:val="00376786"/>
    <w:rsid w:val="003776AF"/>
    <w:rsid w:val="00380263"/>
    <w:rsid w:val="00380D21"/>
    <w:rsid w:val="003811A1"/>
    <w:rsid w:val="00382262"/>
    <w:rsid w:val="0038384A"/>
    <w:rsid w:val="00383F66"/>
    <w:rsid w:val="003842D3"/>
    <w:rsid w:val="0038479A"/>
    <w:rsid w:val="00384BE4"/>
    <w:rsid w:val="00384DCA"/>
    <w:rsid w:val="00385FE6"/>
    <w:rsid w:val="003865E8"/>
    <w:rsid w:val="00386BFD"/>
    <w:rsid w:val="0038759C"/>
    <w:rsid w:val="00387A4D"/>
    <w:rsid w:val="00387E27"/>
    <w:rsid w:val="00390692"/>
    <w:rsid w:val="00390F4A"/>
    <w:rsid w:val="0039124B"/>
    <w:rsid w:val="00391250"/>
    <w:rsid w:val="003917E4"/>
    <w:rsid w:val="003925FB"/>
    <w:rsid w:val="00392B9C"/>
    <w:rsid w:val="003930EE"/>
    <w:rsid w:val="00393D77"/>
    <w:rsid w:val="00395094"/>
    <w:rsid w:val="0039529C"/>
    <w:rsid w:val="00395834"/>
    <w:rsid w:val="003962F8"/>
    <w:rsid w:val="003965D5"/>
    <w:rsid w:val="003974FC"/>
    <w:rsid w:val="0039757B"/>
    <w:rsid w:val="00397619"/>
    <w:rsid w:val="003A0A74"/>
    <w:rsid w:val="003A0AFD"/>
    <w:rsid w:val="003A1EEF"/>
    <w:rsid w:val="003A3650"/>
    <w:rsid w:val="003A3B0B"/>
    <w:rsid w:val="003A4130"/>
    <w:rsid w:val="003A42D5"/>
    <w:rsid w:val="003A5362"/>
    <w:rsid w:val="003A596D"/>
    <w:rsid w:val="003A764F"/>
    <w:rsid w:val="003A778C"/>
    <w:rsid w:val="003B0110"/>
    <w:rsid w:val="003B06DD"/>
    <w:rsid w:val="003B0E0B"/>
    <w:rsid w:val="003B1EEE"/>
    <w:rsid w:val="003B2BC2"/>
    <w:rsid w:val="003B2CE7"/>
    <w:rsid w:val="003B2DD2"/>
    <w:rsid w:val="003B3DA0"/>
    <w:rsid w:val="003B50CE"/>
    <w:rsid w:val="003B5665"/>
    <w:rsid w:val="003B6082"/>
    <w:rsid w:val="003B678A"/>
    <w:rsid w:val="003B711B"/>
    <w:rsid w:val="003B754B"/>
    <w:rsid w:val="003C0F95"/>
    <w:rsid w:val="003C14D7"/>
    <w:rsid w:val="003C2A99"/>
    <w:rsid w:val="003C3D46"/>
    <w:rsid w:val="003C444B"/>
    <w:rsid w:val="003C476D"/>
    <w:rsid w:val="003C5182"/>
    <w:rsid w:val="003C6131"/>
    <w:rsid w:val="003C61F8"/>
    <w:rsid w:val="003C6291"/>
    <w:rsid w:val="003C6FE6"/>
    <w:rsid w:val="003D00BA"/>
    <w:rsid w:val="003D0457"/>
    <w:rsid w:val="003D0E48"/>
    <w:rsid w:val="003D1044"/>
    <w:rsid w:val="003D1D69"/>
    <w:rsid w:val="003D21CB"/>
    <w:rsid w:val="003D2A3F"/>
    <w:rsid w:val="003D474D"/>
    <w:rsid w:val="003D5AD9"/>
    <w:rsid w:val="003D6911"/>
    <w:rsid w:val="003D69CD"/>
    <w:rsid w:val="003D6A75"/>
    <w:rsid w:val="003D6B98"/>
    <w:rsid w:val="003D6F0C"/>
    <w:rsid w:val="003D747A"/>
    <w:rsid w:val="003D79DD"/>
    <w:rsid w:val="003D7A5F"/>
    <w:rsid w:val="003E0A74"/>
    <w:rsid w:val="003E4906"/>
    <w:rsid w:val="003E4B35"/>
    <w:rsid w:val="003E5095"/>
    <w:rsid w:val="003E67B0"/>
    <w:rsid w:val="003E7075"/>
    <w:rsid w:val="003E7682"/>
    <w:rsid w:val="003F353A"/>
    <w:rsid w:val="003F3E7E"/>
    <w:rsid w:val="003F4364"/>
    <w:rsid w:val="003F6C1E"/>
    <w:rsid w:val="003F794B"/>
    <w:rsid w:val="004003BD"/>
    <w:rsid w:val="004008CB"/>
    <w:rsid w:val="0040181A"/>
    <w:rsid w:val="0040184C"/>
    <w:rsid w:val="00402784"/>
    <w:rsid w:val="00403D0C"/>
    <w:rsid w:val="00404766"/>
    <w:rsid w:val="004051AE"/>
    <w:rsid w:val="004058CE"/>
    <w:rsid w:val="0040636E"/>
    <w:rsid w:val="0040644A"/>
    <w:rsid w:val="00407FE5"/>
    <w:rsid w:val="004111F1"/>
    <w:rsid w:val="0041126D"/>
    <w:rsid w:val="00411328"/>
    <w:rsid w:val="0041163F"/>
    <w:rsid w:val="0041194B"/>
    <w:rsid w:val="00411B68"/>
    <w:rsid w:val="004121CF"/>
    <w:rsid w:val="00413269"/>
    <w:rsid w:val="00413A99"/>
    <w:rsid w:val="00414208"/>
    <w:rsid w:val="00414848"/>
    <w:rsid w:val="00414F49"/>
    <w:rsid w:val="00415B60"/>
    <w:rsid w:val="00415FA3"/>
    <w:rsid w:val="00417052"/>
    <w:rsid w:val="00417111"/>
    <w:rsid w:val="004173E0"/>
    <w:rsid w:val="0042072B"/>
    <w:rsid w:val="0042085D"/>
    <w:rsid w:val="00420B81"/>
    <w:rsid w:val="00421403"/>
    <w:rsid w:val="004215DF"/>
    <w:rsid w:val="00421909"/>
    <w:rsid w:val="0042199A"/>
    <w:rsid w:val="00421C69"/>
    <w:rsid w:val="00422B0F"/>
    <w:rsid w:val="004252A4"/>
    <w:rsid w:val="0042554D"/>
    <w:rsid w:val="004276B1"/>
    <w:rsid w:val="004278C0"/>
    <w:rsid w:val="0043005B"/>
    <w:rsid w:val="0043050D"/>
    <w:rsid w:val="004308FD"/>
    <w:rsid w:val="00431939"/>
    <w:rsid w:val="0043203C"/>
    <w:rsid w:val="0043219E"/>
    <w:rsid w:val="0043368D"/>
    <w:rsid w:val="0043371F"/>
    <w:rsid w:val="00433D86"/>
    <w:rsid w:val="00433F2D"/>
    <w:rsid w:val="00434724"/>
    <w:rsid w:val="004352BE"/>
    <w:rsid w:val="00435B88"/>
    <w:rsid w:val="00436641"/>
    <w:rsid w:val="0043687A"/>
    <w:rsid w:val="004368B1"/>
    <w:rsid w:val="00437D5A"/>
    <w:rsid w:val="00440691"/>
    <w:rsid w:val="00440E54"/>
    <w:rsid w:val="0044114E"/>
    <w:rsid w:val="0044148A"/>
    <w:rsid w:val="00441631"/>
    <w:rsid w:val="00441D86"/>
    <w:rsid w:val="0044326E"/>
    <w:rsid w:val="00443DE1"/>
    <w:rsid w:val="00444EAD"/>
    <w:rsid w:val="00446092"/>
    <w:rsid w:val="004472A0"/>
    <w:rsid w:val="00447A60"/>
    <w:rsid w:val="00450704"/>
    <w:rsid w:val="00452459"/>
    <w:rsid w:val="00453A5D"/>
    <w:rsid w:val="00453B63"/>
    <w:rsid w:val="00454338"/>
    <w:rsid w:val="00454B69"/>
    <w:rsid w:val="004566F0"/>
    <w:rsid w:val="00456F3F"/>
    <w:rsid w:val="00457226"/>
    <w:rsid w:val="00460099"/>
    <w:rsid w:val="004608F3"/>
    <w:rsid w:val="00460C1E"/>
    <w:rsid w:val="00460E80"/>
    <w:rsid w:val="004627E7"/>
    <w:rsid w:val="00462CE1"/>
    <w:rsid w:val="00463D1D"/>
    <w:rsid w:val="0046508B"/>
    <w:rsid w:val="004661BB"/>
    <w:rsid w:val="00466D3A"/>
    <w:rsid w:val="00466E2B"/>
    <w:rsid w:val="00467637"/>
    <w:rsid w:val="00467773"/>
    <w:rsid w:val="00470736"/>
    <w:rsid w:val="0047089D"/>
    <w:rsid w:val="00471351"/>
    <w:rsid w:val="004718DB"/>
    <w:rsid w:val="004732F0"/>
    <w:rsid w:val="00473A32"/>
    <w:rsid w:val="00473FF9"/>
    <w:rsid w:val="004742DA"/>
    <w:rsid w:val="00474611"/>
    <w:rsid w:val="0047464C"/>
    <w:rsid w:val="00474A55"/>
    <w:rsid w:val="00475CB6"/>
    <w:rsid w:val="004773FE"/>
    <w:rsid w:val="00477458"/>
    <w:rsid w:val="004776B5"/>
    <w:rsid w:val="00477C09"/>
    <w:rsid w:val="004810C9"/>
    <w:rsid w:val="00481994"/>
    <w:rsid w:val="00481CC7"/>
    <w:rsid w:val="00482075"/>
    <w:rsid w:val="00483B91"/>
    <w:rsid w:val="00484575"/>
    <w:rsid w:val="004856AA"/>
    <w:rsid w:val="00486A88"/>
    <w:rsid w:val="00486ADA"/>
    <w:rsid w:val="00486DEF"/>
    <w:rsid w:val="00486FA0"/>
    <w:rsid w:val="00487A84"/>
    <w:rsid w:val="00487B93"/>
    <w:rsid w:val="00487D5D"/>
    <w:rsid w:val="004901C2"/>
    <w:rsid w:val="00491355"/>
    <w:rsid w:val="00491819"/>
    <w:rsid w:val="00492B0F"/>
    <w:rsid w:val="00492D1A"/>
    <w:rsid w:val="004935B8"/>
    <w:rsid w:val="004938C6"/>
    <w:rsid w:val="00494607"/>
    <w:rsid w:val="00494A68"/>
    <w:rsid w:val="00494D2D"/>
    <w:rsid w:val="00495E57"/>
    <w:rsid w:val="004962C4"/>
    <w:rsid w:val="0049659F"/>
    <w:rsid w:val="00497743"/>
    <w:rsid w:val="004978D8"/>
    <w:rsid w:val="00497EB9"/>
    <w:rsid w:val="004A0A56"/>
    <w:rsid w:val="004A0B12"/>
    <w:rsid w:val="004A0DD2"/>
    <w:rsid w:val="004A4205"/>
    <w:rsid w:val="004A6103"/>
    <w:rsid w:val="004A6C3C"/>
    <w:rsid w:val="004B11C9"/>
    <w:rsid w:val="004B1724"/>
    <w:rsid w:val="004B207C"/>
    <w:rsid w:val="004B2987"/>
    <w:rsid w:val="004B29FE"/>
    <w:rsid w:val="004B2B75"/>
    <w:rsid w:val="004B2CC0"/>
    <w:rsid w:val="004B3F86"/>
    <w:rsid w:val="004B4143"/>
    <w:rsid w:val="004B49B1"/>
    <w:rsid w:val="004B4CE3"/>
    <w:rsid w:val="004B60A2"/>
    <w:rsid w:val="004B6249"/>
    <w:rsid w:val="004C02F4"/>
    <w:rsid w:val="004C096F"/>
    <w:rsid w:val="004C13C9"/>
    <w:rsid w:val="004C1841"/>
    <w:rsid w:val="004C1AB3"/>
    <w:rsid w:val="004C20EB"/>
    <w:rsid w:val="004C2B76"/>
    <w:rsid w:val="004C4C36"/>
    <w:rsid w:val="004C6279"/>
    <w:rsid w:val="004C7544"/>
    <w:rsid w:val="004C7E51"/>
    <w:rsid w:val="004D00FB"/>
    <w:rsid w:val="004D0614"/>
    <w:rsid w:val="004D082B"/>
    <w:rsid w:val="004D11F0"/>
    <w:rsid w:val="004D167B"/>
    <w:rsid w:val="004D1CD4"/>
    <w:rsid w:val="004D2764"/>
    <w:rsid w:val="004D2BD2"/>
    <w:rsid w:val="004D38F4"/>
    <w:rsid w:val="004D3CE8"/>
    <w:rsid w:val="004D3F1E"/>
    <w:rsid w:val="004D465B"/>
    <w:rsid w:val="004D5269"/>
    <w:rsid w:val="004D5DEE"/>
    <w:rsid w:val="004D5F0A"/>
    <w:rsid w:val="004D67B0"/>
    <w:rsid w:val="004D6CA1"/>
    <w:rsid w:val="004E0099"/>
    <w:rsid w:val="004E13A4"/>
    <w:rsid w:val="004E1451"/>
    <w:rsid w:val="004E2A1D"/>
    <w:rsid w:val="004E30D9"/>
    <w:rsid w:val="004E3AA7"/>
    <w:rsid w:val="004E420D"/>
    <w:rsid w:val="004E4D61"/>
    <w:rsid w:val="004E5138"/>
    <w:rsid w:val="004E5A10"/>
    <w:rsid w:val="004E5AFB"/>
    <w:rsid w:val="004E6587"/>
    <w:rsid w:val="004E682B"/>
    <w:rsid w:val="004F26A4"/>
    <w:rsid w:val="004F2C9A"/>
    <w:rsid w:val="004F31FC"/>
    <w:rsid w:val="004F501A"/>
    <w:rsid w:val="004F5227"/>
    <w:rsid w:val="004F69ED"/>
    <w:rsid w:val="004F76BC"/>
    <w:rsid w:val="004F79E7"/>
    <w:rsid w:val="005005B7"/>
    <w:rsid w:val="005016FF"/>
    <w:rsid w:val="005024EA"/>
    <w:rsid w:val="00503149"/>
    <w:rsid w:val="00504257"/>
    <w:rsid w:val="005047F0"/>
    <w:rsid w:val="00504C81"/>
    <w:rsid w:val="00504D0A"/>
    <w:rsid w:val="0050568F"/>
    <w:rsid w:val="0050574B"/>
    <w:rsid w:val="0050698C"/>
    <w:rsid w:val="0050748D"/>
    <w:rsid w:val="0051170A"/>
    <w:rsid w:val="00511F79"/>
    <w:rsid w:val="00512720"/>
    <w:rsid w:val="00512877"/>
    <w:rsid w:val="00513A76"/>
    <w:rsid w:val="00513BAD"/>
    <w:rsid w:val="005150E4"/>
    <w:rsid w:val="0051553F"/>
    <w:rsid w:val="00515854"/>
    <w:rsid w:val="005159E7"/>
    <w:rsid w:val="00515D66"/>
    <w:rsid w:val="00516692"/>
    <w:rsid w:val="00516A7B"/>
    <w:rsid w:val="00516A99"/>
    <w:rsid w:val="00516ACA"/>
    <w:rsid w:val="005171D9"/>
    <w:rsid w:val="005175FE"/>
    <w:rsid w:val="005205C7"/>
    <w:rsid w:val="00520F4F"/>
    <w:rsid w:val="00521F30"/>
    <w:rsid w:val="005221DA"/>
    <w:rsid w:val="005225EC"/>
    <w:rsid w:val="005238BC"/>
    <w:rsid w:val="00523ADB"/>
    <w:rsid w:val="005258DD"/>
    <w:rsid w:val="00525BD1"/>
    <w:rsid w:val="005265C7"/>
    <w:rsid w:val="005266E1"/>
    <w:rsid w:val="00526765"/>
    <w:rsid w:val="00527A58"/>
    <w:rsid w:val="00527F50"/>
    <w:rsid w:val="00530DD9"/>
    <w:rsid w:val="00531DC6"/>
    <w:rsid w:val="00532108"/>
    <w:rsid w:val="005326D4"/>
    <w:rsid w:val="00532897"/>
    <w:rsid w:val="00532D22"/>
    <w:rsid w:val="0053367B"/>
    <w:rsid w:val="00533D25"/>
    <w:rsid w:val="00533D76"/>
    <w:rsid w:val="0053416F"/>
    <w:rsid w:val="0053530F"/>
    <w:rsid w:val="00536580"/>
    <w:rsid w:val="00536CB2"/>
    <w:rsid w:val="005377C6"/>
    <w:rsid w:val="00537D03"/>
    <w:rsid w:val="00540F82"/>
    <w:rsid w:val="005418BD"/>
    <w:rsid w:val="00541967"/>
    <w:rsid w:val="0054196E"/>
    <w:rsid w:val="00541CB8"/>
    <w:rsid w:val="00541F17"/>
    <w:rsid w:val="00542ED1"/>
    <w:rsid w:val="005434C2"/>
    <w:rsid w:val="00543926"/>
    <w:rsid w:val="00543FB1"/>
    <w:rsid w:val="005446F5"/>
    <w:rsid w:val="005454CC"/>
    <w:rsid w:val="00545D16"/>
    <w:rsid w:val="00546798"/>
    <w:rsid w:val="00546890"/>
    <w:rsid w:val="00546AB2"/>
    <w:rsid w:val="00550487"/>
    <w:rsid w:val="0055090C"/>
    <w:rsid w:val="00552EBF"/>
    <w:rsid w:val="00553BA4"/>
    <w:rsid w:val="00554053"/>
    <w:rsid w:val="00554622"/>
    <w:rsid w:val="00555A63"/>
    <w:rsid w:val="00555FAB"/>
    <w:rsid w:val="00557536"/>
    <w:rsid w:val="005577A5"/>
    <w:rsid w:val="005604FA"/>
    <w:rsid w:val="00560B02"/>
    <w:rsid w:val="00560FE5"/>
    <w:rsid w:val="00562256"/>
    <w:rsid w:val="00563134"/>
    <w:rsid w:val="00563ADA"/>
    <w:rsid w:val="0056631A"/>
    <w:rsid w:val="00566404"/>
    <w:rsid w:val="00566AF3"/>
    <w:rsid w:val="00571141"/>
    <w:rsid w:val="00571D96"/>
    <w:rsid w:val="005733B7"/>
    <w:rsid w:val="00573D7B"/>
    <w:rsid w:val="005741EB"/>
    <w:rsid w:val="00575A83"/>
    <w:rsid w:val="005764A2"/>
    <w:rsid w:val="005772FD"/>
    <w:rsid w:val="00577E5D"/>
    <w:rsid w:val="00581471"/>
    <w:rsid w:val="00581761"/>
    <w:rsid w:val="00581CF3"/>
    <w:rsid w:val="00582197"/>
    <w:rsid w:val="0058298F"/>
    <w:rsid w:val="005837C9"/>
    <w:rsid w:val="00583B93"/>
    <w:rsid w:val="00583C21"/>
    <w:rsid w:val="00584134"/>
    <w:rsid w:val="00584788"/>
    <w:rsid w:val="00584D92"/>
    <w:rsid w:val="00585297"/>
    <w:rsid w:val="00586746"/>
    <w:rsid w:val="00586C37"/>
    <w:rsid w:val="00587F76"/>
    <w:rsid w:val="00590635"/>
    <w:rsid w:val="005909BE"/>
    <w:rsid w:val="00590D55"/>
    <w:rsid w:val="00592199"/>
    <w:rsid w:val="005933E6"/>
    <w:rsid w:val="0059556F"/>
    <w:rsid w:val="00596A0C"/>
    <w:rsid w:val="00596D59"/>
    <w:rsid w:val="005972FD"/>
    <w:rsid w:val="0059769F"/>
    <w:rsid w:val="005A1845"/>
    <w:rsid w:val="005A1A87"/>
    <w:rsid w:val="005A225B"/>
    <w:rsid w:val="005A2831"/>
    <w:rsid w:val="005A29B6"/>
    <w:rsid w:val="005A2BC7"/>
    <w:rsid w:val="005A3410"/>
    <w:rsid w:val="005A365A"/>
    <w:rsid w:val="005A40E9"/>
    <w:rsid w:val="005A4E12"/>
    <w:rsid w:val="005A4F6C"/>
    <w:rsid w:val="005A577B"/>
    <w:rsid w:val="005A5846"/>
    <w:rsid w:val="005A68F6"/>
    <w:rsid w:val="005A6E59"/>
    <w:rsid w:val="005A78C1"/>
    <w:rsid w:val="005A7987"/>
    <w:rsid w:val="005A79C5"/>
    <w:rsid w:val="005B0573"/>
    <w:rsid w:val="005B0FF1"/>
    <w:rsid w:val="005B2438"/>
    <w:rsid w:val="005B25DE"/>
    <w:rsid w:val="005B2846"/>
    <w:rsid w:val="005B4264"/>
    <w:rsid w:val="005B450A"/>
    <w:rsid w:val="005B5291"/>
    <w:rsid w:val="005B5295"/>
    <w:rsid w:val="005B52B1"/>
    <w:rsid w:val="005B67D1"/>
    <w:rsid w:val="005B6BA4"/>
    <w:rsid w:val="005C0000"/>
    <w:rsid w:val="005C07DB"/>
    <w:rsid w:val="005C0F1F"/>
    <w:rsid w:val="005C10D5"/>
    <w:rsid w:val="005C17D9"/>
    <w:rsid w:val="005C19D2"/>
    <w:rsid w:val="005C1DCF"/>
    <w:rsid w:val="005C2569"/>
    <w:rsid w:val="005C2746"/>
    <w:rsid w:val="005C445F"/>
    <w:rsid w:val="005C4587"/>
    <w:rsid w:val="005C4B7E"/>
    <w:rsid w:val="005C4BEB"/>
    <w:rsid w:val="005C780B"/>
    <w:rsid w:val="005D00B4"/>
    <w:rsid w:val="005D157A"/>
    <w:rsid w:val="005D193A"/>
    <w:rsid w:val="005D23B0"/>
    <w:rsid w:val="005D43F0"/>
    <w:rsid w:val="005D4813"/>
    <w:rsid w:val="005D490B"/>
    <w:rsid w:val="005D4F78"/>
    <w:rsid w:val="005D50B2"/>
    <w:rsid w:val="005D740A"/>
    <w:rsid w:val="005D7C72"/>
    <w:rsid w:val="005D7FB5"/>
    <w:rsid w:val="005E0998"/>
    <w:rsid w:val="005E1713"/>
    <w:rsid w:val="005E1FA3"/>
    <w:rsid w:val="005E212A"/>
    <w:rsid w:val="005E29B9"/>
    <w:rsid w:val="005E2D1A"/>
    <w:rsid w:val="005E32DD"/>
    <w:rsid w:val="005E3403"/>
    <w:rsid w:val="005E34E2"/>
    <w:rsid w:val="005E3BDE"/>
    <w:rsid w:val="005E5E80"/>
    <w:rsid w:val="005E61C8"/>
    <w:rsid w:val="005E63D9"/>
    <w:rsid w:val="005E6C79"/>
    <w:rsid w:val="005E762F"/>
    <w:rsid w:val="005F008C"/>
    <w:rsid w:val="005F09DD"/>
    <w:rsid w:val="005F17E9"/>
    <w:rsid w:val="005F2CAF"/>
    <w:rsid w:val="005F2E63"/>
    <w:rsid w:val="005F3022"/>
    <w:rsid w:val="005F3B30"/>
    <w:rsid w:val="005F3E7E"/>
    <w:rsid w:val="005F43C7"/>
    <w:rsid w:val="005F4A37"/>
    <w:rsid w:val="005F4E88"/>
    <w:rsid w:val="005F63BB"/>
    <w:rsid w:val="005F6C50"/>
    <w:rsid w:val="005F6EF2"/>
    <w:rsid w:val="006005D9"/>
    <w:rsid w:val="0060078A"/>
    <w:rsid w:val="00600F2F"/>
    <w:rsid w:val="0060174F"/>
    <w:rsid w:val="00601B66"/>
    <w:rsid w:val="00602768"/>
    <w:rsid w:val="0060277C"/>
    <w:rsid w:val="00603AAD"/>
    <w:rsid w:val="00603C60"/>
    <w:rsid w:val="00603E1E"/>
    <w:rsid w:val="006040D8"/>
    <w:rsid w:val="006052F9"/>
    <w:rsid w:val="00605686"/>
    <w:rsid w:val="0060617D"/>
    <w:rsid w:val="00606838"/>
    <w:rsid w:val="0060687E"/>
    <w:rsid w:val="00606FA7"/>
    <w:rsid w:val="0061132B"/>
    <w:rsid w:val="00611530"/>
    <w:rsid w:val="00611EFC"/>
    <w:rsid w:val="0061226D"/>
    <w:rsid w:val="00612BCF"/>
    <w:rsid w:val="0061520B"/>
    <w:rsid w:val="00615F6E"/>
    <w:rsid w:val="00616B55"/>
    <w:rsid w:val="0061706B"/>
    <w:rsid w:val="00617A87"/>
    <w:rsid w:val="00617B53"/>
    <w:rsid w:val="00620302"/>
    <w:rsid w:val="00621043"/>
    <w:rsid w:val="0062258E"/>
    <w:rsid w:val="00622E64"/>
    <w:rsid w:val="006232A9"/>
    <w:rsid w:val="006233FE"/>
    <w:rsid w:val="00623641"/>
    <w:rsid w:val="00623E07"/>
    <w:rsid w:val="00624A77"/>
    <w:rsid w:val="00624E86"/>
    <w:rsid w:val="006253F1"/>
    <w:rsid w:val="00625647"/>
    <w:rsid w:val="00627638"/>
    <w:rsid w:val="00630717"/>
    <w:rsid w:val="006309A0"/>
    <w:rsid w:val="00630F37"/>
    <w:rsid w:val="006311E6"/>
    <w:rsid w:val="00631A47"/>
    <w:rsid w:val="00632354"/>
    <w:rsid w:val="00632EA0"/>
    <w:rsid w:val="006344AF"/>
    <w:rsid w:val="006346FC"/>
    <w:rsid w:val="00634F28"/>
    <w:rsid w:val="00635B4B"/>
    <w:rsid w:val="00636029"/>
    <w:rsid w:val="00636807"/>
    <w:rsid w:val="0064077B"/>
    <w:rsid w:val="0064188D"/>
    <w:rsid w:val="00641A1B"/>
    <w:rsid w:val="00641CFD"/>
    <w:rsid w:val="00641F90"/>
    <w:rsid w:val="00642769"/>
    <w:rsid w:val="006437B4"/>
    <w:rsid w:val="006439AA"/>
    <w:rsid w:val="006444C0"/>
    <w:rsid w:val="00645175"/>
    <w:rsid w:val="00645966"/>
    <w:rsid w:val="006462B5"/>
    <w:rsid w:val="006466EC"/>
    <w:rsid w:val="00646848"/>
    <w:rsid w:val="0064779D"/>
    <w:rsid w:val="00647E1F"/>
    <w:rsid w:val="00650EC5"/>
    <w:rsid w:val="00650F2E"/>
    <w:rsid w:val="006512E9"/>
    <w:rsid w:val="00652C61"/>
    <w:rsid w:val="00652F43"/>
    <w:rsid w:val="00653469"/>
    <w:rsid w:val="00653A56"/>
    <w:rsid w:val="006541F3"/>
    <w:rsid w:val="0065435A"/>
    <w:rsid w:val="00656095"/>
    <w:rsid w:val="00656D17"/>
    <w:rsid w:val="006576DC"/>
    <w:rsid w:val="006577E3"/>
    <w:rsid w:val="00657C1A"/>
    <w:rsid w:val="00657C24"/>
    <w:rsid w:val="006612D7"/>
    <w:rsid w:val="006613EB"/>
    <w:rsid w:val="006614E8"/>
    <w:rsid w:val="0066397D"/>
    <w:rsid w:val="00664823"/>
    <w:rsid w:val="00664C2E"/>
    <w:rsid w:val="006653B6"/>
    <w:rsid w:val="0066564D"/>
    <w:rsid w:val="006657B9"/>
    <w:rsid w:val="00665C97"/>
    <w:rsid w:val="00665F30"/>
    <w:rsid w:val="00666474"/>
    <w:rsid w:val="006672E3"/>
    <w:rsid w:val="00667C82"/>
    <w:rsid w:val="00670216"/>
    <w:rsid w:val="006703C5"/>
    <w:rsid w:val="00670452"/>
    <w:rsid w:val="006704B7"/>
    <w:rsid w:val="00670870"/>
    <w:rsid w:val="006714E5"/>
    <w:rsid w:val="00673AFB"/>
    <w:rsid w:val="00673E39"/>
    <w:rsid w:val="00674AA6"/>
    <w:rsid w:val="00675AAB"/>
    <w:rsid w:val="00675ADE"/>
    <w:rsid w:val="00675C40"/>
    <w:rsid w:val="0067602E"/>
    <w:rsid w:val="0067618D"/>
    <w:rsid w:val="00676291"/>
    <w:rsid w:val="0067668E"/>
    <w:rsid w:val="0067690F"/>
    <w:rsid w:val="00676C84"/>
    <w:rsid w:val="00680DF2"/>
    <w:rsid w:val="00680E82"/>
    <w:rsid w:val="00681021"/>
    <w:rsid w:val="006816A0"/>
    <w:rsid w:val="00681BE3"/>
    <w:rsid w:val="00682754"/>
    <w:rsid w:val="0068330B"/>
    <w:rsid w:val="00684F0C"/>
    <w:rsid w:val="0068605D"/>
    <w:rsid w:val="006864CA"/>
    <w:rsid w:val="00686554"/>
    <w:rsid w:val="00687C6A"/>
    <w:rsid w:val="00687E81"/>
    <w:rsid w:val="006905A3"/>
    <w:rsid w:val="0069145A"/>
    <w:rsid w:val="006928FD"/>
    <w:rsid w:val="00692A9D"/>
    <w:rsid w:val="00693AFC"/>
    <w:rsid w:val="00694083"/>
    <w:rsid w:val="00694E0B"/>
    <w:rsid w:val="00696B65"/>
    <w:rsid w:val="006A0222"/>
    <w:rsid w:val="006A0E9E"/>
    <w:rsid w:val="006A1918"/>
    <w:rsid w:val="006A22BE"/>
    <w:rsid w:val="006A252F"/>
    <w:rsid w:val="006A34DA"/>
    <w:rsid w:val="006A381D"/>
    <w:rsid w:val="006A3DC6"/>
    <w:rsid w:val="006A40AB"/>
    <w:rsid w:val="006A4B12"/>
    <w:rsid w:val="006A4DC0"/>
    <w:rsid w:val="006B37B2"/>
    <w:rsid w:val="006B3FE9"/>
    <w:rsid w:val="006B48F8"/>
    <w:rsid w:val="006B49DD"/>
    <w:rsid w:val="006B4D8D"/>
    <w:rsid w:val="006B5379"/>
    <w:rsid w:val="006B55AC"/>
    <w:rsid w:val="006B560B"/>
    <w:rsid w:val="006B5B16"/>
    <w:rsid w:val="006B6146"/>
    <w:rsid w:val="006B7060"/>
    <w:rsid w:val="006C0CEB"/>
    <w:rsid w:val="006C10EE"/>
    <w:rsid w:val="006C1516"/>
    <w:rsid w:val="006C171A"/>
    <w:rsid w:val="006C25C4"/>
    <w:rsid w:val="006C298E"/>
    <w:rsid w:val="006C39C0"/>
    <w:rsid w:val="006C4DA3"/>
    <w:rsid w:val="006C4EA2"/>
    <w:rsid w:val="006C635D"/>
    <w:rsid w:val="006C6623"/>
    <w:rsid w:val="006C694D"/>
    <w:rsid w:val="006D0427"/>
    <w:rsid w:val="006D0F92"/>
    <w:rsid w:val="006D138B"/>
    <w:rsid w:val="006D1609"/>
    <w:rsid w:val="006D1998"/>
    <w:rsid w:val="006D1DF1"/>
    <w:rsid w:val="006D25B3"/>
    <w:rsid w:val="006D272B"/>
    <w:rsid w:val="006D2E5D"/>
    <w:rsid w:val="006D3216"/>
    <w:rsid w:val="006D4018"/>
    <w:rsid w:val="006D517F"/>
    <w:rsid w:val="006D61E7"/>
    <w:rsid w:val="006D6F38"/>
    <w:rsid w:val="006D7123"/>
    <w:rsid w:val="006D713A"/>
    <w:rsid w:val="006E1586"/>
    <w:rsid w:val="006E2623"/>
    <w:rsid w:val="006E26F6"/>
    <w:rsid w:val="006E36CC"/>
    <w:rsid w:val="006E3F2F"/>
    <w:rsid w:val="006E4E78"/>
    <w:rsid w:val="006E53FB"/>
    <w:rsid w:val="006E5A0A"/>
    <w:rsid w:val="006E7926"/>
    <w:rsid w:val="006F0AC9"/>
    <w:rsid w:val="006F0FBA"/>
    <w:rsid w:val="006F13F3"/>
    <w:rsid w:val="006F2F2C"/>
    <w:rsid w:val="006F5499"/>
    <w:rsid w:val="006F5C51"/>
    <w:rsid w:val="006F5DF9"/>
    <w:rsid w:val="006F6AFE"/>
    <w:rsid w:val="006F7776"/>
    <w:rsid w:val="006F791C"/>
    <w:rsid w:val="006F7E9F"/>
    <w:rsid w:val="00702147"/>
    <w:rsid w:val="007023BF"/>
    <w:rsid w:val="0070289D"/>
    <w:rsid w:val="00702A8F"/>
    <w:rsid w:val="0070528C"/>
    <w:rsid w:val="00705738"/>
    <w:rsid w:val="00705CA4"/>
    <w:rsid w:val="00706D51"/>
    <w:rsid w:val="00706FE7"/>
    <w:rsid w:val="00707187"/>
    <w:rsid w:val="00710A2C"/>
    <w:rsid w:val="00710A91"/>
    <w:rsid w:val="00711BDF"/>
    <w:rsid w:val="00712069"/>
    <w:rsid w:val="007128C4"/>
    <w:rsid w:val="00713D4D"/>
    <w:rsid w:val="007143D2"/>
    <w:rsid w:val="00716136"/>
    <w:rsid w:val="0071627B"/>
    <w:rsid w:val="00716F34"/>
    <w:rsid w:val="00717D85"/>
    <w:rsid w:val="007201C6"/>
    <w:rsid w:val="00721C43"/>
    <w:rsid w:val="00721D93"/>
    <w:rsid w:val="00722127"/>
    <w:rsid w:val="00723FFE"/>
    <w:rsid w:val="00725470"/>
    <w:rsid w:val="00725A1A"/>
    <w:rsid w:val="007264B0"/>
    <w:rsid w:val="00730AFD"/>
    <w:rsid w:val="00730DFF"/>
    <w:rsid w:val="00731158"/>
    <w:rsid w:val="007312C4"/>
    <w:rsid w:val="00732676"/>
    <w:rsid w:val="00732716"/>
    <w:rsid w:val="00732F16"/>
    <w:rsid w:val="007330F3"/>
    <w:rsid w:val="0073349F"/>
    <w:rsid w:val="00733A05"/>
    <w:rsid w:val="00734CC2"/>
    <w:rsid w:val="00736150"/>
    <w:rsid w:val="007363EE"/>
    <w:rsid w:val="007369B5"/>
    <w:rsid w:val="00737121"/>
    <w:rsid w:val="0073797B"/>
    <w:rsid w:val="0074170B"/>
    <w:rsid w:val="00741927"/>
    <w:rsid w:val="007419AF"/>
    <w:rsid w:val="00742550"/>
    <w:rsid w:val="00742EF2"/>
    <w:rsid w:val="007433E5"/>
    <w:rsid w:val="00743953"/>
    <w:rsid w:val="0074533C"/>
    <w:rsid w:val="00745A9A"/>
    <w:rsid w:val="00746B4B"/>
    <w:rsid w:val="00746C41"/>
    <w:rsid w:val="00746F9A"/>
    <w:rsid w:val="007472BD"/>
    <w:rsid w:val="00750359"/>
    <w:rsid w:val="007513E8"/>
    <w:rsid w:val="00752A4D"/>
    <w:rsid w:val="007545B2"/>
    <w:rsid w:val="007560DC"/>
    <w:rsid w:val="00756F9F"/>
    <w:rsid w:val="00757259"/>
    <w:rsid w:val="0075786E"/>
    <w:rsid w:val="00761350"/>
    <w:rsid w:val="007615B3"/>
    <w:rsid w:val="00761A0C"/>
    <w:rsid w:val="00761B5F"/>
    <w:rsid w:val="00761B8D"/>
    <w:rsid w:val="00761EE7"/>
    <w:rsid w:val="0076285D"/>
    <w:rsid w:val="007629E0"/>
    <w:rsid w:val="0076300B"/>
    <w:rsid w:val="0076428D"/>
    <w:rsid w:val="00764748"/>
    <w:rsid w:val="0076482B"/>
    <w:rsid w:val="007651C3"/>
    <w:rsid w:val="00765908"/>
    <w:rsid w:val="00766867"/>
    <w:rsid w:val="00767018"/>
    <w:rsid w:val="0076760C"/>
    <w:rsid w:val="00767F43"/>
    <w:rsid w:val="00767F5C"/>
    <w:rsid w:val="007700CF"/>
    <w:rsid w:val="007706B3"/>
    <w:rsid w:val="00770D6E"/>
    <w:rsid w:val="0077187C"/>
    <w:rsid w:val="00775FC2"/>
    <w:rsid w:val="00776640"/>
    <w:rsid w:val="00776A65"/>
    <w:rsid w:val="00776FBF"/>
    <w:rsid w:val="007772DA"/>
    <w:rsid w:val="00777CA9"/>
    <w:rsid w:val="0078055A"/>
    <w:rsid w:val="007809FB"/>
    <w:rsid w:val="00780E4A"/>
    <w:rsid w:val="00781F37"/>
    <w:rsid w:val="0078201C"/>
    <w:rsid w:val="007829A9"/>
    <w:rsid w:val="0078358C"/>
    <w:rsid w:val="00784CBE"/>
    <w:rsid w:val="00784E7D"/>
    <w:rsid w:val="0078557A"/>
    <w:rsid w:val="0078560F"/>
    <w:rsid w:val="00785D9F"/>
    <w:rsid w:val="00785EE6"/>
    <w:rsid w:val="00786442"/>
    <w:rsid w:val="00786D1F"/>
    <w:rsid w:val="00787368"/>
    <w:rsid w:val="00790B5D"/>
    <w:rsid w:val="00791E3D"/>
    <w:rsid w:val="007921A8"/>
    <w:rsid w:val="00793144"/>
    <w:rsid w:val="00793229"/>
    <w:rsid w:val="00793EA5"/>
    <w:rsid w:val="007949A4"/>
    <w:rsid w:val="0079653F"/>
    <w:rsid w:val="007965C8"/>
    <w:rsid w:val="007967EF"/>
    <w:rsid w:val="00797733"/>
    <w:rsid w:val="00797AE8"/>
    <w:rsid w:val="00797FC2"/>
    <w:rsid w:val="007A0345"/>
    <w:rsid w:val="007A105B"/>
    <w:rsid w:val="007A180C"/>
    <w:rsid w:val="007A1ABC"/>
    <w:rsid w:val="007A21D4"/>
    <w:rsid w:val="007A23E1"/>
    <w:rsid w:val="007A330A"/>
    <w:rsid w:val="007A3689"/>
    <w:rsid w:val="007A3857"/>
    <w:rsid w:val="007A3DE8"/>
    <w:rsid w:val="007A4152"/>
    <w:rsid w:val="007A423B"/>
    <w:rsid w:val="007A47EF"/>
    <w:rsid w:val="007A6F6D"/>
    <w:rsid w:val="007A720B"/>
    <w:rsid w:val="007A7B88"/>
    <w:rsid w:val="007A7CD1"/>
    <w:rsid w:val="007B0006"/>
    <w:rsid w:val="007B0C29"/>
    <w:rsid w:val="007B1166"/>
    <w:rsid w:val="007B1438"/>
    <w:rsid w:val="007B14DB"/>
    <w:rsid w:val="007B1891"/>
    <w:rsid w:val="007B2A4B"/>
    <w:rsid w:val="007B38BD"/>
    <w:rsid w:val="007B4CDC"/>
    <w:rsid w:val="007B54B9"/>
    <w:rsid w:val="007B5854"/>
    <w:rsid w:val="007B6087"/>
    <w:rsid w:val="007B6753"/>
    <w:rsid w:val="007B6D88"/>
    <w:rsid w:val="007C0170"/>
    <w:rsid w:val="007C01EB"/>
    <w:rsid w:val="007C0B6E"/>
    <w:rsid w:val="007C1415"/>
    <w:rsid w:val="007C14DC"/>
    <w:rsid w:val="007C17CC"/>
    <w:rsid w:val="007C1877"/>
    <w:rsid w:val="007C1BF4"/>
    <w:rsid w:val="007C20D7"/>
    <w:rsid w:val="007C231A"/>
    <w:rsid w:val="007C3C94"/>
    <w:rsid w:val="007C42BB"/>
    <w:rsid w:val="007C4471"/>
    <w:rsid w:val="007C4EED"/>
    <w:rsid w:val="007C56A4"/>
    <w:rsid w:val="007C5DCC"/>
    <w:rsid w:val="007C5F5B"/>
    <w:rsid w:val="007C706C"/>
    <w:rsid w:val="007C7A6E"/>
    <w:rsid w:val="007C7AD1"/>
    <w:rsid w:val="007D00BA"/>
    <w:rsid w:val="007D1715"/>
    <w:rsid w:val="007D2692"/>
    <w:rsid w:val="007D26C6"/>
    <w:rsid w:val="007D4313"/>
    <w:rsid w:val="007D511C"/>
    <w:rsid w:val="007D58FE"/>
    <w:rsid w:val="007D62E2"/>
    <w:rsid w:val="007D665A"/>
    <w:rsid w:val="007D6680"/>
    <w:rsid w:val="007D690E"/>
    <w:rsid w:val="007D6990"/>
    <w:rsid w:val="007D74DF"/>
    <w:rsid w:val="007E0EF7"/>
    <w:rsid w:val="007E1D07"/>
    <w:rsid w:val="007E1FCF"/>
    <w:rsid w:val="007E22D0"/>
    <w:rsid w:val="007E2B9F"/>
    <w:rsid w:val="007E40ED"/>
    <w:rsid w:val="007E5AAA"/>
    <w:rsid w:val="007E5F4C"/>
    <w:rsid w:val="007E661A"/>
    <w:rsid w:val="007E689B"/>
    <w:rsid w:val="007E700C"/>
    <w:rsid w:val="007E7B75"/>
    <w:rsid w:val="007F010B"/>
    <w:rsid w:val="007F0391"/>
    <w:rsid w:val="007F1FDA"/>
    <w:rsid w:val="007F2754"/>
    <w:rsid w:val="007F2A26"/>
    <w:rsid w:val="007F34A4"/>
    <w:rsid w:val="007F361D"/>
    <w:rsid w:val="007F5D27"/>
    <w:rsid w:val="00800138"/>
    <w:rsid w:val="0080175F"/>
    <w:rsid w:val="008019BE"/>
    <w:rsid w:val="00801E2B"/>
    <w:rsid w:val="00802D40"/>
    <w:rsid w:val="00803084"/>
    <w:rsid w:val="00803566"/>
    <w:rsid w:val="0080420B"/>
    <w:rsid w:val="008044C8"/>
    <w:rsid w:val="00804A35"/>
    <w:rsid w:val="00804CAE"/>
    <w:rsid w:val="00805410"/>
    <w:rsid w:val="00805D24"/>
    <w:rsid w:val="0080652D"/>
    <w:rsid w:val="00806BFA"/>
    <w:rsid w:val="00807427"/>
    <w:rsid w:val="00810C73"/>
    <w:rsid w:val="00811678"/>
    <w:rsid w:val="00811D98"/>
    <w:rsid w:val="00811F59"/>
    <w:rsid w:val="0081442C"/>
    <w:rsid w:val="0081480C"/>
    <w:rsid w:val="00814D47"/>
    <w:rsid w:val="00815434"/>
    <w:rsid w:val="00815AE7"/>
    <w:rsid w:val="008166A3"/>
    <w:rsid w:val="00821027"/>
    <w:rsid w:val="00821585"/>
    <w:rsid w:val="00821849"/>
    <w:rsid w:val="008219AE"/>
    <w:rsid w:val="00821B87"/>
    <w:rsid w:val="00821F66"/>
    <w:rsid w:val="008222D0"/>
    <w:rsid w:val="00823426"/>
    <w:rsid w:val="00823930"/>
    <w:rsid w:val="008240B2"/>
    <w:rsid w:val="00824D11"/>
    <w:rsid w:val="00825264"/>
    <w:rsid w:val="008252C4"/>
    <w:rsid w:val="00827B33"/>
    <w:rsid w:val="00831088"/>
    <w:rsid w:val="00831B14"/>
    <w:rsid w:val="00832128"/>
    <w:rsid w:val="008331FD"/>
    <w:rsid w:val="0083343A"/>
    <w:rsid w:val="00833FD8"/>
    <w:rsid w:val="00834232"/>
    <w:rsid w:val="008368B3"/>
    <w:rsid w:val="00837574"/>
    <w:rsid w:val="008409C8"/>
    <w:rsid w:val="00840EE3"/>
    <w:rsid w:val="00842FEF"/>
    <w:rsid w:val="00844B8D"/>
    <w:rsid w:val="008451E1"/>
    <w:rsid w:val="008464DA"/>
    <w:rsid w:val="008467F8"/>
    <w:rsid w:val="00846CA1"/>
    <w:rsid w:val="008471EF"/>
    <w:rsid w:val="008471FF"/>
    <w:rsid w:val="008479E9"/>
    <w:rsid w:val="00847CBF"/>
    <w:rsid w:val="00850AD3"/>
    <w:rsid w:val="008534D6"/>
    <w:rsid w:val="00853904"/>
    <w:rsid w:val="00854C12"/>
    <w:rsid w:val="00854F89"/>
    <w:rsid w:val="00855609"/>
    <w:rsid w:val="00855FCE"/>
    <w:rsid w:val="00856075"/>
    <w:rsid w:val="00856485"/>
    <w:rsid w:val="00857AE8"/>
    <w:rsid w:val="00857EC8"/>
    <w:rsid w:val="00860180"/>
    <w:rsid w:val="0086038B"/>
    <w:rsid w:val="00860D44"/>
    <w:rsid w:val="00860FC5"/>
    <w:rsid w:val="0086133C"/>
    <w:rsid w:val="0086217B"/>
    <w:rsid w:val="008629C6"/>
    <w:rsid w:val="00863AF9"/>
    <w:rsid w:val="00864679"/>
    <w:rsid w:val="00865D18"/>
    <w:rsid w:val="0086623B"/>
    <w:rsid w:val="008666EA"/>
    <w:rsid w:val="00866895"/>
    <w:rsid w:val="00866BF4"/>
    <w:rsid w:val="008673D6"/>
    <w:rsid w:val="0087125E"/>
    <w:rsid w:val="00871D7D"/>
    <w:rsid w:val="00872434"/>
    <w:rsid w:val="00873FE1"/>
    <w:rsid w:val="008748AA"/>
    <w:rsid w:val="00874911"/>
    <w:rsid w:val="00875942"/>
    <w:rsid w:val="00876583"/>
    <w:rsid w:val="00876593"/>
    <w:rsid w:val="008766E4"/>
    <w:rsid w:val="008773A9"/>
    <w:rsid w:val="0088010B"/>
    <w:rsid w:val="0088052C"/>
    <w:rsid w:val="008811F1"/>
    <w:rsid w:val="00881680"/>
    <w:rsid w:val="00881933"/>
    <w:rsid w:val="00881C5E"/>
    <w:rsid w:val="00884924"/>
    <w:rsid w:val="00885EBA"/>
    <w:rsid w:val="0088610F"/>
    <w:rsid w:val="00887AC5"/>
    <w:rsid w:val="00887C58"/>
    <w:rsid w:val="00890BF9"/>
    <w:rsid w:val="00890CE8"/>
    <w:rsid w:val="008915C1"/>
    <w:rsid w:val="00893C21"/>
    <w:rsid w:val="00893F85"/>
    <w:rsid w:val="008941B5"/>
    <w:rsid w:val="0089465B"/>
    <w:rsid w:val="008A0148"/>
    <w:rsid w:val="008A01E5"/>
    <w:rsid w:val="008A03CD"/>
    <w:rsid w:val="008A18C1"/>
    <w:rsid w:val="008A20D4"/>
    <w:rsid w:val="008A24FD"/>
    <w:rsid w:val="008A304A"/>
    <w:rsid w:val="008A32DB"/>
    <w:rsid w:val="008A3474"/>
    <w:rsid w:val="008A3F92"/>
    <w:rsid w:val="008A4484"/>
    <w:rsid w:val="008A456E"/>
    <w:rsid w:val="008A457A"/>
    <w:rsid w:val="008A6E8F"/>
    <w:rsid w:val="008B0800"/>
    <w:rsid w:val="008B2AAE"/>
    <w:rsid w:val="008B34FB"/>
    <w:rsid w:val="008B3731"/>
    <w:rsid w:val="008B4037"/>
    <w:rsid w:val="008B42BB"/>
    <w:rsid w:val="008B52E2"/>
    <w:rsid w:val="008B56C3"/>
    <w:rsid w:val="008B58FC"/>
    <w:rsid w:val="008B5E3E"/>
    <w:rsid w:val="008B5EFA"/>
    <w:rsid w:val="008B6E06"/>
    <w:rsid w:val="008B6F70"/>
    <w:rsid w:val="008B7CD9"/>
    <w:rsid w:val="008C1653"/>
    <w:rsid w:val="008C1C65"/>
    <w:rsid w:val="008C2583"/>
    <w:rsid w:val="008C3826"/>
    <w:rsid w:val="008C3934"/>
    <w:rsid w:val="008C3AD2"/>
    <w:rsid w:val="008C3EFF"/>
    <w:rsid w:val="008C4325"/>
    <w:rsid w:val="008C52F5"/>
    <w:rsid w:val="008C5345"/>
    <w:rsid w:val="008C6944"/>
    <w:rsid w:val="008C6960"/>
    <w:rsid w:val="008C6D63"/>
    <w:rsid w:val="008C77D0"/>
    <w:rsid w:val="008D0316"/>
    <w:rsid w:val="008D0557"/>
    <w:rsid w:val="008D098E"/>
    <w:rsid w:val="008D1535"/>
    <w:rsid w:val="008D1A75"/>
    <w:rsid w:val="008D2747"/>
    <w:rsid w:val="008D27F3"/>
    <w:rsid w:val="008D3475"/>
    <w:rsid w:val="008D3708"/>
    <w:rsid w:val="008D3CE7"/>
    <w:rsid w:val="008D4CD7"/>
    <w:rsid w:val="008D522F"/>
    <w:rsid w:val="008D6A47"/>
    <w:rsid w:val="008D7732"/>
    <w:rsid w:val="008D7907"/>
    <w:rsid w:val="008E07CD"/>
    <w:rsid w:val="008E0A63"/>
    <w:rsid w:val="008E131C"/>
    <w:rsid w:val="008E1328"/>
    <w:rsid w:val="008E1FFA"/>
    <w:rsid w:val="008E2A79"/>
    <w:rsid w:val="008E2D26"/>
    <w:rsid w:val="008E3751"/>
    <w:rsid w:val="008E387E"/>
    <w:rsid w:val="008E3947"/>
    <w:rsid w:val="008E4B75"/>
    <w:rsid w:val="008E57B4"/>
    <w:rsid w:val="008E6BDA"/>
    <w:rsid w:val="008E7967"/>
    <w:rsid w:val="008F094D"/>
    <w:rsid w:val="008F3630"/>
    <w:rsid w:val="008F3D2D"/>
    <w:rsid w:val="008F51C6"/>
    <w:rsid w:val="008F5D5B"/>
    <w:rsid w:val="008F65C6"/>
    <w:rsid w:val="00900BAB"/>
    <w:rsid w:val="00900C16"/>
    <w:rsid w:val="00900C9C"/>
    <w:rsid w:val="00901277"/>
    <w:rsid w:val="00901295"/>
    <w:rsid w:val="00901B15"/>
    <w:rsid w:val="00902E90"/>
    <w:rsid w:val="009031B5"/>
    <w:rsid w:val="009039BA"/>
    <w:rsid w:val="00904405"/>
    <w:rsid w:val="00904C8F"/>
    <w:rsid w:val="00904EE3"/>
    <w:rsid w:val="009059EA"/>
    <w:rsid w:val="00905DDF"/>
    <w:rsid w:val="009060ED"/>
    <w:rsid w:val="00911F70"/>
    <w:rsid w:val="009124AF"/>
    <w:rsid w:val="00912832"/>
    <w:rsid w:val="00913C99"/>
    <w:rsid w:val="00913E4A"/>
    <w:rsid w:val="009151F1"/>
    <w:rsid w:val="0091576E"/>
    <w:rsid w:val="00915F86"/>
    <w:rsid w:val="0091682D"/>
    <w:rsid w:val="00916B34"/>
    <w:rsid w:val="00916EAA"/>
    <w:rsid w:val="009170F9"/>
    <w:rsid w:val="00917A5C"/>
    <w:rsid w:val="00917B03"/>
    <w:rsid w:val="00917C83"/>
    <w:rsid w:val="009206ED"/>
    <w:rsid w:val="0092099D"/>
    <w:rsid w:val="00920BD4"/>
    <w:rsid w:val="009212B2"/>
    <w:rsid w:val="00921326"/>
    <w:rsid w:val="00921D84"/>
    <w:rsid w:val="00922821"/>
    <w:rsid w:val="00922AC7"/>
    <w:rsid w:val="009244A6"/>
    <w:rsid w:val="00925D08"/>
    <w:rsid w:val="009261FB"/>
    <w:rsid w:val="00926B56"/>
    <w:rsid w:val="00926D68"/>
    <w:rsid w:val="009303D6"/>
    <w:rsid w:val="009304D9"/>
    <w:rsid w:val="00930DAC"/>
    <w:rsid w:val="0093142B"/>
    <w:rsid w:val="00931862"/>
    <w:rsid w:val="00931B21"/>
    <w:rsid w:val="009321A9"/>
    <w:rsid w:val="00932386"/>
    <w:rsid w:val="009324CD"/>
    <w:rsid w:val="00932EFA"/>
    <w:rsid w:val="009330AE"/>
    <w:rsid w:val="00933799"/>
    <w:rsid w:val="009354F4"/>
    <w:rsid w:val="00935AFE"/>
    <w:rsid w:val="00935CD7"/>
    <w:rsid w:val="00936832"/>
    <w:rsid w:val="00937290"/>
    <w:rsid w:val="00937A53"/>
    <w:rsid w:val="00937D3F"/>
    <w:rsid w:val="00940DB0"/>
    <w:rsid w:val="00942C17"/>
    <w:rsid w:val="00943897"/>
    <w:rsid w:val="009449C3"/>
    <w:rsid w:val="009455B0"/>
    <w:rsid w:val="0094585D"/>
    <w:rsid w:val="00945AF1"/>
    <w:rsid w:val="00945E5D"/>
    <w:rsid w:val="00945F81"/>
    <w:rsid w:val="00946C97"/>
    <w:rsid w:val="00947E43"/>
    <w:rsid w:val="0095021C"/>
    <w:rsid w:val="00952361"/>
    <w:rsid w:val="009525E7"/>
    <w:rsid w:val="00952E62"/>
    <w:rsid w:val="00953356"/>
    <w:rsid w:val="00953C67"/>
    <w:rsid w:val="00956143"/>
    <w:rsid w:val="00956B4B"/>
    <w:rsid w:val="00957595"/>
    <w:rsid w:val="00957DB4"/>
    <w:rsid w:val="00960232"/>
    <w:rsid w:val="00960A66"/>
    <w:rsid w:val="00960EB1"/>
    <w:rsid w:val="00961156"/>
    <w:rsid w:val="00962731"/>
    <w:rsid w:val="00962E97"/>
    <w:rsid w:val="00963605"/>
    <w:rsid w:val="00963EDF"/>
    <w:rsid w:val="00964786"/>
    <w:rsid w:val="009656B2"/>
    <w:rsid w:val="0096706E"/>
    <w:rsid w:val="009672D1"/>
    <w:rsid w:val="00970263"/>
    <w:rsid w:val="00970712"/>
    <w:rsid w:val="009712CF"/>
    <w:rsid w:val="00972136"/>
    <w:rsid w:val="009722F9"/>
    <w:rsid w:val="00972BC5"/>
    <w:rsid w:val="00973DC6"/>
    <w:rsid w:val="0097400C"/>
    <w:rsid w:val="009757DD"/>
    <w:rsid w:val="0097592A"/>
    <w:rsid w:val="00975E48"/>
    <w:rsid w:val="00975F9E"/>
    <w:rsid w:val="009763A1"/>
    <w:rsid w:val="009777AA"/>
    <w:rsid w:val="00977D74"/>
    <w:rsid w:val="00980111"/>
    <w:rsid w:val="00980768"/>
    <w:rsid w:val="00982100"/>
    <w:rsid w:val="00982280"/>
    <w:rsid w:val="009834D9"/>
    <w:rsid w:val="00983DB1"/>
    <w:rsid w:val="00983DD9"/>
    <w:rsid w:val="00983F49"/>
    <w:rsid w:val="00984044"/>
    <w:rsid w:val="00984161"/>
    <w:rsid w:val="00984C74"/>
    <w:rsid w:val="00986A8C"/>
    <w:rsid w:val="00991C36"/>
    <w:rsid w:val="00992216"/>
    <w:rsid w:val="009922A5"/>
    <w:rsid w:val="0099242B"/>
    <w:rsid w:val="00993AD5"/>
    <w:rsid w:val="00993F49"/>
    <w:rsid w:val="0099408E"/>
    <w:rsid w:val="009940A7"/>
    <w:rsid w:val="0099461A"/>
    <w:rsid w:val="00994CEA"/>
    <w:rsid w:val="0099515B"/>
    <w:rsid w:val="00995725"/>
    <w:rsid w:val="009968A6"/>
    <w:rsid w:val="00996E30"/>
    <w:rsid w:val="009A1FCC"/>
    <w:rsid w:val="009A21DB"/>
    <w:rsid w:val="009A2917"/>
    <w:rsid w:val="009A4119"/>
    <w:rsid w:val="009A49EB"/>
    <w:rsid w:val="009A5B27"/>
    <w:rsid w:val="009A5C03"/>
    <w:rsid w:val="009A6297"/>
    <w:rsid w:val="009A62CA"/>
    <w:rsid w:val="009A697B"/>
    <w:rsid w:val="009A6C85"/>
    <w:rsid w:val="009A7249"/>
    <w:rsid w:val="009A784A"/>
    <w:rsid w:val="009B033A"/>
    <w:rsid w:val="009B0C02"/>
    <w:rsid w:val="009B1A40"/>
    <w:rsid w:val="009B2FD4"/>
    <w:rsid w:val="009B3136"/>
    <w:rsid w:val="009B3344"/>
    <w:rsid w:val="009B3515"/>
    <w:rsid w:val="009B38C6"/>
    <w:rsid w:val="009B4805"/>
    <w:rsid w:val="009B518E"/>
    <w:rsid w:val="009B574F"/>
    <w:rsid w:val="009C0B94"/>
    <w:rsid w:val="009C0FAF"/>
    <w:rsid w:val="009C106A"/>
    <w:rsid w:val="009C1551"/>
    <w:rsid w:val="009C166D"/>
    <w:rsid w:val="009C1804"/>
    <w:rsid w:val="009C249F"/>
    <w:rsid w:val="009C300F"/>
    <w:rsid w:val="009C34F0"/>
    <w:rsid w:val="009C3CF6"/>
    <w:rsid w:val="009C411D"/>
    <w:rsid w:val="009C4149"/>
    <w:rsid w:val="009C488A"/>
    <w:rsid w:val="009C518B"/>
    <w:rsid w:val="009C5262"/>
    <w:rsid w:val="009C6498"/>
    <w:rsid w:val="009C6CC3"/>
    <w:rsid w:val="009C7403"/>
    <w:rsid w:val="009C77E4"/>
    <w:rsid w:val="009C7C0E"/>
    <w:rsid w:val="009D0EDA"/>
    <w:rsid w:val="009D1831"/>
    <w:rsid w:val="009D1FFD"/>
    <w:rsid w:val="009D3095"/>
    <w:rsid w:val="009D36F3"/>
    <w:rsid w:val="009D3AC1"/>
    <w:rsid w:val="009D427D"/>
    <w:rsid w:val="009D4546"/>
    <w:rsid w:val="009D52E1"/>
    <w:rsid w:val="009D5D01"/>
    <w:rsid w:val="009D649A"/>
    <w:rsid w:val="009D6E45"/>
    <w:rsid w:val="009D7A16"/>
    <w:rsid w:val="009E108E"/>
    <w:rsid w:val="009E138D"/>
    <w:rsid w:val="009E1586"/>
    <w:rsid w:val="009E41A6"/>
    <w:rsid w:val="009E43F1"/>
    <w:rsid w:val="009E47E9"/>
    <w:rsid w:val="009E4A9A"/>
    <w:rsid w:val="009E4C3C"/>
    <w:rsid w:val="009E50C5"/>
    <w:rsid w:val="009E55EC"/>
    <w:rsid w:val="009E651D"/>
    <w:rsid w:val="009E66EA"/>
    <w:rsid w:val="009E6904"/>
    <w:rsid w:val="009E70EA"/>
    <w:rsid w:val="009E7A52"/>
    <w:rsid w:val="009F04FC"/>
    <w:rsid w:val="009F07F9"/>
    <w:rsid w:val="009F0D1F"/>
    <w:rsid w:val="009F1B83"/>
    <w:rsid w:val="009F1E7F"/>
    <w:rsid w:val="009F2488"/>
    <w:rsid w:val="009F2EE3"/>
    <w:rsid w:val="009F3098"/>
    <w:rsid w:val="009F3A4B"/>
    <w:rsid w:val="009F3AF9"/>
    <w:rsid w:val="009F3CD4"/>
    <w:rsid w:val="009F54D6"/>
    <w:rsid w:val="009F5778"/>
    <w:rsid w:val="009F5AC1"/>
    <w:rsid w:val="009F5C82"/>
    <w:rsid w:val="009F6247"/>
    <w:rsid w:val="009F7D11"/>
    <w:rsid w:val="00A0015A"/>
    <w:rsid w:val="00A007FC"/>
    <w:rsid w:val="00A00F67"/>
    <w:rsid w:val="00A01C79"/>
    <w:rsid w:val="00A01DF8"/>
    <w:rsid w:val="00A0201E"/>
    <w:rsid w:val="00A03E54"/>
    <w:rsid w:val="00A04230"/>
    <w:rsid w:val="00A04641"/>
    <w:rsid w:val="00A064A5"/>
    <w:rsid w:val="00A06B78"/>
    <w:rsid w:val="00A07B2D"/>
    <w:rsid w:val="00A102AE"/>
    <w:rsid w:val="00A10796"/>
    <w:rsid w:val="00A1177C"/>
    <w:rsid w:val="00A123FC"/>
    <w:rsid w:val="00A12440"/>
    <w:rsid w:val="00A126A9"/>
    <w:rsid w:val="00A129CE"/>
    <w:rsid w:val="00A131C7"/>
    <w:rsid w:val="00A14658"/>
    <w:rsid w:val="00A14F69"/>
    <w:rsid w:val="00A15002"/>
    <w:rsid w:val="00A15371"/>
    <w:rsid w:val="00A1635C"/>
    <w:rsid w:val="00A16E2C"/>
    <w:rsid w:val="00A20DD9"/>
    <w:rsid w:val="00A2116D"/>
    <w:rsid w:val="00A218E2"/>
    <w:rsid w:val="00A221B7"/>
    <w:rsid w:val="00A24884"/>
    <w:rsid w:val="00A24BE4"/>
    <w:rsid w:val="00A25FD7"/>
    <w:rsid w:val="00A2617A"/>
    <w:rsid w:val="00A26488"/>
    <w:rsid w:val="00A272E3"/>
    <w:rsid w:val="00A30495"/>
    <w:rsid w:val="00A304AC"/>
    <w:rsid w:val="00A317F7"/>
    <w:rsid w:val="00A31A24"/>
    <w:rsid w:val="00A32741"/>
    <w:rsid w:val="00A3451B"/>
    <w:rsid w:val="00A34729"/>
    <w:rsid w:val="00A34E13"/>
    <w:rsid w:val="00A3585A"/>
    <w:rsid w:val="00A35E2B"/>
    <w:rsid w:val="00A36075"/>
    <w:rsid w:val="00A37A46"/>
    <w:rsid w:val="00A40A99"/>
    <w:rsid w:val="00A40C33"/>
    <w:rsid w:val="00A40E3A"/>
    <w:rsid w:val="00A42398"/>
    <w:rsid w:val="00A425EA"/>
    <w:rsid w:val="00A426F8"/>
    <w:rsid w:val="00A42F54"/>
    <w:rsid w:val="00A42F65"/>
    <w:rsid w:val="00A4412D"/>
    <w:rsid w:val="00A44CA4"/>
    <w:rsid w:val="00A44D22"/>
    <w:rsid w:val="00A452A8"/>
    <w:rsid w:val="00A453C1"/>
    <w:rsid w:val="00A45C8A"/>
    <w:rsid w:val="00A465A2"/>
    <w:rsid w:val="00A470FF"/>
    <w:rsid w:val="00A4792E"/>
    <w:rsid w:val="00A504A8"/>
    <w:rsid w:val="00A50503"/>
    <w:rsid w:val="00A50744"/>
    <w:rsid w:val="00A50C36"/>
    <w:rsid w:val="00A517F8"/>
    <w:rsid w:val="00A530C0"/>
    <w:rsid w:val="00A538FF"/>
    <w:rsid w:val="00A53F39"/>
    <w:rsid w:val="00A542CB"/>
    <w:rsid w:val="00A5430F"/>
    <w:rsid w:val="00A553A0"/>
    <w:rsid w:val="00A554F7"/>
    <w:rsid w:val="00A554F9"/>
    <w:rsid w:val="00A55AC1"/>
    <w:rsid w:val="00A55E29"/>
    <w:rsid w:val="00A56C42"/>
    <w:rsid w:val="00A56DB2"/>
    <w:rsid w:val="00A5704D"/>
    <w:rsid w:val="00A571D6"/>
    <w:rsid w:val="00A607CC"/>
    <w:rsid w:val="00A60C3D"/>
    <w:rsid w:val="00A60C9B"/>
    <w:rsid w:val="00A6193F"/>
    <w:rsid w:val="00A62A42"/>
    <w:rsid w:val="00A64CF0"/>
    <w:rsid w:val="00A64E10"/>
    <w:rsid w:val="00A66736"/>
    <w:rsid w:val="00A66D7C"/>
    <w:rsid w:val="00A67198"/>
    <w:rsid w:val="00A67466"/>
    <w:rsid w:val="00A67A3C"/>
    <w:rsid w:val="00A71B27"/>
    <w:rsid w:val="00A71D8F"/>
    <w:rsid w:val="00A7556B"/>
    <w:rsid w:val="00A76B62"/>
    <w:rsid w:val="00A80D23"/>
    <w:rsid w:val="00A817A0"/>
    <w:rsid w:val="00A81CD5"/>
    <w:rsid w:val="00A81DD2"/>
    <w:rsid w:val="00A82B3B"/>
    <w:rsid w:val="00A83864"/>
    <w:rsid w:val="00A83E38"/>
    <w:rsid w:val="00A83E62"/>
    <w:rsid w:val="00A854D4"/>
    <w:rsid w:val="00A86AA8"/>
    <w:rsid w:val="00A86CAB"/>
    <w:rsid w:val="00A87452"/>
    <w:rsid w:val="00A8778E"/>
    <w:rsid w:val="00A90C45"/>
    <w:rsid w:val="00A90F2D"/>
    <w:rsid w:val="00A916F8"/>
    <w:rsid w:val="00A91A9C"/>
    <w:rsid w:val="00A92167"/>
    <w:rsid w:val="00A9316B"/>
    <w:rsid w:val="00A936F2"/>
    <w:rsid w:val="00A93E7E"/>
    <w:rsid w:val="00A9547A"/>
    <w:rsid w:val="00A95CD1"/>
    <w:rsid w:val="00A9786C"/>
    <w:rsid w:val="00AA005B"/>
    <w:rsid w:val="00AA04D6"/>
    <w:rsid w:val="00AA0748"/>
    <w:rsid w:val="00AA0FB3"/>
    <w:rsid w:val="00AA1DB5"/>
    <w:rsid w:val="00AA2B38"/>
    <w:rsid w:val="00AA2DF1"/>
    <w:rsid w:val="00AA30CF"/>
    <w:rsid w:val="00AA348F"/>
    <w:rsid w:val="00AA3917"/>
    <w:rsid w:val="00AA3ABD"/>
    <w:rsid w:val="00AA4A1F"/>
    <w:rsid w:val="00AA4BC6"/>
    <w:rsid w:val="00AA5085"/>
    <w:rsid w:val="00AA51FF"/>
    <w:rsid w:val="00AA5D65"/>
    <w:rsid w:val="00AA60CA"/>
    <w:rsid w:val="00AA7572"/>
    <w:rsid w:val="00AA7DC2"/>
    <w:rsid w:val="00AB053A"/>
    <w:rsid w:val="00AB25E4"/>
    <w:rsid w:val="00AB289D"/>
    <w:rsid w:val="00AB306F"/>
    <w:rsid w:val="00AB3120"/>
    <w:rsid w:val="00AB3415"/>
    <w:rsid w:val="00AB370B"/>
    <w:rsid w:val="00AB390C"/>
    <w:rsid w:val="00AB4A62"/>
    <w:rsid w:val="00AB5002"/>
    <w:rsid w:val="00AB519E"/>
    <w:rsid w:val="00AB58AB"/>
    <w:rsid w:val="00AB5C33"/>
    <w:rsid w:val="00AB6F83"/>
    <w:rsid w:val="00AB7C22"/>
    <w:rsid w:val="00AB7EE8"/>
    <w:rsid w:val="00AC0700"/>
    <w:rsid w:val="00AC1844"/>
    <w:rsid w:val="00AC2B18"/>
    <w:rsid w:val="00AC2CD6"/>
    <w:rsid w:val="00AC645C"/>
    <w:rsid w:val="00AC7069"/>
    <w:rsid w:val="00AC724A"/>
    <w:rsid w:val="00AC78DA"/>
    <w:rsid w:val="00AD0B77"/>
    <w:rsid w:val="00AD0F3F"/>
    <w:rsid w:val="00AD16B9"/>
    <w:rsid w:val="00AD2874"/>
    <w:rsid w:val="00AD3B9B"/>
    <w:rsid w:val="00AD3E41"/>
    <w:rsid w:val="00AD4392"/>
    <w:rsid w:val="00AD493E"/>
    <w:rsid w:val="00AD4F01"/>
    <w:rsid w:val="00AD5DFF"/>
    <w:rsid w:val="00AD6144"/>
    <w:rsid w:val="00AD637C"/>
    <w:rsid w:val="00AD664A"/>
    <w:rsid w:val="00AD7064"/>
    <w:rsid w:val="00AD77AD"/>
    <w:rsid w:val="00AD7A41"/>
    <w:rsid w:val="00AE0657"/>
    <w:rsid w:val="00AE0AF4"/>
    <w:rsid w:val="00AE15C6"/>
    <w:rsid w:val="00AE291A"/>
    <w:rsid w:val="00AE349E"/>
    <w:rsid w:val="00AE35E3"/>
    <w:rsid w:val="00AE42D0"/>
    <w:rsid w:val="00AE61D2"/>
    <w:rsid w:val="00AE6607"/>
    <w:rsid w:val="00AE74A8"/>
    <w:rsid w:val="00AF00AC"/>
    <w:rsid w:val="00AF0461"/>
    <w:rsid w:val="00AF0FA6"/>
    <w:rsid w:val="00AF12C2"/>
    <w:rsid w:val="00AF1424"/>
    <w:rsid w:val="00AF4296"/>
    <w:rsid w:val="00AF4E37"/>
    <w:rsid w:val="00AF567C"/>
    <w:rsid w:val="00AF5A3B"/>
    <w:rsid w:val="00AF5C19"/>
    <w:rsid w:val="00AF626A"/>
    <w:rsid w:val="00AF63DB"/>
    <w:rsid w:val="00AF66AE"/>
    <w:rsid w:val="00AF6859"/>
    <w:rsid w:val="00AF7C34"/>
    <w:rsid w:val="00B002F9"/>
    <w:rsid w:val="00B005D5"/>
    <w:rsid w:val="00B0109C"/>
    <w:rsid w:val="00B01ECD"/>
    <w:rsid w:val="00B01F45"/>
    <w:rsid w:val="00B02107"/>
    <w:rsid w:val="00B02C21"/>
    <w:rsid w:val="00B0303E"/>
    <w:rsid w:val="00B032A7"/>
    <w:rsid w:val="00B03C6F"/>
    <w:rsid w:val="00B04482"/>
    <w:rsid w:val="00B04622"/>
    <w:rsid w:val="00B05643"/>
    <w:rsid w:val="00B05775"/>
    <w:rsid w:val="00B060AD"/>
    <w:rsid w:val="00B0693B"/>
    <w:rsid w:val="00B07395"/>
    <w:rsid w:val="00B073C5"/>
    <w:rsid w:val="00B07794"/>
    <w:rsid w:val="00B07A48"/>
    <w:rsid w:val="00B10909"/>
    <w:rsid w:val="00B1203E"/>
    <w:rsid w:val="00B1426A"/>
    <w:rsid w:val="00B145DA"/>
    <w:rsid w:val="00B145F8"/>
    <w:rsid w:val="00B15769"/>
    <w:rsid w:val="00B15965"/>
    <w:rsid w:val="00B1674D"/>
    <w:rsid w:val="00B17E02"/>
    <w:rsid w:val="00B205CC"/>
    <w:rsid w:val="00B20AE9"/>
    <w:rsid w:val="00B21549"/>
    <w:rsid w:val="00B21875"/>
    <w:rsid w:val="00B21D1E"/>
    <w:rsid w:val="00B21F2A"/>
    <w:rsid w:val="00B231F4"/>
    <w:rsid w:val="00B2396E"/>
    <w:rsid w:val="00B23ED9"/>
    <w:rsid w:val="00B24424"/>
    <w:rsid w:val="00B24CB6"/>
    <w:rsid w:val="00B252BB"/>
    <w:rsid w:val="00B2620A"/>
    <w:rsid w:val="00B2752E"/>
    <w:rsid w:val="00B27C69"/>
    <w:rsid w:val="00B306F6"/>
    <w:rsid w:val="00B31153"/>
    <w:rsid w:val="00B31708"/>
    <w:rsid w:val="00B31B3D"/>
    <w:rsid w:val="00B333B9"/>
    <w:rsid w:val="00B33F01"/>
    <w:rsid w:val="00B354B2"/>
    <w:rsid w:val="00B355EB"/>
    <w:rsid w:val="00B360DB"/>
    <w:rsid w:val="00B36600"/>
    <w:rsid w:val="00B37406"/>
    <w:rsid w:val="00B37515"/>
    <w:rsid w:val="00B4098F"/>
    <w:rsid w:val="00B40995"/>
    <w:rsid w:val="00B40CF2"/>
    <w:rsid w:val="00B41C85"/>
    <w:rsid w:val="00B446C5"/>
    <w:rsid w:val="00B45211"/>
    <w:rsid w:val="00B47284"/>
    <w:rsid w:val="00B4781A"/>
    <w:rsid w:val="00B4792B"/>
    <w:rsid w:val="00B50C15"/>
    <w:rsid w:val="00B51248"/>
    <w:rsid w:val="00B5139F"/>
    <w:rsid w:val="00B51E9F"/>
    <w:rsid w:val="00B5262D"/>
    <w:rsid w:val="00B5298C"/>
    <w:rsid w:val="00B52A9F"/>
    <w:rsid w:val="00B53643"/>
    <w:rsid w:val="00B53C3D"/>
    <w:rsid w:val="00B53FD7"/>
    <w:rsid w:val="00B54106"/>
    <w:rsid w:val="00B549EC"/>
    <w:rsid w:val="00B54EF5"/>
    <w:rsid w:val="00B55036"/>
    <w:rsid w:val="00B5600C"/>
    <w:rsid w:val="00B5720A"/>
    <w:rsid w:val="00B575F2"/>
    <w:rsid w:val="00B60100"/>
    <w:rsid w:val="00B61E37"/>
    <w:rsid w:val="00B6232A"/>
    <w:rsid w:val="00B62EDB"/>
    <w:rsid w:val="00B64980"/>
    <w:rsid w:val="00B64E69"/>
    <w:rsid w:val="00B64FFF"/>
    <w:rsid w:val="00B65642"/>
    <w:rsid w:val="00B66029"/>
    <w:rsid w:val="00B67479"/>
    <w:rsid w:val="00B70531"/>
    <w:rsid w:val="00B709EC"/>
    <w:rsid w:val="00B73546"/>
    <w:rsid w:val="00B73F8E"/>
    <w:rsid w:val="00B744DC"/>
    <w:rsid w:val="00B7463F"/>
    <w:rsid w:val="00B74F55"/>
    <w:rsid w:val="00B75DF0"/>
    <w:rsid w:val="00B76C43"/>
    <w:rsid w:val="00B802A1"/>
    <w:rsid w:val="00B83978"/>
    <w:rsid w:val="00B83979"/>
    <w:rsid w:val="00B8493D"/>
    <w:rsid w:val="00B84B00"/>
    <w:rsid w:val="00B84BBE"/>
    <w:rsid w:val="00B90197"/>
    <w:rsid w:val="00B901D0"/>
    <w:rsid w:val="00B90A3A"/>
    <w:rsid w:val="00B90AE9"/>
    <w:rsid w:val="00B91342"/>
    <w:rsid w:val="00B913BF"/>
    <w:rsid w:val="00B94BAF"/>
    <w:rsid w:val="00B94F95"/>
    <w:rsid w:val="00B954B3"/>
    <w:rsid w:val="00B9569F"/>
    <w:rsid w:val="00B95C88"/>
    <w:rsid w:val="00B96313"/>
    <w:rsid w:val="00B9683D"/>
    <w:rsid w:val="00B978DF"/>
    <w:rsid w:val="00B97BE5"/>
    <w:rsid w:val="00BA04B2"/>
    <w:rsid w:val="00BA08D4"/>
    <w:rsid w:val="00BA08DA"/>
    <w:rsid w:val="00BA0909"/>
    <w:rsid w:val="00BA1433"/>
    <w:rsid w:val="00BA1FCE"/>
    <w:rsid w:val="00BA1FE2"/>
    <w:rsid w:val="00BA225F"/>
    <w:rsid w:val="00BA26CF"/>
    <w:rsid w:val="00BA2942"/>
    <w:rsid w:val="00BA3D1F"/>
    <w:rsid w:val="00BA51C1"/>
    <w:rsid w:val="00BB31FC"/>
    <w:rsid w:val="00BB3D25"/>
    <w:rsid w:val="00BB3FE4"/>
    <w:rsid w:val="00BB4020"/>
    <w:rsid w:val="00BB4026"/>
    <w:rsid w:val="00BB5375"/>
    <w:rsid w:val="00BB62EA"/>
    <w:rsid w:val="00BB6DCE"/>
    <w:rsid w:val="00BC0052"/>
    <w:rsid w:val="00BC0B7F"/>
    <w:rsid w:val="00BC1771"/>
    <w:rsid w:val="00BC1A52"/>
    <w:rsid w:val="00BC1F9F"/>
    <w:rsid w:val="00BC2F2B"/>
    <w:rsid w:val="00BC316B"/>
    <w:rsid w:val="00BC413C"/>
    <w:rsid w:val="00BC4876"/>
    <w:rsid w:val="00BC4C36"/>
    <w:rsid w:val="00BC4CAD"/>
    <w:rsid w:val="00BC5091"/>
    <w:rsid w:val="00BC553E"/>
    <w:rsid w:val="00BC5B8A"/>
    <w:rsid w:val="00BC5EDE"/>
    <w:rsid w:val="00BC609D"/>
    <w:rsid w:val="00BC6473"/>
    <w:rsid w:val="00BC66C2"/>
    <w:rsid w:val="00BD0571"/>
    <w:rsid w:val="00BD089C"/>
    <w:rsid w:val="00BD0E0A"/>
    <w:rsid w:val="00BD1818"/>
    <w:rsid w:val="00BD1847"/>
    <w:rsid w:val="00BD26BC"/>
    <w:rsid w:val="00BD3B1B"/>
    <w:rsid w:val="00BD3E71"/>
    <w:rsid w:val="00BD42E8"/>
    <w:rsid w:val="00BD47F8"/>
    <w:rsid w:val="00BD5231"/>
    <w:rsid w:val="00BD54F8"/>
    <w:rsid w:val="00BD5926"/>
    <w:rsid w:val="00BD5C52"/>
    <w:rsid w:val="00BD5FA4"/>
    <w:rsid w:val="00BD6B05"/>
    <w:rsid w:val="00BD6CE4"/>
    <w:rsid w:val="00BD7648"/>
    <w:rsid w:val="00BE00BD"/>
    <w:rsid w:val="00BE05DC"/>
    <w:rsid w:val="00BE094E"/>
    <w:rsid w:val="00BE16FD"/>
    <w:rsid w:val="00BE184A"/>
    <w:rsid w:val="00BE1F64"/>
    <w:rsid w:val="00BE2C20"/>
    <w:rsid w:val="00BE2E22"/>
    <w:rsid w:val="00BE3D0C"/>
    <w:rsid w:val="00BE4B10"/>
    <w:rsid w:val="00BE51D9"/>
    <w:rsid w:val="00BE56B2"/>
    <w:rsid w:val="00BE582C"/>
    <w:rsid w:val="00BE6CEF"/>
    <w:rsid w:val="00BE6DCF"/>
    <w:rsid w:val="00BE743B"/>
    <w:rsid w:val="00BE75C1"/>
    <w:rsid w:val="00BE7602"/>
    <w:rsid w:val="00BE7EB3"/>
    <w:rsid w:val="00BE7F2A"/>
    <w:rsid w:val="00BF0220"/>
    <w:rsid w:val="00BF0B75"/>
    <w:rsid w:val="00BF16BA"/>
    <w:rsid w:val="00BF3851"/>
    <w:rsid w:val="00BF3DED"/>
    <w:rsid w:val="00BF44CA"/>
    <w:rsid w:val="00BF4801"/>
    <w:rsid w:val="00BF5588"/>
    <w:rsid w:val="00BF5C17"/>
    <w:rsid w:val="00BF604D"/>
    <w:rsid w:val="00BF75B9"/>
    <w:rsid w:val="00BF7B7B"/>
    <w:rsid w:val="00BF7D31"/>
    <w:rsid w:val="00C00D09"/>
    <w:rsid w:val="00C02B38"/>
    <w:rsid w:val="00C0387B"/>
    <w:rsid w:val="00C03FC3"/>
    <w:rsid w:val="00C044E9"/>
    <w:rsid w:val="00C04721"/>
    <w:rsid w:val="00C06FA2"/>
    <w:rsid w:val="00C07380"/>
    <w:rsid w:val="00C0774D"/>
    <w:rsid w:val="00C07DA1"/>
    <w:rsid w:val="00C1046D"/>
    <w:rsid w:val="00C10920"/>
    <w:rsid w:val="00C111DA"/>
    <w:rsid w:val="00C11A56"/>
    <w:rsid w:val="00C11DA5"/>
    <w:rsid w:val="00C13519"/>
    <w:rsid w:val="00C13FFB"/>
    <w:rsid w:val="00C141B6"/>
    <w:rsid w:val="00C14C46"/>
    <w:rsid w:val="00C15651"/>
    <w:rsid w:val="00C15AD9"/>
    <w:rsid w:val="00C161DC"/>
    <w:rsid w:val="00C165C7"/>
    <w:rsid w:val="00C165D3"/>
    <w:rsid w:val="00C16C2F"/>
    <w:rsid w:val="00C17268"/>
    <w:rsid w:val="00C211E6"/>
    <w:rsid w:val="00C21C26"/>
    <w:rsid w:val="00C21FD5"/>
    <w:rsid w:val="00C23AF8"/>
    <w:rsid w:val="00C24BE6"/>
    <w:rsid w:val="00C24D22"/>
    <w:rsid w:val="00C25C38"/>
    <w:rsid w:val="00C27679"/>
    <w:rsid w:val="00C2789D"/>
    <w:rsid w:val="00C30BEE"/>
    <w:rsid w:val="00C314A1"/>
    <w:rsid w:val="00C322E0"/>
    <w:rsid w:val="00C33475"/>
    <w:rsid w:val="00C338C8"/>
    <w:rsid w:val="00C343B4"/>
    <w:rsid w:val="00C37703"/>
    <w:rsid w:val="00C37ECF"/>
    <w:rsid w:val="00C37F1E"/>
    <w:rsid w:val="00C40883"/>
    <w:rsid w:val="00C40DD4"/>
    <w:rsid w:val="00C412EC"/>
    <w:rsid w:val="00C41753"/>
    <w:rsid w:val="00C41C48"/>
    <w:rsid w:val="00C41E6F"/>
    <w:rsid w:val="00C428D5"/>
    <w:rsid w:val="00C4309E"/>
    <w:rsid w:val="00C4369E"/>
    <w:rsid w:val="00C43842"/>
    <w:rsid w:val="00C43AE3"/>
    <w:rsid w:val="00C43EA8"/>
    <w:rsid w:val="00C44532"/>
    <w:rsid w:val="00C462DE"/>
    <w:rsid w:val="00C509AE"/>
    <w:rsid w:val="00C5164E"/>
    <w:rsid w:val="00C521A9"/>
    <w:rsid w:val="00C53C71"/>
    <w:rsid w:val="00C543FD"/>
    <w:rsid w:val="00C54502"/>
    <w:rsid w:val="00C54881"/>
    <w:rsid w:val="00C55D21"/>
    <w:rsid w:val="00C560A2"/>
    <w:rsid w:val="00C56392"/>
    <w:rsid w:val="00C5694D"/>
    <w:rsid w:val="00C5748F"/>
    <w:rsid w:val="00C5798A"/>
    <w:rsid w:val="00C57C53"/>
    <w:rsid w:val="00C600B4"/>
    <w:rsid w:val="00C60D14"/>
    <w:rsid w:val="00C611B0"/>
    <w:rsid w:val="00C61519"/>
    <w:rsid w:val="00C6568E"/>
    <w:rsid w:val="00C65829"/>
    <w:rsid w:val="00C65C9E"/>
    <w:rsid w:val="00C66093"/>
    <w:rsid w:val="00C66998"/>
    <w:rsid w:val="00C66E88"/>
    <w:rsid w:val="00C67134"/>
    <w:rsid w:val="00C6799E"/>
    <w:rsid w:val="00C700B5"/>
    <w:rsid w:val="00C70F25"/>
    <w:rsid w:val="00C70F5C"/>
    <w:rsid w:val="00C71908"/>
    <w:rsid w:val="00C71EFF"/>
    <w:rsid w:val="00C7335B"/>
    <w:rsid w:val="00C738E9"/>
    <w:rsid w:val="00C740FA"/>
    <w:rsid w:val="00C7425F"/>
    <w:rsid w:val="00C747D1"/>
    <w:rsid w:val="00C74D4F"/>
    <w:rsid w:val="00C74FEA"/>
    <w:rsid w:val="00C750FB"/>
    <w:rsid w:val="00C752D5"/>
    <w:rsid w:val="00C77043"/>
    <w:rsid w:val="00C77363"/>
    <w:rsid w:val="00C7762D"/>
    <w:rsid w:val="00C8156B"/>
    <w:rsid w:val="00C81C81"/>
    <w:rsid w:val="00C82E14"/>
    <w:rsid w:val="00C832FD"/>
    <w:rsid w:val="00C83A8F"/>
    <w:rsid w:val="00C840B4"/>
    <w:rsid w:val="00C852E8"/>
    <w:rsid w:val="00C85F38"/>
    <w:rsid w:val="00C86026"/>
    <w:rsid w:val="00C8620C"/>
    <w:rsid w:val="00C86B05"/>
    <w:rsid w:val="00C86E8F"/>
    <w:rsid w:val="00C875D5"/>
    <w:rsid w:val="00C9006C"/>
    <w:rsid w:val="00C90140"/>
    <w:rsid w:val="00C90789"/>
    <w:rsid w:val="00C915C4"/>
    <w:rsid w:val="00C93CE1"/>
    <w:rsid w:val="00C93DAE"/>
    <w:rsid w:val="00C9455E"/>
    <w:rsid w:val="00C94BBD"/>
    <w:rsid w:val="00C95EC5"/>
    <w:rsid w:val="00C96CAF"/>
    <w:rsid w:val="00CA0820"/>
    <w:rsid w:val="00CA0D9B"/>
    <w:rsid w:val="00CA11C1"/>
    <w:rsid w:val="00CA2BD8"/>
    <w:rsid w:val="00CA3A38"/>
    <w:rsid w:val="00CA4DFC"/>
    <w:rsid w:val="00CA55A0"/>
    <w:rsid w:val="00CA57A4"/>
    <w:rsid w:val="00CA5D43"/>
    <w:rsid w:val="00CA604C"/>
    <w:rsid w:val="00CA6A05"/>
    <w:rsid w:val="00CA7A81"/>
    <w:rsid w:val="00CB020F"/>
    <w:rsid w:val="00CB0320"/>
    <w:rsid w:val="00CB0F1C"/>
    <w:rsid w:val="00CB197B"/>
    <w:rsid w:val="00CB246E"/>
    <w:rsid w:val="00CB26CB"/>
    <w:rsid w:val="00CB32EF"/>
    <w:rsid w:val="00CB3867"/>
    <w:rsid w:val="00CB42BF"/>
    <w:rsid w:val="00CB5B7D"/>
    <w:rsid w:val="00CB6010"/>
    <w:rsid w:val="00CB71A6"/>
    <w:rsid w:val="00CB7304"/>
    <w:rsid w:val="00CB7E93"/>
    <w:rsid w:val="00CC00D7"/>
    <w:rsid w:val="00CC174A"/>
    <w:rsid w:val="00CC24D1"/>
    <w:rsid w:val="00CC2964"/>
    <w:rsid w:val="00CC2F4C"/>
    <w:rsid w:val="00CC4042"/>
    <w:rsid w:val="00CC42D2"/>
    <w:rsid w:val="00CC4A3E"/>
    <w:rsid w:val="00CC550A"/>
    <w:rsid w:val="00CC58F1"/>
    <w:rsid w:val="00CC685C"/>
    <w:rsid w:val="00CC687D"/>
    <w:rsid w:val="00CC71AD"/>
    <w:rsid w:val="00CC77BF"/>
    <w:rsid w:val="00CC79C1"/>
    <w:rsid w:val="00CD152A"/>
    <w:rsid w:val="00CD2918"/>
    <w:rsid w:val="00CD3725"/>
    <w:rsid w:val="00CD447B"/>
    <w:rsid w:val="00CD50A8"/>
    <w:rsid w:val="00CD55D4"/>
    <w:rsid w:val="00CD616D"/>
    <w:rsid w:val="00CD6EDA"/>
    <w:rsid w:val="00CD7197"/>
    <w:rsid w:val="00CE0E04"/>
    <w:rsid w:val="00CE10CB"/>
    <w:rsid w:val="00CE1B97"/>
    <w:rsid w:val="00CE1DC3"/>
    <w:rsid w:val="00CE2CAE"/>
    <w:rsid w:val="00CE331B"/>
    <w:rsid w:val="00CE4293"/>
    <w:rsid w:val="00CE46AF"/>
    <w:rsid w:val="00CE4B35"/>
    <w:rsid w:val="00CE4CFE"/>
    <w:rsid w:val="00CE5046"/>
    <w:rsid w:val="00CE54D8"/>
    <w:rsid w:val="00CE57CA"/>
    <w:rsid w:val="00CE6372"/>
    <w:rsid w:val="00CE6519"/>
    <w:rsid w:val="00CE6863"/>
    <w:rsid w:val="00CE6ECC"/>
    <w:rsid w:val="00CE7022"/>
    <w:rsid w:val="00CE74CE"/>
    <w:rsid w:val="00CE755D"/>
    <w:rsid w:val="00CE7DA3"/>
    <w:rsid w:val="00CE7EDB"/>
    <w:rsid w:val="00CF0ECD"/>
    <w:rsid w:val="00CF11B2"/>
    <w:rsid w:val="00CF188A"/>
    <w:rsid w:val="00CF211B"/>
    <w:rsid w:val="00CF254B"/>
    <w:rsid w:val="00CF4279"/>
    <w:rsid w:val="00CF6DC5"/>
    <w:rsid w:val="00CF74B0"/>
    <w:rsid w:val="00CF764B"/>
    <w:rsid w:val="00D0097F"/>
    <w:rsid w:val="00D00D31"/>
    <w:rsid w:val="00D01ED6"/>
    <w:rsid w:val="00D02115"/>
    <w:rsid w:val="00D02310"/>
    <w:rsid w:val="00D029A1"/>
    <w:rsid w:val="00D02AD7"/>
    <w:rsid w:val="00D03C04"/>
    <w:rsid w:val="00D03F01"/>
    <w:rsid w:val="00D047ED"/>
    <w:rsid w:val="00D04939"/>
    <w:rsid w:val="00D06494"/>
    <w:rsid w:val="00D07C90"/>
    <w:rsid w:val="00D10120"/>
    <w:rsid w:val="00D1057E"/>
    <w:rsid w:val="00D105E8"/>
    <w:rsid w:val="00D109BA"/>
    <w:rsid w:val="00D10F3B"/>
    <w:rsid w:val="00D1125F"/>
    <w:rsid w:val="00D1290F"/>
    <w:rsid w:val="00D12E9F"/>
    <w:rsid w:val="00D137B9"/>
    <w:rsid w:val="00D13ABC"/>
    <w:rsid w:val="00D140D9"/>
    <w:rsid w:val="00D149A1"/>
    <w:rsid w:val="00D14E5E"/>
    <w:rsid w:val="00D15317"/>
    <w:rsid w:val="00D154FD"/>
    <w:rsid w:val="00D155EA"/>
    <w:rsid w:val="00D17102"/>
    <w:rsid w:val="00D17612"/>
    <w:rsid w:val="00D17733"/>
    <w:rsid w:val="00D20228"/>
    <w:rsid w:val="00D20270"/>
    <w:rsid w:val="00D20276"/>
    <w:rsid w:val="00D204C0"/>
    <w:rsid w:val="00D2095A"/>
    <w:rsid w:val="00D20992"/>
    <w:rsid w:val="00D212F7"/>
    <w:rsid w:val="00D2158F"/>
    <w:rsid w:val="00D21817"/>
    <w:rsid w:val="00D219CA"/>
    <w:rsid w:val="00D21C86"/>
    <w:rsid w:val="00D239A8"/>
    <w:rsid w:val="00D23EDF"/>
    <w:rsid w:val="00D2417E"/>
    <w:rsid w:val="00D25365"/>
    <w:rsid w:val="00D2607A"/>
    <w:rsid w:val="00D260E9"/>
    <w:rsid w:val="00D26977"/>
    <w:rsid w:val="00D270E7"/>
    <w:rsid w:val="00D27B74"/>
    <w:rsid w:val="00D27F12"/>
    <w:rsid w:val="00D302B9"/>
    <w:rsid w:val="00D30FE8"/>
    <w:rsid w:val="00D31AA0"/>
    <w:rsid w:val="00D3209F"/>
    <w:rsid w:val="00D33058"/>
    <w:rsid w:val="00D33DAE"/>
    <w:rsid w:val="00D34D11"/>
    <w:rsid w:val="00D34EF0"/>
    <w:rsid w:val="00D35681"/>
    <w:rsid w:val="00D3795E"/>
    <w:rsid w:val="00D41140"/>
    <w:rsid w:val="00D41A53"/>
    <w:rsid w:val="00D41C0B"/>
    <w:rsid w:val="00D41F6F"/>
    <w:rsid w:val="00D433A6"/>
    <w:rsid w:val="00D442E7"/>
    <w:rsid w:val="00D44C61"/>
    <w:rsid w:val="00D45D31"/>
    <w:rsid w:val="00D45DDE"/>
    <w:rsid w:val="00D45E4E"/>
    <w:rsid w:val="00D471DE"/>
    <w:rsid w:val="00D4748D"/>
    <w:rsid w:val="00D50A23"/>
    <w:rsid w:val="00D50C93"/>
    <w:rsid w:val="00D51EF1"/>
    <w:rsid w:val="00D52779"/>
    <w:rsid w:val="00D53ADC"/>
    <w:rsid w:val="00D5420C"/>
    <w:rsid w:val="00D54A6B"/>
    <w:rsid w:val="00D54B36"/>
    <w:rsid w:val="00D559E7"/>
    <w:rsid w:val="00D55E2E"/>
    <w:rsid w:val="00D55F4C"/>
    <w:rsid w:val="00D56286"/>
    <w:rsid w:val="00D56BA6"/>
    <w:rsid w:val="00D56D63"/>
    <w:rsid w:val="00D60856"/>
    <w:rsid w:val="00D60885"/>
    <w:rsid w:val="00D61979"/>
    <w:rsid w:val="00D63872"/>
    <w:rsid w:val="00D63F2C"/>
    <w:rsid w:val="00D642D1"/>
    <w:rsid w:val="00D646B8"/>
    <w:rsid w:val="00D648B5"/>
    <w:rsid w:val="00D64B28"/>
    <w:rsid w:val="00D64DC2"/>
    <w:rsid w:val="00D64F13"/>
    <w:rsid w:val="00D6523E"/>
    <w:rsid w:val="00D678CE"/>
    <w:rsid w:val="00D715B4"/>
    <w:rsid w:val="00D71F8B"/>
    <w:rsid w:val="00D72013"/>
    <w:rsid w:val="00D721DA"/>
    <w:rsid w:val="00D72BDA"/>
    <w:rsid w:val="00D72EF2"/>
    <w:rsid w:val="00D72FAD"/>
    <w:rsid w:val="00D735F8"/>
    <w:rsid w:val="00D76323"/>
    <w:rsid w:val="00D76573"/>
    <w:rsid w:val="00D77931"/>
    <w:rsid w:val="00D81469"/>
    <w:rsid w:val="00D81E53"/>
    <w:rsid w:val="00D83614"/>
    <w:rsid w:val="00D83FE6"/>
    <w:rsid w:val="00D84339"/>
    <w:rsid w:val="00D8470B"/>
    <w:rsid w:val="00D86A62"/>
    <w:rsid w:val="00D87394"/>
    <w:rsid w:val="00D87654"/>
    <w:rsid w:val="00D9129E"/>
    <w:rsid w:val="00D91A72"/>
    <w:rsid w:val="00D91BA4"/>
    <w:rsid w:val="00D91D60"/>
    <w:rsid w:val="00D95B74"/>
    <w:rsid w:val="00D95FDA"/>
    <w:rsid w:val="00D9758F"/>
    <w:rsid w:val="00D97AC5"/>
    <w:rsid w:val="00DA02FC"/>
    <w:rsid w:val="00DA04B3"/>
    <w:rsid w:val="00DA0F97"/>
    <w:rsid w:val="00DA421E"/>
    <w:rsid w:val="00DA5474"/>
    <w:rsid w:val="00DA5793"/>
    <w:rsid w:val="00DA5A1E"/>
    <w:rsid w:val="00DA5B11"/>
    <w:rsid w:val="00DA6A52"/>
    <w:rsid w:val="00DA711A"/>
    <w:rsid w:val="00DA7171"/>
    <w:rsid w:val="00DA7EE9"/>
    <w:rsid w:val="00DB00D2"/>
    <w:rsid w:val="00DB070D"/>
    <w:rsid w:val="00DB1502"/>
    <w:rsid w:val="00DB17EA"/>
    <w:rsid w:val="00DB2409"/>
    <w:rsid w:val="00DB3D6E"/>
    <w:rsid w:val="00DB759A"/>
    <w:rsid w:val="00DB7829"/>
    <w:rsid w:val="00DC00AB"/>
    <w:rsid w:val="00DC0589"/>
    <w:rsid w:val="00DC0A78"/>
    <w:rsid w:val="00DC1049"/>
    <w:rsid w:val="00DC147D"/>
    <w:rsid w:val="00DC1989"/>
    <w:rsid w:val="00DC367A"/>
    <w:rsid w:val="00DC387F"/>
    <w:rsid w:val="00DC421B"/>
    <w:rsid w:val="00DC468E"/>
    <w:rsid w:val="00DC4B2A"/>
    <w:rsid w:val="00DC561D"/>
    <w:rsid w:val="00DC610E"/>
    <w:rsid w:val="00DC62C7"/>
    <w:rsid w:val="00DC68C9"/>
    <w:rsid w:val="00DC7834"/>
    <w:rsid w:val="00DC7D39"/>
    <w:rsid w:val="00DD0429"/>
    <w:rsid w:val="00DD14E5"/>
    <w:rsid w:val="00DD1FA1"/>
    <w:rsid w:val="00DD2515"/>
    <w:rsid w:val="00DD2D88"/>
    <w:rsid w:val="00DD333B"/>
    <w:rsid w:val="00DD4A47"/>
    <w:rsid w:val="00DD6362"/>
    <w:rsid w:val="00DD66E3"/>
    <w:rsid w:val="00DE057D"/>
    <w:rsid w:val="00DE07CB"/>
    <w:rsid w:val="00DE09E9"/>
    <w:rsid w:val="00DE0F02"/>
    <w:rsid w:val="00DE2264"/>
    <w:rsid w:val="00DE47F7"/>
    <w:rsid w:val="00DE4963"/>
    <w:rsid w:val="00DE4D0B"/>
    <w:rsid w:val="00DE60D3"/>
    <w:rsid w:val="00DE6306"/>
    <w:rsid w:val="00DE7360"/>
    <w:rsid w:val="00DE7D57"/>
    <w:rsid w:val="00DF08D0"/>
    <w:rsid w:val="00DF1782"/>
    <w:rsid w:val="00DF189D"/>
    <w:rsid w:val="00DF1A42"/>
    <w:rsid w:val="00DF1C98"/>
    <w:rsid w:val="00DF218B"/>
    <w:rsid w:val="00DF2A33"/>
    <w:rsid w:val="00DF3338"/>
    <w:rsid w:val="00DF3E17"/>
    <w:rsid w:val="00DF5898"/>
    <w:rsid w:val="00DF6127"/>
    <w:rsid w:val="00DF6AA8"/>
    <w:rsid w:val="00DF6D06"/>
    <w:rsid w:val="00DF6EEB"/>
    <w:rsid w:val="00DF6F50"/>
    <w:rsid w:val="00DF7000"/>
    <w:rsid w:val="00DF7710"/>
    <w:rsid w:val="00E006DC"/>
    <w:rsid w:val="00E010A0"/>
    <w:rsid w:val="00E010F2"/>
    <w:rsid w:val="00E01985"/>
    <w:rsid w:val="00E02064"/>
    <w:rsid w:val="00E026BD"/>
    <w:rsid w:val="00E026D4"/>
    <w:rsid w:val="00E0481F"/>
    <w:rsid w:val="00E04978"/>
    <w:rsid w:val="00E04DBA"/>
    <w:rsid w:val="00E04E6B"/>
    <w:rsid w:val="00E050EF"/>
    <w:rsid w:val="00E062CF"/>
    <w:rsid w:val="00E07402"/>
    <w:rsid w:val="00E07C06"/>
    <w:rsid w:val="00E10EC6"/>
    <w:rsid w:val="00E11937"/>
    <w:rsid w:val="00E11F06"/>
    <w:rsid w:val="00E11F7D"/>
    <w:rsid w:val="00E134D7"/>
    <w:rsid w:val="00E13529"/>
    <w:rsid w:val="00E153B3"/>
    <w:rsid w:val="00E15411"/>
    <w:rsid w:val="00E172F9"/>
    <w:rsid w:val="00E17BE0"/>
    <w:rsid w:val="00E2053D"/>
    <w:rsid w:val="00E209B8"/>
    <w:rsid w:val="00E20F9C"/>
    <w:rsid w:val="00E210DF"/>
    <w:rsid w:val="00E238F8"/>
    <w:rsid w:val="00E23F2E"/>
    <w:rsid w:val="00E23FFD"/>
    <w:rsid w:val="00E24908"/>
    <w:rsid w:val="00E25C61"/>
    <w:rsid w:val="00E260EB"/>
    <w:rsid w:val="00E261A0"/>
    <w:rsid w:val="00E26868"/>
    <w:rsid w:val="00E27ADD"/>
    <w:rsid w:val="00E30451"/>
    <w:rsid w:val="00E3049E"/>
    <w:rsid w:val="00E30DBE"/>
    <w:rsid w:val="00E32451"/>
    <w:rsid w:val="00E327F4"/>
    <w:rsid w:val="00E32D92"/>
    <w:rsid w:val="00E32E1F"/>
    <w:rsid w:val="00E348B2"/>
    <w:rsid w:val="00E35768"/>
    <w:rsid w:val="00E372FF"/>
    <w:rsid w:val="00E40CCB"/>
    <w:rsid w:val="00E4221C"/>
    <w:rsid w:val="00E42835"/>
    <w:rsid w:val="00E436D9"/>
    <w:rsid w:val="00E44D86"/>
    <w:rsid w:val="00E450A0"/>
    <w:rsid w:val="00E45210"/>
    <w:rsid w:val="00E45A28"/>
    <w:rsid w:val="00E45EBC"/>
    <w:rsid w:val="00E4609D"/>
    <w:rsid w:val="00E47192"/>
    <w:rsid w:val="00E47924"/>
    <w:rsid w:val="00E50F7E"/>
    <w:rsid w:val="00E51C58"/>
    <w:rsid w:val="00E51D0C"/>
    <w:rsid w:val="00E528A8"/>
    <w:rsid w:val="00E531B0"/>
    <w:rsid w:val="00E534F4"/>
    <w:rsid w:val="00E54B3F"/>
    <w:rsid w:val="00E55F00"/>
    <w:rsid w:val="00E56323"/>
    <w:rsid w:val="00E572DC"/>
    <w:rsid w:val="00E57586"/>
    <w:rsid w:val="00E6010C"/>
    <w:rsid w:val="00E605BA"/>
    <w:rsid w:val="00E607BA"/>
    <w:rsid w:val="00E60C2E"/>
    <w:rsid w:val="00E61840"/>
    <w:rsid w:val="00E61CBD"/>
    <w:rsid w:val="00E64E2C"/>
    <w:rsid w:val="00E655F6"/>
    <w:rsid w:val="00E65929"/>
    <w:rsid w:val="00E67A70"/>
    <w:rsid w:val="00E67E62"/>
    <w:rsid w:val="00E67F1A"/>
    <w:rsid w:val="00E70677"/>
    <w:rsid w:val="00E71A87"/>
    <w:rsid w:val="00E72252"/>
    <w:rsid w:val="00E73266"/>
    <w:rsid w:val="00E736DE"/>
    <w:rsid w:val="00E74A9B"/>
    <w:rsid w:val="00E74DBA"/>
    <w:rsid w:val="00E76080"/>
    <w:rsid w:val="00E76320"/>
    <w:rsid w:val="00E7669D"/>
    <w:rsid w:val="00E76A35"/>
    <w:rsid w:val="00E76D82"/>
    <w:rsid w:val="00E77219"/>
    <w:rsid w:val="00E80D23"/>
    <w:rsid w:val="00E81C2E"/>
    <w:rsid w:val="00E82BBB"/>
    <w:rsid w:val="00E82EE9"/>
    <w:rsid w:val="00E832AC"/>
    <w:rsid w:val="00E83F02"/>
    <w:rsid w:val="00E840D2"/>
    <w:rsid w:val="00E85432"/>
    <w:rsid w:val="00E85CDC"/>
    <w:rsid w:val="00E86029"/>
    <w:rsid w:val="00E86190"/>
    <w:rsid w:val="00E861B1"/>
    <w:rsid w:val="00E863AD"/>
    <w:rsid w:val="00E86402"/>
    <w:rsid w:val="00E86659"/>
    <w:rsid w:val="00E870F9"/>
    <w:rsid w:val="00E9032D"/>
    <w:rsid w:val="00E9121D"/>
    <w:rsid w:val="00E91CFF"/>
    <w:rsid w:val="00E92434"/>
    <w:rsid w:val="00E92B7D"/>
    <w:rsid w:val="00E932E5"/>
    <w:rsid w:val="00E96C1E"/>
    <w:rsid w:val="00EA2D62"/>
    <w:rsid w:val="00EA2DB1"/>
    <w:rsid w:val="00EA2F6E"/>
    <w:rsid w:val="00EA383E"/>
    <w:rsid w:val="00EA41B8"/>
    <w:rsid w:val="00EA5721"/>
    <w:rsid w:val="00EA5878"/>
    <w:rsid w:val="00EA7C8D"/>
    <w:rsid w:val="00EA7CF4"/>
    <w:rsid w:val="00EB0BEC"/>
    <w:rsid w:val="00EB153A"/>
    <w:rsid w:val="00EB1BFA"/>
    <w:rsid w:val="00EB20D0"/>
    <w:rsid w:val="00EB2923"/>
    <w:rsid w:val="00EB31DF"/>
    <w:rsid w:val="00EB3830"/>
    <w:rsid w:val="00EB4979"/>
    <w:rsid w:val="00EB5D0E"/>
    <w:rsid w:val="00EB5E3E"/>
    <w:rsid w:val="00EB5F5B"/>
    <w:rsid w:val="00EB7CDD"/>
    <w:rsid w:val="00EC03C2"/>
    <w:rsid w:val="00EC15BF"/>
    <w:rsid w:val="00EC1BFD"/>
    <w:rsid w:val="00EC3F65"/>
    <w:rsid w:val="00EC4771"/>
    <w:rsid w:val="00EC4C6C"/>
    <w:rsid w:val="00EC52A3"/>
    <w:rsid w:val="00EC52BD"/>
    <w:rsid w:val="00EC535E"/>
    <w:rsid w:val="00EC56F1"/>
    <w:rsid w:val="00EC5B46"/>
    <w:rsid w:val="00EC5DA2"/>
    <w:rsid w:val="00EC6184"/>
    <w:rsid w:val="00EC732D"/>
    <w:rsid w:val="00EC7CA0"/>
    <w:rsid w:val="00ED127C"/>
    <w:rsid w:val="00ED1629"/>
    <w:rsid w:val="00ED2507"/>
    <w:rsid w:val="00ED2747"/>
    <w:rsid w:val="00ED2C95"/>
    <w:rsid w:val="00ED3982"/>
    <w:rsid w:val="00ED5034"/>
    <w:rsid w:val="00ED5A12"/>
    <w:rsid w:val="00ED5DEC"/>
    <w:rsid w:val="00ED67CA"/>
    <w:rsid w:val="00ED6CBB"/>
    <w:rsid w:val="00ED7E7A"/>
    <w:rsid w:val="00EE0019"/>
    <w:rsid w:val="00EE0368"/>
    <w:rsid w:val="00EE0E2E"/>
    <w:rsid w:val="00EE14EC"/>
    <w:rsid w:val="00EE1791"/>
    <w:rsid w:val="00EE1EF0"/>
    <w:rsid w:val="00EE213B"/>
    <w:rsid w:val="00EE26BA"/>
    <w:rsid w:val="00EE27DF"/>
    <w:rsid w:val="00EE3F0C"/>
    <w:rsid w:val="00EE43DD"/>
    <w:rsid w:val="00EE4DBE"/>
    <w:rsid w:val="00EE5588"/>
    <w:rsid w:val="00EE5E1C"/>
    <w:rsid w:val="00EE63CB"/>
    <w:rsid w:val="00EE6513"/>
    <w:rsid w:val="00EF08FF"/>
    <w:rsid w:val="00EF11C5"/>
    <w:rsid w:val="00EF2E92"/>
    <w:rsid w:val="00EF3007"/>
    <w:rsid w:val="00EF43B6"/>
    <w:rsid w:val="00EF497C"/>
    <w:rsid w:val="00EF4F77"/>
    <w:rsid w:val="00F006C1"/>
    <w:rsid w:val="00F008DC"/>
    <w:rsid w:val="00F01DA2"/>
    <w:rsid w:val="00F0286A"/>
    <w:rsid w:val="00F035AD"/>
    <w:rsid w:val="00F037F7"/>
    <w:rsid w:val="00F03FC3"/>
    <w:rsid w:val="00F04484"/>
    <w:rsid w:val="00F052DB"/>
    <w:rsid w:val="00F055A0"/>
    <w:rsid w:val="00F05604"/>
    <w:rsid w:val="00F05AE7"/>
    <w:rsid w:val="00F0638B"/>
    <w:rsid w:val="00F066B5"/>
    <w:rsid w:val="00F07CF2"/>
    <w:rsid w:val="00F07FC2"/>
    <w:rsid w:val="00F108B1"/>
    <w:rsid w:val="00F12FBA"/>
    <w:rsid w:val="00F13865"/>
    <w:rsid w:val="00F13F14"/>
    <w:rsid w:val="00F1455D"/>
    <w:rsid w:val="00F14A7F"/>
    <w:rsid w:val="00F14E0C"/>
    <w:rsid w:val="00F15A69"/>
    <w:rsid w:val="00F16FDA"/>
    <w:rsid w:val="00F17203"/>
    <w:rsid w:val="00F17568"/>
    <w:rsid w:val="00F21572"/>
    <w:rsid w:val="00F221E0"/>
    <w:rsid w:val="00F22232"/>
    <w:rsid w:val="00F2224F"/>
    <w:rsid w:val="00F22A37"/>
    <w:rsid w:val="00F232E3"/>
    <w:rsid w:val="00F24566"/>
    <w:rsid w:val="00F25A12"/>
    <w:rsid w:val="00F25AD1"/>
    <w:rsid w:val="00F25ADC"/>
    <w:rsid w:val="00F26893"/>
    <w:rsid w:val="00F26AEC"/>
    <w:rsid w:val="00F27707"/>
    <w:rsid w:val="00F3038A"/>
    <w:rsid w:val="00F31847"/>
    <w:rsid w:val="00F31B2E"/>
    <w:rsid w:val="00F321C2"/>
    <w:rsid w:val="00F322AB"/>
    <w:rsid w:val="00F329FD"/>
    <w:rsid w:val="00F32B68"/>
    <w:rsid w:val="00F344C0"/>
    <w:rsid w:val="00F34C6D"/>
    <w:rsid w:val="00F34DA8"/>
    <w:rsid w:val="00F34F77"/>
    <w:rsid w:val="00F3561A"/>
    <w:rsid w:val="00F358E1"/>
    <w:rsid w:val="00F36812"/>
    <w:rsid w:val="00F368B5"/>
    <w:rsid w:val="00F36AFE"/>
    <w:rsid w:val="00F37D08"/>
    <w:rsid w:val="00F40468"/>
    <w:rsid w:val="00F407F3"/>
    <w:rsid w:val="00F40A4C"/>
    <w:rsid w:val="00F40B50"/>
    <w:rsid w:val="00F414E8"/>
    <w:rsid w:val="00F41B36"/>
    <w:rsid w:val="00F42A39"/>
    <w:rsid w:val="00F433E4"/>
    <w:rsid w:val="00F4368F"/>
    <w:rsid w:val="00F44961"/>
    <w:rsid w:val="00F449ED"/>
    <w:rsid w:val="00F44B41"/>
    <w:rsid w:val="00F4510B"/>
    <w:rsid w:val="00F45883"/>
    <w:rsid w:val="00F46C9E"/>
    <w:rsid w:val="00F477B0"/>
    <w:rsid w:val="00F47D5C"/>
    <w:rsid w:val="00F47FDF"/>
    <w:rsid w:val="00F51F94"/>
    <w:rsid w:val="00F52347"/>
    <w:rsid w:val="00F52B07"/>
    <w:rsid w:val="00F535AF"/>
    <w:rsid w:val="00F53C2A"/>
    <w:rsid w:val="00F553AC"/>
    <w:rsid w:val="00F55CEE"/>
    <w:rsid w:val="00F5607C"/>
    <w:rsid w:val="00F564A6"/>
    <w:rsid w:val="00F56E84"/>
    <w:rsid w:val="00F56EE5"/>
    <w:rsid w:val="00F5764D"/>
    <w:rsid w:val="00F60337"/>
    <w:rsid w:val="00F61845"/>
    <w:rsid w:val="00F61D17"/>
    <w:rsid w:val="00F61F14"/>
    <w:rsid w:val="00F634B6"/>
    <w:rsid w:val="00F63B0D"/>
    <w:rsid w:val="00F643AF"/>
    <w:rsid w:val="00F650AC"/>
    <w:rsid w:val="00F65D6E"/>
    <w:rsid w:val="00F66D00"/>
    <w:rsid w:val="00F6761A"/>
    <w:rsid w:val="00F7057C"/>
    <w:rsid w:val="00F70703"/>
    <w:rsid w:val="00F70A89"/>
    <w:rsid w:val="00F71C11"/>
    <w:rsid w:val="00F72003"/>
    <w:rsid w:val="00F725F3"/>
    <w:rsid w:val="00F734E4"/>
    <w:rsid w:val="00F7393A"/>
    <w:rsid w:val="00F73B9B"/>
    <w:rsid w:val="00F7515B"/>
    <w:rsid w:val="00F75867"/>
    <w:rsid w:val="00F759C6"/>
    <w:rsid w:val="00F767B9"/>
    <w:rsid w:val="00F8017E"/>
    <w:rsid w:val="00F803BD"/>
    <w:rsid w:val="00F8059B"/>
    <w:rsid w:val="00F80A77"/>
    <w:rsid w:val="00F81FBF"/>
    <w:rsid w:val="00F8201E"/>
    <w:rsid w:val="00F820F4"/>
    <w:rsid w:val="00F82120"/>
    <w:rsid w:val="00F8377E"/>
    <w:rsid w:val="00F84CBB"/>
    <w:rsid w:val="00F850EC"/>
    <w:rsid w:val="00F856C7"/>
    <w:rsid w:val="00F85D59"/>
    <w:rsid w:val="00F85E06"/>
    <w:rsid w:val="00F86604"/>
    <w:rsid w:val="00F867E0"/>
    <w:rsid w:val="00F868AE"/>
    <w:rsid w:val="00F90C45"/>
    <w:rsid w:val="00F91435"/>
    <w:rsid w:val="00F91DCF"/>
    <w:rsid w:val="00F925C0"/>
    <w:rsid w:val="00F92A82"/>
    <w:rsid w:val="00F93C48"/>
    <w:rsid w:val="00F943B4"/>
    <w:rsid w:val="00F956D7"/>
    <w:rsid w:val="00F96B83"/>
    <w:rsid w:val="00F975E6"/>
    <w:rsid w:val="00FA0C1F"/>
    <w:rsid w:val="00FA0C92"/>
    <w:rsid w:val="00FA1349"/>
    <w:rsid w:val="00FA1BDD"/>
    <w:rsid w:val="00FA225D"/>
    <w:rsid w:val="00FA2A3E"/>
    <w:rsid w:val="00FA32EA"/>
    <w:rsid w:val="00FA3DD4"/>
    <w:rsid w:val="00FA410E"/>
    <w:rsid w:val="00FA4CDB"/>
    <w:rsid w:val="00FA5421"/>
    <w:rsid w:val="00FA59C4"/>
    <w:rsid w:val="00FA675A"/>
    <w:rsid w:val="00FA7150"/>
    <w:rsid w:val="00FB0335"/>
    <w:rsid w:val="00FB076C"/>
    <w:rsid w:val="00FB20A5"/>
    <w:rsid w:val="00FB2F00"/>
    <w:rsid w:val="00FB3445"/>
    <w:rsid w:val="00FB3542"/>
    <w:rsid w:val="00FB3BC2"/>
    <w:rsid w:val="00FB408F"/>
    <w:rsid w:val="00FB434B"/>
    <w:rsid w:val="00FB4AA8"/>
    <w:rsid w:val="00FB507F"/>
    <w:rsid w:val="00FB5A32"/>
    <w:rsid w:val="00FB5E2C"/>
    <w:rsid w:val="00FB6056"/>
    <w:rsid w:val="00FB61CC"/>
    <w:rsid w:val="00FB6D5C"/>
    <w:rsid w:val="00FB6F92"/>
    <w:rsid w:val="00FC0825"/>
    <w:rsid w:val="00FC0D4D"/>
    <w:rsid w:val="00FC1352"/>
    <w:rsid w:val="00FC16C8"/>
    <w:rsid w:val="00FC20BD"/>
    <w:rsid w:val="00FC228B"/>
    <w:rsid w:val="00FC3981"/>
    <w:rsid w:val="00FC41A4"/>
    <w:rsid w:val="00FC42C4"/>
    <w:rsid w:val="00FC500F"/>
    <w:rsid w:val="00FC5484"/>
    <w:rsid w:val="00FC568A"/>
    <w:rsid w:val="00FC5B41"/>
    <w:rsid w:val="00FC792A"/>
    <w:rsid w:val="00FC798F"/>
    <w:rsid w:val="00FD06A2"/>
    <w:rsid w:val="00FD110A"/>
    <w:rsid w:val="00FD2C58"/>
    <w:rsid w:val="00FD3E3E"/>
    <w:rsid w:val="00FD448F"/>
    <w:rsid w:val="00FD455D"/>
    <w:rsid w:val="00FD5865"/>
    <w:rsid w:val="00FD5B96"/>
    <w:rsid w:val="00FD6220"/>
    <w:rsid w:val="00FD69C0"/>
    <w:rsid w:val="00FD6AF6"/>
    <w:rsid w:val="00FD786B"/>
    <w:rsid w:val="00FD7C12"/>
    <w:rsid w:val="00FE0199"/>
    <w:rsid w:val="00FE0C39"/>
    <w:rsid w:val="00FE0EBD"/>
    <w:rsid w:val="00FE1C4D"/>
    <w:rsid w:val="00FE2268"/>
    <w:rsid w:val="00FE5B9A"/>
    <w:rsid w:val="00FE6AD3"/>
    <w:rsid w:val="00FE6C94"/>
    <w:rsid w:val="00FE7DAA"/>
    <w:rsid w:val="00FF233B"/>
    <w:rsid w:val="00FF3144"/>
    <w:rsid w:val="00FF4D85"/>
    <w:rsid w:val="00FF52C1"/>
    <w:rsid w:val="00FF5570"/>
    <w:rsid w:val="00FF65EF"/>
    <w:rsid w:val="00FF6B1C"/>
    <w:rsid w:val="00FF7B41"/>
    <w:rsid w:val="00FF7C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19"/>
    <w:pPr>
      <w:spacing w:after="200" w:line="276" w:lineRule="auto"/>
    </w:pPr>
    <w:rPr>
      <w:lang w:eastAsia="ja-JP"/>
    </w:rPr>
  </w:style>
  <w:style w:type="paragraph" w:styleId="Heading1">
    <w:name w:val="heading 1"/>
    <w:basedOn w:val="Normal"/>
    <w:link w:val="Heading1Char"/>
    <w:uiPriority w:val="99"/>
    <w:qFormat/>
    <w:rsid w:val="00EA2F6E"/>
    <w:pPr>
      <w:spacing w:before="100" w:beforeAutospacing="1" w:after="100" w:afterAutospacing="1" w:line="240" w:lineRule="auto"/>
      <w:outlineLvl w:val="0"/>
    </w:pPr>
    <w:rPr>
      <w:rFonts w:ascii="Times New Roman" w:hAnsi="Times New Roman"/>
      <w:b/>
      <w:bCs/>
      <w:kern w:val="36"/>
      <w:sz w:val="48"/>
      <w:szCs w:val="4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F6E"/>
    <w:rPr>
      <w:rFonts w:ascii="Times New Roman" w:hAnsi="Times New Roman"/>
      <w:b/>
      <w:kern w:val="36"/>
      <w:sz w:val="48"/>
      <w:lang w:eastAsia="en-US"/>
    </w:rPr>
  </w:style>
  <w:style w:type="paragraph" w:styleId="ListParagraph">
    <w:name w:val="List Paragraph"/>
    <w:basedOn w:val="Normal"/>
    <w:uiPriority w:val="99"/>
    <w:qFormat/>
    <w:rsid w:val="001E271D"/>
    <w:pPr>
      <w:ind w:left="720"/>
      <w:contextualSpacing/>
    </w:pPr>
  </w:style>
  <w:style w:type="table" w:styleId="TableGrid">
    <w:name w:val="Table Grid"/>
    <w:basedOn w:val="TableNormal"/>
    <w:uiPriority w:val="99"/>
    <w:rsid w:val="008601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037F7"/>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F037F7"/>
    <w:rPr>
      <w:rFonts w:ascii="Tahoma" w:hAnsi="Tahoma"/>
      <w:sz w:val="16"/>
    </w:rPr>
  </w:style>
  <w:style w:type="paragraph" w:styleId="Header">
    <w:name w:val="header"/>
    <w:basedOn w:val="Normal"/>
    <w:link w:val="HeaderChar"/>
    <w:uiPriority w:val="99"/>
    <w:rsid w:val="00525BD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525BD1"/>
  </w:style>
  <w:style w:type="paragraph" w:styleId="Footer">
    <w:name w:val="footer"/>
    <w:basedOn w:val="Normal"/>
    <w:link w:val="FooterChar"/>
    <w:uiPriority w:val="99"/>
    <w:rsid w:val="00525BD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525BD1"/>
  </w:style>
  <w:style w:type="character" w:styleId="CommentReference">
    <w:name w:val="annotation reference"/>
    <w:basedOn w:val="DefaultParagraphFont"/>
    <w:uiPriority w:val="99"/>
    <w:semiHidden/>
    <w:rsid w:val="003155C5"/>
    <w:rPr>
      <w:rFonts w:cs="Times New Roman"/>
      <w:sz w:val="16"/>
    </w:rPr>
  </w:style>
  <w:style w:type="paragraph" w:styleId="CommentText">
    <w:name w:val="annotation text"/>
    <w:basedOn w:val="Normal"/>
    <w:link w:val="CommentTextChar"/>
    <w:uiPriority w:val="99"/>
    <w:rsid w:val="003155C5"/>
    <w:pPr>
      <w:spacing w:line="240" w:lineRule="auto"/>
    </w:pPr>
    <w:rPr>
      <w:sz w:val="20"/>
      <w:szCs w:val="20"/>
    </w:rPr>
  </w:style>
  <w:style w:type="character" w:customStyle="1" w:styleId="CommentTextChar">
    <w:name w:val="Comment Text Char"/>
    <w:basedOn w:val="DefaultParagraphFont"/>
    <w:link w:val="CommentText"/>
    <w:uiPriority w:val="99"/>
    <w:locked/>
    <w:rsid w:val="003155C5"/>
    <w:rPr>
      <w:sz w:val="20"/>
    </w:rPr>
  </w:style>
  <w:style w:type="paragraph" w:styleId="CommentSubject">
    <w:name w:val="annotation subject"/>
    <w:basedOn w:val="CommentText"/>
    <w:next w:val="CommentText"/>
    <w:link w:val="CommentSubjectChar"/>
    <w:uiPriority w:val="99"/>
    <w:semiHidden/>
    <w:rsid w:val="003155C5"/>
    <w:rPr>
      <w:b/>
    </w:rPr>
  </w:style>
  <w:style w:type="character" w:customStyle="1" w:styleId="CommentSubjectChar">
    <w:name w:val="Comment Subject Char"/>
    <w:basedOn w:val="CommentTextChar"/>
    <w:link w:val="CommentSubject"/>
    <w:uiPriority w:val="99"/>
    <w:semiHidden/>
    <w:locked/>
    <w:rsid w:val="003155C5"/>
    <w:rPr>
      <w:b/>
    </w:rPr>
  </w:style>
  <w:style w:type="character" w:styleId="Hyperlink">
    <w:name w:val="Hyperlink"/>
    <w:basedOn w:val="DefaultParagraphFont"/>
    <w:uiPriority w:val="99"/>
    <w:rsid w:val="00513BAD"/>
    <w:rPr>
      <w:rFonts w:cs="Times New Roman"/>
      <w:color w:val="0000FF"/>
      <w:u w:val="single"/>
    </w:rPr>
  </w:style>
  <w:style w:type="character" w:styleId="PlaceholderText">
    <w:name w:val="Placeholder Text"/>
    <w:basedOn w:val="DefaultParagraphFont"/>
    <w:uiPriority w:val="99"/>
    <w:semiHidden/>
    <w:rsid w:val="00A530C0"/>
    <w:rPr>
      <w:color w:val="808080"/>
    </w:rPr>
  </w:style>
  <w:style w:type="paragraph" w:styleId="Revision">
    <w:name w:val="Revision"/>
    <w:hidden/>
    <w:uiPriority w:val="99"/>
    <w:semiHidden/>
    <w:rsid w:val="00453B63"/>
    <w:rPr>
      <w:lang w:eastAsia="ja-JP"/>
    </w:rPr>
  </w:style>
  <w:style w:type="character" w:customStyle="1" w:styleId="highlight">
    <w:name w:val="highlight"/>
    <w:uiPriority w:val="99"/>
    <w:rsid w:val="00EA2F6E"/>
  </w:style>
</w:styles>
</file>

<file path=word/webSettings.xml><?xml version="1.0" encoding="utf-8"?>
<w:webSettings xmlns:r="http://schemas.openxmlformats.org/officeDocument/2006/relationships" xmlns:w="http://schemas.openxmlformats.org/wordprocessingml/2006/main">
  <w:divs>
    <w:div w:id="2050913695">
      <w:marLeft w:val="0"/>
      <w:marRight w:val="0"/>
      <w:marTop w:val="0"/>
      <w:marBottom w:val="0"/>
      <w:divBdr>
        <w:top w:val="none" w:sz="0" w:space="0" w:color="auto"/>
        <w:left w:val="none" w:sz="0" w:space="0" w:color="auto"/>
        <w:bottom w:val="none" w:sz="0" w:space="0" w:color="auto"/>
        <w:right w:val="none" w:sz="0" w:space="0" w:color="auto"/>
      </w:divBdr>
    </w:div>
    <w:div w:id="2050913701">
      <w:marLeft w:val="0"/>
      <w:marRight w:val="0"/>
      <w:marTop w:val="0"/>
      <w:marBottom w:val="0"/>
      <w:divBdr>
        <w:top w:val="none" w:sz="0" w:space="0" w:color="auto"/>
        <w:left w:val="none" w:sz="0" w:space="0" w:color="auto"/>
        <w:bottom w:val="none" w:sz="0" w:space="0" w:color="auto"/>
        <w:right w:val="none" w:sz="0" w:space="0" w:color="auto"/>
      </w:divBdr>
    </w:div>
    <w:div w:id="2050913702">
      <w:marLeft w:val="0"/>
      <w:marRight w:val="0"/>
      <w:marTop w:val="0"/>
      <w:marBottom w:val="0"/>
      <w:divBdr>
        <w:top w:val="none" w:sz="0" w:space="0" w:color="auto"/>
        <w:left w:val="none" w:sz="0" w:space="0" w:color="auto"/>
        <w:bottom w:val="none" w:sz="0" w:space="0" w:color="auto"/>
        <w:right w:val="none" w:sz="0" w:space="0" w:color="auto"/>
      </w:divBdr>
      <w:divsChild>
        <w:div w:id="2050913719">
          <w:marLeft w:val="0"/>
          <w:marRight w:val="0"/>
          <w:marTop w:val="0"/>
          <w:marBottom w:val="0"/>
          <w:divBdr>
            <w:top w:val="none" w:sz="0" w:space="0" w:color="auto"/>
            <w:left w:val="none" w:sz="0" w:space="0" w:color="auto"/>
            <w:bottom w:val="none" w:sz="0" w:space="0" w:color="auto"/>
            <w:right w:val="none" w:sz="0" w:space="0" w:color="auto"/>
          </w:divBdr>
          <w:divsChild>
            <w:div w:id="2050913707">
              <w:marLeft w:val="0"/>
              <w:marRight w:val="0"/>
              <w:marTop w:val="0"/>
              <w:marBottom w:val="0"/>
              <w:divBdr>
                <w:top w:val="none" w:sz="0" w:space="0" w:color="auto"/>
                <w:left w:val="none" w:sz="0" w:space="0" w:color="auto"/>
                <w:bottom w:val="none" w:sz="0" w:space="0" w:color="auto"/>
                <w:right w:val="none" w:sz="0" w:space="0" w:color="auto"/>
              </w:divBdr>
              <w:divsChild>
                <w:div w:id="2050913734">
                  <w:marLeft w:val="0"/>
                  <w:marRight w:val="0"/>
                  <w:marTop w:val="0"/>
                  <w:marBottom w:val="0"/>
                  <w:divBdr>
                    <w:top w:val="none" w:sz="0" w:space="0" w:color="auto"/>
                    <w:left w:val="none" w:sz="0" w:space="0" w:color="auto"/>
                    <w:bottom w:val="none" w:sz="0" w:space="0" w:color="auto"/>
                    <w:right w:val="none" w:sz="0" w:space="0" w:color="auto"/>
                  </w:divBdr>
                  <w:divsChild>
                    <w:div w:id="2050913732">
                      <w:marLeft w:val="0"/>
                      <w:marRight w:val="0"/>
                      <w:marTop w:val="0"/>
                      <w:marBottom w:val="0"/>
                      <w:divBdr>
                        <w:top w:val="none" w:sz="0" w:space="0" w:color="auto"/>
                        <w:left w:val="none" w:sz="0" w:space="0" w:color="auto"/>
                        <w:bottom w:val="none" w:sz="0" w:space="0" w:color="auto"/>
                        <w:right w:val="none" w:sz="0" w:space="0" w:color="auto"/>
                      </w:divBdr>
                      <w:divsChild>
                        <w:div w:id="2050913713">
                          <w:marLeft w:val="0"/>
                          <w:marRight w:val="0"/>
                          <w:marTop w:val="0"/>
                          <w:marBottom w:val="0"/>
                          <w:divBdr>
                            <w:top w:val="none" w:sz="0" w:space="0" w:color="auto"/>
                            <w:left w:val="none" w:sz="0" w:space="0" w:color="auto"/>
                            <w:bottom w:val="none" w:sz="0" w:space="0" w:color="auto"/>
                            <w:right w:val="none" w:sz="0" w:space="0" w:color="auto"/>
                          </w:divBdr>
                          <w:divsChild>
                            <w:div w:id="2050913703">
                              <w:marLeft w:val="0"/>
                              <w:marRight w:val="0"/>
                              <w:marTop w:val="0"/>
                              <w:marBottom w:val="0"/>
                              <w:divBdr>
                                <w:top w:val="none" w:sz="0" w:space="0" w:color="auto"/>
                                <w:left w:val="none" w:sz="0" w:space="0" w:color="auto"/>
                                <w:bottom w:val="none" w:sz="0" w:space="0" w:color="auto"/>
                                <w:right w:val="none" w:sz="0" w:space="0" w:color="auto"/>
                              </w:divBdr>
                              <w:divsChild>
                                <w:div w:id="2050913716">
                                  <w:marLeft w:val="0"/>
                                  <w:marRight w:val="0"/>
                                  <w:marTop w:val="0"/>
                                  <w:marBottom w:val="0"/>
                                  <w:divBdr>
                                    <w:top w:val="none" w:sz="0" w:space="0" w:color="auto"/>
                                    <w:left w:val="none" w:sz="0" w:space="0" w:color="auto"/>
                                    <w:bottom w:val="none" w:sz="0" w:space="0" w:color="auto"/>
                                    <w:right w:val="none" w:sz="0" w:space="0" w:color="auto"/>
                                  </w:divBdr>
                                  <w:divsChild>
                                    <w:div w:id="2050913718">
                                      <w:marLeft w:val="0"/>
                                      <w:marRight w:val="0"/>
                                      <w:marTop w:val="0"/>
                                      <w:marBottom w:val="0"/>
                                      <w:divBdr>
                                        <w:top w:val="none" w:sz="0" w:space="0" w:color="auto"/>
                                        <w:left w:val="none" w:sz="0" w:space="0" w:color="auto"/>
                                        <w:bottom w:val="none" w:sz="0" w:space="0" w:color="auto"/>
                                        <w:right w:val="none" w:sz="0" w:space="0" w:color="auto"/>
                                      </w:divBdr>
                                    </w:div>
                                    <w:div w:id="20509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13704">
      <w:marLeft w:val="0"/>
      <w:marRight w:val="0"/>
      <w:marTop w:val="0"/>
      <w:marBottom w:val="0"/>
      <w:divBdr>
        <w:top w:val="none" w:sz="0" w:space="0" w:color="auto"/>
        <w:left w:val="none" w:sz="0" w:space="0" w:color="auto"/>
        <w:bottom w:val="none" w:sz="0" w:space="0" w:color="auto"/>
        <w:right w:val="none" w:sz="0" w:space="0" w:color="auto"/>
      </w:divBdr>
    </w:div>
    <w:div w:id="2050913706">
      <w:marLeft w:val="0"/>
      <w:marRight w:val="0"/>
      <w:marTop w:val="0"/>
      <w:marBottom w:val="0"/>
      <w:divBdr>
        <w:top w:val="none" w:sz="0" w:space="0" w:color="auto"/>
        <w:left w:val="none" w:sz="0" w:space="0" w:color="auto"/>
        <w:bottom w:val="none" w:sz="0" w:space="0" w:color="auto"/>
        <w:right w:val="none" w:sz="0" w:space="0" w:color="auto"/>
      </w:divBdr>
      <w:divsChild>
        <w:div w:id="2050913699">
          <w:marLeft w:val="0"/>
          <w:marRight w:val="0"/>
          <w:marTop w:val="0"/>
          <w:marBottom w:val="0"/>
          <w:divBdr>
            <w:top w:val="none" w:sz="0" w:space="0" w:color="auto"/>
            <w:left w:val="none" w:sz="0" w:space="0" w:color="auto"/>
            <w:bottom w:val="none" w:sz="0" w:space="0" w:color="auto"/>
            <w:right w:val="none" w:sz="0" w:space="0" w:color="auto"/>
          </w:divBdr>
          <w:divsChild>
            <w:div w:id="2050913693">
              <w:marLeft w:val="0"/>
              <w:marRight w:val="0"/>
              <w:marTop w:val="0"/>
              <w:marBottom w:val="0"/>
              <w:divBdr>
                <w:top w:val="none" w:sz="0" w:space="0" w:color="auto"/>
                <w:left w:val="none" w:sz="0" w:space="0" w:color="auto"/>
                <w:bottom w:val="none" w:sz="0" w:space="0" w:color="auto"/>
                <w:right w:val="none" w:sz="0" w:space="0" w:color="auto"/>
              </w:divBdr>
              <w:divsChild>
                <w:div w:id="2050913696">
                  <w:marLeft w:val="0"/>
                  <w:marRight w:val="0"/>
                  <w:marTop w:val="0"/>
                  <w:marBottom w:val="0"/>
                  <w:divBdr>
                    <w:top w:val="none" w:sz="0" w:space="0" w:color="auto"/>
                    <w:left w:val="none" w:sz="0" w:space="0" w:color="auto"/>
                    <w:bottom w:val="none" w:sz="0" w:space="0" w:color="auto"/>
                    <w:right w:val="none" w:sz="0" w:space="0" w:color="auto"/>
                  </w:divBdr>
                  <w:divsChild>
                    <w:div w:id="2050913694">
                      <w:marLeft w:val="0"/>
                      <w:marRight w:val="0"/>
                      <w:marTop w:val="0"/>
                      <w:marBottom w:val="0"/>
                      <w:divBdr>
                        <w:top w:val="none" w:sz="0" w:space="0" w:color="auto"/>
                        <w:left w:val="none" w:sz="0" w:space="0" w:color="auto"/>
                        <w:bottom w:val="none" w:sz="0" w:space="0" w:color="auto"/>
                        <w:right w:val="none" w:sz="0" w:space="0" w:color="auto"/>
                      </w:divBdr>
                      <w:divsChild>
                        <w:div w:id="2050913709">
                          <w:marLeft w:val="0"/>
                          <w:marRight w:val="0"/>
                          <w:marTop w:val="0"/>
                          <w:marBottom w:val="0"/>
                          <w:divBdr>
                            <w:top w:val="none" w:sz="0" w:space="0" w:color="auto"/>
                            <w:left w:val="none" w:sz="0" w:space="0" w:color="auto"/>
                            <w:bottom w:val="none" w:sz="0" w:space="0" w:color="auto"/>
                            <w:right w:val="none" w:sz="0" w:space="0" w:color="auto"/>
                          </w:divBdr>
                          <w:divsChild>
                            <w:div w:id="2050913708">
                              <w:marLeft w:val="0"/>
                              <w:marRight w:val="0"/>
                              <w:marTop w:val="0"/>
                              <w:marBottom w:val="0"/>
                              <w:divBdr>
                                <w:top w:val="none" w:sz="0" w:space="0" w:color="auto"/>
                                <w:left w:val="none" w:sz="0" w:space="0" w:color="auto"/>
                                <w:bottom w:val="none" w:sz="0" w:space="0" w:color="auto"/>
                                <w:right w:val="none" w:sz="0" w:space="0" w:color="auto"/>
                              </w:divBdr>
                              <w:divsChild>
                                <w:div w:id="2050913723">
                                  <w:marLeft w:val="0"/>
                                  <w:marRight w:val="0"/>
                                  <w:marTop w:val="0"/>
                                  <w:marBottom w:val="0"/>
                                  <w:divBdr>
                                    <w:top w:val="none" w:sz="0" w:space="0" w:color="auto"/>
                                    <w:left w:val="none" w:sz="0" w:space="0" w:color="auto"/>
                                    <w:bottom w:val="none" w:sz="0" w:space="0" w:color="auto"/>
                                    <w:right w:val="none" w:sz="0" w:space="0" w:color="auto"/>
                                  </w:divBdr>
                                  <w:divsChild>
                                    <w:div w:id="2050913711">
                                      <w:marLeft w:val="0"/>
                                      <w:marRight w:val="0"/>
                                      <w:marTop w:val="0"/>
                                      <w:marBottom w:val="0"/>
                                      <w:divBdr>
                                        <w:top w:val="none" w:sz="0" w:space="0" w:color="auto"/>
                                        <w:left w:val="none" w:sz="0" w:space="0" w:color="auto"/>
                                        <w:bottom w:val="none" w:sz="0" w:space="0" w:color="auto"/>
                                        <w:right w:val="none" w:sz="0" w:space="0" w:color="auto"/>
                                      </w:divBdr>
                                    </w:div>
                                    <w:div w:id="2050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13725">
      <w:marLeft w:val="0"/>
      <w:marRight w:val="0"/>
      <w:marTop w:val="0"/>
      <w:marBottom w:val="0"/>
      <w:divBdr>
        <w:top w:val="none" w:sz="0" w:space="0" w:color="auto"/>
        <w:left w:val="none" w:sz="0" w:space="0" w:color="auto"/>
        <w:bottom w:val="none" w:sz="0" w:space="0" w:color="auto"/>
        <w:right w:val="none" w:sz="0" w:space="0" w:color="auto"/>
      </w:divBdr>
    </w:div>
    <w:div w:id="2050913726">
      <w:marLeft w:val="0"/>
      <w:marRight w:val="0"/>
      <w:marTop w:val="0"/>
      <w:marBottom w:val="0"/>
      <w:divBdr>
        <w:top w:val="none" w:sz="0" w:space="0" w:color="auto"/>
        <w:left w:val="none" w:sz="0" w:space="0" w:color="auto"/>
        <w:bottom w:val="none" w:sz="0" w:space="0" w:color="auto"/>
        <w:right w:val="none" w:sz="0" w:space="0" w:color="auto"/>
      </w:divBdr>
      <w:divsChild>
        <w:div w:id="2050913720">
          <w:marLeft w:val="0"/>
          <w:marRight w:val="0"/>
          <w:marTop w:val="0"/>
          <w:marBottom w:val="0"/>
          <w:divBdr>
            <w:top w:val="none" w:sz="0" w:space="0" w:color="auto"/>
            <w:left w:val="none" w:sz="0" w:space="0" w:color="auto"/>
            <w:bottom w:val="none" w:sz="0" w:space="0" w:color="auto"/>
            <w:right w:val="none" w:sz="0" w:space="0" w:color="auto"/>
          </w:divBdr>
          <w:divsChild>
            <w:div w:id="2050913717">
              <w:marLeft w:val="0"/>
              <w:marRight w:val="0"/>
              <w:marTop w:val="0"/>
              <w:marBottom w:val="0"/>
              <w:divBdr>
                <w:top w:val="none" w:sz="0" w:space="0" w:color="auto"/>
                <w:left w:val="none" w:sz="0" w:space="0" w:color="auto"/>
                <w:bottom w:val="none" w:sz="0" w:space="0" w:color="auto"/>
                <w:right w:val="none" w:sz="0" w:space="0" w:color="auto"/>
              </w:divBdr>
              <w:divsChild>
                <w:div w:id="2050913728">
                  <w:marLeft w:val="0"/>
                  <w:marRight w:val="0"/>
                  <w:marTop w:val="0"/>
                  <w:marBottom w:val="0"/>
                  <w:divBdr>
                    <w:top w:val="none" w:sz="0" w:space="0" w:color="auto"/>
                    <w:left w:val="none" w:sz="0" w:space="0" w:color="auto"/>
                    <w:bottom w:val="none" w:sz="0" w:space="0" w:color="auto"/>
                    <w:right w:val="none" w:sz="0" w:space="0" w:color="auto"/>
                  </w:divBdr>
                  <w:divsChild>
                    <w:div w:id="2050913710">
                      <w:marLeft w:val="0"/>
                      <w:marRight w:val="0"/>
                      <w:marTop w:val="0"/>
                      <w:marBottom w:val="0"/>
                      <w:divBdr>
                        <w:top w:val="none" w:sz="0" w:space="0" w:color="auto"/>
                        <w:left w:val="none" w:sz="0" w:space="0" w:color="auto"/>
                        <w:bottom w:val="none" w:sz="0" w:space="0" w:color="auto"/>
                        <w:right w:val="none" w:sz="0" w:space="0" w:color="auto"/>
                      </w:divBdr>
                      <w:divsChild>
                        <w:div w:id="2050913727">
                          <w:marLeft w:val="0"/>
                          <w:marRight w:val="0"/>
                          <w:marTop w:val="0"/>
                          <w:marBottom w:val="0"/>
                          <w:divBdr>
                            <w:top w:val="none" w:sz="0" w:space="0" w:color="auto"/>
                            <w:left w:val="none" w:sz="0" w:space="0" w:color="auto"/>
                            <w:bottom w:val="none" w:sz="0" w:space="0" w:color="auto"/>
                            <w:right w:val="none" w:sz="0" w:space="0" w:color="auto"/>
                          </w:divBdr>
                          <w:divsChild>
                            <w:div w:id="2050913698">
                              <w:marLeft w:val="0"/>
                              <w:marRight w:val="0"/>
                              <w:marTop w:val="0"/>
                              <w:marBottom w:val="0"/>
                              <w:divBdr>
                                <w:top w:val="none" w:sz="0" w:space="0" w:color="auto"/>
                                <w:left w:val="none" w:sz="0" w:space="0" w:color="auto"/>
                                <w:bottom w:val="none" w:sz="0" w:space="0" w:color="auto"/>
                                <w:right w:val="none" w:sz="0" w:space="0" w:color="auto"/>
                              </w:divBdr>
                              <w:divsChild>
                                <w:div w:id="2050913721">
                                  <w:marLeft w:val="0"/>
                                  <w:marRight w:val="0"/>
                                  <w:marTop w:val="0"/>
                                  <w:marBottom w:val="0"/>
                                  <w:divBdr>
                                    <w:top w:val="none" w:sz="0" w:space="0" w:color="auto"/>
                                    <w:left w:val="none" w:sz="0" w:space="0" w:color="auto"/>
                                    <w:bottom w:val="none" w:sz="0" w:space="0" w:color="auto"/>
                                    <w:right w:val="none" w:sz="0" w:space="0" w:color="auto"/>
                                  </w:divBdr>
                                  <w:divsChild>
                                    <w:div w:id="2050913697">
                                      <w:marLeft w:val="0"/>
                                      <w:marRight w:val="0"/>
                                      <w:marTop w:val="0"/>
                                      <w:marBottom w:val="0"/>
                                      <w:divBdr>
                                        <w:top w:val="none" w:sz="0" w:space="0" w:color="auto"/>
                                        <w:left w:val="none" w:sz="0" w:space="0" w:color="auto"/>
                                        <w:bottom w:val="none" w:sz="0" w:space="0" w:color="auto"/>
                                        <w:right w:val="none" w:sz="0" w:space="0" w:color="auto"/>
                                      </w:divBdr>
                                    </w:div>
                                    <w:div w:id="20509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13731">
      <w:marLeft w:val="0"/>
      <w:marRight w:val="0"/>
      <w:marTop w:val="0"/>
      <w:marBottom w:val="0"/>
      <w:divBdr>
        <w:top w:val="none" w:sz="0" w:space="0" w:color="auto"/>
        <w:left w:val="none" w:sz="0" w:space="0" w:color="auto"/>
        <w:bottom w:val="none" w:sz="0" w:space="0" w:color="auto"/>
        <w:right w:val="none" w:sz="0" w:space="0" w:color="auto"/>
      </w:divBdr>
      <w:divsChild>
        <w:div w:id="2050913722">
          <w:marLeft w:val="0"/>
          <w:marRight w:val="0"/>
          <w:marTop w:val="0"/>
          <w:marBottom w:val="0"/>
          <w:divBdr>
            <w:top w:val="none" w:sz="0" w:space="0" w:color="auto"/>
            <w:left w:val="none" w:sz="0" w:space="0" w:color="auto"/>
            <w:bottom w:val="none" w:sz="0" w:space="0" w:color="auto"/>
            <w:right w:val="none" w:sz="0" w:space="0" w:color="auto"/>
          </w:divBdr>
          <w:divsChild>
            <w:div w:id="2050913733">
              <w:marLeft w:val="0"/>
              <w:marRight w:val="0"/>
              <w:marTop w:val="0"/>
              <w:marBottom w:val="0"/>
              <w:divBdr>
                <w:top w:val="none" w:sz="0" w:space="0" w:color="auto"/>
                <w:left w:val="none" w:sz="0" w:space="0" w:color="auto"/>
                <w:bottom w:val="none" w:sz="0" w:space="0" w:color="auto"/>
                <w:right w:val="none" w:sz="0" w:space="0" w:color="auto"/>
              </w:divBdr>
              <w:divsChild>
                <w:div w:id="2050913714">
                  <w:marLeft w:val="0"/>
                  <w:marRight w:val="0"/>
                  <w:marTop w:val="0"/>
                  <w:marBottom w:val="0"/>
                  <w:divBdr>
                    <w:top w:val="none" w:sz="0" w:space="0" w:color="auto"/>
                    <w:left w:val="none" w:sz="0" w:space="0" w:color="auto"/>
                    <w:bottom w:val="none" w:sz="0" w:space="0" w:color="auto"/>
                    <w:right w:val="none" w:sz="0" w:space="0" w:color="auto"/>
                  </w:divBdr>
                  <w:divsChild>
                    <w:div w:id="2050913712">
                      <w:marLeft w:val="0"/>
                      <w:marRight w:val="0"/>
                      <w:marTop w:val="0"/>
                      <w:marBottom w:val="0"/>
                      <w:divBdr>
                        <w:top w:val="none" w:sz="0" w:space="0" w:color="auto"/>
                        <w:left w:val="none" w:sz="0" w:space="0" w:color="auto"/>
                        <w:bottom w:val="none" w:sz="0" w:space="0" w:color="auto"/>
                        <w:right w:val="none" w:sz="0" w:space="0" w:color="auto"/>
                      </w:divBdr>
                      <w:divsChild>
                        <w:div w:id="2050913705">
                          <w:marLeft w:val="0"/>
                          <w:marRight w:val="0"/>
                          <w:marTop w:val="0"/>
                          <w:marBottom w:val="0"/>
                          <w:divBdr>
                            <w:top w:val="none" w:sz="0" w:space="0" w:color="auto"/>
                            <w:left w:val="none" w:sz="0" w:space="0" w:color="auto"/>
                            <w:bottom w:val="none" w:sz="0" w:space="0" w:color="auto"/>
                            <w:right w:val="none" w:sz="0" w:space="0" w:color="auto"/>
                          </w:divBdr>
                          <w:divsChild>
                            <w:div w:id="2050913715">
                              <w:marLeft w:val="0"/>
                              <w:marRight w:val="0"/>
                              <w:marTop w:val="0"/>
                              <w:marBottom w:val="0"/>
                              <w:divBdr>
                                <w:top w:val="none" w:sz="0" w:space="0" w:color="auto"/>
                                <w:left w:val="none" w:sz="0" w:space="0" w:color="auto"/>
                                <w:bottom w:val="none" w:sz="0" w:space="0" w:color="auto"/>
                                <w:right w:val="none" w:sz="0" w:space="0" w:color="auto"/>
                              </w:divBdr>
                              <w:divsChild>
                                <w:div w:id="2050913724">
                                  <w:marLeft w:val="0"/>
                                  <w:marRight w:val="0"/>
                                  <w:marTop w:val="0"/>
                                  <w:marBottom w:val="0"/>
                                  <w:divBdr>
                                    <w:top w:val="none" w:sz="0" w:space="0" w:color="auto"/>
                                    <w:left w:val="none" w:sz="0" w:space="0" w:color="auto"/>
                                    <w:bottom w:val="none" w:sz="0" w:space="0" w:color="auto"/>
                                    <w:right w:val="none" w:sz="0" w:space="0" w:color="auto"/>
                                  </w:divBdr>
                                  <w:divsChild>
                                    <w:div w:id="2050913700">
                                      <w:marLeft w:val="0"/>
                                      <w:marRight w:val="0"/>
                                      <w:marTop w:val="0"/>
                                      <w:marBottom w:val="0"/>
                                      <w:divBdr>
                                        <w:top w:val="none" w:sz="0" w:space="0" w:color="auto"/>
                                        <w:left w:val="none" w:sz="0" w:space="0" w:color="auto"/>
                                        <w:bottom w:val="none" w:sz="0" w:space="0" w:color="auto"/>
                                        <w:right w:val="none" w:sz="0" w:space="0" w:color="auto"/>
                                      </w:divBdr>
                                    </w:div>
                                    <w:div w:id="20509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jentes@c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oleman@cdc.gov" TargetMode="External"/><Relationship Id="rId12" Type="http://schemas.openxmlformats.org/officeDocument/2006/relationships/hyperlink" Target="http://www.hcup-us.ahrq.gov/db/nation/nis/nisdd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oes_dl.htm" TargetMode="External"/><Relationship Id="rId5" Type="http://schemas.openxmlformats.org/officeDocument/2006/relationships/footnotes" Target="footnotes.xml"/><Relationship Id="rId10" Type="http://schemas.openxmlformats.org/officeDocument/2006/relationships/hyperlink" Target="http://www.hcup-us.ahrq.gov/nisoverview.j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8975</Words>
  <Characters>-32766</Characters>
  <Application>Microsoft Office Outlook</Application>
  <DocSecurity>0</DocSecurity>
  <Lines>0</Lines>
  <Paragraphs>0</Paragraphs>
  <ScaleCrop>false</ScaleCrop>
  <Company>CDC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Evaluation of Pre-Travel Malaria Chemoprophylaxis: Example of U</dc:title>
  <dc:subject/>
  <dc:creator>CDC User</dc:creator>
  <cp:keywords/>
  <dc:description/>
  <cp:lastModifiedBy>509</cp:lastModifiedBy>
  <cp:revision>4</cp:revision>
  <cp:lastPrinted>2012-11-02T19:36:00Z</cp:lastPrinted>
  <dcterms:created xsi:type="dcterms:W3CDTF">2013-07-09T15:19:00Z</dcterms:created>
  <dcterms:modified xsi:type="dcterms:W3CDTF">2013-09-06T09:43:00Z</dcterms:modified>
</cp:coreProperties>
</file>