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0A" w:rsidRPr="0022300A" w:rsidRDefault="009C6936" w:rsidP="00AE7B6E">
      <w:pPr>
        <w:autoSpaceDE w:val="0"/>
        <w:autoSpaceDN w:val="0"/>
        <w:adjustRightInd w:val="0"/>
        <w:spacing w:after="0" w:line="480" w:lineRule="auto"/>
        <w:ind w:left="432" w:righ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00A">
        <w:rPr>
          <w:rFonts w:ascii="Times New Roman" w:hAnsi="Times New Roman" w:cs="Times New Roman"/>
          <w:b/>
          <w:sz w:val="28"/>
          <w:szCs w:val="28"/>
        </w:rPr>
        <w:t>SUPPLEMENTAL INFORMATION</w:t>
      </w:r>
    </w:p>
    <w:p w:rsidR="009C6936" w:rsidRPr="00C35B60" w:rsidRDefault="009C6936" w:rsidP="001610D6">
      <w:pPr>
        <w:autoSpaceDE w:val="0"/>
        <w:autoSpaceDN w:val="0"/>
        <w:adjustRightInd w:val="0"/>
        <w:spacing w:after="0" w:line="480" w:lineRule="auto"/>
        <w:ind w:left="432" w:right="4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936" w:rsidRPr="00C35B60" w:rsidRDefault="007E2F08" w:rsidP="009C6936">
      <w:pPr>
        <w:spacing w:line="240" w:lineRule="auto"/>
        <w:ind w:left="432" w:righ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B60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C35B60">
        <w:rPr>
          <w:rFonts w:ascii="Times New Roman" w:hAnsi="Times New Roman" w:cs="Times New Roman"/>
          <w:b/>
          <w:sz w:val="28"/>
          <w:szCs w:val="28"/>
        </w:rPr>
        <w:t>-mannosylation</w:t>
      </w:r>
      <w:r w:rsidR="009C6936" w:rsidRPr="00C35B60">
        <w:rPr>
          <w:rFonts w:ascii="Times New Roman" w:hAnsi="Times New Roman" w:cs="Times New Roman"/>
          <w:b/>
          <w:sz w:val="28"/>
          <w:szCs w:val="28"/>
        </w:rPr>
        <w:t xml:space="preserve"> of the </w:t>
      </w:r>
      <w:r w:rsidR="009C6936" w:rsidRPr="00C35B60">
        <w:rPr>
          <w:rFonts w:ascii="Times New Roman" w:hAnsi="Times New Roman" w:cs="Times New Roman"/>
          <w:b/>
          <w:i/>
          <w:sz w:val="28"/>
          <w:szCs w:val="28"/>
        </w:rPr>
        <w:t>Mycobacterium tuberculosis</w:t>
      </w:r>
      <w:r w:rsidR="009C6936" w:rsidRPr="00C35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B60">
        <w:rPr>
          <w:rFonts w:ascii="Times New Roman" w:hAnsi="Times New Roman" w:cs="Times New Roman"/>
          <w:b/>
          <w:sz w:val="28"/>
          <w:szCs w:val="28"/>
        </w:rPr>
        <w:t>A</w:t>
      </w:r>
      <w:r w:rsidR="009C6936" w:rsidRPr="00C35B60">
        <w:rPr>
          <w:rFonts w:ascii="Times New Roman" w:hAnsi="Times New Roman" w:cs="Times New Roman"/>
          <w:b/>
          <w:sz w:val="28"/>
          <w:szCs w:val="28"/>
        </w:rPr>
        <w:t xml:space="preserve">dhesin Apa is </w:t>
      </w:r>
      <w:r w:rsidRPr="00C35B60">
        <w:rPr>
          <w:rFonts w:ascii="Times New Roman" w:hAnsi="Times New Roman" w:cs="Times New Roman"/>
          <w:b/>
          <w:sz w:val="28"/>
          <w:szCs w:val="28"/>
        </w:rPr>
        <w:t>C</w:t>
      </w:r>
      <w:r w:rsidR="009C6936" w:rsidRPr="00C35B60">
        <w:rPr>
          <w:rFonts w:ascii="Times New Roman" w:hAnsi="Times New Roman" w:cs="Times New Roman"/>
          <w:b/>
          <w:sz w:val="28"/>
          <w:szCs w:val="28"/>
        </w:rPr>
        <w:t xml:space="preserve">rucial for T cell </w:t>
      </w:r>
      <w:r w:rsidRPr="00C35B60">
        <w:rPr>
          <w:rFonts w:ascii="Times New Roman" w:hAnsi="Times New Roman" w:cs="Times New Roman"/>
          <w:b/>
          <w:sz w:val="28"/>
          <w:szCs w:val="28"/>
        </w:rPr>
        <w:t>A</w:t>
      </w:r>
      <w:r w:rsidR="009C6936" w:rsidRPr="00C35B60">
        <w:rPr>
          <w:rFonts w:ascii="Times New Roman" w:hAnsi="Times New Roman" w:cs="Times New Roman"/>
          <w:b/>
          <w:sz w:val="28"/>
          <w:szCs w:val="28"/>
        </w:rPr>
        <w:t xml:space="preserve">ntigenicity during </w:t>
      </w:r>
      <w:r w:rsidRPr="00C35B60">
        <w:rPr>
          <w:rFonts w:ascii="Times New Roman" w:hAnsi="Times New Roman" w:cs="Times New Roman"/>
          <w:b/>
          <w:sz w:val="28"/>
          <w:szCs w:val="28"/>
        </w:rPr>
        <w:t>Infection but is Expendable for P</w:t>
      </w:r>
      <w:r w:rsidR="009C6936" w:rsidRPr="00C35B60">
        <w:rPr>
          <w:rFonts w:ascii="Times New Roman" w:hAnsi="Times New Roman" w:cs="Times New Roman"/>
          <w:b/>
          <w:sz w:val="28"/>
          <w:szCs w:val="28"/>
        </w:rPr>
        <w:t xml:space="preserve">rotection </w:t>
      </w:r>
    </w:p>
    <w:p w:rsidR="00186FD8" w:rsidRPr="00C35B60" w:rsidRDefault="00186FD8" w:rsidP="009C6936">
      <w:pPr>
        <w:spacing w:line="240" w:lineRule="auto"/>
        <w:ind w:left="432" w:right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936" w:rsidRPr="00C35B60" w:rsidRDefault="009C6936" w:rsidP="009C6936">
      <w:pPr>
        <w:spacing w:line="480" w:lineRule="auto"/>
        <w:ind w:left="432" w:right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60">
        <w:rPr>
          <w:rFonts w:ascii="Times New Roman" w:hAnsi="Times New Roman" w:cs="Times New Roman"/>
          <w:b/>
          <w:sz w:val="24"/>
          <w:szCs w:val="24"/>
        </w:rPr>
        <w:t xml:space="preserve">Subhadra Nandakumar, Sunil Kannanganat, Karen M. Dobos, Megan Lucas, </w:t>
      </w:r>
      <w:r w:rsidR="00D6032F" w:rsidRPr="00C35B60">
        <w:rPr>
          <w:rFonts w:ascii="Times New Roman" w:hAnsi="Times New Roman" w:cs="Times New Roman"/>
          <w:b/>
          <w:sz w:val="24"/>
          <w:szCs w:val="24"/>
        </w:rPr>
        <w:t xml:space="preserve">John </w:t>
      </w:r>
      <w:r w:rsidR="005C64B6" w:rsidRPr="00C35B60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D6032F" w:rsidRPr="00C35B60">
        <w:rPr>
          <w:rFonts w:ascii="Times New Roman" w:hAnsi="Times New Roman" w:cs="Times New Roman"/>
          <w:b/>
          <w:sz w:val="24"/>
          <w:szCs w:val="24"/>
        </w:rPr>
        <w:t xml:space="preserve">Spencer, </w:t>
      </w:r>
      <w:r w:rsidRPr="00C35B60">
        <w:rPr>
          <w:rFonts w:ascii="Times New Roman" w:hAnsi="Times New Roman" w:cs="Times New Roman"/>
          <w:b/>
          <w:sz w:val="24"/>
          <w:szCs w:val="24"/>
        </w:rPr>
        <w:t xml:space="preserve">Sunan Fang, </w:t>
      </w:r>
      <w:r w:rsidR="00DA4672" w:rsidRPr="00C35B60">
        <w:rPr>
          <w:rFonts w:ascii="Times New Roman" w:hAnsi="Times New Roman" w:cs="Times New Roman"/>
          <w:b/>
          <w:sz w:val="24"/>
          <w:szCs w:val="24"/>
        </w:rPr>
        <w:t xml:space="preserve">Melissa A. McDonald, </w:t>
      </w:r>
      <w:r w:rsidRPr="00C35B60">
        <w:rPr>
          <w:rFonts w:ascii="Times New Roman" w:hAnsi="Times New Roman" w:cs="Times New Roman"/>
          <w:b/>
          <w:sz w:val="24"/>
          <w:szCs w:val="24"/>
        </w:rPr>
        <w:t xml:space="preserve">Jan Pohl, Kristin Birkness, Venkateswarlu Chamcha, </w:t>
      </w:r>
      <w:r w:rsidRPr="00C35B6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C35B60">
        <w:rPr>
          <w:rFonts w:ascii="Times New Roman" w:hAnsi="Times New Roman" w:cs="Times New Roman"/>
          <w:b/>
          <w:sz w:val="24"/>
          <w:szCs w:val="24"/>
        </w:rPr>
        <w:t>Melissa V. Ramirez, Bonnie B. Plikaytis, James E. Posey, Rama Rao Amara and Suraj B. Sable</w:t>
      </w:r>
    </w:p>
    <w:p w:rsidR="00750A38" w:rsidRDefault="00750A38" w:rsidP="00631FB2">
      <w:pPr>
        <w:spacing w:line="480" w:lineRule="auto"/>
        <w:ind w:right="43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0D6" w:rsidRPr="00E2592C" w:rsidRDefault="001610D6" w:rsidP="009C6936">
      <w:pPr>
        <w:spacing w:line="480" w:lineRule="auto"/>
        <w:ind w:left="432" w:right="43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92C">
        <w:rPr>
          <w:rFonts w:ascii="Times New Roman" w:hAnsi="Times New Roman" w:cs="Times New Roman"/>
          <w:b/>
          <w:sz w:val="24"/>
          <w:szCs w:val="24"/>
        </w:rPr>
        <w:t>S</w:t>
      </w:r>
      <w:r w:rsidR="005201D4" w:rsidRPr="00E2592C">
        <w:rPr>
          <w:rFonts w:ascii="Times New Roman" w:hAnsi="Times New Roman" w:cs="Times New Roman"/>
          <w:b/>
          <w:sz w:val="24"/>
          <w:szCs w:val="24"/>
        </w:rPr>
        <w:t>upplementary</w:t>
      </w:r>
      <w:r w:rsidR="00F1340A" w:rsidRPr="00E25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223" w:rsidRPr="00E2592C">
        <w:rPr>
          <w:rFonts w:ascii="Times New Roman" w:hAnsi="Times New Roman" w:cs="Times New Roman"/>
          <w:b/>
          <w:sz w:val="24"/>
          <w:szCs w:val="24"/>
        </w:rPr>
        <w:t>Materials</w:t>
      </w:r>
      <w:r w:rsidRPr="00E25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223" w:rsidRPr="00E2592C">
        <w:rPr>
          <w:rFonts w:ascii="Times New Roman" w:hAnsi="Times New Roman" w:cs="Times New Roman"/>
          <w:b/>
          <w:sz w:val="24"/>
          <w:szCs w:val="24"/>
        </w:rPr>
        <w:t>and Methods</w:t>
      </w:r>
    </w:p>
    <w:p w:rsidR="001610D6" w:rsidRPr="00C35B60" w:rsidRDefault="001610D6" w:rsidP="009C6936">
      <w:pPr>
        <w:spacing w:line="480" w:lineRule="auto"/>
        <w:ind w:left="432" w:right="432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71861" w:rsidRPr="00C35B60" w:rsidRDefault="00671861" w:rsidP="009C6936">
      <w:pPr>
        <w:spacing w:line="480" w:lineRule="auto"/>
        <w:ind w:left="432" w:right="432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35B60">
        <w:rPr>
          <w:rFonts w:ascii="Times New Roman" w:hAnsi="Times New Roman" w:cs="Times New Roman"/>
          <w:b/>
          <w:sz w:val="24"/>
          <w:szCs w:val="24"/>
        </w:rPr>
        <w:t>Peptide Synthesis</w:t>
      </w:r>
    </w:p>
    <w:p w:rsidR="002F2B13" w:rsidRPr="00C35B60" w:rsidRDefault="002F2B13" w:rsidP="009C6936">
      <w:pPr>
        <w:spacing w:line="480" w:lineRule="auto"/>
        <w:ind w:left="432" w:right="432"/>
        <w:jc w:val="both"/>
        <w:rPr>
          <w:rFonts w:ascii="Times New Roman" w:hAnsi="Times New Roman" w:cs="Times New Roman"/>
          <w:sz w:val="24"/>
          <w:szCs w:val="24"/>
        </w:rPr>
      </w:pPr>
      <w:r w:rsidRPr="00C35B60">
        <w:rPr>
          <w:rFonts w:ascii="Times New Roman" w:hAnsi="Times New Roman" w:cs="Times New Roman"/>
          <w:sz w:val="24"/>
          <w:szCs w:val="24"/>
        </w:rPr>
        <w:t>The peptides were assembled using a combination of manual and automated (model Apex 396 synthesizer, AAPPTECH, Louisville, KY</w:t>
      </w:r>
      <w:r w:rsidR="00BE4C04" w:rsidRPr="00C35B60">
        <w:rPr>
          <w:rFonts w:ascii="Times New Roman" w:hAnsi="Times New Roman" w:cs="Times New Roman"/>
          <w:sz w:val="24"/>
          <w:szCs w:val="24"/>
        </w:rPr>
        <w:t xml:space="preserve"> or model 433A synthesizer, Applied </w:t>
      </w:r>
      <w:proofErr w:type="spellStart"/>
      <w:r w:rsidR="00BE4C04" w:rsidRPr="00C35B60">
        <w:rPr>
          <w:rFonts w:ascii="Times New Roman" w:hAnsi="Times New Roman" w:cs="Times New Roman"/>
          <w:sz w:val="24"/>
          <w:szCs w:val="24"/>
        </w:rPr>
        <w:t>Biosystems</w:t>
      </w:r>
      <w:proofErr w:type="spellEnd"/>
      <w:r w:rsidR="00BE4C04" w:rsidRPr="00C35B60">
        <w:rPr>
          <w:rFonts w:ascii="Times New Roman" w:hAnsi="Times New Roman" w:cs="Times New Roman"/>
          <w:sz w:val="24"/>
          <w:szCs w:val="24"/>
        </w:rPr>
        <w:t>, Foster City, CA</w:t>
      </w:r>
      <w:r w:rsidRPr="00C35B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Fmoc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 xml:space="preserve"> solid phase synthesis (SPPS) </w:t>
      </w:r>
      <w:r w:rsidR="006E7223" w:rsidRPr="00C35B60">
        <w:rPr>
          <w:rFonts w:ascii="Times New Roman" w:hAnsi="Times New Roman" w:cs="Times New Roman"/>
          <w:sz w:val="24"/>
          <w:szCs w:val="24"/>
        </w:rPr>
        <w:t>[</w:t>
      </w:r>
      <w:r w:rsidR="00361F5F" w:rsidRPr="00C35B60">
        <w:rPr>
          <w:rFonts w:ascii="Times New Roman" w:hAnsi="Times New Roman" w:cs="Times New Roman"/>
          <w:sz w:val="24"/>
          <w:szCs w:val="24"/>
        </w:rPr>
        <w:t>49</w:t>
      </w:r>
      <w:r w:rsidR="006E7223" w:rsidRPr="00C35B60">
        <w:rPr>
          <w:rFonts w:ascii="Times New Roman" w:hAnsi="Times New Roman" w:cs="Times New Roman"/>
          <w:sz w:val="24"/>
          <w:szCs w:val="24"/>
        </w:rPr>
        <w:t xml:space="preserve">]. </w:t>
      </w:r>
      <w:r w:rsidRPr="00C35B60">
        <w:rPr>
          <w:rFonts w:ascii="Times New Roman" w:hAnsi="Times New Roman" w:cs="Times New Roman"/>
          <w:sz w:val="24"/>
          <w:szCs w:val="24"/>
        </w:rPr>
        <w:t xml:space="preserve">The C-terminal 45-mer 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glyco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>)</w:t>
      </w:r>
      <w:r w:rsidR="00AB4DCB" w:rsidRPr="00C35B60">
        <w:rPr>
          <w:rFonts w:ascii="Times New Roman" w:hAnsi="Times New Roman" w:cs="Times New Roman"/>
          <w:sz w:val="24"/>
          <w:szCs w:val="24"/>
        </w:rPr>
        <w:t xml:space="preserve"> </w:t>
      </w:r>
      <w:r w:rsidRPr="00C35B60">
        <w:rPr>
          <w:rFonts w:ascii="Times New Roman" w:hAnsi="Times New Roman" w:cs="Times New Roman"/>
          <w:sz w:val="24"/>
          <w:szCs w:val="24"/>
        </w:rPr>
        <w:t xml:space="preserve">peptides (residues 281-325) </w:t>
      </w:r>
      <w:r w:rsidR="00BE4C04" w:rsidRPr="00C35B60">
        <w:rPr>
          <w:rFonts w:ascii="Times New Roman" w:hAnsi="Times New Roman" w:cs="Times New Roman"/>
          <w:sz w:val="24"/>
          <w:szCs w:val="24"/>
        </w:rPr>
        <w:t>and 49-mer (</w:t>
      </w:r>
      <w:proofErr w:type="spellStart"/>
      <w:r w:rsidR="00BE4C04" w:rsidRPr="00C35B60">
        <w:rPr>
          <w:rFonts w:ascii="Times New Roman" w:hAnsi="Times New Roman" w:cs="Times New Roman"/>
          <w:sz w:val="24"/>
          <w:szCs w:val="24"/>
        </w:rPr>
        <w:t>glyco</w:t>
      </w:r>
      <w:proofErr w:type="spellEnd"/>
      <w:r w:rsidR="00BE4C04" w:rsidRPr="00C35B60">
        <w:rPr>
          <w:rFonts w:ascii="Times New Roman" w:hAnsi="Times New Roman" w:cs="Times New Roman"/>
          <w:sz w:val="24"/>
          <w:szCs w:val="24"/>
        </w:rPr>
        <w:t xml:space="preserve">) peptides </w:t>
      </w:r>
      <w:r w:rsidRPr="00C35B60">
        <w:rPr>
          <w:rFonts w:ascii="Times New Roman" w:hAnsi="Times New Roman" w:cs="Times New Roman"/>
          <w:sz w:val="24"/>
          <w:szCs w:val="24"/>
        </w:rPr>
        <w:t xml:space="preserve">were assembled starting with 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Fmoc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 xml:space="preserve">-Wang-resin; the 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Fmoc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>-amino acids were incorporated using a double coupling protocol as their in-situ formed N-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hydroxybenzotriazole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 xml:space="preserve"> esters in N-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methylpyrrolidone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 xml:space="preserve"> (NMP). The 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Fmoc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 xml:space="preserve"> group was </w:t>
      </w:r>
      <w:r w:rsidR="003E5775" w:rsidRPr="00C35B60">
        <w:rPr>
          <w:rFonts w:ascii="Times New Roman" w:hAnsi="Times New Roman" w:cs="Times New Roman"/>
          <w:sz w:val="24"/>
          <w:szCs w:val="24"/>
        </w:rPr>
        <w:t xml:space="preserve">manually 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deprotected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 xml:space="preserve"> using </w:t>
      </w:r>
      <w:r w:rsidR="00037CAA" w:rsidRPr="00C35B60">
        <w:rPr>
          <w:rFonts w:ascii="Times New Roman" w:hAnsi="Times New Roman" w:cs="Times New Roman"/>
          <w:sz w:val="24"/>
          <w:szCs w:val="24"/>
        </w:rPr>
        <w:t xml:space="preserve">three </w:t>
      </w:r>
      <w:r w:rsidRPr="00C35B60">
        <w:rPr>
          <w:rFonts w:ascii="Times New Roman" w:hAnsi="Times New Roman" w:cs="Times New Roman"/>
          <w:sz w:val="24"/>
          <w:szCs w:val="24"/>
        </w:rPr>
        <w:t xml:space="preserve">successive treatments with </w:t>
      </w:r>
      <w:r w:rsidR="00037CAA" w:rsidRPr="00C35B60">
        <w:rPr>
          <w:rFonts w:ascii="Times New Roman" w:hAnsi="Times New Roman" w:cs="Times New Roman"/>
          <w:sz w:val="24"/>
          <w:szCs w:val="24"/>
        </w:rPr>
        <w:t>20</w:t>
      </w:r>
      <w:r w:rsidRPr="00C35B60">
        <w:rPr>
          <w:rFonts w:ascii="Times New Roman" w:hAnsi="Times New Roman" w:cs="Times New Roman"/>
          <w:sz w:val="24"/>
          <w:szCs w:val="24"/>
        </w:rPr>
        <w:t xml:space="preserve">% (v/v) 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piperidine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 xml:space="preserve"> in NMP (5 min) prior to coupling of the next residue. In </w:t>
      </w:r>
      <w:r w:rsidR="00BE4C04" w:rsidRPr="00C35B6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E4C04" w:rsidRPr="00C35B60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BE4C04" w:rsidRPr="00C35B60">
        <w:rPr>
          <w:rFonts w:ascii="Times New Roman" w:hAnsi="Times New Roman" w:cs="Times New Roman"/>
          <w:sz w:val="24"/>
          <w:szCs w:val="24"/>
        </w:rPr>
        <w:t xml:space="preserve"> </w:t>
      </w:r>
      <w:r w:rsidRPr="00C35B60">
        <w:rPr>
          <w:rFonts w:ascii="Times New Roman" w:hAnsi="Times New Roman" w:cs="Times New Roman"/>
          <w:sz w:val="24"/>
          <w:szCs w:val="24"/>
        </w:rPr>
        <w:t xml:space="preserve">position 316 of the 45-mer 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glycopeptide</w:t>
      </w:r>
      <w:proofErr w:type="spellEnd"/>
      <w:r w:rsidR="003E5775" w:rsidRPr="00C35B60">
        <w:rPr>
          <w:rFonts w:ascii="Times New Roman" w:hAnsi="Times New Roman" w:cs="Times New Roman"/>
          <w:sz w:val="24"/>
          <w:szCs w:val="24"/>
        </w:rPr>
        <w:t xml:space="preserve"> and in </w:t>
      </w:r>
      <w:r w:rsidR="00BE4C04" w:rsidRPr="00C35B60">
        <w:rPr>
          <w:rFonts w:ascii="Times New Roman" w:hAnsi="Times New Roman" w:cs="Times New Roman"/>
          <w:sz w:val="24"/>
          <w:szCs w:val="24"/>
        </w:rPr>
        <w:t>position</w:t>
      </w:r>
      <w:r w:rsidR="003E5775" w:rsidRPr="00C35B60">
        <w:rPr>
          <w:rFonts w:ascii="Times New Roman" w:hAnsi="Times New Roman" w:cs="Times New Roman"/>
          <w:sz w:val="24"/>
          <w:szCs w:val="24"/>
        </w:rPr>
        <w:t xml:space="preserve"> 2</w:t>
      </w:r>
      <w:r w:rsidR="00BE4C04" w:rsidRPr="00C35B60">
        <w:rPr>
          <w:rFonts w:ascii="Times New Roman" w:hAnsi="Times New Roman" w:cs="Times New Roman"/>
          <w:sz w:val="24"/>
          <w:szCs w:val="24"/>
        </w:rPr>
        <w:t xml:space="preserve"> of the 49-mer </w:t>
      </w:r>
      <w:proofErr w:type="spellStart"/>
      <w:r w:rsidR="00BE4C04" w:rsidRPr="00C35B60">
        <w:rPr>
          <w:rFonts w:ascii="Times New Roman" w:hAnsi="Times New Roman" w:cs="Times New Roman"/>
          <w:sz w:val="24"/>
          <w:szCs w:val="24"/>
        </w:rPr>
        <w:t>glycopeptide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Thr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 xml:space="preserve"> was manually incorporated as 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peracetylated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Fmoc-</w:t>
      </w:r>
      <w:proofErr w:type="gramStart"/>
      <w:r w:rsidRPr="00C35B60">
        <w:rPr>
          <w:rFonts w:ascii="Times New Roman" w:hAnsi="Times New Roman" w:cs="Times New Roman"/>
          <w:sz w:val="24"/>
          <w:szCs w:val="24"/>
        </w:rPr>
        <w:t>Thr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74CF" w:rsidRPr="00C35B60">
        <w:rPr>
          <w:rFonts w:ascii="Times New Roman" w:hAnsi="Times New Roman" w:cs="Times New Roman"/>
          <w:sz w:val="24"/>
          <w:szCs w:val="24"/>
        </w:rPr>
        <w:t>α</w:t>
      </w:r>
      <w:r w:rsidRPr="00C35B60">
        <w:rPr>
          <w:rFonts w:ascii="Times New Roman" w:hAnsi="Times New Roman" w:cs="Times New Roman"/>
          <w:sz w:val="24"/>
          <w:szCs w:val="24"/>
        </w:rPr>
        <w:t>-Man-[1,2]-</w:t>
      </w:r>
      <w:r w:rsidR="005A74CF" w:rsidRPr="00C35B60">
        <w:rPr>
          <w:rFonts w:ascii="Times New Roman" w:hAnsi="Times New Roman" w:cs="Times New Roman"/>
          <w:sz w:val="24"/>
          <w:szCs w:val="24"/>
        </w:rPr>
        <w:t>α</w:t>
      </w:r>
      <w:r w:rsidRPr="00C35B60">
        <w:rPr>
          <w:rFonts w:ascii="Times New Roman" w:hAnsi="Times New Roman" w:cs="Times New Roman"/>
          <w:sz w:val="24"/>
          <w:szCs w:val="24"/>
        </w:rPr>
        <w:t>-Man)OH (Sussex Research, Ottawa</w:t>
      </w:r>
      <w:r w:rsidR="00FC273A" w:rsidRPr="00C35B60">
        <w:rPr>
          <w:rFonts w:ascii="Times New Roman" w:hAnsi="Times New Roman" w:cs="Times New Roman"/>
          <w:sz w:val="24"/>
          <w:szCs w:val="24"/>
        </w:rPr>
        <w:t>, Canada</w:t>
      </w:r>
      <w:r w:rsidRPr="00C35B60">
        <w:rPr>
          <w:rFonts w:ascii="Times New Roman" w:hAnsi="Times New Roman" w:cs="Times New Roman"/>
          <w:sz w:val="24"/>
          <w:szCs w:val="24"/>
        </w:rPr>
        <w:t>) followed by manual coupling of residues 315 through 312</w:t>
      </w:r>
      <w:r w:rsidR="00BE4C04" w:rsidRPr="00C35B60">
        <w:rPr>
          <w:rFonts w:ascii="Times New Roman" w:hAnsi="Times New Roman" w:cs="Times New Roman"/>
          <w:sz w:val="24"/>
          <w:szCs w:val="24"/>
        </w:rPr>
        <w:t xml:space="preserve"> (45-mer </w:t>
      </w:r>
      <w:proofErr w:type="spellStart"/>
      <w:r w:rsidR="00BE4C04" w:rsidRPr="00C35B60">
        <w:rPr>
          <w:rFonts w:ascii="Times New Roman" w:hAnsi="Times New Roman" w:cs="Times New Roman"/>
          <w:sz w:val="24"/>
          <w:szCs w:val="24"/>
        </w:rPr>
        <w:t>glycopeptide</w:t>
      </w:r>
      <w:proofErr w:type="spellEnd"/>
      <w:r w:rsidR="00BE4C04" w:rsidRPr="00C35B60">
        <w:rPr>
          <w:rFonts w:ascii="Times New Roman" w:hAnsi="Times New Roman" w:cs="Times New Roman"/>
          <w:sz w:val="24"/>
          <w:szCs w:val="24"/>
        </w:rPr>
        <w:t xml:space="preserve">) or of the N-terminal </w:t>
      </w:r>
      <w:proofErr w:type="spellStart"/>
      <w:r w:rsidR="00BE4C04" w:rsidRPr="00C35B60">
        <w:rPr>
          <w:rFonts w:ascii="Times New Roman" w:hAnsi="Times New Roman" w:cs="Times New Roman"/>
          <w:sz w:val="24"/>
          <w:szCs w:val="24"/>
        </w:rPr>
        <w:t>Gly</w:t>
      </w:r>
      <w:proofErr w:type="spellEnd"/>
      <w:r w:rsidR="00BE4C04" w:rsidRPr="00C35B60">
        <w:rPr>
          <w:rFonts w:ascii="Times New Roman" w:hAnsi="Times New Roman" w:cs="Times New Roman"/>
          <w:sz w:val="24"/>
          <w:szCs w:val="24"/>
        </w:rPr>
        <w:t xml:space="preserve"> (49-mer </w:t>
      </w:r>
      <w:proofErr w:type="spellStart"/>
      <w:r w:rsidR="00BE4C04" w:rsidRPr="00C35B60">
        <w:rPr>
          <w:rFonts w:ascii="Times New Roman" w:hAnsi="Times New Roman" w:cs="Times New Roman"/>
          <w:sz w:val="24"/>
          <w:szCs w:val="24"/>
        </w:rPr>
        <w:t>glycopeptide</w:t>
      </w:r>
      <w:proofErr w:type="spellEnd"/>
      <w:r w:rsidR="00BE4C04" w:rsidRPr="00C35B60">
        <w:rPr>
          <w:rFonts w:ascii="Times New Roman" w:hAnsi="Times New Roman" w:cs="Times New Roman"/>
          <w:sz w:val="24"/>
          <w:szCs w:val="24"/>
        </w:rPr>
        <w:t>)</w:t>
      </w:r>
      <w:r w:rsidRPr="00C35B60">
        <w:rPr>
          <w:rFonts w:ascii="Times New Roman" w:hAnsi="Times New Roman" w:cs="Times New Roman"/>
          <w:sz w:val="24"/>
          <w:szCs w:val="24"/>
        </w:rPr>
        <w:t xml:space="preserve">. To confirm completeness of glycosylated Thr-316 incorporation, </w:t>
      </w:r>
      <w:r w:rsidRPr="00C35B60">
        <w:rPr>
          <w:rFonts w:ascii="Times New Roman" w:hAnsi="Times New Roman" w:cs="Times New Roman"/>
          <w:sz w:val="24"/>
          <w:szCs w:val="24"/>
        </w:rPr>
        <w:lastRenderedPageBreak/>
        <w:t xml:space="preserve">small portions of 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Fmoc-deprotected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 xml:space="preserve"> </w:t>
      </w:r>
      <w:r w:rsidR="00AB4DCB" w:rsidRPr="00C35B60">
        <w:rPr>
          <w:rFonts w:ascii="Times New Roman" w:hAnsi="Times New Roman" w:cs="Times New Roman"/>
          <w:sz w:val="24"/>
          <w:szCs w:val="24"/>
        </w:rPr>
        <w:t>peptide [</w:t>
      </w:r>
      <w:r w:rsidRPr="00C35B60">
        <w:rPr>
          <w:rFonts w:ascii="Times New Roman" w:hAnsi="Times New Roman" w:cs="Times New Roman"/>
          <w:sz w:val="24"/>
          <w:szCs w:val="24"/>
        </w:rPr>
        <w:t>(312/315/316)-325]-resins were cleaved using TFA/phenol/</w:t>
      </w:r>
      <w:proofErr w:type="spellStart"/>
      <w:r w:rsidR="00037CAA" w:rsidRPr="00C35B60">
        <w:rPr>
          <w:rFonts w:ascii="Times New Roman" w:hAnsi="Times New Roman" w:cs="Times New Roman"/>
          <w:sz w:val="24"/>
          <w:szCs w:val="24"/>
        </w:rPr>
        <w:t>thio</w:t>
      </w:r>
      <w:r w:rsidRPr="00C35B60">
        <w:rPr>
          <w:rFonts w:ascii="Times New Roman" w:hAnsi="Times New Roman" w:cs="Times New Roman"/>
          <w:sz w:val="24"/>
          <w:szCs w:val="24"/>
        </w:rPr>
        <w:t>anisole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7CAA" w:rsidRPr="00C35B60">
        <w:rPr>
          <w:rFonts w:ascii="Times New Roman" w:hAnsi="Times New Roman" w:cs="Times New Roman"/>
          <w:sz w:val="24"/>
          <w:szCs w:val="24"/>
        </w:rPr>
        <w:t>ethanedithiol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 xml:space="preserve">/water for 2 h at 25 ºC followed by precipitation with diethyl ether. The masses of the </w:t>
      </w:r>
      <w:proofErr w:type="spellStart"/>
      <w:r w:rsidR="00DF54C0" w:rsidRPr="00C35B60">
        <w:rPr>
          <w:rFonts w:ascii="Times New Roman" w:hAnsi="Times New Roman" w:cs="Times New Roman"/>
          <w:sz w:val="24"/>
          <w:szCs w:val="24"/>
        </w:rPr>
        <w:t>peracetylated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 xml:space="preserve"> intermediates were confirmed by MALDI-TOF MS (Table </w:t>
      </w:r>
      <w:r w:rsidR="00A81584" w:rsidRPr="00C35B60">
        <w:rPr>
          <w:rFonts w:ascii="Times New Roman" w:hAnsi="Times New Roman" w:cs="Times New Roman"/>
          <w:sz w:val="24"/>
          <w:szCs w:val="24"/>
        </w:rPr>
        <w:t>S</w:t>
      </w:r>
      <w:r w:rsidRPr="00C35B60">
        <w:rPr>
          <w:rFonts w:ascii="Times New Roman" w:hAnsi="Times New Roman" w:cs="Times New Roman"/>
          <w:sz w:val="24"/>
          <w:szCs w:val="24"/>
        </w:rPr>
        <w:t xml:space="preserve">1). The remaining </w:t>
      </w:r>
      <w:proofErr w:type="spellStart"/>
      <w:proofErr w:type="gramStart"/>
      <w:r w:rsidRPr="00C35B60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C35B60">
        <w:rPr>
          <w:rFonts w:ascii="Times New Roman" w:hAnsi="Times New Roman" w:cs="Times New Roman"/>
          <w:sz w:val="24"/>
          <w:szCs w:val="24"/>
        </w:rPr>
        <w:t xml:space="preserve"> residues, 281-311, were incorporated by automated SPPS using a program that was optimized for the assembly of non-glycosylated 45-mer 281-325. The 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peracetylated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glycopeptide</w:t>
      </w:r>
      <w:r w:rsidR="00B61C95" w:rsidRPr="00C35B6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 xml:space="preserve"> </w:t>
      </w:r>
      <w:r w:rsidR="00B61C95" w:rsidRPr="00C35B60">
        <w:rPr>
          <w:rFonts w:ascii="Times New Roman" w:hAnsi="Times New Roman" w:cs="Times New Roman"/>
          <w:sz w:val="24"/>
          <w:szCs w:val="24"/>
        </w:rPr>
        <w:t>were</w:t>
      </w:r>
      <w:r w:rsidRPr="00C35B60">
        <w:rPr>
          <w:rFonts w:ascii="Times New Roman" w:hAnsi="Times New Roman" w:cs="Times New Roman"/>
          <w:sz w:val="24"/>
          <w:szCs w:val="24"/>
        </w:rPr>
        <w:t xml:space="preserve"> cleaved off/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deprotected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 xml:space="preserve"> and precipitated as described above, and the O-acetyl groups were removed by treatment with hydrazine/methanol (1:4.5, v/v; 2.5 h at 25 ºC) </w:t>
      </w:r>
      <w:r w:rsidR="006E7223" w:rsidRPr="00C35B60">
        <w:rPr>
          <w:rFonts w:ascii="Times New Roman" w:hAnsi="Times New Roman" w:cs="Times New Roman"/>
          <w:sz w:val="24"/>
          <w:szCs w:val="24"/>
        </w:rPr>
        <w:t>[</w:t>
      </w:r>
      <w:r w:rsidR="00361F5F" w:rsidRPr="00C35B60">
        <w:rPr>
          <w:rFonts w:ascii="Times New Roman" w:hAnsi="Times New Roman" w:cs="Times New Roman"/>
          <w:sz w:val="24"/>
          <w:szCs w:val="24"/>
        </w:rPr>
        <w:t>50</w:t>
      </w:r>
      <w:r w:rsidR="006E7223" w:rsidRPr="00C35B60">
        <w:rPr>
          <w:rFonts w:ascii="Times New Roman" w:hAnsi="Times New Roman" w:cs="Times New Roman"/>
          <w:sz w:val="24"/>
          <w:szCs w:val="24"/>
        </w:rPr>
        <w:t>]</w:t>
      </w:r>
      <w:r w:rsidRPr="00C35B60">
        <w:rPr>
          <w:rFonts w:ascii="Times New Roman" w:hAnsi="Times New Roman" w:cs="Times New Roman"/>
          <w:sz w:val="24"/>
          <w:szCs w:val="24"/>
        </w:rPr>
        <w:t xml:space="preserve"> yielding a crude product. The peptide</w:t>
      </w:r>
      <w:r w:rsidR="003E5775" w:rsidRPr="00C35B60">
        <w:rPr>
          <w:rFonts w:ascii="Times New Roman" w:hAnsi="Times New Roman" w:cs="Times New Roman"/>
          <w:sz w:val="24"/>
          <w:szCs w:val="24"/>
        </w:rPr>
        <w:t>s</w:t>
      </w:r>
      <w:r w:rsidRPr="00C35B60">
        <w:rPr>
          <w:rFonts w:ascii="Times New Roman" w:hAnsi="Times New Roman" w:cs="Times New Roman"/>
          <w:sz w:val="24"/>
          <w:szCs w:val="24"/>
        </w:rPr>
        <w:t xml:space="preserve"> w</w:t>
      </w:r>
      <w:r w:rsidR="003E5775" w:rsidRPr="00C35B60">
        <w:rPr>
          <w:rFonts w:ascii="Times New Roman" w:hAnsi="Times New Roman" w:cs="Times New Roman"/>
          <w:sz w:val="24"/>
          <w:szCs w:val="24"/>
        </w:rPr>
        <w:t>ere</w:t>
      </w:r>
      <w:r w:rsidRPr="00C35B60">
        <w:rPr>
          <w:rFonts w:ascii="Times New Roman" w:hAnsi="Times New Roman" w:cs="Times New Roman"/>
          <w:sz w:val="24"/>
          <w:szCs w:val="24"/>
        </w:rPr>
        <w:t xml:space="preserve"> purified by preparative RP-HPLC on a 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Zorbax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 xml:space="preserve"> SB-C18 column (1</w:t>
      </w:r>
      <w:r w:rsidR="00892CD1" w:rsidRPr="00C35B60">
        <w:rPr>
          <w:rFonts w:ascii="Times New Roman" w:hAnsi="Times New Roman" w:cs="Times New Roman"/>
          <w:sz w:val="24"/>
          <w:szCs w:val="24"/>
        </w:rPr>
        <w:t>×</w:t>
      </w:r>
      <w:r w:rsidRPr="00C35B60">
        <w:rPr>
          <w:rFonts w:ascii="Times New Roman" w:hAnsi="Times New Roman" w:cs="Times New Roman"/>
          <w:sz w:val="24"/>
          <w:szCs w:val="24"/>
        </w:rPr>
        <w:t xml:space="preserve">25 cm, </w:t>
      </w:r>
      <w:proofErr w:type="spellStart"/>
      <w:proofErr w:type="gramStart"/>
      <w:r w:rsidRPr="00C35B60">
        <w:rPr>
          <w:rFonts w:ascii="Times New Roman" w:hAnsi="Times New Roman" w:cs="Times New Roman"/>
          <w:sz w:val="24"/>
          <w:szCs w:val="24"/>
        </w:rPr>
        <w:t>d</w:t>
      </w:r>
      <w:r w:rsidRPr="00C35B60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="00FE487D" w:rsidRPr="00C35B60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FE487D" w:rsidRPr="00C35B60">
        <w:rPr>
          <w:rFonts w:ascii="Times New Roman" w:hAnsi="Times New Roman" w:cs="Times New Roman"/>
          <w:sz w:val="24"/>
          <w:szCs w:val="24"/>
        </w:rPr>
        <w:t>5 um, 300Å</w:t>
      </w:r>
      <w:r w:rsidRPr="00C35B60">
        <w:rPr>
          <w:rFonts w:ascii="Times New Roman" w:hAnsi="Times New Roman" w:cs="Times New Roman"/>
          <w:sz w:val="24"/>
          <w:szCs w:val="24"/>
        </w:rPr>
        <w:t xml:space="preserve"> pore size) eluted using a linear gradient of acetonitrile in 0.08% aqueous TFA.  The mass</w:t>
      </w:r>
      <w:r w:rsidR="006D6EA5" w:rsidRPr="00C35B60">
        <w:rPr>
          <w:rFonts w:ascii="Times New Roman" w:hAnsi="Times New Roman" w:cs="Times New Roman"/>
          <w:sz w:val="24"/>
          <w:szCs w:val="24"/>
        </w:rPr>
        <w:t>es</w:t>
      </w:r>
      <w:r w:rsidRPr="00C35B60">
        <w:rPr>
          <w:rFonts w:ascii="Times New Roman" w:hAnsi="Times New Roman" w:cs="Times New Roman"/>
          <w:sz w:val="24"/>
          <w:szCs w:val="24"/>
        </w:rPr>
        <w:t xml:space="preserve"> of the final product</w:t>
      </w:r>
      <w:r w:rsidR="006D6EA5" w:rsidRPr="00C35B60">
        <w:rPr>
          <w:rFonts w:ascii="Times New Roman" w:hAnsi="Times New Roman" w:cs="Times New Roman"/>
          <w:sz w:val="24"/>
          <w:szCs w:val="24"/>
        </w:rPr>
        <w:t>s</w:t>
      </w:r>
      <w:r w:rsidRPr="00C35B60">
        <w:rPr>
          <w:rFonts w:ascii="Times New Roman" w:hAnsi="Times New Roman" w:cs="Times New Roman"/>
          <w:sz w:val="24"/>
          <w:szCs w:val="24"/>
        </w:rPr>
        <w:t xml:space="preserve"> w</w:t>
      </w:r>
      <w:r w:rsidR="006D6EA5" w:rsidRPr="00C35B60">
        <w:rPr>
          <w:rFonts w:ascii="Times New Roman" w:hAnsi="Times New Roman" w:cs="Times New Roman"/>
          <w:sz w:val="24"/>
          <w:szCs w:val="24"/>
        </w:rPr>
        <w:t>ere</w:t>
      </w:r>
      <w:r w:rsidRPr="00C35B60">
        <w:rPr>
          <w:rFonts w:ascii="Times New Roman" w:hAnsi="Times New Roman" w:cs="Times New Roman"/>
          <w:sz w:val="24"/>
          <w:szCs w:val="24"/>
        </w:rPr>
        <w:t xml:space="preserve"> confirmed by MALDI-TOF MS (Table </w:t>
      </w:r>
      <w:r w:rsidR="00A81584" w:rsidRPr="00C35B60">
        <w:rPr>
          <w:rFonts w:ascii="Times New Roman" w:hAnsi="Times New Roman" w:cs="Times New Roman"/>
          <w:sz w:val="24"/>
          <w:szCs w:val="24"/>
        </w:rPr>
        <w:t>S</w:t>
      </w:r>
      <w:r w:rsidRPr="00C35B60">
        <w:rPr>
          <w:rFonts w:ascii="Times New Roman" w:hAnsi="Times New Roman" w:cs="Times New Roman"/>
          <w:sz w:val="24"/>
          <w:szCs w:val="24"/>
        </w:rPr>
        <w:t xml:space="preserve">1), </w:t>
      </w:r>
      <w:r w:rsidR="006D6EA5" w:rsidRPr="00C35B60">
        <w:rPr>
          <w:rFonts w:ascii="Times New Roman" w:hAnsi="Times New Roman" w:cs="Times New Roman"/>
          <w:sz w:val="24"/>
          <w:szCs w:val="24"/>
        </w:rPr>
        <w:t xml:space="preserve">their </w:t>
      </w:r>
      <w:r w:rsidRPr="00C35B60">
        <w:rPr>
          <w:rFonts w:ascii="Times New Roman" w:hAnsi="Times New Roman" w:cs="Times New Roman"/>
          <w:sz w:val="24"/>
          <w:szCs w:val="24"/>
        </w:rPr>
        <w:t xml:space="preserve">N-terminal sequence homogeneity was verified by automated </w:t>
      </w:r>
      <w:proofErr w:type="spellStart"/>
      <w:r w:rsidRPr="00C35B60">
        <w:rPr>
          <w:rFonts w:ascii="Times New Roman" w:hAnsi="Times New Roman" w:cs="Times New Roman"/>
          <w:sz w:val="24"/>
          <w:szCs w:val="24"/>
        </w:rPr>
        <w:t>Edman</w:t>
      </w:r>
      <w:proofErr w:type="spellEnd"/>
      <w:r w:rsidRPr="00C35B60">
        <w:rPr>
          <w:rFonts w:ascii="Times New Roman" w:hAnsi="Times New Roman" w:cs="Times New Roman"/>
          <w:sz w:val="24"/>
          <w:szCs w:val="24"/>
        </w:rPr>
        <w:t xml:space="preserve"> degradation, and </w:t>
      </w:r>
      <w:r w:rsidR="006D6EA5" w:rsidRPr="00C35B60">
        <w:rPr>
          <w:rFonts w:ascii="Times New Roman" w:hAnsi="Times New Roman" w:cs="Times New Roman"/>
          <w:sz w:val="24"/>
          <w:szCs w:val="24"/>
        </w:rPr>
        <w:t xml:space="preserve">the </w:t>
      </w:r>
      <w:r w:rsidRPr="00C35B60">
        <w:rPr>
          <w:rFonts w:ascii="Times New Roman" w:hAnsi="Times New Roman" w:cs="Times New Roman"/>
          <w:sz w:val="24"/>
          <w:szCs w:val="24"/>
        </w:rPr>
        <w:t xml:space="preserve">chromatographic purity (&gt;95%) was confirmed by C18-RP-UHPLC.  All peptides were obtained lyophilized in the form of their trifluoroacetate salts. </w:t>
      </w:r>
    </w:p>
    <w:p w:rsidR="002708D2" w:rsidRPr="00C35B60" w:rsidRDefault="002708D2" w:rsidP="006E7223">
      <w:pPr>
        <w:autoSpaceDE w:val="0"/>
        <w:autoSpaceDN w:val="0"/>
        <w:adjustRightInd w:val="0"/>
        <w:spacing w:after="0" w:line="480" w:lineRule="auto"/>
        <w:ind w:right="43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B5679" w:rsidRPr="00C35B60" w:rsidRDefault="007B5679" w:rsidP="007B5679">
      <w:pPr>
        <w:autoSpaceDE w:val="0"/>
        <w:autoSpaceDN w:val="0"/>
        <w:adjustRightInd w:val="0"/>
        <w:spacing w:after="0" w:line="480" w:lineRule="auto"/>
        <w:ind w:left="432" w:right="432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35B6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ELISPOT </w:t>
      </w:r>
      <w:r w:rsidR="0086048E" w:rsidRPr="00C35B6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</w:t>
      </w:r>
      <w:r w:rsidRPr="00C35B6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ssay</w:t>
      </w:r>
    </w:p>
    <w:p w:rsidR="002708D2" w:rsidRPr="00C35B60" w:rsidRDefault="002708D2" w:rsidP="007B5679">
      <w:pPr>
        <w:autoSpaceDE w:val="0"/>
        <w:autoSpaceDN w:val="0"/>
        <w:adjustRightInd w:val="0"/>
        <w:spacing w:after="0" w:line="480" w:lineRule="auto"/>
        <w:ind w:left="432" w:right="432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In brief, 96 well ELISPOT plates were coated with 100 µl of 5 µg/ ml respective capture </w:t>
      </w:r>
      <w:proofErr w:type="spellStart"/>
      <w:r w:rsidR="008B7A1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Ab</w:t>
      </w:r>
      <w:proofErr w:type="spellEnd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in PBS (pH 7.2) and incubated overnight at 4°C. Free binding sites were blocked with RPMI-1640 medium containing 10% fetal calf serum (FCS</w:t>
      </w:r>
      <w:r w:rsidR="003A13F3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; </w:t>
      </w:r>
      <w:r w:rsidR="003A13F3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Atlas </w:t>
      </w:r>
      <w:proofErr w:type="spellStart"/>
      <w:r w:rsidR="003A13F3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Biologicals</w:t>
      </w:r>
      <w:proofErr w:type="spellEnd"/>
      <w:r w:rsidR="003A13F3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, Fort Collins, CO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) for 2 h at room temperature.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Human PBMCs or mouse lung, spleen and ILN cells isolated as described before </w:t>
      </w:r>
      <w:r w:rsidR="00E218F5" w:rsidRPr="00C35B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[18,</w:t>
      </w:r>
      <w:bookmarkStart w:id="0" w:name="_GoBack"/>
      <w:bookmarkEnd w:id="0"/>
      <w:r w:rsidR="00CB2EB6" w:rsidRPr="00C35B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35</w:t>
      </w:r>
      <w:r w:rsidR="005306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,52</w:t>
      </w:r>
      <w:r w:rsidR="00E218F5" w:rsidRPr="00C35B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]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were suspended at 1 or 2 × 10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5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cells per well in RPMI-1640 medium 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supplemented with 100 IU/ml penicillin, 50 µg/ml streptomycin, 1 </w:t>
      </w:r>
      <w:proofErr w:type="spellStart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mM</w:t>
      </w:r>
      <w:proofErr w:type="spellEnd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L-glutamine, 25 </w:t>
      </w:r>
      <w:proofErr w:type="spellStart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mM</w:t>
      </w:r>
      <w:proofErr w:type="spellEnd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HEPES, 1 </w:t>
      </w:r>
      <w:proofErr w:type="spellStart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mM</w:t>
      </w:r>
      <w:proofErr w:type="spellEnd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sodium pyruvate, 50 µM β-</w:t>
      </w:r>
      <w:proofErr w:type="spellStart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mercaptoethanol</w:t>
      </w:r>
      <w:proofErr w:type="spellEnd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, 1×</w:t>
      </w:r>
      <w:r w:rsidR="009F1B15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vitamins and 1×</w:t>
      </w:r>
      <w:r w:rsidR="009F1B15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nonessential amino acids (</w:t>
      </w:r>
      <w:proofErr w:type="spellStart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Gibco</w:t>
      </w:r>
      <w:proofErr w:type="spellEnd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-Invitrogen, Grand Island, NY) and 10% heat-inactivated pooled healthy human AB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en"/>
        </w:rPr>
        <w:t xml:space="preserve">+ 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serum for human PBMCs or F</w:t>
      </w:r>
      <w:r w:rsidR="005201D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C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S for mouse cells. Cells were stimulated with 10 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lastRenderedPageBreak/>
        <w:t xml:space="preserve">µg/ml of </w:t>
      </w:r>
      <w:proofErr w:type="spellStart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nApa</w:t>
      </w:r>
      <w:proofErr w:type="spellEnd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, </w:t>
      </w:r>
      <w:proofErr w:type="spellStart"/>
      <w:proofErr w:type="gramStart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rApa</w:t>
      </w:r>
      <w:proofErr w:type="spellEnd"/>
      <w:proofErr w:type="gramEnd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, WCL, STCF, ESAT-6, CFP-10 or synthetic peptides (unles</w:t>
      </w:r>
      <w:r w:rsidR="00686AA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s mentioned otherwise) for 40 h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. Stimulation with PHA or Con-A (1 µg/ml</w:t>
      </w:r>
      <w:r w:rsidR="002F5FAB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; Sigma-Aldrich, St. Louis, MO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) was used as a positive control for cell viability and reactivity. After incubation at 37°C the wells were washed with PBS-Tween-20 and the site of cytokine secretion was detected with a biotin-labeled detection </w:t>
      </w:r>
      <w:proofErr w:type="spellStart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Ab</w:t>
      </w:r>
      <w:proofErr w:type="spellEnd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and horseradish peroxidase-conjugated streptavidin. The enzyme reaction was developed using 3-amino-9-ethylcarbazole (AEC) substrate reagent set</w:t>
      </w:r>
      <w:r w:rsidR="009F1B15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(BD-Biosciences</w:t>
      </w:r>
      <w:r w:rsidR="005201D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,</w:t>
      </w:r>
      <w:r w:rsidR="005201D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San Diego, CA</w:t>
      </w:r>
      <w:r w:rsidR="009F1B15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)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. The nu</w:t>
      </w:r>
      <w:r w:rsidR="00B64682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mber of spot forming units (SFU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) per well were counted using an ELISPOT reader (Cellular Technology Limited, Cleveland, OH). The number of spots specific for each </w:t>
      </w:r>
      <w:r w:rsidR="00AA6CC3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Ag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preparation was calculated by subtracting the number of spots that formed in the absence of added </w:t>
      </w:r>
      <w:r w:rsidR="008B7A1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Ag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from the number that formed in its presence.</w:t>
      </w:r>
    </w:p>
    <w:p w:rsidR="002708D2" w:rsidRPr="00C35B60" w:rsidRDefault="002708D2" w:rsidP="002708D2">
      <w:pPr>
        <w:autoSpaceDE w:val="0"/>
        <w:autoSpaceDN w:val="0"/>
        <w:adjustRightInd w:val="0"/>
        <w:spacing w:after="0" w:line="480" w:lineRule="auto"/>
        <w:ind w:left="432"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7B5679" w:rsidRPr="00C35B60" w:rsidRDefault="007B5679" w:rsidP="007B5679">
      <w:pPr>
        <w:spacing w:line="480" w:lineRule="auto"/>
        <w:ind w:left="432" w:right="432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35B6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Flow</w:t>
      </w:r>
      <w:r w:rsidR="008C4CEF" w:rsidRPr="00C35B6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6E7223" w:rsidRPr="00C35B6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</w:t>
      </w:r>
      <w:r w:rsidRPr="00C35B6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ytometry</w:t>
      </w:r>
      <w:proofErr w:type="spellEnd"/>
    </w:p>
    <w:p w:rsidR="0041067D" w:rsidRPr="00C35B60" w:rsidRDefault="007B5679" w:rsidP="007A124C">
      <w:pPr>
        <w:spacing w:line="480" w:lineRule="auto"/>
        <w:ind w:left="432" w:right="43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Briefly, 2</w:t>
      </w:r>
      <w:r w:rsidR="002665AA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×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10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  <w:lang w:val="en"/>
        </w:rPr>
        <w:t>6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cells were dispensed in 96 well polypropylene plates in supplemented RPMI-1640 medium and stimulated with 10µg/ml of </w:t>
      </w:r>
      <w:proofErr w:type="spellStart"/>
      <w:r w:rsidRPr="00C35B60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"/>
        </w:rPr>
        <w:t>Mtb</w:t>
      </w:r>
      <w:proofErr w:type="spellEnd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</w:t>
      </w:r>
      <w:r w:rsidR="008B7A1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Ag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in a total volume of 200 µl. Stimulation with PMA-</w:t>
      </w:r>
      <w:proofErr w:type="spellStart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ion</w:t>
      </w:r>
      <w:r w:rsidR="004504AD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o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mycin</w:t>
      </w:r>
      <w:proofErr w:type="spellEnd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(1 µg/ml) was used as a positive control. Stimulations were conducted in the presence of anti-CD28 and anti-CD49d Abs (1 µg/ml; BD </w:t>
      </w:r>
      <w:proofErr w:type="spellStart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Pharmingen</w:t>
      </w:r>
      <w:proofErr w:type="spellEnd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) and the cells were incubated at 37°C in the presence of 5% CO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  <w:lang w:val="en"/>
        </w:rPr>
        <w:t>2</w:t>
      </w:r>
      <w:r w:rsidR="00686AA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for 8 h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.  </w:t>
      </w:r>
      <w:proofErr w:type="spellStart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Bref</w:t>
      </w:r>
      <w:r w:rsidR="005047F3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e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ldin</w:t>
      </w:r>
      <w:proofErr w:type="spellEnd"/>
      <w:r w:rsidR="005047F3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A (10 µg/ml) 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</w:t>
      </w:r>
      <w:r w:rsidR="005047F3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and</w:t>
      </w:r>
      <w:r w:rsidR="007926BE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</w:t>
      </w:r>
      <w:proofErr w:type="spellStart"/>
      <w:r w:rsidR="007926BE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monensin</w:t>
      </w:r>
      <w:proofErr w:type="spellEnd"/>
      <w:r w:rsidR="00FB09A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(</w:t>
      </w:r>
      <w:r w:rsidR="004504AD" w:rsidRPr="00C35B60">
        <w:rPr>
          <w:rStyle w:val="apple-style-span"/>
          <w:rFonts w:ascii="Times New Roman" w:hAnsi="Times New Roman" w:cs="Times New Roman"/>
          <w:color w:val="0D0D0D"/>
          <w:sz w:val="24"/>
          <w:szCs w:val="24"/>
        </w:rPr>
        <w:t xml:space="preserve">3μM; BD </w:t>
      </w:r>
      <w:proofErr w:type="spellStart"/>
      <w:r w:rsidR="004504AD" w:rsidRPr="00C35B60">
        <w:rPr>
          <w:rStyle w:val="apple-style-span"/>
          <w:rFonts w:ascii="Times New Roman" w:hAnsi="Times New Roman" w:cs="Times New Roman"/>
          <w:color w:val="0D0D0D"/>
          <w:sz w:val="24"/>
          <w:szCs w:val="24"/>
        </w:rPr>
        <w:t>pharmingen</w:t>
      </w:r>
      <w:proofErr w:type="spellEnd"/>
      <w:r w:rsidR="00FB09A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)</w:t>
      </w:r>
      <w:r w:rsidR="007926BE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</w:t>
      </w:r>
      <w:r w:rsidR="005047F3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was added and cells were cultured for additional </w:t>
      </w:r>
      <w:r w:rsidR="00686AA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4 h</w:t>
      </w:r>
      <w:r w:rsidR="005047F3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. </w:t>
      </w:r>
      <w:r w:rsidR="007926BE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Cells were 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stained with surface and intracellular </w:t>
      </w:r>
      <w:r w:rsidR="00784583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anti-human or anti-mouse Abs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. </w:t>
      </w:r>
      <w:r w:rsidR="000D249F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Anti-mouse Abs</w:t>
      </w:r>
      <w:r w:rsidR="008E257E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(BD)</w:t>
      </w:r>
      <w:r w:rsidR="000D249F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for ICS were </w:t>
      </w:r>
      <w:r w:rsidR="008E257E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Pac</w:t>
      </w:r>
      <w:r w:rsidR="00E93BD5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ific b</w:t>
      </w:r>
      <w:r w:rsidR="008E257E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lue-anti-CD3(clone 500A2), </w:t>
      </w:r>
      <w:proofErr w:type="spellStart"/>
      <w:r w:rsidR="008E257E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A</w:t>
      </w:r>
      <w:r w:rsidR="0016023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lexa</w:t>
      </w:r>
      <w:proofErr w:type="spellEnd"/>
      <w:r w:rsidR="00E93BD5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Fluor </w:t>
      </w:r>
      <w:r w:rsidR="008E257E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700-anti-CD4 (clone RM4-5), P</w:t>
      </w:r>
      <w:r w:rsidR="0016023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er</w:t>
      </w:r>
      <w:r w:rsidR="008E257E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CP-anti-CD8 (clone53-6.7), APC-anti-IFN-γ</w:t>
      </w:r>
      <w:r w:rsidR="0031096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</w:t>
      </w:r>
      <w:r w:rsidR="008E257E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(clone XMG1.2), PE-Cy7-anti-TNF-</w:t>
      </w:r>
      <w:r w:rsidR="00AD144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α</w:t>
      </w:r>
      <w:r w:rsidR="0031096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</w:t>
      </w:r>
      <w:r w:rsidR="008E257E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(</w:t>
      </w:r>
      <w:r w:rsidR="0031096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clone </w:t>
      </w:r>
      <w:r w:rsidR="008E257E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MP6-XT22)</w:t>
      </w:r>
      <w:r w:rsidR="00AD144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and PE-anti-IL-2</w:t>
      </w:r>
      <w:r w:rsidR="0031096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</w:t>
      </w:r>
      <w:r w:rsidR="00AD144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(clone JES6-5H4). Anti-human Abs (BD) for ICS were Pac</w:t>
      </w:r>
      <w:r w:rsidR="00E93BD5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ific b</w:t>
      </w:r>
      <w:r w:rsidR="00AD144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lue-anti-CD3 (SP34-2), P</w:t>
      </w:r>
      <w:r w:rsidR="0016023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er</w:t>
      </w:r>
      <w:r w:rsidR="00AD144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CP-anti-CD4</w:t>
      </w:r>
      <w:r w:rsidR="0031096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</w:t>
      </w:r>
      <w:r w:rsidR="00AD144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(clone SK3), A</w:t>
      </w:r>
      <w:r w:rsidR="0031096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mcyan</w:t>
      </w:r>
      <w:r w:rsidR="00AD144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-anti-CD8</w:t>
      </w:r>
      <w:r w:rsidR="0031096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(clone SK1), </w:t>
      </w:r>
      <w:proofErr w:type="spellStart"/>
      <w:r w:rsidR="0031096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A</w:t>
      </w:r>
      <w:r w:rsidR="0016023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lexa</w:t>
      </w:r>
      <w:proofErr w:type="spellEnd"/>
      <w:r w:rsidR="00E93BD5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Fluor </w:t>
      </w:r>
      <w:r w:rsidR="0031096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700-anti-IFN-γ (clone B27),</w:t>
      </w:r>
      <w:r w:rsidR="00AD144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</w:t>
      </w:r>
      <w:r w:rsidR="0031096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PE-Cy7-anti-TNF-a (clone MAb11) and APC-anti-IL-2 </w:t>
      </w:r>
      <w:r w:rsidR="0031096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lastRenderedPageBreak/>
        <w:t xml:space="preserve">(MQ1-17H12). For </w:t>
      </w:r>
      <w:r w:rsidR="0016023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DC</w:t>
      </w:r>
      <w:r w:rsidR="0031096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activation</w:t>
      </w:r>
      <w:r w:rsidR="00B70ECC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,</w:t>
      </w:r>
      <w:r w:rsidR="0031096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PBMCs were stimulated with </w:t>
      </w:r>
      <w:r w:rsidR="00B70ECC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10µg/ml </w:t>
      </w:r>
      <w:proofErr w:type="spellStart"/>
      <w:r w:rsidR="00310964" w:rsidRPr="00C35B60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"/>
        </w:rPr>
        <w:t>Mtb</w:t>
      </w:r>
      <w:proofErr w:type="spellEnd"/>
      <w:r w:rsidR="0031096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</w:t>
      </w:r>
      <w:proofErr w:type="spellStart"/>
      <w:r w:rsidR="0031096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Ag</w:t>
      </w:r>
      <w:r w:rsidR="00E93BD5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s</w:t>
      </w:r>
      <w:proofErr w:type="spellEnd"/>
      <w:r w:rsidR="0031096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</w:t>
      </w:r>
      <w:r w:rsidR="00B70ECC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for </w:t>
      </w:r>
      <w:r w:rsidR="00E93BD5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12 </w:t>
      </w:r>
      <w:r w:rsidR="00B70ECC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h</w:t>
      </w:r>
      <w:r w:rsidR="00310964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310964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Anti-human Abs used were</w:t>
      </w:r>
      <w:r w:rsidR="00B70ECC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Pac</w:t>
      </w:r>
      <w:r w:rsidR="009B7031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ific blue</w:t>
      </w:r>
      <w:r w:rsidR="00B70ECC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-anti-CD3 (clone SP-34-2), Pac</w:t>
      </w:r>
      <w:r w:rsidR="009B7031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ific blue</w:t>
      </w:r>
      <w:r w:rsidR="00B70ECC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-anti-CD14 (cloneM5E2), </w:t>
      </w:r>
      <w:r w:rsidR="0016023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Alexa780</w:t>
      </w:r>
      <w:r w:rsidR="00B70ECC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-CD20 (clone</w:t>
      </w:r>
      <w:r w:rsidR="00050807" w:rsidRPr="00C35B60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</w:t>
      </w:r>
      <w:r w:rsidR="00050807" w:rsidRPr="00C35B60">
        <w:rPr>
          <w:rFonts w:ascii="Times New Roman" w:hAnsi="Times New Roman" w:cs="Times New Roman"/>
          <w:sz w:val="24"/>
          <w:szCs w:val="24"/>
          <w:lang w:val="en"/>
        </w:rPr>
        <w:t>2H7</w:t>
      </w:r>
      <w:r w:rsidR="00B70ECC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), </w:t>
      </w:r>
      <w:proofErr w:type="spellStart"/>
      <w:r w:rsidR="00B70ECC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P</w:t>
      </w:r>
      <w:r w:rsidR="0016023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er</w:t>
      </w:r>
      <w:r w:rsidR="00B70ECC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CP</w:t>
      </w:r>
      <w:proofErr w:type="spellEnd"/>
      <w:r w:rsidR="00B70ECC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-anti-HLA-DR (clone G46-6), APC-anti-CD11c (clone S-HCL-3), PE-anti-CD123 (clone 7G3) and FITC-anti-CD80 (clone BB1).</w:t>
      </w:r>
      <w:r w:rsidR="008E257E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 stained cells were fixed with 1% paraformaldehyde</w:t>
      </w:r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and acquired on the LSRII system (BD </w:t>
      </w:r>
      <w:proofErr w:type="spellStart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Immunocytometry</w:t>
      </w:r>
      <w:proofErr w:type="spellEnd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Systems) and analyzed using </w:t>
      </w:r>
      <w:proofErr w:type="spellStart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FlowJo</w:t>
      </w:r>
      <w:proofErr w:type="spellEnd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software (</w:t>
      </w:r>
      <w:proofErr w:type="spellStart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Treestar</w:t>
      </w:r>
      <w:proofErr w:type="spellEnd"/>
      <w:r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, Inc., San Carlos, CA)</w:t>
      </w:r>
      <w:r w:rsidR="00D70F5F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>.</w:t>
      </w:r>
      <w:r w:rsidR="0039639D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</w:t>
      </w:r>
      <w:r w:rsidR="0076337F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Gating</w:t>
      </w:r>
      <w:r w:rsidR="00B61D05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strategy </w:t>
      </w:r>
      <w:r w:rsidR="00CF37CE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as </w:t>
      </w:r>
      <w:r w:rsidR="00B61D05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described previously </w:t>
      </w:r>
      <w:r w:rsidR="00457B49" w:rsidRPr="00C35B60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en"/>
        </w:rPr>
        <w:t>[</w:t>
      </w:r>
      <w:r w:rsidR="00CB2EB6" w:rsidRPr="00C35B60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en"/>
        </w:rPr>
        <w:t>52</w:t>
      </w:r>
      <w:r w:rsidR="00457B49" w:rsidRPr="00C35B60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en"/>
        </w:rPr>
        <w:t>]</w:t>
      </w:r>
      <w:r w:rsidR="0076337F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lang w:val="en"/>
        </w:rPr>
        <w:t xml:space="preserve"> </w:t>
      </w:r>
      <w:r w:rsidR="00B61D05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was used. Boolean </w:t>
      </w:r>
      <w:r w:rsidR="009B7031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combination </w:t>
      </w:r>
      <w:r w:rsidR="00B61D05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gating </w:t>
      </w:r>
      <w:r w:rsidR="009B7031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for IFN-γ, IL-2 and TNF-α </w:t>
      </w:r>
      <w:r w:rsidR="00B61D05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was performed to calculate the frequencies of expression profiles corresponding to the </w:t>
      </w:r>
      <w:r w:rsidR="009B7031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7</w:t>
      </w:r>
      <w:r w:rsidR="00B61D05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diff</w:t>
      </w:r>
      <w:r w:rsidR="009B7031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erent combinations of cytokines </w:t>
      </w:r>
      <w:r w:rsidR="00B61D05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using </w:t>
      </w:r>
      <w:proofErr w:type="spellStart"/>
      <w:r w:rsidR="00FB09A4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FlowJo</w:t>
      </w:r>
      <w:proofErr w:type="spellEnd"/>
      <w:r w:rsidR="00B61D05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software. After subtracting the background values</w:t>
      </w:r>
      <w:r w:rsidR="006B06B7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frequencies of individual </w:t>
      </w:r>
      <w:r w:rsidR="00457B49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or total cytokine secreting CD4</w:t>
      </w:r>
      <w:r w:rsidR="000236F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+</w:t>
      </w:r>
      <w:r w:rsidR="00457B49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or </w:t>
      </w:r>
      <w:r w:rsidR="006B06B7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CD8</w:t>
      </w:r>
      <w:r w:rsidR="000236FB" w:rsidRPr="00C35B60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+</w:t>
      </w:r>
      <w:r w:rsidR="006B06B7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T cells were plotted for </w:t>
      </w:r>
      <w:r w:rsidR="00B61D05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each </w:t>
      </w:r>
      <w:r w:rsidR="0076337F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Ag</w:t>
      </w:r>
      <w:r w:rsidR="00B61D05" w:rsidRPr="00C35B6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:rsidR="00750A38" w:rsidRPr="00C35B60" w:rsidRDefault="00750A38" w:rsidP="00750A38">
      <w:pPr>
        <w:spacing w:line="480" w:lineRule="auto"/>
        <w:ind w:right="43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297A12" w:rsidRPr="00C35B60" w:rsidRDefault="00297A12" w:rsidP="00297A12">
      <w:pPr>
        <w:spacing w:line="480" w:lineRule="auto"/>
        <w:ind w:left="432" w:right="432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C35B60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Digestion of </w:t>
      </w:r>
      <w:proofErr w:type="spellStart"/>
      <w:proofErr w:type="gramStart"/>
      <w:r w:rsidRPr="00C35B60">
        <w:rPr>
          <w:rFonts w:ascii="Times New Roman" w:eastAsia="Times" w:hAnsi="Times New Roman" w:cs="Times New Roman"/>
          <w:b/>
          <w:color w:val="000000"/>
          <w:sz w:val="24"/>
          <w:szCs w:val="24"/>
        </w:rPr>
        <w:t>Apa</w:t>
      </w:r>
      <w:proofErr w:type="spellEnd"/>
      <w:proofErr w:type="gramEnd"/>
      <w:r w:rsidRPr="00C35B60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with Trypsin and Separation of Digest Mixtures.</w:t>
      </w:r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</w:t>
      </w:r>
    </w:p>
    <w:p w:rsidR="00297A12" w:rsidRPr="00C35B60" w:rsidRDefault="00297A12" w:rsidP="00297A12">
      <w:pPr>
        <w:spacing w:line="480" w:lineRule="auto"/>
        <w:ind w:left="432" w:right="432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Recombinant and native </w:t>
      </w:r>
      <w:proofErr w:type="spell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Apa</w:t>
      </w:r>
      <w:proofErr w:type="spellEnd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were hydrated in digest buffer (0.5 M urea, 0.02 M methylamine, 0.05 M </w:t>
      </w:r>
      <w:proofErr w:type="spell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NaCl</w:t>
      </w:r>
      <w:proofErr w:type="spellEnd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, and 0.001 M CaCl</w:t>
      </w:r>
      <w:r w:rsidRPr="00C35B60">
        <w:rPr>
          <w:rFonts w:ascii="Times New Roman" w:eastAsia="Times" w:hAnsi="Times New Roman" w:cs="Times New Roman"/>
          <w:color w:val="000000"/>
          <w:sz w:val="24"/>
          <w:szCs w:val="24"/>
          <w:vertAlign w:val="subscript"/>
        </w:rPr>
        <w:t>2</w:t>
      </w:r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in 0.01 M </w:t>
      </w:r>
      <w:proofErr w:type="spell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Tris-HCl</w:t>
      </w:r>
      <w:proofErr w:type="spellEnd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pH 7.5) to 2.5 mg/ml. Trypsin (modified, sequencing grade, Roche Chemical Co. Indianapolis, IN) was added at an </w:t>
      </w:r>
      <w:proofErr w:type="spell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enzyme</w:t>
      </w:r>
      <w:proofErr w:type="gram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:substrate</w:t>
      </w:r>
      <w:proofErr w:type="spellEnd"/>
      <w:proofErr w:type="gramEnd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ratio of 1:70, and samples were incubated with gentle agitation at 37</w:t>
      </w:r>
      <w:r w:rsidRPr="00C35B60">
        <w:rPr>
          <w:rFonts w:ascii="Times New Roman" w:eastAsia="Times" w:hAnsi="Times New Roman" w:cs="Times New Roman"/>
          <w:color w:val="000000"/>
          <w:sz w:val="24"/>
          <w:szCs w:val="24"/>
          <w:vertAlign w:val="superscript"/>
        </w:rPr>
        <w:t>0</w:t>
      </w:r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C for 12 h. Additional trypsin was added at 12 h and samples incubated for an additional 6 h. The reaction was stopped by 3 freeze</w:t>
      </w:r>
      <w:r w:rsidR="002A6A72">
        <w:rPr>
          <w:rFonts w:ascii="Times New Roman" w:eastAsia="Times" w:hAnsi="Times New Roman" w:cs="Times New Roman"/>
          <w:color w:val="000000"/>
          <w:sz w:val="24"/>
          <w:szCs w:val="24"/>
        </w:rPr>
        <w:t>-</w:t>
      </w:r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thaw cycles and the digest mixtures were stored at -20</w:t>
      </w:r>
      <w:r w:rsidRPr="00C35B60">
        <w:rPr>
          <w:rFonts w:ascii="Times New Roman" w:eastAsia="Times" w:hAnsi="Times New Roman" w:cs="Times New Roman"/>
          <w:color w:val="000000"/>
          <w:sz w:val="24"/>
          <w:szCs w:val="24"/>
          <w:vertAlign w:val="superscript"/>
        </w:rPr>
        <w:t>0</w:t>
      </w:r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C until use. </w:t>
      </w:r>
    </w:p>
    <w:p w:rsidR="00297A12" w:rsidRPr="00C35B60" w:rsidRDefault="00297A12" w:rsidP="00297A12">
      <w:pPr>
        <w:spacing w:line="480" w:lineRule="auto"/>
        <w:ind w:left="432" w:right="432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Trypsin digested </w:t>
      </w:r>
      <w:proofErr w:type="spell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nApa</w:t>
      </w:r>
      <w:proofErr w:type="spellEnd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or </w:t>
      </w:r>
      <w:proofErr w:type="spellStart"/>
      <w:proofErr w:type="gram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rApa</w:t>
      </w:r>
      <w:proofErr w:type="spellEnd"/>
      <w:proofErr w:type="gramEnd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was acidified by addition of 10% TFA to a final concentration of 0.5%.  The digest was applied to a reversed phase C18 HPLC column (20 cm x 4.6 mm, </w:t>
      </w:r>
      <w:proofErr w:type="spell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Vydac</w:t>
      </w:r>
      <w:proofErr w:type="spellEnd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Inc., </w:t>
      </w:r>
      <w:proofErr w:type="spell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Hyperia</w:t>
      </w:r>
      <w:proofErr w:type="spellEnd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CA) at 0.1 ml/min using an Alliance HPLC system (Waters, Inc., </w:t>
      </w:r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lastRenderedPageBreak/>
        <w:t xml:space="preserve">Bedford, MA).  The column was washed with 5 column volumes of buffer A (0.1% TFA) at 0.5 ml/min and peptides eluted with a gradient of 100% buffer A to 100% buffer B (80% acetonitrile in buffer A) over 10 column volumes. </w:t>
      </w:r>
    </w:p>
    <w:p w:rsidR="00297A12" w:rsidRPr="00C35B60" w:rsidRDefault="00297A12" w:rsidP="00297A12">
      <w:pPr>
        <w:spacing w:line="480" w:lineRule="auto"/>
        <w:ind w:left="432" w:right="432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Whole digests of </w:t>
      </w:r>
      <w:proofErr w:type="spell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nApa</w:t>
      </w:r>
      <w:proofErr w:type="spellEnd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rApa</w:t>
      </w:r>
      <w:proofErr w:type="spellEnd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and separated peptides were analyzed by liquid chromatography-mass spectrometry (LC-MS) using an LCQ Classic electro-spray ionization mass spectrometer (ES-MS, </w:t>
      </w:r>
      <w:proofErr w:type="spell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ThermoFinnigan</w:t>
      </w:r>
      <w:proofErr w:type="spellEnd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, San Jose, CA) and a </w:t>
      </w:r>
      <w:proofErr w:type="spell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Bruker</w:t>
      </w:r>
      <w:proofErr w:type="spellEnd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Daltonics</w:t>
      </w:r>
      <w:proofErr w:type="spellEnd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Ultraflex</w:t>
      </w:r>
      <w:proofErr w:type="spellEnd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matrix assisted laser desorption ionization time of flight mass spectrometer (MALDI-TOF-TOF,  </w:t>
      </w:r>
      <w:proofErr w:type="spell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Bruker</w:t>
      </w:r>
      <w:proofErr w:type="spellEnd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Daltonics</w:t>
      </w:r>
      <w:proofErr w:type="spellEnd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Inc</w:t>
      </w:r>
      <w:proofErr w:type="spellEnd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, Billerica, MA).</w:t>
      </w:r>
      <w:r w:rsidRPr="00C35B60">
        <w:rPr>
          <w:rFonts w:ascii="Times New Roman" w:eastAsia="Times" w:hAnsi="Times New Roman" w:cs="Times New Roman"/>
          <w:sz w:val="24"/>
          <w:szCs w:val="24"/>
        </w:rPr>
        <w:t xml:space="preserve"> For MAL</w:t>
      </w:r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DI-TOF, 1 ml of sample was mixed with 1 ml of matrix (</w:t>
      </w:r>
      <w:proofErr w:type="spell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dihydroxybenzoic</w:t>
      </w:r>
      <w:proofErr w:type="spellEnd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acid, 10 mg/ml in 50% acetonitrile, 0.1% </w:t>
      </w:r>
      <w:proofErr w:type="spellStart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>trifluoroacetic</w:t>
      </w:r>
      <w:proofErr w:type="spellEnd"/>
      <w:r w:rsidRPr="00C35B6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acid) spotted on a MALDI target and allowed to air dry. The spectra were collected in positive ion reflector mode using a 25 kV accelerator voltage.</w:t>
      </w:r>
    </w:p>
    <w:p w:rsidR="00660F18" w:rsidRDefault="00AC7188" w:rsidP="00AC71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35B6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C273A" w:rsidRPr="002A6A72" w:rsidRDefault="00660F18" w:rsidP="00AC71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C273A" w:rsidRPr="002A6A72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9F28C6" w:rsidRPr="002A6A72">
        <w:rPr>
          <w:rFonts w:ascii="Times New Roman" w:hAnsi="Times New Roman" w:cs="Times New Roman"/>
          <w:b/>
          <w:sz w:val="24"/>
          <w:szCs w:val="24"/>
        </w:rPr>
        <w:t>Table</w:t>
      </w:r>
    </w:p>
    <w:p w:rsidR="00FC273A" w:rsidRPr="00C35B60" w:rsidRDefault="00FC273A" w:rsidP="00FC273A">
      <w:pPr>
        <w:spacing w:line="480" w:lineRule="auto"/>
        <w:ind w:left="432"/>
        <w:rPr>
          <w:rFonts w:ascii="Times New Roman" w:hAnsi="Times New Roman" w:cs="Times New Roman"/>
          <w:b/>
          <w:sz w:val="24"/>
          <w:szCs w:val="24"/>
        </w:rPr>
      </w:pPr>
      <w:r w:rsidRPr="00C35B60">
        <w:rPr>
          <w:rFonts w:ascii="Times New Roman" w:hAnsi="Times New Roman" w:cs="Times New Roman"/>
          <w:b/>
          <w:sz w:val="24"/>
          <w:szCs w:val="24"/>
        </w:rPr>
        <w:t>Table S1:  Masses of C-terminal 45-mer</w:t>
      </w:r>
      <w:r w:rsidR="00B91D32" w:rsidRPr="00C35B60">
        <w:rPr>
          <w:rFonts w:ascii="Times New Roman" w:hAnsi="Times New Roman" w:cs="Times New Roman"/>
          <w:b/>
          <w:sz w:val="24"/>
          <w:szCs w:val="24"/>
        </w:rPr>
        <w:t xml:space="preserve"> and 49-mer</w:t>
      </w:r>
      <w:r w:rsidRPr="00C35B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03702" w:rsidRPr="00C35B60">
        <w:rPr>
          <w:rFonts w:ascii="Times New Roman" w:hAnsi="Times New Roman" w:cs="Times New Roman"/>
          <w:b/>
          <w:sz w:val="24"/>
          <w:szCs w:val="24"/>
        </w:rPr>
        <w:t>G</w:t>
      </w:r>
      <w:r w:rsidRPr="00C35B60">
        <w:rPr>
          <w:rFonts w:ascii="Times New Roman" w:hAnsi="Times New Roman" w:cs="Times New Roman"/>
          <w:b/>
          <w:sz w:val="24"/>
          <w:szCs w:val="24"/>
        </w:rPr>
        <w:t>lyco</w:t>
      </w:r>
      <w:proofErr w:type="spellEnd"/>
      <w:r w:rsidR="005A686D" w:rsidRPr="00C35B60">
        <w:rPr>
          <w:rFonts w:ascii="Times New Roman" w:hAnsi="Times New Roman" w:cs="Times New Roman"/>
          <w:b/>
          <w:sz w:val="24"/>
          <w:szCs w:val="24"/>
        </w:rPr>
        <w:t>) peptides</w:t>
      </w:r>
      <w:r w:rsidRPr="00C35B60">
        <w:rPr>
          <w:rFonts w:ascii="Times New Roman" w:hAnsi="Times New Roman" w:cs="Times New Roman"/>
          <w:b/>
          <w:sz w:val="24"/>
          <w:szCs w:val="24"/>
        </w:rPr>
        <w:t xml:space="preserve"> and Intermediates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6030"/>
        <w:gridCol w:w="1440"/>
        <w:gridCol w:w="1620"/>
      </w:tblGrid>
      <w:tr w:rsidR="00FC273A" w:rsidRPr="00C35B60" w:rsidTr="007F4B29">
        <w:trPr>
          <w:trHeight w:val="503"/>
        </w:trPr>
        <w:tc>
          <w:tcPr>
            <w:tcW w:w="6030" w:type="dxa"/>
          </w:tcPr>
          <w:p w:rsidR="00FC273A" w:rsidRPr="00C35B60" w:rsidRDefault="00FC273A" w:rsidP="00FC273A">
            <w:pPr>
              <w:spacing w:after="200" w:line="276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B60">
              <w:rPr>
                <w:rFonts w:ascii="Times New Roman" w:hAnsi="Times New Roman" w:cs="Times New Roman"/>
                <w:b/>
                <w:sz w:val="24"/>
                <w:szCs w:val="24"/>
              </w:rPr>
              <w:t>Apa</w:t>
            </w:r>
            <w:proofErr w:type="spellEnd"/>
            <w:r w:rsidRPr="00C35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peptide (residues)</w:t>
            </w:r>
          </w:p>
        </w:tc>
        <w:tc>
          <w:tcPr>
            <w:tcW w:w="1440" w:type="dxa"/>
          </w:tcPr>
          <w:p w:rsidR="00FC273A" w:rsidRPr="00C35B60" w:rsidRDefault="00FC273A" w:rsidP="00CB6E2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</w:p>
          <w:p w:rsidR="00FC273A" w:rsidRPr="00C35B60" w:rsidRDefault="00FC273A" w:rsidP="00CB6E2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b/>
                <w:sz w:val="24"/>
                <w:szCs w:val="24"/>
              </w:rPr>
              <w:t>theoretical</w:t>
            </w:r>
          </w:p>
        </w:tc>
        <w:tc>
          <w:tcPr>
            <w:tcW w:w="1620" w:type="dxa"/>
          </w:tcPr>
          <w:p w:rsidR="00FC273A" w:rsidRPr="00C35B60" w:rsidRDefault="00FC273A" w:rsidP="00FC273A">
            <w:pPr>
              <w:spacing w:after="200" w:line="276" w:lineRule="auto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</w:p>
          <w:p w:rsidR="00FC273A" w:rsidRPr="00C35B60" w:rsidRDefault="00FC273A" w:rsidP="00FC273A">
            <w:pPr>
              <w:spacing w:after="200"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b/>
                <w:sz w:val="24"/>
                <w:szCs w:val="24"/>
              </w:rPr>
              <w:t>found</w:t>
            </w:r>
          </w:p>
        </w:tc>
      </w:tr>
      <w:tr w:rsidR="00FC273A" w:rsidRPr="00C35B60" w:rsidTr="007F4B29">
        <w:tc>
          <w:tcPr>
            <w:tcW w:w="6030" w:type="dxa"/>
          </w:tcPr>
          <w:p w:rsidR="00FC273A" w:rsidRPr="00C35B60" w:rsidRDefault="00FC273A" w:rsidP="00FC273A">
            <w:pPr>
              <w:spacing w:after="200"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Peracetylated</w:t>
            </w:r>
            <w:proofErr w:type="spellEnd"/>
            <w:r w:rsidRPr="00C35B60">
              <w:rPr>
                <w:rFonts w:ascii="Times New Roman" w:hAnsi="Times New Roman" w:cs="Times New Roman"/>
                <w:sz w:val="24"/>
                <w:szCs w:val="24"/>
              </w:rPr>
              <w:t xml:space="preserve"> T(di-Man)PTQRTLPA (316-325)</w:t>
            </w:r>
          </w:p>
        </w:tc>
        <w:tc>
          <w:tcPr>
            <w:tcW w:w="1440" w:type="dxa"/>
          </w:tcPr>
          <w:p w:rsidR="00FC273A" w:rsidRPr="00C35B60" w:rsidRDefault="00FC273A" w:rsidP="00FC273A">
            <w:pPr>
              <w:spacing w:after="20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 xml:space="preserve">1920.65 </w:t>
            </w:r>
          </w:p>
        </w:tc>
        <w:tc>
          <w:tcPr>
            <w:tcW w:w="1620" w:type="dxa"/>
          </w:tcPr>
          <w:p w:rsidR="00FC273A" w:rsidRPr="00C35B60" w:rsidRDefault="00FC273A" w:rsidP="00FC273A">
            <w:pPr>
              <w:spacing w:after="20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1920.85</w:t>
            </w:r>
          </w:p>
        </w:tc>
      </w:tr>
      <w:tr w:rsidR="00FC273A" w:rsidRPr="00C35B60" w:rsidTr="007F4B29">
        <w:tc>
          <w:tcPr>
            <w:tcW w:w="6030" w:type="dxa"/>
          </w:tcPr>
          <w:p w:rsidR="00FC273A" w:rsidRPr="00C35B60" w:rsidRDefault="00FC273A" w:rsidP="00FC273A">
            <w:pPr>
              <w:spacing w:after="200"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Peracetylated TT(di-Man)PTQRTLPA (315-325)</w:t>
            </w:r>
          </w:p>
        </w:tc>
        <w:tc>
          <w:tcPr>
            <w:tcW w:w="1440" w:type="dxa"/>
          </w:tcPr>
          <w:p w:rsidR="00FC273A" w:rsidRPr="00C35B60" w:rsidRDefault="00FC273A" w:rsidP="00FC273A">
            <w:pPr>
              <w:spacing w:after="20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 xml:space="preserve">2021.69 </w:t>
            </w:r>
          </w:p>
        </w:tc>
        <w:tc>
          <w:tcPr>
            <w:tcW w:w="1620" w:type="dxa"/>
          </w:tcPr>
          <w:p w:rsidR="00FC273A" w:rsidRPr="00C35B60" w:rsidRDefault="00FC273A" w:rsidP="00FC273A">
            <w:pPr>
              <w:spacing w:after="20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2021.91</w:t>
            </w:r>
          </w:p>
        </w:tc>
      </w:tr>
      <w:tr w:rsidR="00FC273A" w:rsidRPr="00C35B60" w:rsidTr="007F4B29">
        <w:tc>
          <w:tcPr>
            <w:tcW w:w="6030" w:type="dxa"/>
          </w:tcPr>
          <w:p w:rsidR="00FC273A" w:rsidRPr="00C35B60" w:rsidRDefault="00FC273A" w:rsidP="00FC273A">
            <w:pPr>
              <w:spacing w:after="200"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Peracetylated PTPTT(di-Man)PTQRTLPA (312-325)</w:t>
            </w:r>
          </w:p>
        </w:tc>
        <w:tc>
          <w:tcPr>
            <w:tcW w:w="1440" w:type="dxa"/>
          </w:tcPr>
          <w:p w:rsidR="00FC273A" w:rsidRPr="00C35B60" w:rsidRDefault="00FC273A" w:rsidP="00FC273A">
            <w:pPr>
              <w:spacing w:after="20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 xml:space="preserve">2318.18 </w:t>
            </w:r>
          </w:p>
        </w:tc>
        <w:tc>
          <w:tcPr>
            <w:tcW w:w="1620" w:type="dxa"/>
          </w:tcPr>
          <w:p w:rsidR="00FC273A" w:rsidRPr="00C35B60" w:rsidRDefault="00FC273A" w:rsidP="00FC273A">
            <w:pPr>
              <w:spacing w:after="20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2317.93</w:t>
            </w:r>
          </w:p>
        </w:tc>
      </w:tr>
      <w:tr w:rsidR="00FC273A" w:rsidRPr="00C35B60" w:rsidTr="007F4B29">
        <w:tc>
          <w:tcPr>
            <w:tcW w:w="6030" w:type="dxa"/>
          </w:tcPr>
          <w:p w:rsidR="00FC273A" w:rsidRPr="002A6A72" w:rsidRDefault="00FC273A" w:rsidP="00FC273A">
            <w:pPr>
              <w:spacing w:after="200" w:line="276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Glycosylated 45-mer (281-325)</w:t>
            </w:r>
          </w:p>
        </w:tc>
        <w:tc>
          <w:tcPr>
            <w:tcW w:w="1440" w:type="dxa"/>
          </w:tcPr>
          <w:p w:rsidR="00FC273A" w:rsidRPr="002A6A72" w:rsidRDefault="00FC273A" w:rsidP="00FC273A">
            <w:pPr>
              <w:spacing w:after="200" w:line="276" w:lineRule="auto"/>
              <w:ind w:left="4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4693.33 </w:t>
            </w:r>
          </w:p>
        </w:tc>
        <w:tc>
          <w:tcPr>
            <w:tcW w:w="1620" w:type="dxa"/>
          </w:tcPr>
          <w:p w:rsidR="00FC273A" w:rsidRPr="002A6A72" w:rsidRDefault="00FC273A" w:rsidP="00FC273A">
            <w:pPr>
              <w:spacing w:after="200" w:line="276" w:lineRule="auto"/>
              <w:ind w:left="4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4693.34</w:t>
            </w:r>
          </w:p>
        </w:tc>
      </w:tr>
      <w:tr w:rsidR="00FC273A" w:rsidRPr="00C35B60" w:rsidTr="007F4B29">
        <w:tc>
          <w:tcPr>
            <w:tcW w:w="6030" w:type="dxa"/>
          </w:tcPr>
          <w:p w:rsidR="00FC273A" w:rsidRPr="002A6A72" w:rsidRDefault="00FC273A" w:rsidP="00FC273A">
            <w:pPr>
              <w:spacing w:after="200" w:line="276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Non-glycosylated 45-mer (281-325)</w:t>
            </w:r>
          </w:p>
        </w:tc>
        <w:tc>
          <w:tcPr>
            <w:tcW w:w="1440" w:type="dxa"/>
          </w:tcPr>
          <w:p w:rsidR="00FC273A" w:rsidRPr="002A6A72" w:rsidRDefault="00FC273A" w:rsidP="00FC273A">
            <w:pPr>
              <w:spacing w:after="200" w:line="276" w:lineRule="auto"/>
              <w:ind w:left="4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4366.33</w:t>
            </w:r>
          </w:p>
        </w:tc>
        <w:tc>
          <w:tcPr>
            <w:tcW w:w="1620" w:type="dxa"/>
          </w:tcPr>
          <w:p w:rsidR="00FC273A" w:rsidRPr="002A6A72" w:rsidRDefault="00FC273A" w:rsidP="00FC273A">
            <w:pPr>
              <w:spacing w:after="200" w:line="276" w:lineRule="auto"/>
              <w:ind w:left="4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4366.51</w:t>
            </w:r>
          </w:p>
        </w:tc>
      </w:tr>
      <w:tr w:rsidR="00DB2DFE" w:rsidRPr="00C35B60" w:rsidTr="007F4B29">
        <w:tc>
          <w:tcPr>
            <w:tcW w:w="6030" w:type="dxa"/>
          </w:tcPr>
          <w:p w:rsidR="00DB2DFE" w:rsidRPr="00C35B60" w:rsidRDefault="00DB2DFE" w:rsidP="00FC273A">
            <w:p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Glycosylated 49-mer GT(di</w:t>
            </w:r>
            <w:r w:rsidR="00B91D32" w:rsidRPr="00C35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03D0" w:rsidRPr="00C35B60">
              <w:rPr>
                <w:rFonts w:ascii="Times New Roman" w:hAnsi="Times New Roman" w:cs="Times New Roman"/>
                <w:sz w:val="24"/>
                <w:szCs w:val="24"/>
              </w:rPr>
              <w:t>Man)GG(281-325)</w:t>
            </w:r>
          </w:p>
        </w:tc>
        <w:tc>
          <w:tcPr>
            <w:tcW w:w="1440" w:type="dxa"/>
          </w:tcPr>
          <w:p w:rsidR="00DB2DFE" w:rsidRPr="00C35B60" w:rsidRDefault="00297A12" w:rsidP="00FC273A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4962.55</w:t>
            </w:r>
          </w:p>
        </w:tc>
        <w:tc>
          <w:tcPr>
            <w:tcW w:w="1620" w:type="dxa"/>
          </w:tcPr>
          <w:p w:rsidR="00DB2DFE" w:rsidRPr="00C35B60" w:rsidRDefault="00297A12" w:rsidP="00FC273A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4962.56</w:t>
            </w:r>
          </w:p>
        </w:tc>
      </w:tr>
      <w:tr w:rsidR="00DB2DFE" w:rsidRPr="00C35B60" w:rsidTr="007F4B29">
        <w:tc>
          <w:tcPr>
            <w:tcW w:w="6030" w:type="dxa"/>
          </w:tcPr>
          <w:p w:rsidR="00DB2DFE" w:rsidRPr="00C35B60" w:rsidRDefault="00DB2DFE" w:rsidP="00FC273A">
            <w:p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r w:rsidR="00B91D32" w:rsidRPr="00C35B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lycosylated 49-mer GT</w:t>
            </w:r>
            <w:r w:rsidR="001403D0" w:rsidRPr="00C35B60">
              <w:rPr>
                <w:rFonts w:ascii="Times New Roman" w:hAnsi="Times New Roman" w:cs="Times New Roman"/>
                <w:sz w:val="24"/>
                <w:szCs w:val="24"/>
              </w:rPr>
              <w:t>GG(281-325)</w:t>
            </w:r>
          </w:p>
        </w:tc>
        <w:tc>
          <w:tcPr>
            <w:tcW w:w="1440" w:type="dxa"/>
          </w:tcPr>
          <w:p w:rsidR="00DB2DFE" w:rsidRPr="00C35B60" w:rsidRDefault="00297A12" w:rsidP="00FC273A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4638.44</w:t>
            </w:r>
          </w:p>
        </w:tc>
        <w:tc>
          <w:tcPr>
            <w:tcW w:w="1620" w:type="dxa"/>
          </w:tcPr>
          <w:p w:rsidR="00DB2DFE" w:rsidRPr="00C35B60" w:rsidRDefault="00297A12" w:rsidP="00FC273A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0">
              <w:rPr>
                <w:rFonts w:ascii="Times New Roman" w:hAnsi="Times New Roman" w:cs="Times New Roman"/>
                <w:sz w:val="24"/>
                <w:szCs w:val="24"/>
              </w:rPr>
              <w:t>4638.58</w:t>
            </w:r>
          </w:p>
        </w:tc>
      </w:tr>
    </w:tbl>
    <w:p w:rsidR="0067532C" w:rsidRPr="00C35B60" w:rsidRDefault="0067532C" w:rsidP="00EE35E2">
      <w:pPr>
        <w:spacing w:line="480" w:lineRule="auto"/>
        <w:ind w:left="432" w:right="432"/>
        <w:rPr>
          <w:rFonts w:ascii="Times New Roman" w:hAnsi="Times New Roman" w:cs="Times New Roman"/>
          <w:sz w:val="24"/>
          <w:szCs w:val="24"/>
        </w:rPr>
      </w:pPr>
    </w:p>
    <w:sectPr w:rsidR="0067532C" w:rsidRPr="00C35B60" w:rsidSect="00B5504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D9D"/>
    <w:multiLevelType w:val="hybridMultilevel"/>
    <w:tmpl w:val="AFBE8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55"/>
    <w:rsid w:val="0001198D"/>
    <w:rsid w:val="0002280B"/>
    <w:rsid w:val="000236FB"/>
    <w:rsid w:val="00037CAA"/>
    <w:rsid w:val="0004395F"/>
    <w:rsid w:val="00050807"/>
    <w:rsid w:val="0005125E"/>
    <w:rsid w:val="00060008"/>
    <w:rsid w:val="0006784F"/>
    <w:rsid w:val="000A02E5"/>
    <w:rsid w:val="000A308C"/>
    <w:rsid w:val="000C1606"/>
    <w:rsid w:val="000C2050"/>
    <w:rsid w:val="000D249F"/>
    <w:rsid w:val="000E12DC"/>
    <w:rsid w:val="000F08CA"/>
    <w:rsid w:val="000F0B77"/>
    <w:rsid w:val="000F1D05"/>
    <w:rsid w:val="0010632C"/>
    <w:rsid w:val="0012038A"/>
    <w:rsid w:val="00126A50"/>
    <w:rsid w:val="001345B3"/>
    <w:rsid w:val="00136411"/>
    <w:rsid w:val="001403D0"/>
    <w:rsid w:val="00147359"/>
    <w:rsid w:val="001601D9"/>
    <w:rsid w:val="0016023B"/>
    <w:rsid w:val="001610D6"/>
    <w:rsid w:val="001705B7"/>
    <w:rsid w:val="0017645A"/>
    <w:rsid w:val="00181584"/>
    <w:rsid w:val="0018466A"/>
    <w:rsid w:val="00186FD8"/>
    <w:rsid w:val="001959BE"/>
    <w:rsid w:val="001B2D57"/>
    <w:rsid w:val="001D432B"/>
    <w:rsid w:val="001E3569"/>
    <w:rsid w:val="001E3A07"/>
    <w:rsid w:val="001F0D88"/>
    <w:rsid w:val="00202B27"/>
    <w:rsid w:val="0022300A"/>
    <w:rsid w:val="0022771D"/>
    <w:rsid w:val="00245588"/>
    <w:rsid w:val="0024733F"/>
    <w:rsid w:val="002665AA"/>
    <w:rsid w:val="002708D2"/>
    <w:rsid w:val="002728FA"/>
    <w:rsid w:val="00277ED4"/>
    <w:rsid w:val="00280ECC"/>
    <w:rsid w:val="00290587"/>
    <w:rsid w:val="0029373C"/>
    <w:rsid w:val="002959EB"/>
    <w:rsid w:val="00297A12"/>
    <w:rsid w:val="00297E12"/>
    <w:rsid w:val="002A2C6B"/>
    <w:rsid w:val="002A6A72"/>
    <w:rsid w:val="002C0C83"/>
    <w:rsid w:val="002E324D"/>
    <w:rsid w:val="002F2B13"/>
    <w:rsid w:val="002F5FAB"/>
    <w:rsid w:val="0030040F"/>
    <w:rsid w:val="00306796"/>
    <w:rsid w:val="00310964"/>
    <w:rsid w:val="00311D99"/>
    <w:rsid w:val="00326B55"/>
    <w:rsid w:val="00326EF7"/>
    <w:rsid w:val="00333A52"/>
    <w:rsid w:val="00335F3F"/>
    <w:rsid w:val="00336E6E"/>
    <w:rsid w:val="00344966"/>
    <w:rsid w:val="00344D09"/>
    <w:rsid w:val="00361F5F"/>
    <w:rsid w:val="00370780"/>
    <w:rsid w:val="00373F87"/>
    <w:rsid w:val="00374B75"/>
    <w:rsid w:val="0039639D"/>
    <w:rsid w:val="0039683F"/>
    <w:rsid w:val="003A0ED9"/>
    <w:rsid w:val="003A13F3"/>
    <w:rsid w:val="003C406D"/>
    <w:rsid w:val="003C5429"/>
    <w:rsid w:val="003E5775"/>
    <w:rsid w:val="003F192D"/>
    <w:rsid w:val="003F207F"/>
    <w:rsid w:val="003F2F09"/>
    <w:rsid w:val="0041067D"/>
    <w:rsid w:val="00415AF3"/>
    <w:rsid w:val="004219EE"/>
    <w:rsid w:val="00437246"/>
    <w:rsid w:val="004504AD"/>
    <w:rsid w:val="00450832"/>
    <w:rsid w:val="00451FBE"/>
    <w:rsid w:val="00457B49"/>
    <w:rsid w:val="004669D9"/>
    <w:rsid w:val="0047286F"/>
    <w:rsid w:val="0048700F"/>
    <w:rsid w:val="00491731"/>
    <w:rsid w:val="00494E11"/>
    <w:rsid w:val="004B3033"/>
    <w:rsid w:val="004C7F46"/>
    <w:rsid w:val="004D5912"/>
    <w:rsid w:val="004E4926"/>
    <w:rsid w:val="004E7104"/>
    <w:rsid w:val="005047F3"/>
    <w:rsid w:val="00510471"/>
    <w:rsid w:val="005201D4"/>
    <w:rsid w:val="00530689"/>
    <w:rsid w:val="00532B77"/>
    <w:rsid w:val="00545292"/>
    <w:rsid w:val="005476E0"/>
    <w:rsid w:val="005666DD"/>
    <w:rsid w:val="0056680E"/>
    <w:rsid w:val="00574279"/>
    <w:rsid w:val="005746C8"/>
    <w:rsid w:val="005903A4"/>
    <w:rsid w:val="00593A47"/>
    <w:rsid w:val="00593E88"/>
    <w:rsid w:val="005A4625"/>
    <w:rsid w:val="005A686D"/>
    <w:rsid w:val="005A74CF"/>
    <w:rsid w:val="005B3DA8"/>
    <w:rsid w:val="005C64B6"/>
    <w:rsid w:val="00603A3E"/>
    <w:rsid w:val="00631FB2"/>
    <w:rsid w:val="0065457D"/>
    <w:rsid w:val="006570CF"/>
    <w:rsid w:val="00660F18"/>
    <w:rsid w:val="00662EC1"/>
    <w:rsid w:val="00671861"/>
    <w:rsid w:val="0067532C"/>
    <w:rsid w:val="00686AAB"/>
    <w:rsid w:val="00695FB7"/>
    <w:rsid w:val="006969C7"/>
    <w:rsid w:val="00697943"/>
    <w:rsid w:val="006A3A2B"/>
    <w:rsid w:val="006B06B7"/>
    <w:rsid w:val="006B1113"/>
    <w:rsid w:val="006B167C"/>
    <w:rsid w:val="006B2450"/>
    <w:rsid w:val="006B33A9"/>
    <w:rsid w:val="006B40E3"/>
    <w:rsid w:val="006B4113"/>
    <w:rsid w:val="006C05AA"/>
    <w:rsid w:val="006C558A"/>
    <w:rsid w:val="006D6EA5"/>
    <w:rsid w:val="006D7C9A"/>
    <w:rsid w:val="006E7223"/>
    <w:rsid w:val="00700A55"/>
    <w:rsid w:val="00750A38"/>
    <w:rsid w:val="00751660"/>
    <w:rsid w:val="0075174A"/>
    <w:rsid w:val="0075515A"/>
    <w:rsid w:val="0076337F"/>
    <w:rsid w:val="00766FCB"/>
    <w:rsid w:val="00775C3E"/>
    <w:rsid w:val="00784583"/>
    <w:rsid w:val="00786C8A"/>
    <w:rsid w:val="00787095"/>
    <w:rsid w:val="007926BE"/>
    <w:rsid w:val="007A124C"/>
    <w:rsid w:val="007A3469"/>
    <w:rsid w:val="007B5679"/>
    <w:rsid w:val="007B5EBC"/>
    <w:rsid w:val="007D2CC8"/>
    <w:rsid w:val="007D74EF"/>
    <w:rsid w:val="007E2F08"/>
    <w:rsid w:val="007E4957"/>
    <w:rsid w:val="007F28A7"/>
    <w:rsid w:val="007F4B29"/>
    <w:rsid w:val="008072B6"/>
    <w:rsid w:val="00812C67"/>
    <w:rsid w:val="008170D5"/>
    <w:rsid w:val="0086048E"/>
    <w:rsid w:val="008639F6"/>
    <w:rsid w:val="008729FF"/>
    <w:rsid w:val="00892CD1"/>
    <w:rsid w:val="008A0E33"/>
    <w:rsid w:val="008B7A14"/>
    <w:rsid w:val="008B7E76"/>
    <w:rsid w:val="008C4CEF"/>
    <w:rsid w:val="008C5C3B"/>
    <w:rsid w:val="008D585C"/>
    <w:rsid w:val="008E257E"/>
    <w:rsid w:val="008E4360"/>
    <w:rsid w:val="008F00AC"/>
    <w:rsid w:val="008F31F4"/>
    <w:rsid w:val="008F33D6"/>
    <w:rsid w:val="00934B7D"/>
    <w:rsid w:val="00947063"/>
    <w:rsid w:val="00953911"/>
    <w:rsid w:val="00963E39"/>
    <w:rsid w:val="00973000"/>
    <w:rsid w:val="00987BF5"/>
    <w:rsid w:val="00991EA6"/>
    <w:rsid w:val="009B0A3C"/>
    <w:rsid w:val="009B270A"/>
    <w:rsid w:val="009B6561"/>
    <w:rsid w:val="009B7031"/>
    <w:rsid w:val="009C0524"/>
    <w:rsid w:val="009C554C"/>
    <w:rsid w:val="009C6936"/>
    <w:rsid w:val="009D486B"/>
    <w:rsid w:val="009E6C9D"/>
    <w:rsid w:val="009F1B15"/>
    <w:rsid w:val="009F1B86"/>
    <w:rsid w:val="009F28C6"/>
    <w:rsid w:val="00A2021A"/>
    <w:rsid w:val="00A541B3"/>
    <w:rsid w:val="00A546E4"/>
    <w:rsid w:val="00A76BC7"/>
    <w:rsid w:val="00A81584"/>
    <w:rsid w:val="00A95250"/>
    <w:rsid w:val="00AA0FD9"/>
    <w:rsid w:val="00AA2119"/>
    <w:rsid w:val="00AA6CC3"/>
    <w:rsid w:val="00AA763B"/>
    <w:rsid w:val="00AA76C4"/>
    <w:rsid w:val="00AB4DCB"/>
    <w:rsid w:val="00AC4447"/>
    <w:rsid w:val="00AC6881"/>
    <w:rsid w:val="00AC7188"/>
    <w:rsid w:val="00AD144B"/>
    <w:rsid w:val="00AD6B37"/>
    <w:rsid w:val="00AD7197"/>
    <w:rsid w:val="00AE46AD"/>
    <w:rsid w:val="00AE640F"/>
    <w:rsid w:val="00AE7B6E"/>
    <w:rsid w:val="00AF6160"/>
    <w:rsid w:val="00AF65CD"/>
    <w:rsid w:val="00B00080"/>
    <w:rsid w:val="00B10133"/>
    <w:rsid w:val="00B12522"/>
    <w:rsid w:val="00B1524E"/>
    <w:rsid w:val="00B25526"/>
    <w:rsid w:val="00B34017"/>
    <w:rsid w:val="00B52EE3"/>
    <w:rsid w:val="00B5504A"/>
    <w:rsid w:val="00B56A59"/>
    <w:rsid w:val="00B61C95"/>
    <w:rsid w:val="00B61D05"/>
    <w:rsid w:val="00B639E2"/>
    <w:rsid w:val="00B64682"/>
    <w:rsid w:val="00B6661D"/>
    <w:rsid w:val="00B70ECC"/>
    <w:rsid w:val="00B91D32"/>
    <w:rsid w:val="00BA4FE2"/>
    <w:rsid w:val="00BA7A4A"/>
    <w:rsid w:val="00BC41DA"/>
    <w:rsid w:val="00BC5C24"/>
    <w:rsid w:val="00BD618B"/>
    <w:rsid w:val="00BD7CF8"/>
    <w:rsid w:val="00BE4C04"/>
    <w:rsid w:val="00BF0D15"/>
    <w:rsid w:val="00C03702"/>
    <w:rsid w:val="00C04E34"/>
    <w:rsid w:val="00C20C6B"/>
    <w:rsid w:val="00C35B60"/>
    <w:rsid w:val="00C62EC8"/>
    <w:rsid w:val="00C632B5"/>
    <w:rsid w:val="00CA319D"/>
    <w:rsid w:val="00CB24F6"/>
    <w:rsid w:val="00CB2EB6"/>
    <w:rsid w:val="00CB5F0E"/>
    <w:rsid w:val="00CB6852"/>
    <w:rsid w:val="00CB6E2E"/>
    <w:rsid w:val="00CC3A31"/>
    <w:rsid w:val="00CC6D0D"/>
    <w:rsid w:val="00CE2A63"/>
    <w:rsid w:val="00CE41A4"/>
    <w:rsid w:val="00CE6274"/>
    <w:rsid w:val="00CE73A9"/>
    <w:rsid w:val="00CE7E18"/>
    <w:rsid w:val="00CF37CE"/>
    <w:rsid w:val="00CF4507"/>
    <w:rsid w:val="00D11123"/>
    <w:rsid w:val="00D30C58"/>
    <w:rsid w:val="00D31ACA"/>
    <w:rsid w:val="00D3264A"/>
    <w:rsid w:val="00D43712"/>
    <w:rsid w:val="00D50D20"/>
    <w:rsid w:val="00D6032F"/>
    <w:rsid w:val="00D70F5F"/>
    <w:rsid w:val="00D76B74"/>
    <w:rsid w:val="00D774AA"/>
    <w:rsid w:val="00D82361"/>
    <w:rsid w:val="00D83649"/>
    <w:rsid w:val="00D83F50"/>
    <w:rsid w:val="00D94232"/>
    <w:rsid w:val="00DA4672"/>
    <w:rsid w:val="00DB2DFE"/>
    <w:rsid w:val="00DB676B"/>
    <w:rsid w:val="00DE0FC9"/>
    <w:rsid w:val="00DE6781"/>
    <w:rsid w:val="00DF54C0"/>
    <w:rsid w:val="00E028F4"/>
    <w:rsid w:val="00E218F5"/>
    <w:rsid w:val="00E251E2"/>
    <w:rsid w:val="00E2592C"/>
    <w:rsid w:val="00E40E15"/>
    <w:rsid w:val="00E56E2B"/>
    <w:rsid w:val="00E77155"/>
    <w:rsid w:val="00E814D1"/>
    <w:rsid w:val="00E93BD5"/>
    <w:rsid w:val="00EA142A"/>
    <w:rsid w:val="00EB494C"/>
    <w:rsid w:val="00EB64AB"/>
    <w:rsid w:val="00EC0775"/>
    <w:rsid w:val="00EC29FE"/>
    <w:rsid w:val="00EC3D54"/>
    <w:rsid w:val="00EC43C8"/>
    <w:rsid w:val="00ED3A82"/>
    <w:rsid w:val="00EE35E2"/>
    <w:rsid w:val="00EF03A3"/>
    <w:rsid w:val="00EF2596"/>
    <w:rsid w:val="00F05AB9"/>
    <w:rsid w:val="00F072B9"/>
    <w:rsid w:val="00F1340A"/>
    <w:rsid w:val="00F24A45"/>
    <w:rsid w:val="00F37F9A"/>
    <w:rsid w:val="00F47A92"/>
    <w:rsid w:val="00F56D1C"/>
    <w:rsid w:val="00F60ED9"/>
    <w:rsid w:val="00F90700"/>
    <w:rsid w:val="00F95516"/>
    <w:rsid w:val="00F97B87"/>
    <w:rsid w:val="00FB09A4"/>
    <w:rsid w:val="00FB2E9C"/>
    <w:rsid w:val="00FC1D33"/>
    <w:rsid w:val="00FC273A"/>
    <w:rsid w:val="00FC73D9"/>
    <w:rsid w:val="00FD689C"/>
    <w:rsid w:val="00FD71A7"/>
    <w:rsid w:val="00FE1659"/>
    <w:rsid w:val="00FE487D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A82"/>
    <w:rPr>
      <w:i/>
      <w:iCs/>
    </w:rPr>
  </w:style>
  <w:style w:type="table" w:styleId="TableGrid">
    <w:name w:val="Table Grid"/>
    <w:basedOn w:val="TableNormal"/>
    <w:uiPriority w:val="59"/>
    <w:rsid w:val="00FC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F0D1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504AD"/>
  </w:style>
  <w:style w:type="paragraph" w:styleId="BalloonText">
    <w:name w:val="Balloon Text"/>
    <w:basedOn w:val="Normal"/>
    <w:link w:val="BalloonTextChar"/>
    <w:uiPriority w:val="99"/>
    <w:semiHidden/>
    <w:unhideWhenUsed/>
    <w:rsid w:val="0094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4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A82"/>
    <w:rPr>
      <w:i/>
      <w:iCs/>
    </w:rPr>
  </w:style>
  <w:style w:type="table" w:styleId="TableGrid">
    <w:name w:val="Table Grid"/>
    <w:basedOn w:val="TableNormal"/>
    <w:uiPriority w:val="59"/>
    <w:rsid w:val="00FC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F0D1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504AD"/>
  </w:style>
  <w:style w:type="paragraph" w:styleId="BalloonText">
    <w:name w:val="Balloon Text"/>
    <w:basedOn w:val="Normal"/>
    <w:link w:val="BalloonTextChar"/>
    <w:uiPriority w:val="99"/>
    <w:semiHidden/>
    <w:unhideWhenUsed/>
    <w:rsid w:val="0094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4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111C-D9CB-4045-962E-5737CD7A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Sable, Suraj (CDC/OID/NCHHSTP)</dc:creator>
  <cp:lastModifiedBy>CDC User</cp:lastModifiedBy>
  <cp:revision>11</cp:revision>
  <dcterms:created xsi:type="dcterms:W3CDTF">2013-09-10T15:21:00Z</dcterms:created>
  <dcterms:modified xsi:type="dcterms:W3CDTF">2013-09-11T18:44:00Z</dcterms:modified>
</cp:coreProperties>
</file>