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F7" w:rsidRDefault="003052F7" w:rsidP="005E3D36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41ABE">
        <w:rPr>
          <w:rFonts w:ascii="Times New Roman" w:hAnsi="Times New Roman" w:cs="Times New Roman"/>
          <w:sz w:val="24"/>
          <w:szCs w:val="24"/>
        </w:rPr>
        <w:t xml:space="preserve">Table S7. </w:t>
      </w:r>
      <w:proofErr w:type="gramStart"/>
      <w:r w:rsidRPr="00B41ABE">
        <w:rPr>
          <w:rFonts w:ascii="Times New Roman" w:hAnsi="Times New Roman" w:cs="Times New Roman"/>
          <w:sz w:val="24"/>
          <w:szCs w:val="24"/>
        </w:rPr>
        <w:t>Meningitis summary rate ratios (RR) from random-effects meta-analysis, excluding strata with zero cases in the pre-PCV introduction period</w:t>
      </w:r>
      <w:bookmarkEnd w:id="0"/>
      <w:r w:rsidRPr="00B41ABE">
        <w:rPr>
          <w:rFonts w:ascii="Times New Roman" w:hAnsi="Times New Roman" w:cs="Times New Roman"/>
          <w:sz w:val="24"/>
          <w:szCs w:val="24"/>
        </w:rPr>
        <w:t>.*</w:t>
      </w:r>
      <w:proofErr w:type="gramEnd"/>
    </w:p>
    <w:p w:rsidR="003052F7" w:rsidRPr="00524872" w:rsidRDefault="003052F7" w:rsidP="003052F7"/>
    <w:tbl>
      <w:tblPr>
        <w:tblStyle w:val="TableGrid"/>
        <w:tblW w:w="13587" w:type="dxa"/>
        <w:tblLook w:val="04A0" w:firstRow="1" w:lastRow="0" w:firstColumn="1" w:lastColumn="0" w:noHBand="0" w:noVBand="1"/>
      </w:tblPr>
      <w:tblGrid>
        <w:gridCol w:w="1448"/>
        <w:gridCol w:w="636"/>
        <w:gridCol w:w="1644"/>
        <w:gridCol w:w="1644"/>
        <w:gridCol w:w="1643"/>
        <w:gridCol w:w="1643"/>
        <w:gridCol w:w="1643"/>
        <w:gridCol w:w="1643"/>
        <w:gridCol w:w="1643"/>
      </w:tblGrid>
      <w:tr w:rsidR="003052F7" w:rsidRPr="00524872" w:rsidTr="00AC71CC">
        <w:trPr>
          <w:trHeight w:val="300"/>
        </w:trPr>
        <w:tc>
          <w:tcPr>
            <w:tcW w:w="2084" w:type="dxa"/>
            <w:gridSpan w:val="2"/>
            <w:vMerge w:val="restart"/>
            <w:noWrap/>
          </w:tcPr>
          <w:p w:rsidR="003052F7" w:rsidRPr="00524872" w:rsidRDefault="003052F7" w:rsidP="00AC71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/>
                <w:sz w:val="20"/>
                <w:szCs w:val="20"/>
              </w:rPr>
              <w:t>Year post-PCV7 introduction</w:t>
            </w:r>
          </w:p>
        </w:tc>
        <w:tc>
          <w:tcPr>
            <w:tcW w:w="1644" w:type="dxa"/>
            <w:noWrap/>
            <w:vAlign w:val="center"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44" w:type="dxa"/>
            <w:noWrap/>
            <w:vAlign w:val="center"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43" w:type="dxa"/>
            <w:noWrap/>
            <w:vAlign w:val="center"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43" w:type="dxa"/>
            <w:noWrap/>
            <w:vAlign w:val="center"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43" w:type="dxa"/>
            <w:noWrap/>
            <w:vAlign w:val="center"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43" w:type="dxa"/>
            <w:noWrap/>
            <w:vAlign w:val="center"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43" w:type="dxa"/>
            <w:noWrap/>
            <w:vAlign w:val="center"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3052F7" w:rsidRPr="00524872" w:rsidTr="00AC71CC">
        <w:trPr>
          <w:trHeight w:val="300"/>
        </w:trPr>
        <w:tc>
          <w:tcPr>
            <w:tcW w:w="2084" w:type="dxa"/>
            <w:gridSpan w:val="2"/>
            <w:vMerge/>
            <w:noWrap/>
          </w:tcPr>
          <w:p w:rsidR="003052F7" w:rsidRPr="00524872" w:rsidRDefault="003052F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noWrap/>
            <w:vAlign w:val="center"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/>
                <w:sz w:val="20"/>
                <w:szCs w:val="20"/>
              </w:rPr>
              <w:t>RR (95% CI)</w:t>
            </w:r>
          </w:p>
        </w:tc>
        <w:tc>
          <w:tcPr>
            <w:tcW w:w="1644" w:type="dxa"/>
            <w:noWrap/>
            <w:vAlign w:val="center"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/>
                <w:sz w:val="20"/>
                <w:szCs w:val="20"/>
              </w:rPr>
              <w:t>RR (95% CI)</w:t>
            </w:r>
          </w:p>
        </w:tc>
        <w:tc>
          <w:tcPr>
            <w:tcW w:w="1643" w:type="dxa"/>
            <w:noWrap/>
            <w:vAlign w:val="center"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/>
                <w:sz w:val="20"/>
                <w:szCs w:val="20"/>
              </w:rPr>
              <w:t>RR (95% CI)</w:t>
            </w:r>
          </w:p>
        </w:tc>
        <w:tc>
          <w:tcPr>
            <w:tcW w:w="1643" w:type="dxa"/>
            <w:noWrap/>
            <w:vAlign w:val="center"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/>
                <w:sz w:val="20"/>
                <w:szCs w:val="20"/>
              </w:rPr>
              <w:t>RR (95% CI)</w:t>
            </w:r>
          </w:p>
        </w:tc>
        <w:tc>
          <w:tcPr>
            <w:tcW w:w="1643" w:type="dxa"/>
            <w:noWrap/>
            <w:vAlign w:val="center"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/>
                <w:sz w:val="20"/>
                <w:szCs w:val="20"/>
              </w:rPr>
              <w:t>RR (95% CI)</w:t>
            </w:r>
          </w:p>
        </w:tc>
        <w:tc>
          <w:tcPr>
            <w:tcW w:w="1643" w:type="dxa"/>
            <w:noWrap/>
            <w:vAlign w:val="center"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/>
                <w:sz w:val="20"/>
                <w:szCs w:val="20"/>
              </w:rPr>
              <w:t>RR (95% CI)</w:t>
            </w:r>
          </w:p>
        </w:tc>
        <w:tc>
          <w:tcPr>
            <w:tcW w:w="1643" w:type="dxa"/>
            <w:noWrap/>
            <w:vAlign w:val="center"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/>
                <w:sz w:val="20"/>
                <w:szCs w:val="20"/>
              </w:rPr>
              <w:t>RR (95% CI)</w:t>
            </w:r>
          </w:p>
        </w:tc>
      </w:tr>
      <w:tr w:rsidR="003052F7" w:rsidRPr="00524872" w:rsidTr="00AC71CC">
        <w:trPr>
          <w:trHeight w:val="300"/>
        </w:trPr>
        <w:tc>
          <w:tcPr>
            <w:tcW w:w="2084" w:type="dxa"/>
            <w:gridSpan w:val="2"/>
            <w:tcBorders>
              <w:bottom w:val="single" w:sz="4" w:space="0" w:color="auto"/>
            </w:tcBorders>
            <w:noWrap/>
          </w:tcPr>
          <w:p w:rsidR="003052F7" w:rsidRPr="00524872" w:rsidRDefault="003052F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/>
                <w:sz w:val="20"/>
                <w:szCs w:val="20"/>
              </w:rPr>
              <w:t>No. of sites</w:t>
            </w:r>
          </w:p>
        </w:tc>
        <w:tc>
          <w:tcPr>
            <w:tcW w:w="1644" w:type="dxa"/>
            <w:noWrap/>
            <w:vAlign w:val="center"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44" w:type="dxa"/>
            <w:noWrap/>
            <w:vAlign w:val="center"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43" w:type="dxa"/>
            <w:noWrap/>
            <w:vAlign w:val="center"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43" w:type="dxa"/>
            <w:noWrap/>
            <w:vAlign w:val="center"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3" w:type="dxa"/>
            <w:noWrap/>
            <w:vAlign w:val="center"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3" w:type="dxa"/>
            <w:noWrap/>
            <w:vAlign w:val="center"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3" w:type="dxa"/>
            <w:noWrap/>
            <w:vAlign w:val="center"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052F7" w:rsidRPr="00524872" w:rsidTr="00AC71CC">
        <w:trPr>
          <w:trHeight w:val="300"/>
        </w:trPr>
        <w:tc>
          <w:tcPr>
            <w:tcW w:w="1448" w:type="dxa"/>
            <w:tcBorders>
              <w:right w:val="single" w:sz="4" w:space="0" w:color="auto"/>
            </w:tcBorders>
            <w:noWrap/>
            <w:hideMark/>
          </w:tcPr>
          <w:p w:rsidR="003052F7" w:rsidRPr="00524872" w:rsidRDefault="003052F7" w:rsidP="00AC71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/>
                <w:sz w:val="20"/>
                <w:szCs w:val="20"/>
              </w:rPr>
              <w:t>Children &lt;5y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noWrap/>
            <w:hideMark/>
          </w:tcPr>
          <w:p w:rsidR="003052F7" w:rsidRPr="00524872" w:rsidRDefault="003052F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VT</w:t>
            </w:r>
          </w:p>
        </w:tc>
        <w:tc>
          <w:tcPr>
            <w:tcW w:w="1644" w:type="dxa"/>
            <w:noWrap/>
            <w:vAlign w:val="center"/>
            <w:hideMark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0.59 (</w:t>
            </w: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0.49-0.71)</w:t>
            </w:r>
          </w:p>
        </w:tc>
        <w:tc>
          <w:tcPr>
            <w:tcW w:w="1644" w:type="dxa"/>
            <w:noWrap/>
            <w:vAlign w:val="center"/>
            <w:hideMark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0.23 (</w:t>
            </w: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0.14-0.38)</w:t>
            </w:r>
          </w:p>
        </w:tc>
        <w:tc>
          <w:tcPr>
            <w:tcW w:w="1643" w:type="dxa"/>
            <w:noWrap/>
            <w:vAlign w:val="center"/>
            <w:hideMark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0.19 (</w:t>
            </w: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0.12-0.29)</w:t>
            </w:r>
          </w:p>
        </w:tc>
        <w:tc>
          <w:tcPr>
            <w:tcW w:w="1643" w:type="dxa"/>
            <w:noWrap/>
            <w:vAlign w:val="center"/>
            <w:hideMark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0.25 (</w:t>
            </w: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0.12-0.50)</w:t>
            </w:r>
          </w:p>
        </w:tc>
        <w:tc>
          <w:tcPr>
            <w:tcW w:w="1643" w:type="dxa"/>
            <w:noWrap/>
            <w:vAlign w:val="center"/>
            <w:hideMark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0.10 (</w:t>
            </w: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0.06-0.18)</w:t>
            </w:r>
          </w:p>
        </w:tc>
        <w:tc>
          <w:tcPr>
            <w:tcW w:w="1643" w:type="dxa"/>
            <w:noWrap/>
            <w:vAlign w:val="center"/>
            <w:hideMark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0.04 (</w:t>
            </w: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0.02-0.11)</w:t>
            </w:r>
          </w:p>
        </w:tc>
        <w:tc>
          <w:tcPr>
            <w:tcW w:w="1643" w:type="dxa"/>
            <w:noWrap/>
            <w:vAlign w:val="center"/>
            <w:hideMark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0.07 (</w:t>
            </w: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0.02-0.23)</w:t>
            </w:r>
          </w:p>
        </w:tc>
      </w:tr>
      <w:tr w:rsidR="003052F7" w:rsidRPr="00524872" w:rsidTr="00AC71CC">
        <w:trPr>
          <w:trHeight w:val="300"/>
        </w:trPr>
        <w:tc>
          <w:tcPr>
            <w:tcW w:w="1448" w:type="dxa"/>
            <w:tcBorders>
              <w:right w:val="single" w:sz="4" w:space="0" w:color="auto"/>
            </w:tcBorders>
            <w:noWrap/>
          </w:tcPr>
          <w:p w:rsidR="003052F7" w:rsidRPr="00524872" w:rsidRDefault="003052F7" w:rsidP="00AC71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noWrap/>
            <w:hideMark/>
          </w:tcPr>
          <w:p w:rsidR="003052F7" w:rsidRPr="00524872" w:rsidRDefault="003052F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NVT</w:t>
            </w:r>
          </w:p>
        </w:tc>
        <w:tc>
          <w:tcPr>
            <w:tcW w:w="1644" w:type="dxa"/>
            <w:noWrap/>
            <w:vAlign w:val="center"/>
            <w:hideMark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1.53 (</w:t>
            </w: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1.19-1.96)</w:t>
            </w:r>
          </w:p>
        </w:tc>
        <w:tc>
          <w:tcPr>
            <w:tcW w:w="1644" w:type="dxa"/>
            <w:noWrap/>
            <w:vAlign w:val="center"/>
            <w:hideMark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1.58 (</w:t>
            </w: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1.21-2.07)</w:t>
            </w:r>
          </w:p>
        </w:tc>
        <w:tc>
          <w:tcPr>
            <w:tcW w:w="1643" w:type="dxa"/>
            <w:noWrap/>
            <w:vAlign w:val="center"/>
            <w:hideMark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1.95 (</w:t>
            </w: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1.48-2.58)</w:t>
            </w:r>
          </w:p>
        </w:tc>
        <w:tc>
          <w:tcPr>
            <w:tcW w:w="1643" w:type="dxa"/>
            <w:noWrap/>
            <w:vAlign w:val="center"/>
            <w:hideMark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2.16 (</w:t>
            </w: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1.50-3.09)</w:t>
            </w:r>
          </w:p>
        </w:tc>
        <w:tc>
          <w:tcPr>
            <w:tcW w:w="1643" w:type="dxa"/>
            <w:noWrap/>
            <w:vAlign w:val="center"/>
            <w:hideMark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2.40 (</w:t>
            </w: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1.63-3.54)</w:t>
            </w:r>
          </w:p>
        </w:tc>
        <w:tc>
          <w:tcPr>
            <w:tcW w:w="1643" w:type="dxa"/>
            <w:noWrap/>
            <w:vAlign w:val="center"/>
            <w:hideMark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2.65 (</w:t>
            </w: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1.82-3.86)</w:t>
            </w:r>
          </w:p>
        </w:tc>
        <w:tc>
          <w:tcPr>
            <w:tcW w:w="1643" w:type="dxa"/>
            <w:noWrap/>
            <w:vAlign w:val="center"/>
            <w:hideMark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2.14 (</w:t>
            </w: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1.03-4.44)</w:t>
            </w:r>
          </w:p>
        </w:tc>
      </w:tr>
      <w:tr w:rsidR="003052F7" w:rsidRPr="00524872" w:rsidTr="00AC71CC">
        <w:trPr>
          <w:trHeight w:val="300"/>
        </w:trPr>
        <w:tc>
          <w:tcPr>
            <w:tcW w:w="1448" w:type="dxa"/>
            <w:tcBorders>
              <w:right w:val="single" w:sz="4" w:space="0" w:color="auto"/>
            </w:tcBorders>
            <w:noWrap/>
          </w:tcPr>
          <w:p w:rsidR="003052F7" w:rsidRPr="00524872" w:rsidRDefault="003052F7" w:rsidP="00AC71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noWrap/>
            <w:hideMark/>
          </w:tcPr>
          <w:p w:rsidR="003052F7" w:rsidRPr="00524872" w:rsidRDefault="003052F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</w:tc>
        <w:tc>
          <w:tcPr>
            <w:tcW w:w="1644" w:type="dxa"/>
            <w:noWrap/>
            <w:vAlign w:val="center"/>
            <w:hideMark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0.81 (</w:t>
            </w: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0.69-0.94)</w:t>
            </w:r>
          </w:p>
        </w:tc>
        <w:tc>
          <w:tcPr>
            <w:tcW w:w="1644" w:type="dxa"/>
            <w:noWrap/>
            <w:vAlign w:val="center"/>
            <w:hideMark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0.58 (</w:t>
            </w: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0.49-0.69)</w:t>
            </w:r>
          </w:p>
        </w:tc>
        <w:tc>
          <w:tcPr>
            <w:tcW w:w="1643" w:type="dxa"/>
            <w:noWrap/>
            <w:vAlign w:val="center"/>
            <w:hideMark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0.53 (</w:t>
            </w: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0.40-0.69)</w:t>
            </w:r>
          </w:p>
        </w:tc>
        <w:tc>
          <w:tcPr>
            <w:tcW w:w="1643" w:type="dxa"/>
            <w:noWrap/>
            <w:vAlign w:val="center"/>
            <w:hideMark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0.50 (</w:t>
            </w: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0.30-0.86)</w:t>
            </w:r>
          </w:p>
        </w:tc>
        <w:tc>
          <w:tcPr>
            <w:tcW w:w="1643" w:type="dxa"/>
            <w:noWrap/>
            <w:vAlign w:val="center"/>
            <w:hideMark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0.49 (</w:t>
            </w: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0.29-0.82)</w:t>
            </w:r>
          </w:p>
        </w:tc>
        <w:tc>
          <w:tcPr>
            <w:tcW w:w="1643" w:type="dxa"/>
            <w:noWrap/>
            <w:vAlign w:val="center"/>
            <w:hideMark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0.46 (</w:t>
            </w: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0.23-0.92)</w:t>
            </w:r>
          </w:p>
        </w:tc>
        <w:tc>
          <w:tcPr>
            <w:tcW w:w="1643" w:type="dxa"/>
            <w:noWrap/>
            <w:vAlign w:val="center"/>
            <w:hideMark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0.38 (</w:t>
            </w: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0.23-0.62)</w:t>
            </w:r>
          </w:p>
        </w:tc>
      </w:tr>
      <w:tr w:rsidR="003052F7" w:rsidRPr="00524872" w:rsidTr="00AC71CC">
        <w:trPr>
          <w:trHeight w:val="300"/>
        </w:trPr>
        <w:tc>
          <w:tcPr>
            <w:tcW w:w="2084" w:type="dxa"/>
            <w:gridSpan w:val="2"/>
            <w:tcBorders>
              <w:bottom w:val="single" w:sz="4" w:space="0" w:color="auto"/>
            </w:tcBorders>
            <w:noWrap/>
          </w:tcPr>
          <w:p w:rsidR="003052F7" w:rsidRPr="00524872" w:rsidRDefault="003052F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/>
                <w:sz w:val="20"/>
                <w:szCs w:val="20"/>
              </w:rPr>
              <w:t>No. of sites</w:t>
            </w:r>
          </w:p>
        </w:tc>
        <w:tc>
          <w:tcPr>
            <w:tcW w:w="1644" w:type="dxa"/>
            <w:noWrap/>
            <w:vAlign w:val="center"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644" w:type="dxa"/>
            <w:noWrap/>
            <w:vAlign w:val="center"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643" w:type="dxa"/>
            <w:noWrap/>
            <w:vAlign w:val="center"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643" w:type="dxa"/>
            <w:noWrap/>
            <w:vAlign w:val="center"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643" w:type="dxa"/>
            <w:noWrap/>
            <w:vAlign w:val="center"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43" w:type="dxa"/>
            <w:noWrap/>
            <w:vAlign w:val="center"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43" w:type="dxa"/>
            <w:noWrap/>
            <w:vAlign w:val="center"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3052F7" w:rsidRPr="00524872" w:rsidTr="00AC71CC">
        <w:trPr>
          <w:trHeight w:val="300"/>
        </w:trPr>
        <w:tc>
          <w:tcPr>
            <w:tcW w:w="1448" w:type="dxa"/>
            <w:tcBorders>
              <w:right w:val="single" w:sz="4" w:space="0" w:color="auto"/>
            </w:tcBorders>
            <w:noWrap/>
            <w:hideMark/>
          </w:tcPr>
          <w:p w:rsidR="003052F7" w:rsidRPr="00524872" w:rsidRDefault="003052F7" w:rsidP="00AC71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/>
                <w:sz w:val="20"/>
                <w:szCs w:val="20"/>
              </w:rPr>
              <w:t>Adults 50-64y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noWrap/>
            <w:hideMark/>
          </w:tcPr>
          <w:p w:rsidR="003052F7" w:rsidRPr="00524872" w:rsidRDefault="003052F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VT</w:t>
            </w:r>
          </w:p>
        </w:tc>
        <w:tc>
          <w:tcPr>
            <w:tcW w:w="1644" w:type="dxa"/>
            <w:noWrap/>
            <w:vAlign w:val="center"/>
            <w:hideMark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1.36 (</w:t>
            </w: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0.96-1.94)</w:t>
            </w:r>
          </w:p>
        </w:tc>
        <w:tc>
          <w:tcPr>
            <w:tcW w:w="1644" w:type="dxa"/>
            <w:noWrap/>
            <w:vAlign w:val="center"/>
            <w:hideMark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0.88 (</w:t>
            </w: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0.59-1.33)</w:t>
            </w:r>
          </w:p>
        </w:tc>
        <w:tc>
          <w:tcPr>
            <w:tcW w:w="1643" w:type="dxa"/>
            <w:noWrap/>
            <w:vAlign w:val="center"/>
            <w:hideMark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0.88 (</w:t>
            </w: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0.57-1.37)</w:t>
            </w:r>
          </w:p>
        </w:tc>
        <w:tc>
          <w:tcPr>
            <w:tcW w:w="1643" w:type="dxa"/>
            <w:noWrap/>
            <w:vAlign w:val="center"/>
            <w:hideMark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0.84 (</w:t>
            </w: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0.45-1.54)</w:t>
            </w:r>
          </w:p>
        </w:tc>
        <w:tc>
          <w:tcPr>
            <w:tcW w:w="1643" w:type="dxa"/>
            <w:noWrap/>
            <w:vAlign w:val="center"/>
            <w:hideMark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0.63 (</w:t>
            </w: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0.31-1.28)</w:t>
            </w:r>
          </w:p>
        </w:tc>
        <w:tc>
          <w:tcPr>
            <w:tcW w:w="1643" w:type="dxa"/>
            <w:noWrap/>
            <w:vAlign w:val="center"/>
            <w:hideMark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0.25 (</w:t>
            </w: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0.09-0.71)</w:t>
            </w:r>
          </w:p>
        </w:tc>
        <w:tc>
          <w:tcPr>
            <w:tcW w:w="1643" w:type="dxa"/>
            <w:noWrap/>
            <w:vAlign w:val="center"/>
            <w:hideMark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0.16 (</w:t>
            </w: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0.04-0.58)</w:t>
            </w:r>
          </w:p>
        </w:tc>
      </w:tr>
      <w:tr w:rsidR="003052F7" w:rsidRPr="00524872" w:rsidTr="00AC71CC">
        <w:trPr>
          <w:trHeight w:val="300"/>
        </w:trPr>
        <w:tc>
          <w:tcPr>
            <w:tcW w:w="1448" w:type="dxa"/>
            <w:tcBorders>
              <w:right w:val="single" w:sz="4" w:space="0" w:color="auto"/>
            </w:tcBorders>
            <w:noWrap/>
          </w:tcPr>
          <w:p w:rsidR="003052F7" w:rsidRPr="00524872" w:rsidRDefault="003052F7" w:rsidP="00AC71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noWrap/>
            <w:hideMark/>
          </w:tcPr>
          <w:p w:rsidR="003052F7" w:rsidRPr="00524872" w:rsidRDefault="003052F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NVT</w:t>
            </w:r>
          </w:p>
        </w:tc>
        <w:tc>
          <w:tcPr>
            <w:tcW w:w="1644" w:type="dxa"/>
            <w:noWrap/>
            <w:vAlign w:val="center"/>
            <w:hideMark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1.05 (</w:t>
            </w: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0.73-1.50)</w:t>
            </w:r>
          </w:p>
        </w:tc>
        <w:tc>
          <w:tcPr>
            <w:tcW w:w="1644" w:type="dxa"/>
            <w:noWrap/>
            <w:vAlign w:val="center"/>
            <w:hideMark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2.10 (</w:t>
            </w: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1.49-2.97)</w:t>
            </w:r>
          </w:p>
        </w:tc>
        <w:tc>
          <w:tcPr>
            <w:tcW w:w="1643" w:type="dxa"/>
            <w:noWrap/>
            <w:vAlign w:val="center"/>
            <w:hideMark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1.81 (</w:t>
            </w: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1.26-2.62)</w:t>
            </w:r>
          </w:p>
        </w:tc>
        <w:tc>
          <w:tcPr>
            <w:tcW w:w="1643" w:type="dxa"/>
            <w:noWrap/>
            <w:vAlign w:val="center"/>
            <w:hideMark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1.67 (</w:t>
            </w: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0.90-3.10)</w:t>
            </w:r>
          </w:p>
        </w:tc>
        <w:tc>
          <w:tcPr>
            <w:tcW w:w="1643" w:type="dxa"/>
            <w:noWrap/>
            <w:vAlign w:val="center"/>
            <w:hideMark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2.56 (</w:t>
            </w: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1.31-5.03)</w:t>
            </w:r>
          </w:p>
        </w:tc>
        <w:tc>
          <w:tcPr>
            <w:tcW w:w="1643" w:type="dxa"/>
            <w:noWrap/>
            <w:vAlign w:val="center"/>
            <w:hideMark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1.98 (</w:t>
            </w: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1.00-3.89)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2.49 (</w:t>
            </w: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0.91-6.80)</w:t>
            </w:r>
          </w:p>
        </w:tc>
      </w:tr>
      <w:tr w:rsidR="003052F7" w:rsidRPr="00524872" w:rsidTr="00AC71CC">
        <w:trPr>
          <w:trHeight w:val="300"/>
        </w:trPr>
        <w:tc>
          <w:tcPr>
            <w:tcW w:w="1448" w:type="dxa"/>
            <w:tcBorders>
              <w:right w:val="single" w:sz="4" w:space="0" w:color="auto"/>
            </w:tcBorders>
            <w:noWrap/>
          </w:tcPr>
          <w:p w:rsidR="003052F7" w:rsidRPr="00524872" w:rsidRDefault="003052F7" w:rsidP="00AC71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noWrap/>
            <w:hideMark/>
          </w:tcPr>
          <w:p w:rsidR="003052F7" w:rsidRPr="00524872" w:rsidRDefault="003052F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</w:tc>
        <w:tc>
          <w:tcPr>
            <w:tcW w:w="1644" w:type="dxa"/>
            <w:noWrap/>
            <w:vAlign w:val="center"/>
            <w:hideMark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1.22 (</w:t>
            </w: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0.94-1.58)</w:t>
            </w:r>
          </w:p>
        </w:tc>
        <w:tc>
          <w:tcPr>
            <w:tcW w:w="1644" w:type="dxa"/>
            <w:noWrap/>
            <w:vAlign w:val="center"/>
            <w:hideMark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1.60 (</w:t>
            </w: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1.24-2.08)</w:t>
            </w:r>
          </w:p>
        </w:tc>
        <w:tc>
          <w:tcPr>
            <w:tcW w:w="1643" w:type="dxa"/>
            <w:noWrap/>
            <w:vAlign w:val="center"/>
            <w:hideMark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1.35 (</w:t>
            </w: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1.03-1.78)</w:t>
            </w:r>
          </w:p>
        </w:tc>
        <w:tc>
          <w:tcPr>
            <w:tcW w:w="1643" w:type="dxa"/>
            <w:noWrap/>
            <w:vAlign w:val="center"/>
            <w:hideMark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1.23 (</w:t>
            </w: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0.76-1.98)</w:t>
            </w:r>
          </w:p>
        </w:tc>
        <w:tc>
          <w:tcPr>
            <w:tcW w:w="1643" w:type="dxa"/>
            <w:noWrap/>
            <w:vAlign w:val="center"/>
            <w:hideMark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1.44 (</w:t>
            </w: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0.90-2.30)</w:t>
            </w:r>
          </w:p>
        </w:tc>
        <w:tc>
          <w:tcPr>
            <w:tcW w:w="1643" w:type="dxa"/>
            <w:noWrap/>
            <w:vAlign w:val="center"/>
            <w:hideMark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0.93 (</w:t>
            </w: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0.57-1.53)</w:t>
            </w:r>
          </w:p>
        </w:tc>
        <w:tc>
          <w:tcPr>
            <w:tcW w:w="1643" w:type="dxa"/>
            <w:noWrap/>
            <w:vAlign w:val="center"/>
            <w:hideMark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1.28 (</w:t>
            </w: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0.82-1.99)</w:t>
            </w:r>
          </w:p>
        </w:tc>
      </w:tr>
      <w:tr w:rsidR="003052F7" w:rsidRPr="00524872" w:rsidTr="00AC71CC">
        <w:trPr>
          <w:trHeight w:val="300"/>
        </w:trPr>
        <w:tc>
          <w:tcPr>
            <w:tcW w:w="2084" w:type="dxa"/>
            <w:gridSpan w:val="2"/>
            <w:tcBorders>
              <w:bottom w:val="single" w:sz="4" w:space="0" w:color="auto"/>
            </w:tcBorders>
            <w:noWrap/>
          </w:tcPr>
          <w:p w:rsidR="003052F7" w:rsidRPr="00524872" w:rsidRDefault="003052F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/>
                <w:sz w:val="20"/>
                <w:szCs w:val="20"/>
              </w:rPr>
              <w:t>No. of sites</w:t>
            </w:r>
          </w:p>
        </w:tc>
        <w:tc>
          <w:tcPr>
            <w:tcW w:w="1644" w:type="dxa"/>
            <w:noWrap/>
            <w:vAlign w:val="center"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644" w:type="dxa"/>
            <w:noWrap/>
            <w:vAlign w:val="center"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643" w:type="dxa"/>
            <w:noWrap/>
            <w:vAlign w:val="center"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643" w:type="dxa"/>
            <w:noWrap/>
            <w:vAlign w:val="center"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43" w:type="dxa"/>
            <w:noWrap/>
            <w:vAlign w:val="center"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43" w:type="dxa"/>
            <w:noWrap/>
            <w:vAlign w:val="center"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43" w:type="dxa"/>
            <w:noWrap/>
            <w:vAlign w:val="center"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3052F7" w:rsidRPr="00524872" w:rsidTr="00AC71CC">
        <w:trPr>
          <w:trHeight w:val="300"/>
        </w:trPr>
        <w:tc>
          <w:tcPr>
            <w:tcW w:w="1448" w:type="dxa"/>
            <w:tcBorders>
              <w:right w:val="single" w:sz="4" w:space="0" w:color="auto"/>
            </w:tcBorders>
            <w:noWrap/>
            <w:hideMark/>
          </w:tcPr>
          <w:p w:rsidR="003052F7" w:rsidRPr="00524872" w:rsidRDefault="003052F7" w:rsidP="00AC71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/>
                <w:sz w:val="20"/>
                <w:szCs w:val="20"/>
              </w:rPr>
              <w:t>Adults ≥65y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noWrap/>
            <w:hideMark/>
          </w:tcPr>
          <w:p w:rsidR="003052F7" w:rsidRPr="00524872" w:rsidRDefault="003052F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VT</w:t>
            </w:r>
          </w:p>
        </w:tc>
        <w:tc>
          <w:tcPr>
            <w:tcW w:w="1644" w:type="dxa"/>
            <w:noWrap/>
            <w:vAlign w:val="center"/>
            <w:hideMark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1.06 (</w:t>
            </w: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0.71-1.59)</w:t>
            </w:r>
          </w:p>
        </w:tc>
        <w:tc>
          <w:tcPr>
            <w:tcW w:w="1644" w:type="dxa"/>
            <w:noWrap/>
            <w:vAlign w:val="center"/>
            <w:hideMark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0.73 (</w:t>
            </w: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0.48-1.11)</w:t>
            </w:r>
          </w:p>
        </w:tc>
        <w:tc>
          <w:tcPr>
            <w:tcW w:w="1643" w:type="dxa"/>
            <w:noWrap/>
            <w:vAlign w:val="center"/>
            <w:hideMark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0.50 (</w:t>
            </w: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0.31-0.81)</w:t>
            </w:r>
          </w:p>
        </w:tc>
        <w:tc>
          <w:tcPr>
            <w:tcW w:w="1643" w:type="dxa"/>
            <w:noWrap/>
            <w:vAlign w:val="center"/>
            <w:hideMark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0.43 (</w:t>
            </w: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0.16-1.16)</w:t>
            </w:r>
          </w:p>
        </w:tc>
        <w:tc>
          <w:tcPr>
            <w:tcW w:w="1643" w:type="dxa"/>
            <w:noWrap/>
            <w:vAlign w:val="center"/>
            <w:hideMark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0.27 (</w:t>
            </w: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0.08-0.86)</w:t>
            </w:r>
          </w:p>
        </w:tc>
        <w:tc>
          <w:tcPr>
            <w:tcW w:w="1643" w:type="dxa"/>
            <w:noWrap/>
            <w:vAlign w:val="center"/>
            <w:hideMark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0.19 (</w:t>
            </w: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0.04-0.90)</w:t>
            </w:r>
          </w:p>
        </w:tc>
        <w:tc>
          <w:tcPr>
            <w:tcW w:w="1643" w:type="dxa"/>
            <w:noWrap/>
            <w:vAlign w:val="center"/>
            <w:hideMark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0.09 (</w:t>
            </w: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0.01-0.89)</w:t>
            </w:r>
          </w:p>
        </w:tc>
      </w:tr>
      <w:tr w:rsidR="003052F7" w:rsidRPr="00524872" w:rsidTr="00AC71CC">
        <w:trPr>
          <w:trHeight w:val="300"/>
        </w:trPr>
        <w:tc>
          <w:tcPr>
            <w:tcW w:w="1448" w:type="dxa"/>
            <w:tcBorders>
              <w:right w:val="single" w:sz="4" w:space="0" w:color="auto"/>
            </w:tcBorders>
            <w:noWrap/>
            <w:hideMark/>
          </w:tcPr>
          <w:p w:rsidR="003052F7" w:rsidRPr="00524872" w:rsidRDefault="003052F7" w:rsidP="00AC71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noWrap/>
            <w:hideMark/>
          </w:tcPr>
          <w:p w:rsidR="003052F7" w:rsidRPr="00524872" w:rsidRDefault="003052F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NVT</w:t>
            </w:r>
          </w:p>
        </w:tc>
        <w:tc>
          <w:tcPr>
            <w:tcW w:w="1644" w:type="dxa"/>
            <w:noWrap/>
            <w:vAlign w:val="center"/>
            <w:hideMark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1.08 (</w:t>
            </w: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0.77-1.51)</w:t>
            </w:r>
          </w:p>
        </w:tc>
        <w:tc>
          <w:tcPr>
            <w:tcW w:w="1644" w:type="dxa"/>
            <w:noWrap/>
            <w:vAlign w:val="center"/>
            <w:hideMark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1.13 (</w:t>
            </w: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0.67-1.89)</w:t>
            </w:r>
          </w:p>
        </w:tc>
        <w:tc>
          <w:tcPr>
            <w:tcW w:w="1643" w:type="dxa"/>
            <w:noWrap/>
            <w:vAlign w:val="center"/>
            <w:hideMark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1.08 (</w:t>
            </w: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0.58-1.98)</w:t>
            </w:r>
          </w:p>
        </w:tc>
        <w:tc>
          <w:tcPr>
            <w:tcW w:w="1643" w:type="dxa"/>
            <w:noWrap/>
            <w:vAlign w:val="center"/>
            <w:hideMark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0.63 (</w:t>
            </w: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0.28-1.40)</w:t>
            </w:r>
          </w:p>
        </w:tc>
        <w:tc>
          <w:tcPr>
            <w:tcW w:w="1643" w:type="dxa"/>
            <w:noWrap/>
            <w:vAlign w:val="center"/>
            <w:hideMark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1.05 (</w:t>
            </w: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0.13-8.33)</w:t>
            </w:r>
          </w:p>
        </w:tc>
        <w:tc>
          <w:tcPr>
            <w:tcW w:w="1643" w:type="dxa"/>
            <w:noWrap/>
            <w:vAlign w:val="center"/>
            <w:hideMark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1.11 (</w:t>
            </w: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0.53-2.32)</w:t>
            </w:r>
          </w:p>
        </w:tc>
        <w:tc>
          <w:tcPr>
            <w:tcW w:w="1643" w:type="dxa"/>
            <w:noWrap/>
            <w:vAlign w:val="center"/>
            <w:hideMark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0.88 (</w:t>
            </w: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0.41-1.90)</w:t>
            </w:r>
          </w:p>
        </w:tc>
      </w:tr>
      <w:tr w:rsidR="003052F7" w:rsidRPr="00524872" w:rsidTr="00AC71CC">
        <w:trPr>
          <w:trHeight w:val="300"/>
        </w:trPr>
        <w:tc>
          <w:tcPr>
            <w:tcW w:w="1448" w:type="dxa"/>
            <w:tcBorders>
              <w:right w:val="single" w:sz="4" w:space="0" w:color="auto"/>
            </w:tcBorders>
            <w:noWrap/>
            <w:hideMark/>
          </w:tcPr>
          <w:p w:rsidR="003052F7" w:rsidRPr="00524872" w:rsidRDefault="003052F7" w:rsidP="00AC71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noWrap/>
            <w:hideMark/>
          </w:tcPr>
          <w:p w:rsidR="003052F7" w:rsidRPr="00524872" w:rsidRDefault="003052F7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</w:tc>
        <w:tc>
          <w:tcPr>
            <w:tcW w:w="1644" w:type="dxa"/>
            <w:noWrap/>
            <w:vAlign w:val="center"/>
            <w:hideMark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1.07 (</w:t>
            </w: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0.76-1.49)</w:t>
            </w:r>
          </w:p>
        </w:tc>
        <w:tc>
          <w:tcPr>
            <w:tcW w:w="1644" w:type="dxa"/>
            <w:noWrap/>
            <w:vAlign w:val="center"/>
            <w:hideMark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0.94 (</w:t>
            </w: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0.61-1.43)</w:t>
            </w:r>
          </w:p>
        </w:tc>
        <w:tc>
          <w:tcPr>
            <w:tcW w:w="1643" w:type="dxa"/>
            <w:noWrap/>
            <w:vAlign w:val="center"/>
            <w:hideMark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0.81 (</w:t>
            </w: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0.45-1.46)</w:t>
            </w:r>
          </w:p>
        </w:tc>
        <w:tc>
          <w:tcPr>
            <w:tcW w:w="1643" w:type="dxa"/>
            <w:noWrap/>
            <w:vAlign w:val="center"/>
            <w:hideMark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0.62 (</w:t>
            </w: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0.27-1.40)</w:t>
            </w:r>
          </w:p>
        </w:tc>
        <w:tc>
          <w:tcPr>
            <w:tcW w:w="1643" w:type="dxa"/>
            <w:noWrap/>
            <w:vAlign w:val="center"/>
            <w:hideMark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0.74 (</w:t>
            </w: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0.15-3.56)</w:t>
            </w:r>
          </w:p>
        </w:tc>
        <w:tc>
          <w:tcPr>
            <w:tcW w:w="1643" w:type="dxa"/>
            <w:noWrap/>
            <w:vAlign w:val="center"/>
            <w:hideMark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0.72 (</w:t>
            </w: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0.40-1.30)</w:t>
            </w:r>
          </w:p>
        </w:tc>
        <w:tc>
          <w:tcPr>
            <w:tcW w:w="1643" w:type="dxa"/>
            <w:noWrap/>
            <w:vAlign w:val="center"/>
            <w:hideMark/>
          </w:tcPr>
          <w:p w:rsidR="003052F7" w:rsidRPr="00524872" w:rsidRDefault="003052F7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72">
              <w:rPr>
                <w:rFonts w:ascii="Times New Roman" w:hAnsi="Times New Roman" w:cs="Times New Roman"/>
                <w:bCs/>
                <w:sz w:val="20"/>
                <w:szCs w:val="20"/>
              </w:rPr>
              <w:t>0.55 (</w:t>
            </w:r>
            <w:r w:rsidRPr="00524872">
              <w:rPr>
                <w:rFonts w:ascii="Times New Roman" w:hAnsi="Times New Roman" w:cs="Times New Roman"/>
                <w:sz w:val="20"/>
                <w:szCs w:val="20"/>
              </w:rPr>
              <w:t>0.29-1.06)</w:t>
            </w:r>
          </w:p>
        </w:tc>
      </w:tr>
    </w:tbl>
    <w:p w:rsidR="003052F7" w:rsidRDefault="003052F7" w:rsidP="003052F7">
      <w:pPr>
        <w:rPr>
          <w:rFonts w:ascii="Times New Roman" w:hAnsi="Times New Roman" w:cs="Times New Roman"/>
          <w:b/>
        </w:rPr>
      </w:pPr>
    </w:p>
    <w:p w:rsidR="003052F7" w:rsidRPr="00B41ABE" w:rsidRDefault="003052F7" w:rsidP="003052F7">
      <w:pPr>
        <w:rPr>
          <w:rFonts w:ascii="Times New Roman" w:hAnsi="Times New Roman" w:cs="Times New Roman"/>
          <w:sz w:val="20"/>
          <w:szCs w:val="20"/>
        </w:rPr>
      </w:pPr>
      <w:r w:rsidRPr="00B41ABE">
        <w:rPr>
          <w:rFonts w:ascii="Times New Roman" w:hAnsi="Times New Roman" w:cs="Times New Roman"/>
          <w:sz w:val="20"/>
          <w:szCs w:val="20"/>
        </w:rPr>
        <w:t>*Adults 18-49 not included because there were no strata with zero cases in the pre-PCV introduction period for this age group.</w:t>
      </w:r>
    </w:p>
    <w:p w:rsidR="00C076D3" w:rsidRDefault="00C076D3"/>
    <w:sectPr w:rsidR="00C076D3" w:rsidSect="003052F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F7"/>
    <w:rsid w:val="00223798"/>
    <w:rsid w:val="003052F7"/>
    <w:rsid w:val="003527F9"/>
    <w:rsid w:val="005E3D36"/>
    <w:rsid w:val="00822539"/>
    <w:rsid w:val="00C0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52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052F7"/>
    <w:pPr>
      <w:ind w:left="720"/>
      <w:contextualSpacing/>
    </w:pPr>
  </w:style>
  <w:style w:type="table" w:styleId="TableGrid">
    <w:name w:val="Table Grid"/>
    <w:basedOn w:val="TableNormal"/>
    <w:uiPriority w:val="59"/>
    <w:rsid w:val="00305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52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052F7"/>
    <w:pPr>
      <w:ind w:left="720"/>
      <w:contextualSpacing/>
    </w:pPr>
  </w:style>
  <w:style w:type="table" w:styleId="TableGrid">
    <w:name w:val="Table Grid"/>
    <w:basedOn w:val="TableNormal"/>
    <w:uiPriority w:val="59"/>
    <w:rsid w:val="00305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ekagucia</dc:creator>
  <cp:lastModifiedBy>ekagucia</cp:lastModifiedBy>
  <cp:revision>2</cp:revision>
  <dcterms:created xsi:type="dcterms:W3CDTF">2013-07-26T12:25:00Z</dcterms:created>
  <dcterms:modified xsi:type="dcterms:W3CDTF">2013-07-26T12:37:00Z</dcterms:modified>
</cp:coreProperties>
</file>