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D7" w:rsidRPr="00911BFC" w:rsidRDefault="00E75DD7" w:rsidP="00E75DD7">
      <w:pPr>
        <w:pStyle w:val="Heading1"/>
        <w:spacing w:before="200" w:after="200"/>
        <w:rPr>
          <w:rFonts w:ascii="Times New Roman" w:hAnsi="Times New Roman" w:cs="Times New Roman"/>
          <w:sz w:val="24"/>
          <w:szCs w:val="24"/>
        </w:rPr>
      </w:pPr>
      <w:r w:rsidRPr="00911BFC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BFC">
        <w:rPr>
          <w:rFonts w:ascii="Times New Roman" w:hAnsi="Times New Roman" w:cs="Times New Roman"/>
          <w:sz w:val="24"/>
          <w:szCs w:val="24"/>
        </w:rPr>
        <w:t xml:space="preserve">. Invasive pneumococcal disease (IPD) summary rate ratios from random effects meta-analysis, comparing observed over expected rates, by age, serotype group and post-PCV7 introduction year for sites with 7 years of data post-PCV7 introduction. </w:t>
      </w:r>
      <w:r w:rsidRPr="003C315A">
        <w:rPr>
          <w:rFonts w:ascii="Times New Roman" w:hAnsi="Times New Roman" w:cs="Times New Roman"/>
          <w:sz w:val="24"/>
          <w:szCs w:val="24"/>
        </w:rPr>
        <w:t>Analysis conducted using the 0.5 continuity correction.</w:t>
      </w:r>
    </w:p>
    <w:tbl>
      <w:tblPr>
        <w:tblStyle w:val="TableGrid"/>
        <w:tblW w:w="14534" w:type="dxa"/>
        <w:tblLook w:val="04A0" w:firstRow="1" w:lastRow="0" w:firstColumn="1" w:lastColumn="0" w:noHBand="0" w:noVBand="1"/>
      </w:tblPr>
      <w:tblGrid>
        <w:gridCol w:w="1663"/>
        <w:gridCol w:w="1377"/>
        <w:gridCol w:w="1642"/>
        <w:gridCol w:w="1642"/>
        <w:gridCol w:w="1642"/>
        <w:gridCol w:w="1642"/>
        <w:gridCol w:w="1642"/>
        <w:gridCol w:w="1642"/>
        <w:gridCol w:w="1642"/>
      </w:tblGrid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b/>
                <w:sz w:val="20"/>
                <w:szCs w:val="20"/>
              </w:rPr>
              <w:t>Year post-PCV7 introduction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0A0C86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noWrap/>
          </w:tcPr>
          <w:p w:rsidR="00E75DD7" w:rsidRPr="000A0C86" w:rsidRDefault="00E75DD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E7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E7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  <w:tc>
          <w:tcPr>
            <w:tcW w:w="1642" w:type="dxa"/>
            <w:noWrap/>
          </w:tcPr>
          <w:p w:rsidR="00E75DD7" w:rsidRPr="000A0C86" w:rsidRDefault="00E75DD7" w:rsidP="00E7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</w:rPr>
              <w:t>RR (95% CI)</w:t>
            </w:r>
          </w:p>
        </w:tc>
      </w:tr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b/>
                <w:sz w:val="20"/>
                <w:szCs w:val="20"/>
              </w:rPr>
              <w:t>Children &lt;5y</w:t>
            </w: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VT*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0·39 (0·26-0·59)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0·19 (0·10-0·35)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0·18 (0·08-0·38)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0·07 (0·03-0·15)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0·06 (0·03-0·13)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0·06 (0·01-0·29)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0·03 (0·01-0·10)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NVT*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1·05 (0·75-1·46)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1·27 (0·94-1·71)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1·78 (1·33-2·39)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1·84 (1·27-2·65)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2·49 (1·90-3·27)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2·27 (1·48-3·48)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2·81 (2·12-3·71)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0·49 (0·42-0·58)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0·44 (0·29-0·67)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0·46 (0·32-0·65)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0·34 (0·29-0·40)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0·49 (0·34-0·72)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0·41 (0·35-0·50)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0·49 (0·35-0·68)</w:t>
            </w:r>
          </w:p>
        </w:tc>
      </w:tr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b/>
                <w:sz w:val="20"/>
                <w:szCs w:val="20"/>
              </w:rPr>
              <w:t>Persons 18-49y</w:t>
            </w: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0·73 (0·57-0·94)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0·49 (0·43-0·56)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0·35 (0·19-0·67)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0·24 (0·16-0·38)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0·20 (0·13-0·33)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0·18 (0·11-0·28)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0·10 (0·08-0·13)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0·74 (0·45-1·21)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0·80 (0·41-1·58)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0·92 (0·46-1·86)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1·17 (0·55-2·48)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1·13 (0·52-2·46)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1·00 (0·51-1·95)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0·85 (0·39-1·86)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0·67 (0·45-1·00)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0·63 (0·42-0·95)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0·65 (0·37-1·13)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0·74 (0·42-1·31)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0·71 (0·41-1·22)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0·63 (0·38-1·03)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0·52 (0·29-0·91)</w:t>
            </w:r>
          </w:p>
        </w:tc>
      </w:tr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b/>
                <w:sz w:val="20"/>
                <w:szCs w:val="20"/>
              </w:rPr>
              <w:t>Persons 50-64y</w:t>
            </w: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0·82 (0·72-0·94)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0·60 (0·51-0·71)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0·48 (0·41-0·57)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0·38 (0·32-0·46)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0·27 (0·22-0·33)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0·20 (0·13-0·30)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0·15 (0·12-0·19)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0·82 (0·61-1·11)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1·10 (0·95-1·27)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1·26 (0·84-1·89)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1·33 (1·17-1·52)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1·77 (1·28-2·45)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1·68 (1·34-2·11)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1·72 (1·52-1·96)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0·82 (0·73-0·91)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0·82 (0·73-0·91)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0·86 (0·62-1·18)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0·93 (0·71-1·23)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1·09 (0·76-1·57)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0·92 (0·75-1·13)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0·84 (0·77-0·93)</w:t>
            </w:r>
          </w:p>
        </w:tc>
      </w:tr>
      <w:tr w:rsidR="00E75DD7" w:rsidRPr="000A0C86" w:rsidTr="00AC71CC">
        <w:trPr>
          <w:trHeight w:val="300"/>
        </w:trPr>
        <w:tc>
          <w:tcPr>
            <w:tcW w:w="3040" w:type="dxa"/>
            <w:gridSpan w:val="2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sites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noWrap/>
          </w:tcPr>
          <w:p w:rsidR="00E75DD7" w:rsidRPr="00911BFC" w:rsidRDefault="00E75DD7" w:rsidP="00E7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b/>
                <w:sz w:val="20"/>
                <w:szCs w:val="20"/>
              </w:rPr>
              <w:t>Persons ≥65y</w:t>
            </w: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0·74 (0·65-0·83)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0·58 (0·47-0·73)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0·39 (0·35-0·44)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0·38 (0·22-0·66)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0·20 (0·17-0·23)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0·13 (0·11-0·15)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0·12 (0·09-0·17)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0·99 (0·74-1·33)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0·95 (0·66-1·36)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1·44 (1·06-1·97)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1·27 (0·89-1·82)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1·83 (1·17-2·87)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1·62 (1·20-2·18)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1·45 (1·00-2·11)</w:t>
            </w:r>
          </w:p>
        </w:tc>
      </w:tr>
      <w:tr w:rsidR="00E75DD7" w:rsidRPr="000A0C86" w:rsidTr="00AC71CC">
        <w:trPr>
          <w:trHeight w:val="300"/>
        </w:trPr>
        <w:tc>
          <w:tcPr>
            <w:tcW w:w="1663" w:type="dxa"/>
            <w:noWrap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0·84 (0·77-0·91)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0·72 (0·66-0·79)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0·97 (0·68-1·37)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0·83 (0·60-1·15)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1·04 (0·66-1·62)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0·89 (0·63-1·26)</w:t>
            </w:r>
          </w:p>
        </w:tc>
        <w:tc>
          <w:tcPr>
            <w:tcW w:w="1642" w:type="dxa"/>
            <w:noWrap/>
            <w:hideMark/>
          </w:tcPr>
          <w:p w:rsidR="00E75DD7" w:rsidRPr="00911BFC" w:rsidRDefault="00E75DD7" w:rsidP="00E7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FC">
              <w:rPr>
                <w:rFonts w:ascii="Times New Roman" w:hAnsi="Times New Roman" w:cs="Times New Roman"/>
                <w:sz w:val="20"/>
                <w:szCs w:val="20"/>
              </w:rPr>
              <w:t>0·74 (0·58-0·95)</w:t>
            </w:r>
          </w:p>
        </w:tc>
      </w:tr>
    </w:tbl>
    <w:p w:rsidR="00E75DD7" w:rsidRDefault="00E75DD7" w:rsidP="00E75DD7">
      <w:pPr>
        <w:contextualSpacing/>
        <w:rPr>
          <w:rFonts w:ascii="Times New Roman" w:hAnsi="Times New Roman" w:cs="Times New Roman"/>
          <w:sz w:val="20"/>
          <w:szCs w:val="20"/>
        </w:rPr>
      </w:pPr>
      <w:r w:rsidRPr="00911BFC">
        <w:rPr>
          <w:rFonts w:ascii="Times New Roman" w:hAnsi="Times New Roman" w:cs="Times New Roman"/>
          <w:sz w:val="20"/>
          <w:szCs w:val="20"/>
        </w:rPr>
        <w:t>*VT=Vaccine serotypes; NVT=Non-vaccine serotypes</w:t>
      </w:r>
    </w:p>
    <w:p w:rsidR="00C076D3" w:rsidRDefault="00C076D3">
      <w:bookmarkStart w:id="0" w:name="_GoBack"/>
      <w:bookmarkEnd w:id="0"/>
    </w:p>
    <w:sectPr w:rsidR="00C076D3" w:rsidSect="00E75D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7"/>
    <w:rsid w:val="00223798"/>
    <w:rsid w:val="003527F9"/>
    <w:rsid w:val="00822539"/>
    <w:rsid w:val="00C076D3"/>
    <w:rsid w:val="00E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7"/>
  </w:style>
  <w:style w:type="paragraph" w:styleId="Heading1">
    <w:name w:val="heading 1"/>
    <w:basedOn w:val="Normal"/>
    <w:next w:val="Normal"/>
    <w:link w:val="Heading1Char"/>
    <w:uiPriority w:val="9"/>
    <w:qFormat/>
    <w:rsid w:val="00E7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7"/>
  </w:style>
  <w:style w:type="paragraph" w:styleId="Heading1">
    <w:name w:val="heading 1"/>
    <w:basedOn w:val="Normal"/>
    <w:next w:val="Normal"/>
    <w:link w:val="Heading1Char"/>
    <w:uiPriority w:val="9"/>
    <w:qFormat/>
    <w:rsid w:val="00E7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ekagucia</cp:lastModifiedBy>
  <cp:revision>1</cp:revision>
  <dcterms:created xsi:type="dcterms:W3CDTF">2013-07-26T12:19:00Z</dcterms:created>
  <dcterms:modified xsi:type="dcterms:W3CDTF">2013-07-26T12:20:00Z</dcterms:modified>
</cp:coreProperties>
</file>