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3257">
      <w:pPr>
        <w:pStyle w:val="Title"/>
        <w:rPr>
          <w:sz w:val="20"/>
        </w:rPr>
      </w:pPr>
      <w:r>
        <w:rPr>
          <w:sz w:val="20"/>
        </w:rPr>
        <w:t>STARD checklist for reporting of studies of diagnostic accuracy</w:t>
      </w:r>
    </w:p>
    <w:p w:rsidR="00000000" w:rsidRDefault="00583257">
      <w:pPr>
        <w:jc w:val="center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(</w:t>
      </w:r>
      <w:proofErr w:type="gramStart"/>
      <w:r>
        <w:rPr>
          <w:rFonts w:ascii="Verdana" w:hAnsi="Verdana"/>
          <w:i/>
          <w:iCs/>
          <w:sz w:val="20"/>
        </w:rPr>
        <w:t>version</w:t>
      </w:r>
      <w:proofErr w:type="gramEnd"/>
      <w:r>
        <w:rPr>
          <w:rFonts w:ascii="Verdana" w:hAnsi="Verdana"/>
          <w:i/>
          <w:iCs/>
          <w:sz w:val="20"/>
        </w:rPr>
        <w:t xml:space="preserve"> January 2003)</w:t>
      </w:r>
    </w:p>
    <w:p w:rsidR="00000000" w:rsidRDefault="00583257">
      <w:pPr>
        <w:jc w:val="center"/>
        <w:rPr>
          <w:rFonts w:ascii="Verdana" w:hAnsi="Verdana"/>
          <w:i/>
          <w:iCs/>
          <w:sz w:val="20"/>
        </w:rPr>
      </w:pPr>
    </w:p>
    <w:p w:rsidR="00000000" w:rsidRDefault="00583257">
      <w:pPr>
        <w:rPr>
          <w:rFonts w:ascii="Verdana" w:hAnsi="Verdana"/>
          <w:sz w:val="16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7"/>
        <w:gridCol w:w="720"/>
        <w:gridCol w:w="6120"/>
        <w:gridCol w:w="1163"/>
      </w:tblGrid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Section and Topic</w:t>
            </w: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Item</w:t>
            </w:r>
          </w:p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#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1163" w:type="dxa"/>
          </w:tcPr>
          <w:p w:rsidR="00000000" w:rsidRDefault="00583257">
            <w:pPr>
              <w:pStyle w:val="Table"/>
              <w:tabs>
                <w:tab w:val="left" w:pos="175"/>
              </w:tabs>
              <w:spacing w:before="0" w:after="0" w:line="264" w:lineRule="auto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On page #</w:t>
            </w: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TITLE/ABSTRACT/</w:t>
            </w:r>
          </w:p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KEYWORDS</w:t>
            </w: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Identify the article as a study of diagnostic accuracy (recommend </w:t>
            </w:r>
            <w:proofErr w:type="spellStart"/>
            <w:r>
              <w:rPr>
                <w:rFonts w:ascii="Verdana" w:hAnsi="Verdana"/>
                <w:sz w:val="16"/>
              </w:rPr>
              <w:t>MeSH</w:t>
            </w:r>
            <w:proofErr w:type="spellEnd"/>
            <w:r>
              <w:rPr>
                <w:rFonts w:ascii="Verdana" w:hAnsi="Verdana"/>
                <w:sz w:val="16"/>
              </w:rPr>
              <w:t xml:space="preserve"> heading 'sensitivity and specifi</w:t>
            </w:r>
            <w:r>
              <w:rPr>
                <w:rFonts w:ascii="Verdana" w:hAnsi="Verdana"/>
                <w:sz w:val="16"/>
              </w:rPr>
              <w:t>city').</w:t>
            </w:r>
          </w:p>
        </w:tc>
        <w:tc>
          <w:tcPr>
            <w:tcW w:w="1163" w:type="dxa"/>
          </w:tcPr>
          <w:p w:rsidR="00000000" w:rsidRDefault="00A928E4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1-2</w:t>
            </w: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INTRODUCTION</w:t>
            </w: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State the research questions or study aims, such as estimating diagnostic accuracy or comparing accuracy between tests or across participant groups.</w:t>
            </w:r>
          </w:p>
        </w:tc>
        <w:tc>
          <w:tcPr>
            <w:tcW w:w="1163" w:type="dxa"/>
          </w:tcPr>
          <w:p w:rsidR="00000000" w:rsidRDefault="00A928E4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4-6</w:t>
            </w: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METHODS</w:t>
            </w: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</w:p>
        </w:tc>
        <w:tc>
          <w:tcPr>
            <w:tcW w:w="1163" w:type="dxa"/>
          </w:tcPr>
          <w:p w:rsidR="00000000" w:rsidRDefault="00583257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>Participants</w:t>
            </w: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The study population: The inclusion and exclusion cri</w:t>
            </w:r>
            <w:r>
              <w:rPr>
                <w:rFonts w:ascii="Verdana" w:hAnsi="Verdana"/>
                <w:sz w:val="16"/>
              </w:rPr>
              <w:t>teria, setting and locations where data were collected.</w:t>
            </w:r>
          </w:p>
        </w:tc>
        <w:tc>
          <w:tcPr>
            <w:tcW w:w="1163" w:type="dxa"/>
          </w:tcPr>
          <w:p w:rsidR="00000000" w:rsidRDefault="00A928E4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7</w:t>
            </w: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Participant recruitment: Was recruitment based on presenting symptoms, results from previous tests, or the fact that the participants had received the index tests or the reference standard?</w:t>
            </w:r>
          </w:p>
        </w:tc>
        <w:tc>
          <w:tcPr>
            <w:tcW w:w="1163" w:type="dxa"/>
          </w:tcPr>
          <w:p w:rsidR="00000000" w:rsidRDefault="00A928E4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7, 9-10 </w:t>
            </w: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Participant sampling: Was the study population a consecutive series of participants defined by the selection criteria in item 3 and 4? If not, specify how participants were further selected.</w:t>
            </w:r>
          </w:p>
        </w:tc>
        <w:tc>
          <w:tcPr>
            <w:tcW w:w="1163" w:type="dxa"/>
          </w:tcPr>
          <w:p w:rsidR="00000000" w:rsidRDefault="00583257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N/A</w:t>
            </w: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Data collection: Was data collection planned before the inde</w:t>
            </w:r>
            <w:r>
              <w:rPr>
                <w:rFonts w:ascii="Verdana" w:hAnsi="Verdana"/>
                <w:sz w:val="16"/>
              </w:rPr>
              <w:t>x test and reference standard were performed (prospective study) or after (retrospective study)?</w:t>
            </w:r>
          </w:p>
        </w:tc>
        <w:tc>
          <w:tcPr>
            <w:tcW w:w="1163" w:type="dxa"/>
          </w:tcPr>
          <w:p w:rsidR="00000000" w:rsidRDefault="00583257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9-10</w:t>
            </w: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>Test methods</w:t>
            </w: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7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The reference standard and its rationale.</w:t>
            </w:r>
          </w:p>
        </w:tc>
        <w:tc>
          <w:tcPr>
            <w:tcW w:w="1163" w:type="dxa"/>
          </w:tcPr>
          <w:p w:rsidR="00000000" w:rsidRDefault="00583257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7-9</w:t>
            </w: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8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Technical specifications of material and methods involved including how and when measurements w</w:t>
            </w:r>
            <w:r>
              <w:rPr>
                <w:rFonts w:ascii="Verdana" w:hAnsi="Verdana"/>
                <w:sz w:val="16"/>
              </w:rPr>
              <w:t>ere taken, and/or cite references for index tests and reference standard.</w:t>
            </w:r>
          </w:p>
        </w:tc>
        <w:tc>
          <w:tcPr>
            <w:tcW w:w="1163" w:type="dxa"/>
          </w:tcPr>
          <w:p w:rsidR="00000000" w:rsidRDefault="00583257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7-9</w:t>
            </w: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9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Definition of and rationale for the units, cut-offs and/or categories of the results of the index tests and the reference standard.</w:t>
            </w:r>
          </w:p>
        </w:tc>
        <w:tc>
          <w:tcPr>
            <w:tcW w:w="1163" w:type="dxa"/>
          </w:tcPr>
          <w:p w:rsidR="00000000" w:rsidRDefault="00583257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8-9 </w:t>
            </w: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The number, training and expertise of t</w:t>
            </w:r>
            <w:r>
              <w:rPr>
                <w:rFonts w:ascii="Verdana" w:hAnsi="Verdana"/>
                <w:sz w:val="16"/>
              </w:rPr>
              <w:t>he persons executing and reading the index tests and the reference standard.</w:t>
            </w:r>
          </w:p>
        </w:tc>
        <w:tc>
          <w:tcPr>
            <w:tcW w:w="1163" w:type="dxa"/>
          </w:tcPr>
          <w:p w:rsidR="00000000" w:rsidRDefault="00583257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N/A</w:t>
            </w: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11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Whether or not the readers of the index tests and reference standard were blind (masked) to the results of the other test and describe any other clinical information availab</w:t>
            </w:r>
            <w:r>
              <w:rPr>
                <w:rFonts w:ascii="Verdana" w:hAnsi="Verdana"/>
                <w:sz w:val="16"/>
              </w:rPr>
              <w:t>le to the readers.</w:t>
            </w:r>
          </w:p>
        </w:tc>
        <w:tc>
          <w:tcPr>
            <w:tcW w:w="1163" w:type="dxa"/>
          </w:tcPr>
          <w:p w:rsidR="00000000" w:rsidRDefault="00583257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9-10</w:t>
            </w: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>Statistical methods</w:t>
            </w: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Methods for calculating or comparing measures of diagnostic accuracy, and the statistical methods used to quantify uncertainty (e.g. 95% confidence intervals).</w:t>
            </w:r>
          </w:p>
        </w:tc>
        <w:tc>
          <w:tcPr>
            <w:tcW w:w="1163" w:type="dxa"/>
          </w:tcPr>
          <w:p w:rsidR="00000000" w:rsidRDefault="00583257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31-38</w:t>
            </w: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13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Methods for calculating test reproducibility, </w:t>
            </w:r>
            <w:r>
              <w:rPr>
                <w:rFonts w:ascii="Verdana" w:hAnsi="Verdana"/>
                <w:sz w:val="16"/>
              </w:rPr>
              <w:t>if done.</w:t>
            </w:r>
          </w:p>
        </w:tc>
        <w:tc>
          <w:tcPr>
            <w:tcW w:w="1163" w:type="dxa"/>
          </w:tcPr>
          <w:p w:rsidR="00000000" w:rsidRDefault="00583257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36</w:t>
            </w: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jc w:val="both"/>
              <w:rPr>
                <w:rFonts w:ascii="Verdana" w:hAnsi="Verdana"/>
                <w:iCs/>
                <w:sz w:val="16"/>
              </w:rPr>
            </w:pPr>
            <w:r>
              <w:rPr>
                <w:rFonts w:ascii="Verdana" w:hAnsi="Verdana"/>
                <w:iCs/>
                <w:sz w:val="16"/>
              </w:rPr>
              <w:t>RESULTS</w:t>
            </w: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iCs/>
                <w:sz w:val="16"/>
              </w:rPr>
            </w:pP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jc w:val="both"/>
              <w:rPr>
                <w:rFonts w:ascii="Verdana" w:hAnsi="Verdana"/>
                <w:iCs/>
                <w:sz w:val="16"/>
              </w:rPr>
            </w:pPr>
          </w:p>
        </w:tc>
        <w:tc>
          <w:tcPr>
            <w:tcW w:w="1163" w:type="dxa"/>
          </w:tcPr>
          <w:p w:rsidR="00000000" w:rsidRDefault="00583257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>Participants</w:t>
            </w: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14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When study was performed, including beginning and end dates of recruitment.</w:t>
            </w:r>
          </w:p>
        </w:tc>
        <w:tc>
          <w:tcPr>
            <w:tcW w:w="1163" w:type="dxa"/>
          </w:tcPr>
          <w:p w:rsidR="00000000" w:rsidRDefault="00583257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15-16</w:t>
            </w: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Clinical and demographic characteristics of the study population (at least information on age, gender, spectrum of presenting symptoms)</w:t>
            </w:r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1163" w:type="dxa"/>
          </w:tcPr>
          <w:p w:rsidR="00000000" w:rsidRDefault="00583257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15-16</w:t>
            </w: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16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The number of participants satisfying the criteria for inclusion who did or did not undergo the index tests and/or the reference standard; describe why participants failed to undergo either test (a flow diagram is strongly recommended).</w:t>
            </w:r>
          </w:p>
        </w:tc>
        <w:tc>
          <w:tcPr>
            <w:tcW w:w="1163" w:type="dxa"/>
          </w:tcPr>
          <w:p w:rsidR="00000000" w:rsidRDefault="00583257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15-16</w:t>
            </w: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>Test resu</w:t>
            </w:r>
            <w:r>
              <w:rPr>
                <w:rFonts w:ascii="Verdana" w:hAnsi="Verdana"/>
                <w:i/>
                <w:iCs/>
                <w:sz w:val="16"/>
              </w:rPr>
              <w:t>lts</w:t>
            </w: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17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Time-interval between the index tests and the reference standard, and any treatment administered in between.</w:t>
            </w:r>
          </w:p>
        </w:tc>
        <w:tc>
          <w:tcPr>
            <w:tcW w:w="1163" w:type="dxa"/>
          </w:tcPr>
          <w:p w:rsidR="00000000" w:rsidRDefault="00583257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N/A</w:t>
            </w: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Distribution of severity of disease (define criteria) in those with the target condition; other diagnoses in participants without the </w:t>
            </w:r>
            <w:r>
              <w:rPr>
                <w:rFonts w:ascii="Verdana" w:hAnsi="Verdana"/>
                <w:sz w:val="16"/>
              </w:rPr>
              <w:t>target condition.</w:t>
            </w:r>
          </w:p>
        </w:tc>
        <w:tc>
          <w:tcPr>
            <w:tcW w:w="1163" w:type="dxa"/>
          </w:tcPr>
          <w:p w:rsidR="00000000" w:rsidRDefault="00583257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N/A</w:t>
            </w: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19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 cross tabulation of the results of the index tests (including indeterminate and missing results) by the results of the reference standard; for continuous results, the distribution of the test results by the results of the referenc</w:t>
            </w:r>
            <w:r>
              <w:rPr>
                <w:rFonts w:ascii="Verdana" w:hAnsi="Verdana"/>
                <w:sz w:val="16"/>
              </w:rPr>
              <w:t>e standard.</w:t>
            </w:r>
          </w:p>
        </w:tc>
        <w:tc>
          <w:tcPr>
            <w:tcW w:w="1163" w:type="dxa"/>
          </w:tcPr>
          <w:p w:rsidR="00000000" w:rsidRDefault="00583257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30-38</w:t>
            </w: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20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Any adverse events from performing the index tests or the reference standard.</w:t>
            </w:r>
          </w:p>
        </w:tc>
        <w:tc>
          <w:tcPr>
            <w:tcW w:w="1163" w:type="dxa"/>
          </w:tcPr>
          <w:p w:rsidR="00000000" w:rsidRDefault="00583257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37-38</w:t>
            </w: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>Estimates</w:t>
            </w: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21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Estimates of diagnostic accuracy and measures of statistical uncertainty (e.g. 95% confidence intervals).</w:t>
            </w:r>
          </w:p>
        </w:tc>
        <w:tc>
          <w:tcPr>
            <w:tcW w:w="1163" w:type="dxa"/>
          </w:tcPr>
          <w:p w:rsidR="00000000" w:rsidRDefault="00583257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36-38</w:t>
            </w: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22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How indeterminate results, missin</w:t>
            </w:r>
            <w:r>
              <w:rPr>
                <w:rFonts w:ascii="Verdana" w:hAnsi="Verdana"/>
                <w:sz w:val="16"/>
              </w:rPr>
              <w:t>g data and outliers of the index tests were handled.</w:t>
            </w:r>
          </w:p>
        </w:tc>
        <w:tc>
          <w:tcPr>
            <w:tcW w:w="1163" w:type="dxa"/>
          </w:tcPr>
          <w:p w:rsidR="00000000" w:rsidRDefault="00583257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37-38</w:t>
            </w: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23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Estimates of variability of diagnostic accuracy between subgroups of participants, readers or centers, if done.</w:t>
            </w:r>
          </w:p>
        </w:tc>
        <w:tc>
          <w:tcPr>
            <w:tcW w:w="1163" w:type="dxa"/>
          </w:tcPr>
          <w:p w:rsidR="00000000" w:rsidRDefault="00583257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N/A</w:t>
            </w: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24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Estimates of test reproducibility, if done.     </w:t>
            </w:r>
          </w:p>
        </w:tc>
        <w:tc>
          <w:tcPr>
            <w:tcW w:w="1163" w:type="dxa"/>
          </w:tcPr>
          <w:p w:rsidR="00000000" w:rsidRDefault="00583257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36</w:t>
            </w:r>
          </w:p>
        </w:tc>
      </w:tr>
      <w:tr w:rsidR="00000000" w:rsidTr="00A9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DISCUSSION</w:t>
            </w:r>
          </w:p>
        </w:tc>
        <w:tc>
          <w:tcPr>
            <w:tcW w:w="720" w:type="dxa"/>
          </w:tcPr>
          <w:p w:rsidR="00000000" w:rsidRDefault="00583257">
            <w:pPr>
              <w:pStyle w:val="Table"/>
              <w:spacing w:before="0" w:after="0" w:line="264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25</w:t>
            </w:r>
          </w:p>
        </w:tc>
        <w:tc>
          <w:tcPr>
            <w:tcW w:w="6120" w:type="dxa"/>
          </w:tcPr>
          <w:p w:rsidR="00000000" w:rsidRDefault="00583257">
            <w:pPr>
              <w:pStyle w:val="Table"/>
              <w:spacing w:before="0" w:after="0" w:line="264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Discuss the cl</w:t>
            </w:r>
            <w:r>
              <w:rPr>
                <w:rFonts w:ascii="Verdana" w:hAnsi="Verdana"/>
                <w:sz w:val="16"/>
              </w:rPr>
              <w:t>inical applicability of the study findings.</w:t>
            </w:r>
          </w:p>
        </w:tc>
        <w:tc>
          <w:tcPr>
            <w:tcW w:w="1163" w:type="dxa"/>
          </w:tcPr>
          <w:p w:rsidR="00000000" w:rsidRDefault="00583257">
            <w:pPr>
              <w:pStyle w:val="Table"/>
              <w:tabs>
                <w:tab w:val="left" w:pos="175"/>
              </w:tabs>
              <w:spacing w:before="0" w:after="0" w:line="264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17-20</w:t>
            </w:r>
          </w:p>
        </w:tc>
      </w:tr>
    </w:tbl>
    <w:p w:rsidR="00000000" w:rsidRDefault="00583257">
      <w:pPr>
        <w:rPr>
          <w:rFonts w:ascii="Verdana" w:hAnsi="Verdana"/>
          <w:sz w:val="16"/>
        </w:rPr>
      </w:pPr>
      <w:bookmarkStart w:id="0" w:name="_GoBack"/>
      <w:bookmarkEnd w:id="0"/>
    </w:p>
    <w:sectPr w:rsidR="000000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A40"/>
    <w:multiLevelType w:val="singleLevel"/>
    <w:tmpl w:val="2CC87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7FB6"/>
    <w:multiLevelType w:val="singleLevel"/>
    <w:tmpl w:val="2CC87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E67A6D"/>
    <w:multiLevelType w:val="multilevel"/>
    <w:tmpl w:val="7E16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1F6F06"/>
    <w:multiLevelType w:val="singleLevel"/>
    <w:tmpl w:val="2CC87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3D05F9"/>
    <w:multiLevelType w:val="singleLevel"/>
    <w:tmpl w:val="2CC87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0A52ACB"/>
    <w:multiLevelType w:val="singleLevel"/>
    <w:tmpl w:val="2CC87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A04E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D5262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B66E62"/>
    <w:multiLevelType w:val="singleLevel"/>
    <w:tmpl w:val="2CC87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77047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7232E1"/>
    <w:multiLevelType w:val="singleLevel"/>
    <w:tmpl w:val="3D0EBF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D874E31"/>
    <w:multiLevelType w:val="multilevel"/>
    <w:tmpl w:val="C7A4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031BE"/>
    <w:multiLevelType w:val="singleLevel"/>
    <w:tmpl w:val="2CC87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C2"/>
    <w:rsid w:val="000956C2"/>
    <w:rsid w:val="00583257"/>
    <w:rsid w:val="00A9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  <w:sz w:val="16"/>
    </w:rPr>
  </w:style>
  <w:style w:type="paragraph" w:customStyle="1" w:styleId="Table">
    <w:name w:val="Table"/>
    <w:basedOn w:val="Normal"/>
    <w:pPr>
      <w:tabs>
        <w:tab w:val="left" w:pos="355"/>
      </w:tabs>
      <w:spacing w:before="40" w:after="40"/>
    </w:pPr>
    <w:rPr>
      <w:rFonts w:ascii="Arial Narrow" w:hAnsi="Arial Narrow"/>
      <w:sz w:val="1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  <w:sz w:val="16"/>
    </w:rPr>
  </w:style>
  <w:style w:type="paragraph" w:customStyle="1" w:styleId="Table">
    <w:name w:val="Table"/>
    <w:basedOn w:val="Normal"/>
    <w:pPr>
      <w:tabs>
        <w:tab w:val="left" w:pos="355"/>
      </w:tabs>
      <w:spacing w:before="40" w:after="40"/>
    </w:pPr>
    <w:rPr>
      <w:rFonts w:ascii="Arial Narrow" w:hAnsi="Arial Narrow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and Topic</vt:lpstr>
    </vt:vector>
  </TitlesOfParts>
  <Company>University of Bristol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and Topic</dc:title>
  <dc:creator>Social Medicine</dc:creator>
  <cp:lastModifiedBy>CDC User</cp:lastModifiedBy>
  <cp:revision>3</cp:revision>
  <dcterms:created xsi:type="dcterms:W3CDTF">2013-03-13T19:33:00Z</dcterms:created>
  <dcterms:modified xsi:type="dcterms:W3CDTF">2013-03-13T19:51:00Z</dcterms:modified>
</cp:coreProperties>
</file>