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4223" w14:textId="77777777" w:rsidR="00C13CE8" w:rsidRPr="00FB3577" w:rsidRDefault="00C13CE8" w:rsidP="00C13CE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577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Supplemental Figures</w:t>
      </w:r>
    </w:p>
    <w:p w14:paraId="797D25E4" w14:textId="4593EB57" w:rsidR="00175BF8" w:rsidRDefault="00175BF8" w:rsidP="00C13CE8">
      <w:r>
        <w:rPr>
          <w:noProof/>
        </w:rPr>
        <w:drawing>
          <wp:inline distT="0" distB="0" distL="0" distR="0" wp14:anchorId="5E6AAD8C" wp14:editId="08E7F44D">
            <wp:extent cx="6297295" cy="2091194"/>
            <wp:effectExtent l="0" t="0" r="825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8391" r="1146" b="3316"/>
                    <a:stretch/>
                  </pic:blipFill>
                  <pic:spPr bwMode="auto">
                    <a:xfrm>
                      <a:off x="0" y="0"/>
                      <a:ext cx="6299964" cy="20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4F412" w14:textId="274D1024" w:rsidR="00175BF8" w:rsidRDefault="00175BF8" w:rsidP="00175B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Supplemental </w:t>
      </w:r>
      <w:r w:rsidRPr="00FB3577">
        <w:rPr>
          <w:rFonts w:ascii="Times New Roman" w:eastAsia="Times New Roman" w:hAnsi="Times New Roman" w:cs="Times New Roman"/>
        </w:rPr>
        <w:t xml:space="preserve">Figure 1 -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Clinical Decision Support System logic flow. The core function of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was to assist in applying CDC person under investigation (PUI) criteria and recommend testing if a </w:t>
      </w:r>
      <w:proofErr w:type="gramStart"/>
      <w:r w:rsidRPr="00FB3577">
        <w:rPr>
          <w:rFonts w:ascii="Times New Roman" w:eastAsia="Times New Roman" w:hAnsi="Times New Roman" w:cs="Times New Roman"/>
        </w:rPr>
        <w:t>PUI, and</w:t>
      </w:r>
      <w:proofErr w:type="gramEnd"/>
      <w:r w:rsidRPr="00FB3577">
        <w:rPr>
          <w:rFonts w:ascii="Times New Roman" w:eastAsia="Times New Roman" w:hAnsi="Times New Roman" w:cs="Times New Roman"/>
        </w:rPr>
        <w:t xml:space="preserve"> recommend against testing if not (unless clinical suspicion was high).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also automatically coordinated the application of </w:t>
      </w:r>
      <w:proofErr w:type="spellStart"/>
      <w:r w:rsidRPr="00FB3577">
        <w:rPr>
          <w:rFonts w:ascii="Times New Roman" w:eastAsia="Times New Roman" w:hAnsi="Times New Roman" w:cs="Times New Roman"/>
        </w:rPr>
        <w:t>mpox</w:t>
      </w:r>
      <w:proofErr w:type="spellEnd"/>
      <w:r w:rsidRPr="00FB3577">
        <w:rPr>
          <w:rFonts w:ascii="Times New Roman" w:eastAsia="Times New Roman" w:hAnsi="Times New Roman" w:cs="Times New Roman"/>
        </w:rPr>
        <w:t>-related infection statuses and isolation.</w:t>
      </w:r>
    </w:p>
    <w:p w14:paraId="56B83961" w14:textId="77777777" w:rsidR="00175BF8" w:rsidRDefault="00175BF8" w:rsidP="00C13CE8"/>
    <w:p w14:paraId="52F5DC01" w14:textId="7A390B8D" w:rsidR="00C13CE8" w:rsidRPr="00FB3577" w:rsidRDefault="00C13CE8" w:rsidP="00C13CE8">
      <w:r w:rsidRPr="00FB3577">
        <w:rPr>
          <w:noProof/>
        </w:rPr>
        <w:drawing>
          <wp:inline distT="0" distB="0" distL="0" distR="0" wp14:anchorId="3E76C424" wp14:editId="6D4F7ADB">
            <wp:extent cx="3790950" cy="3048556"/>
            <wp:effectExtent l="0" t="0" r="0" b="0"/>
            <wp:docPr id="670054292" name="Picture 67005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04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0168" w14:textId="5E753B50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2</w:t>
      </w:r>
      <w:r w:rsidRPr="00FB3577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use plotted by practice location. Total encounters within a given municipality are depicted (frequently encompassing multiple individual practices). </w:t>
      </w:r>
    </w:p>
    <w:p w14:paraId="2A70D3F7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458074C2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lastRenderedPageBreak/>
        <w:drawing>
          <wp:inline distT="0" distB="0" distL="0" distR="0" wp14:anchorId="1D292556" wp14:editId="4E8A1ECC">
            <wp:extent cx="4134227" cy="18922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2020" cy="189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21FF" w14:textId="610064A7" w:rsidR="00C13CE8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3</w:t>
      </w:r>
      <w:r w:rsidRPr="00FB3577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use by care setting. Encounters originated in the emergency department (n=219, 33%), urgent care (n=202, 30%), outpatient (n=199, 30%), and inpatient (n=48, 7%) settings.</w:t>
      </w:r>
    </w:p>
    <w:p w14:paraId="5467B549" w14:textId="77777777" w:rsidR="00175BF8" w:rsidRPr="00FB3577" w:rsidRDefault="00175BF8" w:rsidP="00C13CE8">
      <w:pPr>
        <w:rPr>
          <w:rFonts w:ascii="Times New Roman" w:eastAsia="Times New Roman" w:hAnsi="Times New Roman" w:cs="Times New Roman"/>
        </w:rPr>
      </w:pPr>
    </w:p>
    <w:p w14:paraId="28812694" w14:textId="2C9E03C1" w:rsidR="00C13CE8" w:rsidRPr="00FB3577" w:rsidRDefault="00C25DA0" w:rsidP="00C13C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502CEB7" wp14:editId="146858B5">
            <wp:extent cx="5542059" cy="3854122"/>
            <wp:effectExtent l="0" t="0" r="1905" b="0"/>
            <wp:docPr id="8" name="Picture 8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aph of a number of cas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561" cy="385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84C7" w14:textId="6EF04423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4</w:t>
      </w:r>
      <w:r w:rsidRPr="00FB3577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use</w:t>
      </w:r>
      <w:r w:rsidR="00C25DA0">
        <w:rPr>
          <w:rFonts w:ascii="Times New Roman" w:eastAsia="Times New Roman" w:hAnsi="Times New Roman" w:cs="Times New Roman"/>
        </w:rPr>
        <w:t>s</w:t>
      </w:r>
      <w:r w:rsidRPr="00FB3577">
        <w:rPr>
          <w:rFonts w:ascii="Times New Roman" w:eastAsia="Times New Roman" w:hAnsi="Times New Roman" w:cs="Times New Roman"/>
        </w:rPr>
        <w:t xml:space="preserve">, binned by </w:t>
      </w:r>
      <w:proofErr w:type="gramStart"/>
      <w:r w:rsidRPr="00FB3577">
        <w:rPr>
          <w:rFonts w:ascii="Times New Roman" w:eastAsia="Times New Roman" w:hAnsi="Times New Roman" w:cs="Times New Roman"/>
        </w:rPr>
        <w:t>week</w:t>
      </w:r>
      <w:proofErr w:type="gramEnd"/>
      <w:r w:rsidR="00C25DA0">
        <w:rPr>
          <w:rFonts w:ascii="Times New Roman" w:eastAsia="Times New Roman" w:hAnsi="Times New Roman" w:cs="Times New Roman"/>
        </w:rPr>
        <w:t xml:space="preserve"> and depicted in grey</w:t>
      </w:r>
      <w:r w:rsidRPr="00FB3577">
        <w:rPr>
          <w:rFonts w:ascii="Times New Roman" w:eastAsia="Times New Roman" w:hAnsi="Times New Roman" w:cs="Times New Roman"/>
        </w:rPr>
        <w:t xml:space="preserve">, </w:t>
      </w:r>
      <w:r w:rsidR="00C25DA0">
        <w:rPr>
          <w:rFonts w:ascii="Times New Roman" w:eastAsia="Times New Roman" w:hAnsi="Times New Roman" w:cs="Times New Roman"/>
        </w:rPr>
        <w:t>are</w:t>
      </w:r>
      <w:r w:rsidRPr="00FB3577">
        <w:rPr>
          <w:rFonts w:ascii="Times New Roman" w:eastAsia="Times New Roman" w:hAnsi="Times New Roman" w:cs="Times New Roman"/>
        </w:rPr>
        <w:t xml:space="preserve"> plotted</w:t>
      </w:r>
      <w:r w:rsidR="00C25DA0">
        <w:rPr>
          <w:rFonts w:ascii="Times New Roman" w:eastAsia="Times New Roman" w:hAnsi="Times New Roman" w:cs="Times New Roman"/>
        </w:rPr>
        <w:t xml:space="preserve"> on the left axis</w:t>
      </w:r>
      <w:r w:rsidRPr="00FB3577">
        <w:rPr>
          <w:rFonts w:ascii="Times New Roman" w:eastAsia="Times New Roman" w:hAnsi="Times New Roman" w:cs="Times New Roman"/>
        </w:rPr>
        <w:t>.</w:t>
      </w:r>
      <w:r w:rsidR="00C25DA0">
        <w:rPr>
          <w:rFonts w:ascii="Times New Roman" w:eastAsia="Times New Roman" w:hAnsi="Times New Roman" w:cs="Times New Roman"/>
        </w:rPr>
        <w:t xml:space="preserve"> Reported U.S. cases (CDC), binned by week and depicted in black, are plotted on the right axis. </w:t>
      </w:r>
      <w:proofErr w:type="spellStart"/>
      <w:r w:rsidR="00C25DA0">
        <w:rPr>
          <w:rFonts w:ascii="Times New Roman" w:eastAsia="Times New Roman" w:hAnsi="Times New Roman" w:cs="Times New Roman"/>
        </w:rPr>
        <w:t>EvalMpox</w:t>
      </w:r>
      <w:proofErr w:type="spellEnd"/>
      <w:r w:rsidR="00C25DA0">
        <w:rPr>
          <w:rFonts w:ascii="Times New Roman" w:eastAsia="Times New Roman" w:hAnsi="Times New Roman" w:cs="Times New Roman"/>
        </w:rPr>
        <w:t xml:space="preserve"> uses track U.S. cases well with an apparent lag in </w:t>
      </w:r>
      <w:proofErr w:type="spellStart"/>
      <w:r w:rsidR="00C25DA0">
        <w:rPr>
          <w:rFonts w:ascii="Times New Roman" w:eastAsia="Times New Roman" w:hAnsi="Times New Roman" w:cs="Times New Roman"/>
        </w:rPr>
        <w:t>EvalMpox</w:t>
      </w:r>
      <w:proofErr w:type="spellEnd"/>
      <w:r w:rsidR="00C25DA0">
        <w:rPr>
          <w:rFonts w:ascii="Times New Roman" w:eastAsia="Times New Roman" w:hAnsi="Times New Roman" w:cs="Times New Roman"/>
        </w:rPr>
        <w:t xml:space="preserve"> use, perhaps reflecting a slightly delayed epidemic curve in Massachusetts as well as a </w:t>
      </w:r>
      <w:bookmarkStart w:id="0" w:name="_Hlk157517235"/>
      <w:r w:rsidR="00C25DA0">
        <w:rPr>
          <w:rFonts w:ascii="Times New Roman" w:eastAsia="Times New Roman" w:hAnsi="Times New Roman" w:cs="Times New Roman"/>
        </w:rPr>
        <w:t xml:space="preserve">temporal lag in provider awareness of </w:t>
      </w:r>
      <w:proofErr w:type="spellStart"/>
      <w:r w:rsidR="00C25DA0">
        <w:rPr>
          <w:rFonts w:ascii="Times New Roman" w:eastAsia="Times New Roman" w:hAnsi="Times New Roman" w:cs="Times New Roman"/>
        </w:rPr>
        <w:t>mpox</w:t>
      </w:r>
      <w:proofErr w:type="spellEnd"/>
      <w:r w:rsidR="00C25DA0">
        <w:rPr>
          <w:rFonts w:ascii="Times New Roman" w:eastAsia="Times New Roman" w:hAnsi="Times New Roman" w:cs="Times New Roman"/>
        </w:rPr>
        <w:t xml:space="preserve"> incidence. </w:t>
      </w:r>
    </w:p>
    <w:bookmarkEnd w:id="0"/>
    <w:p w14:paraId="743196D7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lastRenderedPageBreak/>
        <w:drawing>
          <wp:inline distT="0" distB="0" distL="0" distR="0" wp14:anchorId="295FA0A6" wp14:editId="54A2C191">
            <wp:extent cx="3889688" cy="17806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2701" cy="178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9A10" w14:textId="1FD9C3A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5</w:t>
      </w:r>
      <w:r w:rsidRPr="00FB3577">
        <w:rPr>
          <w:rFonts w:ascii="Times New Roman" w:eastAsia="Times New Roman" w:hAnsi="Times New Roman" w:cs="Times New Roman"/>
        </w:rPr>
        <w:t xml:space="preserve"> – Diverse healthcare personnel utilized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>, including attending physicians (n-=204, 31%), physician assistants (n=195, 29%), nurse practitioners (n=141, 21%), post-graduate trainees (n=42, 6%), registered nurses (n=81, 12%), and midwives (n=2, 0.3%). 2 encounters had missing role groups.</w:t>
      </w:r>
    </w:p>
    <w:p w14:paraId="6D471746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5B54D2DC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drawing>
          <wp:inline distT="0" distB="0" distL="0" distR="0" wp14:anchorId="02E8B989" wp14:editId="352278CA">
            <wp:extent cx="4016395" cy="312815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8778" cy="313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3AA1" w14:textId="07A720DC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bookmarkStart w:id="1" w:name="_Hlk157591689"/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6</w:t>
      </w:r>
      <w:r w:rsidRPr="00FB3577">
        <w:rPr>
          <w:rFonts w:ascii="Times New Roman" w:eastAsia="Times New Roman" w:hAnsi="Times New Roman" w:cs="Times New Roman"/>
        </w:rPr>
        <w:t xml:space="preserve"> – PUI vs. non-PUI age distribution (binned by decade of life).</w:t>
      </w:r>
      <w:r w:rsidR="00984AD7">
        <w:rPr>
          <w:rFonts w:ascii="Times New Roman" w:eastAsia="Times New Roman" w:hAnsi="Times New Roman" w:cs="Times New Roman"/>
        </w:rPr>
        <w:t xml:space="preserve"> The PUI histogram is roughly normally distributed, centered on ages 20-39, </w:t>
      </w:r>
      <w:proofErr w:type="gramStart"/>
      <w:r w:rsidR="00984AD7">
        <w:rPr>
          <w:rFonts w:ascii="Times New Roman" w:eastAsia="Times New Roman" w:hAnsi="Times New Roman" w:cs="Times New Roman"/>
        </w:rPr>
        <w:t>similar to</w:t>
      </w:r>
      <w:proofErr w:type="gramEnd"/>
      <w:r w:rsidR="00984AD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4AD7">
        <w:rPr>
          <w:rFonts w:ascii="Times New Roman" w:eastAsia="Times New Roman" w:hAnsi="Times New Roman" w:cs="Times New Roman"/>
        </w:rPr>
        <w:t>mpox</w:t>
      </w:r>
      <w:proofErr w:type="spellEnd"/>
      <w:r w:rsidR="00984AD7">
        <w:rPr>
          <w:rFonts w:ascii="Times New Roman" w:eastAsia="Times New Roman" w:hAnsi="Times New Roman" w:cs="Times New Roman"/>
        </w:rPr>
        <w:t xml:space="preserve"> case characteristics.</w:t>
      </w:r>
      <w:r w:rsidRPr="00FB3577">
        <w:rPr>
          <w:rFonts w:ascii="Times New Roman" w:eastAsia="Times New Roman" w:hAnsi="Times New Roman" w:cs="Times New Roman"/>
        </w:rPr>
        <w:t xml:space="preserve"> </w:t>
      </w:r>
      <w:r w:rsidR="00984AD7">
        <w:rPr>
          <w:rFonts w:ascii="Times New Roman" w:eastAsia="Times New Roman" w:hAnsi="Times New Roman" w:cs="Times New Roman"/>
        </w:rPr>
        <w:t>In contrast, a second, minor peak is evident in non-PUIs aged 50-69.</w:t>
      </w:r>
    </w:p>
    <w:bookmarkEnd w:id="1"/>
    <w:p w14:paraId="4F18243B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6C32BAEE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lastRenderedPageBreak/>
        <w:drawing>
          <wp:inline distT="0" distB="0" distL="0" distR="0" wp14:anchorId="0680A3D2" wp14:editId="10196FE1">
            <wp:extent cx="3674869" cy="2417326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9850" cy="24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31F2" w14:textId="5628D3F3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7</w:t>
      </w:r>
      <w:r w:rsidRPr="00FB3577">
        <w:rPr>
          <w:rFonts w:ascii="Times New Roman" w:eastAsia="Times New Roman" w:hAnsi="Times New Roman" w:cs="Times New Roman"/>
        </w:rPr>
        <w:t xml:space="preserve"> – PUI vs. non-PUI reported legal sex.</w:t>
      </w:r>
    </w:p>
    <w:p w14:paraId="609B09EC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36D88A10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drawing>
          <wp:inline distT="0" distB="0" distL="0" distR="0" wp14:anchorId="3AE5D43E" wp14:editId="1E0C2FA2">
            <wp:extent cx="3114136" cy="2112356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1160" cy="213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4DCC" w14:textId="02D8301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8</w:t>
      </w:r>
      <w:r w:rsidRPr="00FB3577">
        <w:rPr>
          <w:rFonts w:ascii="Times New Roman" w:eastAsia="Times New Roman" w:hAnsi="Times New Roman" w:cs="Times New Roman"/>
        </w:rPr>
        <w:t xml:space="preserve"> – PUI vs. non-PUI number tested by polymerase chain reaction (PCR).</w:t>
      </w:r>
    </w:p>
    <w:p w14:paraId="13F6579D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6C8BE6F7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lastRenderedPageBreak/>
        <w:drawing>
          <wp:inline distT="0" distB="0" distL="0" distR="0" wp14:anchorId="548C1CE9" wp14:editId="1E3E064A">
            <wp:extent cx="3043165" cy="3134591"/>
            <wp:effectExtent l="0" t="0" r="0" b="0"/>
            <wp:docPr id="91236379" name="Picture 91236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65" cy="313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9621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06144855" w14:textId="7F22C21D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9</w:t>
      </w:r>
      <w:r w:rsidRPr="00FB3577">
        <w:rPr>
          <w:rFonts w:ascii="Times New Roman" w:eastAsia="Times New Roman" w:hAnsi="Times New Roman" w:cs="Times New Roman"/>
        </w:rPr>
        <w:t xml:space="preserve"> – PUI vs. non-PUI number with indicated polymerase chain reaction (PCR) test result.</w:t>
      </w:r>
    </w:p>
    <w:p w14:paraId="53279E46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</w:p>
    <w:p w14:paraId="31EFC284" w14:textId="77777777" w:rsidR="00C13CE8" w:rsidRPr="00FB3577" w:rsidRDefault="00C13CE8" w:rsidP="00C13CE8">
      <w:pPr>
        <w:rPr>
          <w:rFonts w:ascii="Times New Roman" w:eastAsia="Times New Roman" w:hAnsi="Times New Roman" w:cs="Times New Roman"/>
        </w:rPr>
      </w:pPr>
      <w:r w:rsidRPr="00FB3577">
        <w:rPr>
          <w:noProof/>
        </w:rPr>
        <w:drawing>
          <wp:inline distT="0" distB="0" distL="0" distR="0" wp14:anchorId="4C841116" wp14:editId="0190486C">
            <wp:extent cx="3801341" cy="2502549"/>
            <wp:effectExtent l="0" t="0" r="0" b="0"/>
            <wp:docPr id="1791836532" name="Picture 1791836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341" cy="250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4109" w14:textId="35649CB0" w:rsidR="00F527EC" w:rsidRPr="00C13CE8" w:rsidRDefault="00C13CE8">
      <w:pPr>
        <w:rPr>
          <w:rFonts w:ascii="Times New Roman" w:eastAsia="Times New Roman" w:hAnsi="Times New Roman" w:cs="Times New Roman"/>
        </w:rPr>
      </w:pPr>
      <w:r w:rsidRPr="00FB3577">
        <w:rPr>
          <w:rFonts w:ascii="Times New Roman" w:eastAsia="Times New Roman" w:hAnsi="Times New Roman" w:cs="Times New Roman"/>
        </w:rPr>
        <w:t xml:space="preserve">Supplemental Figure </w:t>
      </w:r>
      <w:r w:rsidR="00175BF8">
        <w:rPr>
          <w:rFonts w:ascii="Times New Roman" w:eastAsia="Times New Roman" w:hAnsi="Times New Roman" w:cs="Times New Roman"/>
        </w:rPr>
        <w:t>10</w:t>
      </w:r>
      <w:r w:rsidRPr="00FB3577">
        <w:rPr>
          <w:rFonts w:ascii="Times New Roman" w:eastAsia="Times New Roman" w:hAnsi="Times New Roman" w:cs="Times New Roman"/>
        </w:rPr>
        <w:t xml:space="preserve"> - PUI vs. non-PUI number with indicated PCR test result. Additionally included </w:t>
      </w:r>
      <w:r w:rsidR="00A7095B">
        <w:rPr>
          <w:rFonts w:ascii="Times New Roman" w:eastAsia="Times New Roman" w:hAnsi="Times New Roman" w:cs="Times New Roman"/>
        </w:rPr>
        <w:t xml:space="preserve">in this supplemental figure </w:t>
      </w:r>
      <w:r w:rsidRPr="00FB3577">
        <w:rPr>
          <w:rFonts w:ascii="Times New Roman" w:eastAsia="Times New Roman" w:hAnsi="Times New Roman" w:cs="Times New Roman"/>
        </w:rPr>
        <w:t xml:space="preserve">is the group with PCR test results but no </w:t>
      </w:r>
      <w:proofErr w:type="spellStart"/>
      <w:r w:rsidRPr="00FB3577">
        <w:rPr>
          <w:rFonts w:ascii="Times New Roman" w:eastAsia="Times New Roman" w:hAnsi="Times New Roman" w:cs="Times New Roman"/>
        </w:rPr>
        <w:t>EvalMpox</w:t>
      </w:r>
      <w:proofErr w:type="spellEnd"/>
      <w:r w:rsidRPr="00FB3577">
        <w:rPr>
          <w:rFonts w:ascii="Times New Roman" w:eastAsia="Times New Roman" w:hAnsi="Times New Roman" w:cs="Times New Roman"/>
        </w:rPr>
        <w:t xml:space="preserve"> performed.</w:t>
      </w:r>
      <w:r w:rsidRPr="26B30104">
        <w:rPr>
          <w:rFonts w:ascii="Times New Roman" w:eastAsia="Times New Roman" w:hAnsi="Times New Roman" w:cs="Times New Roman"/>
        </w:rPr>
        <w:t xml:space="preserve"> </w:t>
      </w:r>
    </w:p>
    <w:sectPr w:rsidR="00F527EC" w:rsidRPr="00C13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E8"/>
    <w:rsid w:val="00175BF8"/>
    <w:rsid w:val="002A6688"/>
    <w:rsid w:val="00322FCE"/>
    <w:rsid w:val="00984AD7"/>
    <w:rsid w:val="009F6538"/>
    <w:rsid w:val="00A7095B"/>
    <w:rsid w:val="00C13CE8"/>
    <w:rsid w:val="00C17AAC"/>
    <w:rsid w:val="00C25DA0"/>
    <w:rsid w:val="00D308B2"/>
    <w:rsid w:val="00F5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8060"/>
  <w15:chartTrackingRefBased/>
  <w15:docId w15:val="{52460342-8409-44A4-844D-171AC987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84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Lazarus, Jacob E.,MD, PhD</dc:creator>
  <cp:keywords/>
  <dc:description/>
  <cp:lastModifiedBy>Lazarus, Jacob E.,MD, PhD</cp:lastModifiedBy>
  <cp:revision>2</cp:revision>
  <dcterms:created xsi:type="dcterms:W3CDTF">2024-02-05T15:12:00Z</dcterms:created>
  <dcterms:modified xsi:type="dcterms:W3CDTF">2024-02-05T15:12:00Z</dcterms:modified>
</cp:coreProperties>
</file>