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5A56" w14:textId="398F45CF" w:rsidR="001A5B45" w:rsidRPr="004948C7" w:rsidRDefault="000B6D90" w:rsidP="00AF6827">
      <w:pPr>
        <w:spacing w:line="480" w:lineRule="auto"/>
        <w:contextualSpacing/>
        <w:rPr>
          <w:rFonts w:ascii="Times New Roman" w:hAnsi="Times New Roman" w:cs="Times New Roman"/>
          <w:b/>
          <w:bCs/>
        </w:rPr>
      </w:pPr>
      <w:r w:rsidRPr="004948C7">
        <w:rPr>
          <w:rFonts w:ascii="Times New Roman" w:hAnsi="Times New Roman" w:cs="Times New Roman"/>
          <w:b/>
          <w:bCs/>
        </w:rPr>
        <w:t xml:space="preserve">Supplementary </w:t>
      </w:r>
      <w:r w:rsidR="00EB561E">
        <w:rPr>
          <w:rFonts w:ascii="Times New Roman" w:hAnsi="Times New Roman" w:cs="Times New Roman"/>
          <w:b/>
          <w:bCs/>
        </w:rPr>
        <w:t>M</w:t>
      </w:r>
      <w:r w:rsidRPr="004948C7">
        <w:rPr>
          <w:rFonts w:ascii="Times New Roman" w:hAnsi="Times New Roman" w:cs="Times New Roman"/>
          <w:b/>
          <w:bCs/>
        </w:rPr>
        <w:t>ethods</w:t>
      </w:r>
    </w:p>
    <w:p w14:paraId="7ABB1968" w14:textId="29002150" w:rsidR="00AF6827" w:rsidRPr="004948C7" w:rsidRDefault="00361DD9" w:rsidP="001A5B45">
      <w:pPr>
        <w:spacing w:line="480" w:lineRule="auto"/>
        <w:ind w:firstLine="720"/>
        <w:contextualSpacing/>
        <w:rPr>
          <w:rFonts w:ascii="Times New Roman" w:hAnsi="Times New Roman" w:cs="Times New Roman"/>
          <w:b/>
          <w:bCs/>
        </w:rPr>
      </w:pPr>
      <w:r w:rsidRPr="004948C7">
        <w:rPr>
          <w:rFonts w:ascii="Times New Roman" w:hAnsi="Times New Roman" w:cs="Times New Roman"/>
        </w:rPr>
        <w:t xml:space="preserve">Data </w:t>
      </w:r>
      <w:r w:rsidR="00D56540" w:rsidRPr="004948C7">
        <w:rPr>
          <w:rFonts w:ascii="Times New Roman" w:hAnsi="Times New Roman" w:cs="Times New Roman"/>
        </w:rPr>
        <w:t xml:space="preserve">for this study </w:t>
      </w:r>
      <w:r w:rsidRPr="004948C7">
        <w:rPr>
          <w:rFonts w:ascii="Times New Roman" w:hAnsi="Times New Roman" w:cs="Times New Roman"/>
        </w:rPr>
        <w:t xml:space="preserve">were obtained from the </w:t>
      </w:r>
      <w:proofErr w:type="spellStart"/>
      <w:r w:rsidR="00B522B2" w:rsidRPr="004948C7">
        <w:rPr>
          <w:rFonts w:ascii="Times New Roman" w:hAnsi="Times New Roman" w:cs="Times New Roman"/>
        </w:rPr>
        <w:t>Merative</w:t>
      </w:r>
      <w:proofErr w:type="spellEnd"/>
      <w:r w:rsidR="00B522B2" w:rsidRPr="004948C7">
        <w:rPr>
          <w:rFonts w:ascii="Times New Roman" w:hAnsi="Times New Roman" w:cs="Times New Roman"/>
        </w:rPr>
        <w:t xml:space="preserve">® MarketScan® </w:t>
      </w:r>
      <w:r w:rsidR="00D00CD9" w:rsidRPr="004948C7">
        <w:rPr>
          <w:rFonts w:ascii="Times New Roman" w:hAnsi="Times New Roman" w:cs="Times New Roman"/>
          <w:color w:val="000000"/>
          <w:shd w:val="clear" w:color="auto" w:fill="FFFFFF"/>
        </w:rPr>
        <w:t>Commercial and Medicare Supplemental Research Databases (</w:t>
      </w:r>
      <w:hyperlink r:id="rId4" w:history="1">
        <w:r w:rsidR="00D00CD9" w:rsidRPr="004948C7">
          <w:rPr>
            <w:rStyle w:val="Hyperlink"/>
            <w:rFonts w:ascii="Times New Roman" w:hAnsi="Times New Roman" w:cs="Times New Roman"/>
            <w:shd w:val="clear" w:color="auto" w:fill="FFFFFF"/>
          </w:rPr>
          <w:t>https://www.merative.com/documents/brief/marketscan-explainer-general</w:t>
        </w:r>
      </w:hyperlink>
      <w:r w:rsidR="00D00CD9" w:rsidRPr="004948C7">
        <w:rPr>
          <w:rFonts w:ascii="Times New Roman" w:hAnsi="Times New Roman" w:cs="Times New Roman"/>
          <w:color w:val="000000"/>
          <w:shd w:val="clear" w:color="auto" w:fill="FFFFFF"/>
        </w:rPr>
        <w:t>)</w:t>
      </w:r>
      <w:r w:rsidR="000E2971" w:rsidRPr="004948C7">
        <w:rPr>
          <w:rFonts w:ascii="Times New Roman" w:hAnsi="Times New Roman" w:cs="Times New Roman"/>
        </w:rPr>
        <w:t>. The</w:t>
      </w:r>
      <w:r w:rsidR="00443C2B" w:rsidRPr="004948C7">
        <w:rPr>
          <w:rFonts w:ascii="Times New Roman" w:hAnsi="Times New Roman" w:cs="Times New Roman"/>
        </w:rPr>
        <w:t xml:space="preserve">se </w:t>
      </w:r>
      <w:r w:rsidR="000E2971" w:rsidRPr="004948C7">
        <w:rPr>
          <w:rFonts w:ascii="Times New Roman" w:hAnsi="Times New Roman" w:cs="Times New Roman"/>
        </w:rPr>
        <w:t>databases</w:t>
      </w:r>
      <w:r w:rsidR="0095762E" w:rsidRPr="004948C7">
        <w:rPr>
          <w:rFonts w:ascii="Times New Roman" w:hAnsi="Times New Roman" w:cs="Times New Roman"/>
        </w:rPr>
        <w:t xml:space="preserve"> are deidentified and</w:t>
      </w:r>
      <w:r w:rsidR="000E2971" w:rsidRPr="004948C7">
        <w:rPr>
          <w:rFonts w:ascii="Times New Roman" w:hAnsi="Times New Roman" w:cs="Times New Roman"/>
        </w:rPr>
        <w:t xml:space="preserve"> </w:t>
      </w:r>
      <w:r w:rsidR="009013C2" w:rsidRPr="004948C7">
        <w:rPr>
          <w:rFonts w:ascii="Times New Roman" w:hAnsi="Times New Roman" w:cs="Times New Roman"/>
        </w:rPr>
        <w:t xml:space="preserve">represent a very large convenience sample of </w:t>
      </w:r>
      <w:r w:rsidR="00C71E9F" w:rsidRPr="004948C7">
        <w:rPr>
          <w:rFonts w:ascii="Times New Roman" w:hAnsi="Times New Roman" w:cs="Times New Roman"/>
        </w:rPr>
        <w:t>claims from outpatient visits and</w:t>
      </w:r>
      <w:r w:rsidR="009013C2" w:rsidRPr="004948C7">
        <w:rPr>
          <w:rFonts w:ascii="Times New Roman" w:hAnsi="Times New Roman" w:cs="Times New Roman"/>
        </w:rPr>
        <w:t xml:space="preserve"> prescriptions</w:t>
      </w:r>
      <w:r w:rsidR="00C71E9F" w:rsidRPr="004948C7">
        <w:rPr>
          <w:rFonts w:ascii="Times New Roman" w:hAnsi="Times New Roman" w:cs="Times New Roman"/>
        </w:rPr>
        <w:t xml:space="preserve"> for </w:t>
      </w:r>
      <w:r w:rsidR="004C2272" w:rsidRPr="004948C7">
        <w:rPr>
          <w:rFonts w:ascii="Times New Roman" w:hAnsi="Times New Roman" w:cs="Times New Roman"/>
        </w:rPr>
        <w:t>&gt;19</w:t>
      </w:r>
      <w:r w:rsidR="00C71E9F" w:rsidRPr="004948C7">
        <w:rPr>
          <w:rFonts w:ascii="Times New Roman" w:hAnsi="Times New Roman" w:cs="Times New Roman"/>
        </w:rPr>
        <w:t xml:space="preserve"> million </w:t>
      </w:r>
      <w:r w:rsidR="007A222C" w:rsidRPr="004948C7">
        <w:rPr>
          <w:rFonts w:ascii="Times New Roman" w:hAnsi="Times New Roman" w:cs="Times New Roman"/>
        </w:rPr>
        <w:t xml:space="preserve">commercially-insured </w:t>
      </w:r>
      <w:r w:rsidR="00C71E9F" w:rsidRPr="004948C7">
        <w:rPr>
          <w:rFonts w:ascii="Times New Roman" w:hAnsi="Times New Roman" w:cs="Times New Roman"/>
        </w:rPr>
        <w:t>employees, dependents, and retirees throughout the United States</w:t>
      </w:r>
      <w:r w:rsidR="004C0601" w:rsidRPr="004948C7">
        <w:rPr>
          <w:rFonts w:ascii="Times New Roman" w:hAnsi="Times New Roman" w:cs="Times New Roman"/>
        </w:rPr>
        <w:t xml:space="preserve"> in 202</w:t>
      </w:r>
      <w:r w:rsidR="00B211D9">
        <w:rPr>
          <w:rFonts w:ascii="Times New Roman" w:hAnsi="Times New Roman" w:cs="Times New Roman"/>
        </w:rPr>
        <w:t>3</w:t>
      </w:r>
      <w:r w:rsidR="00C71E9F" w:rsidRPr="004948C7">
        <w:rPr>
          <w:rFonts w:ascii="Times New Roman" w:hAnsi="Times New Roman" w:cs="Times New Roman"/>
        </w:rPr>
        <w:t>.</w:t>
      </w:r>
      <w:r w:rsidR="00165410" w:rsidRPr="004948C7">
        <w:rPr>
          <w:rFonts w:ascii="Times New Roman" w:hAnsi="Times New Roman" w:cs="Times New Roman"/>
        </w:rPr>
        <w:t xml:space="preserve"> MarketScan</w:t>
      </w:r>
      <w:r w:rsidR="001A5B45" w:rsidRPr="004948C7">
        <w:rPr>
          <w:rFonts w:ascii="Times New Roman" w:hAnsi="Times New Roman" w:cs="Times New Roman"/>
        </w:rPr>
        <w:t>®</w:t>
      </w:r>
      <w:r w:rsidR="00165410" w:rsidRPr="004948C7">
        <w:rPr>
          <w:rFonts w:ascii="Times New Roman" w:hAnsi="Times New Roman" w:cs="Times New Roman"/>
        </w:rPr>
        <w:t xml:space="preserve"> represents one of the largest collections of such data in the </w:t>
      </w:r>
      <w:r w:rsidR="00A20317" w:rsidRPr="004948C7">
        <w:rPr>
          <w:rFonts w:ascii="Times New Roman" w:hAnsi="Times New Roman" w:cs="Times New Roman"/>
        </w:rPr>
        <w:t>United States</w:t>
      </w:r>
      <w:r w:rsidR="00165410" w:rsidRPr="004948C7">
        <w:rPr>
          <w:rFonts w:ascii="Times New Roman" w:hAnsi="Times New Roman" w:cs="Times New Roman"/>
        </w:rPr>
        <w:t xml:space="preserve"> and captures patient interactions across the full spectrum of healthcare. </w:t>
      </w:r>
      <w:r w:rsidR="00A87020" w:rsidRPr="004948C7">
        <w:rPr>
          <w:rFonts w:ascii="Times New Roman" w:hAnsi="Times New Roman" w:cs="Times New Roman"/>
        </w:rPr>
        <w:t>We conducted analyses using the MarketScan® Treatment Pathways web-based analytic tool and SAS software (version 9.4; SAS Institute).</w:t>
      </w:r>
      <w:r w:rsidR="00F02D5D" w:rsidRPr="004948C7">
        <w:rPr>
          <w:rFonts w:ascii="Times New Roman" w:hAnsi="Times New Roman" w:cs="Times New Roman"/>
        </w:rPr>
        <w:t xml:space="preserve"> </w:t>
      </w:r>
    </w:p>
    <w:p w14:paraId="03C64C95" w14:textId="4C33FABA" w:rsidR="000B6D90" w:rsidRPr="004948C7" w:rsidRDefault="00A87020" w:rsidP="001A5B45">
      <w:pPr>
        <w:spacing w:line="480" w:lineRule="auto"/>
        <w:ind w:firstLine="720"/>
        <w:contextualSpacing/>
        <w:rPr>
          <w:rFonts w:ascii="Times New Roman" w:eastAsia="Calibri" w:hAnsi="Times New Roman" w:cs="Times New Roman"/>
        </w:rPr>
      </w:pPr>
      <w:r w:rsidRPr="004948C7">
        <w:rPr>
          <w:rFonts w:ascii="Times New Roman" w:hAnsi="Times New Roman" w:cs="Times New Roman"/>
        </w:rPr>
        <w:t>For th</w:t>
      </w:r>
      <w:r w:rsidR="001A5B45" w:rsidRPr="004948C7">
        <w:rPr>
          <w:rFonts w:ascii="Times New Roman" w:hAnsi="Times New Roman" w:cs="Times New Roman"/>
        </w:rPr>
        <w:t>e</w:t>
      </w:r>
      <w:r w:rsidR="00DE73CC" w:rsidRPr="004948C7">
        <w:rPr>
          <w:rFonts w:ascii="Times New Roman" w:hAnsi="Times New Roman" w:cs="Times New Roman"/>
        </w:rPr>
        <w:t xml:space="preserve"> analysis, c</w:t>
      </w:r>
      <w:r w:rsidR="000B6D90" w:rsidRPr="004948C7">
        <w:rPr>
          <w:rFonts w:ascii="Times New Roman" w:hAnsi="Times New Roman" w:cs="Times New Roman"/>
        </w:rPr>
        <w:t>ase</w:t>
      </w:r>
      <w:r w:rsidR="00DE73CC" w:rsidRPr="004948C7">
        <w:rPr>
          <w:rFonts w:ascii="Times New Roman" w:hAnsi="Times New Roman" w:cs="Times New Roman"/>
        </w:rPr>
        <w:t>-</w:t>
      </w:r>
      <w:r w:rsidR="000B6D90" w:rsidRPr="004948C7">
        <w:rPr>
          <w:rFonts w:ascii="Times New Roman" w:hAnsi="Times New Roman" w:cs="Times New Roman"/>
        </w:rPr>
        <w:t xml:space="preserve">patients </w:t>
      </w:r>
      <w:r w:rsidR="004948C7" w:rsidRPr="004948C7">
        <w:rPr>
          <w:rFonts w:ascii="Times New Roman" w:hAnsi="Times New Roman" w:cs="Times New Roman"/>
        </w:rPr>
        <w:t xml:space="preserve">were defined as </w:t>
      </w:r>
      <w:r w:rsidR="001A5B45" w:rsidRPr="004948C7">
        <w:rPr>
          <w:rFonts w:ascii="Times New Roman" w:hAnsi="Times New Roman" w:cs="Times New Roman"/>
        </w:rPr>
        <w:t xml:space="preserve">those with a pityriasis versicolor </w:t>
      </w:r>
      <w:r w:rsidR="004948C7" w:rsidRPr="004948C7">
        <w:rPr>
          <w:rFonts w:ascii="Times New Roman" w:hAnsi="Times New Roman" w:cs="Times New Roman"/>
        </w:rPr>
        <w:t>(</w:t>
      </w:r>
      <w:r w:rsidR="004106B0" w:rsidRPr="004948C7">
        <w:rPr>
          <w:rFonts w:ascii="Times New Roman" w:hAnsi="Times New Roman" w:cs="Times New Roman"/>
        </w:rPr>
        <w:t>PV</w:t>
      </w:r>
      <w:r w:rsidR="004948C7" w:rsidRPr="004948C7">
        <w:rPr>
          <w:rFonts w:ascii="Times New Roman" w:hAnsi="Times New Roman" w:cs="Times New Roman"/>
        </w:rPr>
        <w:t>)</w:t>
      </w:r>
      <w:r w:rsidR="004106B0" w:rsidRPr="004948C7">
        <w:rPr>
          <w:rFonts w:ascii="Times New Roman" w:hAnsi="Times New Roman" w:cs="Times New Roman"/>
        </w:rPr>
        <w:t xml:space="preserve"> </w:t>
      </w:r>
      <w:r w:rsidR="001A5B45" w:rsidRPr="004948C7">
        <w:rPr>
          <w:rFonts w:ascii="Times New Roman" w:hAnsi="Times New Roman" w:cs="Times New Roman"/>
        </w:rPr>
        <w:t>diagnosis</w:t>
      </w:r>
      <w:r w:rsidR="009C6B45" w:rsidRPr="004948C7">
        <w:rPr>
          <w:rFonts w:ascii="Times New Roman" w:hAnsi="Times New Roman" w:cs="Times New Roman"/>
        </w:rPr>
        <w:t xml:space="preserve"> during 2022</w:t>
      </w:r>
      <w:r w:rsidR="001A5B45" w:rsidRPr="004948C7">
        <w:rPr>
          <w:rFonts w:ascii="Times New Roman" w:hAnsi="Times New Roman" w:cs="Times New Roman"/>
        </w:rPr>
        <w:t xml:space="preserve"> </w:t>
      </w:r>
      <w:r w:rsidR="004948C7" w:rsidRPr="004948C7">
        <w:rPr>
          <w:rFonts w:ascii="Times New Roman" w:hAnsi="Times New Roman" w:cs="Times New Roman"/>
        </w:rPr>
        <w:t xml:space="preserve">and </w:t>
      </w:r>
      <w:r w:rsidR="000B6D90" w:rsidRPr="004948C7">
        <w:rPr>
          <w:rFonts w:ascii="Times New Roman" w:hAnsi="Times New Roman" w:cs="Times New Roman"/>
        </w:rPr>
        <w:t xml:space="preserve">were required to have continuous insurance enrollment in the </w:t>
      </w:r>
      <w:r w:rsidR="00C16794">
        <w:rPr>
          <w:rFonts w:ascii="Times New Roman" w:hAnsi="Times New Roman" w:cs="Times New Roman"/>
        </w:rPr>
        <w:t>365 days</w:t>
      </w:r>
      <w:r w:rsidR="000B6D90" w:rsidRPr="004948C7">
        <w:rPr>
          <w:rFonts w:ascii="Times New Roman" w:hAnsi="Times New Roman" w:cs="Times New Roman"/>
        </w:rPr>
        <w:t xml:space="preserve"> before and 7 days after incident diagnosis date and no PV diagnosis during the 365 days before their 2022 incident diagnosis. Control</w:t>
      </w:r>
      <w:r w:rsidR="00286597" w:rsidRPr="004948C7">
        <w:rPr>
          <w:rFonts w:ascii="Times New Roman" w:hAnsi="Times New Roman" w:cs="Times New Roman"/>
        </w:rPr>
        <w:t>-</w:t>
      </w:r>
      <w:r w:rsidR="000B6D90" w:rsidRPr="004948C7">
        <w:rPr>
          <w:rFonts w:ascii="Times New Roman" w:hAnsi="Times New Roman" w:cs="Times New Roman"/>
        </w:rPr>
        <w:t>patients</w:t>
      </w:r>
      <w:r w:rsidR="004106B0" w:rsidRPr="004948C7">
        <w:rPr>
          <w:rFonts w:ascii="Times New Roman" w:hAnsi="Times New Roman" w:cs="Times New Roman"/>
        </w:rPr>
        <w:t xml:space="preserve"> </w:t>
      </w:r>
      <w:r w:rsidR="004948C7" w:rsidRPr="004948C7">
        <w:rPr>
          <w:rFonts w:ascii="Times New Roman" w:hAnsi="Times New Roman" w:cs="Times New Roman"/>
        </w:rPr>
        <w:t xml:space="preserve">were defined as </w:t>
      </w:r>
      <w:r w:rsidR="0063077D" w:rsidRPr="004948C7">
        <w:rPr>
          <w:rFonts w:ascii="Times New Roman" w:hAnsi="Times New Roman" w:cs="Times New Roman"/>
        </w:rPr>
        <w:t>those</w:t>
      </w:r>
      <w:r w:rsidR="004106B0" w:rsidRPr="004948C7">
        <w:rPr>
          <w:rFonts w:ascii="Times New Roman" w:hAnsi="Times New Roman" w:cs="Times New Roman"/>
        </w:rPr>
        <w:t xml:space="preserve"> without a PV diagnosis</w:t>
      </w:r>
      <w:r w:rsidR="0076699E" w:rsidRPr="004948C7">
        <w:rPr>
          <w:rFonts w:ascii="Times New Roman" w:hAnsi="Times New Roman" w:cs="Times New Roman"/>
        </w:rPr>
        <w:t xml:space="preserve"> during</w:t>
      </w:r>
      <w:r w:rsidR="0063077D" w:rsidRPr="004948C7">
        <w:rPr>
          <w:rFonts w:ascii="Times New Roman" w:hAnsi="Times New Roman" w:cs="Times New Roman"/>
        </w:rPr>
        <w:t xml:space="preserve"> 2022</w:t>
      </w:r>
      <w:r w:rsidR="004948C7" w:rsidRPr="004948C7">
        <w:rPr>
          <w:rFonts w:ascii="Times New Roman" w:hAnsi="Times New Roman" w:cs="Times New Roman"/>
        </w:rPr>
        <w:t xml:space="preserve"> and</w:t>
      </w:r>
      <w:r w:rsidR="000B6D90" w:rsidRPr="004948C7">
        <w:rPr>
          <w:rFonts w:ascii="Times New Roman" w:hAnsi="Times New Roman" w:cs="Times New Roman"/>
        </w:rPr>
        <w:t xml:space="preserve"> were required to have at least one outpatient visit during 2022, no PV diagnosis on or in the 365 days before their first outpatient visit in 2022 (index date), and continuous insurance enrollment in the </w:t>
      </w:r>
      <w:r w:rsidR="00440EA5">
        <w:rPr>
          <w:rFonts w:ascii="Times New Roman" w:hAnsi="Times New Roman" w:cs="Times New Roman"/>
        </w:rPr>
        <w:t>365 days</w:t>
      </w:r>
      <w:r w:rsidR="000B6D90" w:rsidRPr="004948C7">
        <w:rPr>
          <w:rFonts w:ascii="Times New Roman" w:hAnsi="Times New Roman" w:cs="Times New Roman"/>
        </w:rPr>
        <w:t xml:space="preserve"> before and 7 days after their index date. </w:t>
      </w:r>
      <w:r w:rsidR="00CF68B0" w:rsidRPr="004948C7">
        <w:rPr>
          <w:rFonts w:ascii="Times New Roman" w:hAnsi="Times New Roman" w:cs="Times New Roman"/>
        </w:rPr>
        <w:t xml:space="preserve">We </w:t>
      </w:r>
      <w:r w:rsidR="004948C7" w:rsidRPr="004948C7">
        <w:rPr>
          <w:rFonts w:ascii="Times New Roman" w:hAnsi="Times New Roman" w:cs="Times New Roman"/>
        </w:rPr>
        <w:t xml:space="preserve">used multivariable logistic regression models to adjust </w:t>
      </w:r>
      <w:r w:rsidR="00CF68B0" w:rsidRPr="004948C7">
        <w:rPr>
          <w:rFonts w:ascii="Times New Roman" w:hAnsi="Times New Roman" w:cs="Times New Roman"/>
        </w:rPr>
        <w:t>for potential confounders (</w:t>
      </w:r>
      <w:r w:rsidR="009A2CAC" w:rsidRPr="004948C7">
        <w:rPr>
          <w:rFonts w:ascii="Times New Roman" w:hAnsi="Times New Roman" w:cs="Times New Roman"/>
        </w:rPr>
        <w:t xml:space="preserve">i.e., </w:t>
      </w:r>
      <w:r w:rsidR="00CF68B0" w:rsidRPr="004948C7">
        <w:rPr>
          <w:rFonts w:ascii="Times New Roman" w:hAnsi="Times New Roman" w:cs="Times New Roman"/>
        </w:rPr>
        <w:t xml:space="preserve">age, sex, and region) while assessing variables of interest. </w:t>
      </w:r>
      <w:r w:rsidR="000B6D90" w:rsidRPr="004948C7">
        <w:rPr>
          <w:rFonts w:ascii="Times New Roman" w:eastAsia="Calibri" w:hAnsi="Times New Roman" w:cs="Times New Roman"/>
        </w:rPr>
        <w:t xml:space="preserve">Codes used to identify </w:t>
      </w:r>
      <w:r w:rsidR="00A164C9" w:rsidRPr="004948C7">
        <w:rPr>
          <w:rFonts w:ascii="Times New Roman" w:eastAsia="Calibri" w:hAnsi="Times New Roman" w:cs="Times New Roman"/>
        </w:rPr>
        <w:t xml:space="preserve">PV, other </w:t>
      </w:r>
      <w:r w:rsidR="00BD7046" w:rsidRPr="004948C7">
        <w:rPr>
          <w:rFonts w:ascii="Times New Roman" w:eastAsia="Calibri" w:hAnsi="Times New Roman" w:cs="Times New Roman"/>
        </w:rPr>
        <w:t>conditions,</w:t>
      </w:r>
      <w:r w:rsidR="000B6D90" w:rsidRPr="004948C7">
        <w:rPr>
          <w:rFonts w:ascii="Times New Roman" w:eastAsia="Calibri" w:hAnsi="Times New Roman" w:cs="Times New Roman"/>
        </w:rPr>
        <w:t xml:space="preserve"> and diagnostic testing are </w:t>
      </w:r>
      <w:r w:rsidR="00BD11F8" w:rsidRPr="004948C7">
        <w:rPr>
          <w:rFonts w:ascii="Times New Roman" w:eastAsia="Calibri" w:hAnsi="Times New Roman" w:cs="Times New Roman"/>
        </w:rPr>
        <w:t>listed</w:t>
      </w:r>
      <w:r w:rsidR="001A5B45" w:rsidRPr="004948C7">
        <w:rPr>
          <w:rFonts w:ascii="Times New Roman" w:eastAsia="Calibri" w:hAnsi="Times New Roman" w:cs="Times New Roman"/>
        </w:rPr>
        <w:t xml:space="preserve"> in the table below.</w:t>
      </w:r>
    </w:p>
    <w:p w14:paraId="0012782D" w14:textId="77777777" w:rsidR="001A5B45" w:rsidRPr="004948C7" w:rsidRDefault="001A5B45" w:rsidP="00AF6827">
      <w:pPr>
        <w:spacing w:line="480" w:lineRule="auto"/>
        <w:contextualSpacing/>
        <w:rPr>
          <w:rFonts w:ascii="Times New Roman" w:eastAsia="Calibri"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131"/>
      </w:tblGrid>
      <w:tr w:rsidR="001A5B45" w:rsidRPr="004948C7" w14:paraId="566A15BC" w14:textId="77777777" w:rsidTr="00566956">
        <w:trPr>
          <w:trHeight w:val="66"/>
        </w:trPr>
        <w:tc>
          <w:tcPr>
            <w:tcW w:w="9360" w:type="dxa"/>
            <w:gridSpan w:val="2"/>
            <w:tcBorders>
              <w:top w:val="nil"/>
              <w:left w:val="nil"/>
              <w:bottom w:val="single" w:sz="4" w:space="0" w:color="auto"/>
              <w:right w:val="nil"/>
            </w:tcBorders>
            <w:shd w:val="clear" w:color="auto" w:fill="auto"/>
            <w:hideMark/>
          </w:tcPr>
          <w:p w14:paraId="7BADD24F"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Supplementary Table: Codes to identify medical conditions and diagnostic testing for patients diagnosed with pityriasis</w:t>
            </w:r>
            <w:r w:rsidRPr="004948C7">
              <w:rPr>
                <w:rFonts w:ascii="Times New Roman" w:eastAsia="Times New Roman" w:hAnsi="Times New Roman" w:cs="Times New Roman"/>
                <w:color w:val="000000"/>
              </w:rPr>
              <w:t xml:space="preserve"> </w:t>
            </w:r>
            <w:r w:rsidRPr="004948C7">
              <w:rPr>
                <w:rFonts w:ascii="Times New Roman" w:eastAsia="Times New Roman" w:hAnsi="Times New Roman" w:cs="Times New Roman"/>
                <w:b/>
                <w:bCs/>
                <w:color w:val="000000"/>
              </w:rPr>
              <w:t>versicolor</w:t>
            </w:r>
          </w:p>
        </w:tc>
      </w:tr>
      <w:tr w:rsidR="001A5B45" w:rsidRPr="004948C7" w14:paraId="537B7DAE" w14:textId="77777777" w:rsidTr="00566956">
        <w:trPr>
          <w:trHeight w:val="60"/>
        </w:trPr>
        <w:tc>
          <w:tcPr>
            <w:tcW w:w="4229" w:type="dxa"/>
            <w:tcBorders>
              <w:top w:val="single" w:sz="4" w:space="0" w:color="auto"/>
            </w:tcBorders>
            <w:shd w:val="clear" w:color="auto" w:fill="auto"/>
            <w:hideMark/>
          </w:tcPr>
          <w:p w14:paraId="3ED0C302"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Medical conditions</w:t>
            </w:r>
          </w:p>
        </w:tc>
        <w:tc>
          <w:tcPr>
            <w:tcW w:w="5131" w:type="dxa"/>
            <w:tcBorders>
              <w:top w:val="single" w:sz="4" w:space="0" w:color="auto"/>
            </w:tcBorders>
            <w:shd w:val="clear" w:color="auto" w:fill="auto"/>
            <w:hideMark/>
          </w:tcPr>
          <w:p w14:paraId="69D60B46"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ICD-10-CM code(s)</w:t>
            </w:r>
          </w:p>
        </w:tc>
      </w:tr>
      <w:tr w:rsidR="001A5B45" w:rsidRPr="004948C7" w14:paraId="70A79D9A" w14:textId="77777777" w:rsidTr="00566956">
        <w:trPr>
          <w:trHeight w:val="64"/>
        </w:trPr>
        <w:tc>
          <w:tcPr>
            <w:tcW w:w="4229" w:type="dxa"/>
            <w:shd w:val="clear" w:color="auto" w:fill="auto"/>
            <w:noWrap/>
            <w:hideMark/>
          </w:tcPr>
          <w:p w14:paraId="439162B7"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Acne</w:t>
            </w:r>
          </w:p>
        </w:tc>
        <w:tc>
          <w:tcPr>
            <w:tcW w:w="5131" w:type="dxa"/>
            <w:shd w:val="clear" w:color="auto" w:fill="auto"/>
            <w:hideMark/>
          </w:tcPr>
          <w:p w14:paraId="3B84CC8A"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L70</w:t>
            </w:r>
          </w:p>
        </w:tc>
      </w:tr>
      <w:tr w:rsidR="001A5B45" w:rsidRPr="004948C7" w14:paraId="3B753619" w14:textId="77777777" w:rsidTr="00566956">
        <w:trPr>
          <w:trHeight w:val="64"/>
        </w:trPr>
        <w:tc>
          <w:tcPr>
            <w:tcW w:w="4229" w:type="dxa"/>
            <w:shd w:val="clear" w:color="auto" w:fill="auto"/>
            <w:hideMark/>
          </w:tcPr>
          <w:p w14:paraId="6956041F"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Acromegaly</w:t>
            </w:r>
          </w:p>
        </w:tc>
        <w:tc>
          <w:tcPr>
            <w:tcW w:w="5131" w:type="dxa"/>
            <w:shd w:val="clear" w:color="auto" w:fill="auto"/>
            <w:hideMark/>
          </w:tcPr>
          <w:p w14:paraId="23E8F7C0" w14:textId="77777777" w:rsidR="001A5B45" w:rsidRPr="004948C7" w:rsidRDefault="001A5B45" w:rsidP="00566956">
            <w:pPr>
              <w:spacing w:after="0" w:line="240" w:lineRule="auto"/>
              <w:rPr>
                <w:rFonts w:ascii="Times New Roman" w:eastAsia="Times New Roman" w:hAnsi="Times New Roman" w:cs="Times New Roman"/>
                <w:color w:val="000000"/>
              </w:rPr>
            </w:pPr>
            <w:bookmarkStart w:id="0" w:name="RANGE!B4"/>
            <w:r w:rsidRPr="004948C7">
              <w:rPr>
                <w:rFonts w:ascii="Times New Roman" w:eastAsia="Times New Roman" w:hAnsi="Times New Roman" w:cs="Times New Roman"/>
                <w:color w:val="000000"/>
              </w:rPr>
              <w:t>E22.0</w:t>
            </w:r>
            <w:bookmarkEnd w:id="0"/>
          </w:p>
        </w:tc>
      </w:tr>
      <w:tr w:rsidR="001A5B45" w:rsidRPr="004948C7" w14:paraId="268665CE" w14:textId="77777777" w:rsidTr="00566956">
        <w:trPr>
          <w:trHeight w:val="64"/>
        </w:trPr>
        <w:tc>
          <w:tcPr>
            <w:tcW w:w="4229" w:type="dxa"/>
            <w:shd w:val="clear" w:color="auto" w:fill="auto"/>
            <w:noWrap/>
            <w:hideMark/>
          </w:tcPr>
          <w:p w14:paraId="1AA94383"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Adrenal cortical hypofunction</w:t>
            </w:r>
          </w:p>
        </w:tc>
        <w:tc>
          <w:tcPr>
            <w:tcW w:w="5131" w:type="dxa"/>
            <w:shd w:val="clear" w:color="auto" w:fill="auto"/>
            <w:hideMark/>
          </w:tcPr>
          <w:p w14:paraId="6A8FB7AD"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themeColor="text1"/>
              </w:rPr>
              <w:t xml:space="preserve">E27.1, E27.2, E27.3, E27.4 </w:t>
            </w:r>
          </w:p>
        </w:tc>
      </w:tr>
      <w:tr w:rsidR="001A5B45" w:rsidRPr="004948C7" w14:paraId="13DD05C6" w14:textId="77777777" w:rsidTr="00566956">
        <w:trPr>
          <w:trHeight w:val="64"/>
        </w:trPr>
        <w:tc>
          <w:tcPr>
            <w:tcW w:w="4229" w:type="dxa"/>
            <w:shd w:val="clear" w:color="auto" w:fill="auto"/>
            <w:noWrap/>
            <w:hideMark/>
          </w:tcPr>
          <w:p w14:paraId="0CFC5047"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Anorexia nervosa</w:t>
            </w:r>
          </w:p>
        </w:tc>
        <w:tc>
          <w:tcPr>
            <w:tcW w:w="5131" w:type="dxa"/>
            <w:shd w:val="clear" w:color="auto" w:fill="auto"/>
            <w:hideMark/>
          </w:tcPr>
          <w:p w14:paraId="46A06F5C" w14:textId="77777777" w:rsidR="001A5B45" w:rsidRPr="004948C7" w:rsidRDefault="001A5B45" w:rsidP="00566956">
            <w:pPr>
              <w:spacing w:after="0" w:line="240" w:lineRule="auto"/>
              <w:rPr>
                <w:rFonts w:ascii="Times New Roman" w:eastAsia="Times New Roman" w:hAnsi="Times New Roman" w:cs="Times New Roman"/>
                <w:color w:val="000000"/>
              </w:rPr>
            </w:pPr>
            <w:bookmarkStart w:id="1" w:name="RANGE!B6"/>
            <w:r w:rsidRPr="004948C7">
              <w:rPr>
                <w:rFonts w:ascii="Times New Roman" w:eastAsia="Times New Roman" w:hAnsi="Times New Roman" w:cs="Times New Roman"/>
                <w:color w:val="000000"/>
              </w:rPr>
              <w:t>F50.0</w:t>
            </w:r>
            <w:bookmarkEnd w:id="1"/>
          </w:p>
        </w:tc>
      </w:tr>
      <w:tr w:rsidR="001A5B45" w:rsidRPr="004948C7" w14:paraId="21D03CE2" w14:textId="77777777" w:rsidTr="00566956">
        <w:trPr>
          <w:trHeight w:val="64"/>
        </w:trPr>
        <w:tc>
          <w:tcPr>
            <w:tcW w:w="4229" w:type="dxa"/>
            <w:shd w:val="clear" w:color="auto" w:fill="auto"/>
            <w:noWrap/>
            <w:hideMark/>
          </w:tcPr>
          <w:p w14:paraId="21333F3E"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Diabetes mellitus</w:t>
            </w:r>
          </w:p>
        </w:tc>
        <w:tc>
          <w:tcPr>
            <w:tcW w:w="5131" w:type="dxa"/>
            <w:shd w:val="clear" w:color="auto" w:fill="auto"/>
            <w:hideMark/>
          </w:tcPr>
          <w:p w14:paraId="460DFDD9"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E08–E13</w:t>
            </w:r>
          </w:p>
        </w:tc>
      </w:tr>
      <w:tr w:rsidR="001A5B45" w:rsidRPr="004948C7" w14:paraId="7F13E4C2" w14:textId="77777777" w:rsidTr="00566956">
        <w:trPr>
          <w:trHeight w:val="64"/>
        </w:trPr>
        <w:tc>
          <w:tcPr>
            <w:tcW w:w="4229" w:type="dxa"/>
            <w:shd w:val="clear" w:color="auto" w:fill="auto"/>
            <w:noWrap/>
            <w:hideMark/>
          </w:tcPr>
          <w:p w14:paraId="4CBC75C7"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Hidradenitis suppurativa</w:t>
            </w:r>
          </w:p>
        </w:tc>
        <w:tc>
          <w:tcPr>
            <w:tcW w:w="5131" w:type="dxa"/>
            <w:shd w:val="clear" w:color="auto" w:fill="auto"/>
            <w:hideMark/>
          </w:tcPr>
          <w:p w14:paraId="74FF3EAA" w14:textId="77777777" w:rsidR="001A5B45" w:rsidRPr="004948C7" w:rsidRDefault="001A5B45" w:rsidP="00566956">
            <w:pPr>
              <w:spacing w:after="0" w:line="240" w:lineRule="auto"/>
              <w:rPr>
                <w:rFonts w:ascii="Times New Roman" w:eastAsia="Times New Roman" w:hAnsi="Times New Roman" w:cs="Times New Roman"/>
                <w:color w:val="000000"/>
              </w:rPr>
            </w:pPr>
            <w:bookmarkStart w:id="2" w:name="RANGE!B8"/>
            <w:r w:rsidRPr="004948C7">
              <w:rPr>
                <w:rFonts w:ascii="Times New Roman" w:eastAsia="Times New Roman" w:hAnsi="Times New Roman" w:cs="Times New Roman"/>
                <w:color w:val="000000"/>
              </w:rPr>
              <w:t>L73.2</w:t>
            </w:r>
            <w:bookmarkEnd w:id="2"/>
          </w:p>
        </w:tc>
      </w:tr>
      <w:tr w:rsidR="001A5B45" w:rsidRPr="004948C7" w14:paraId="441891AC" w14:textId="77777777" w:rsidTr="00566956">
        <w:trPr>
          <w:trHeight w:val="64"/>
        </w:trPr>
        <w:tc>
          <w:tcPr>
            <w:tcW w:w="4229" w:type="dxa"/>
            <w:shd w:val="clear" w:color="auto" w:fill="auto"/>
            <w:noWrap/>
            <w:hideMark/>
          </w:tcPr>
          <w:p w14:paraId="393BE0FC"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Hypothyroidism</w:t>
            </w:r>
          </w:p>
        </w:tc>
        <w:tc>
          <w:tcPr>
            <w:tcW w:w="5131" w:type="dxa"/>
            <w:shd w:val="clear" w:color="auto" w:fill="auto"/>
            <w:hideMark/>
          </w:tcPr>
          <w:p w14:paraId="4932FCC9"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E03</w:t>
            </w:r>
          </w:p>
        </w:tc>
      </w:tr>
      <w:tr w:rsidR="001A5B45" w:rsidRPr="004948C7" w14:paraId="57C14692" w14:textId="77777777" w:rsidTr="00566956">
        <w:trPr>
          <w:trHeight w:val="64"/>
        </w:trPr>
        <w:tc>
          <w:tcPr>
            <w:tcW w:w="4229" w:type="dxa"/>
            <w:shd w:val="clear" w:color="auto" w:fill="auto"/>
            <w:vAlign w:val="center"/>
            <w:hideMark/>
          </w:tcPr>
          <w:p w14:paraId="7D99477A" w14:textId="77777777" w:rsidR="001A5B45" w:rsidRPr="004948C7" w:rsidRDefault="001A5B45" w:rsidP="00566956">
            <w:pPr>
              <w:spacing w:after="0" w:line="240" w:lineRule="auto"/>
              <w:ind w:firstLineChars="100" w:firstLine="220"/>
              <w:rPr>
                <w:rFonts w:ascii="Times New Roman" w:eastAsia="Times New Roman" w:hAnsi="Times New Roman" w:cs="Times New Roman"/>
              </w:rPr>
            </w:pPr>
            <w:r w:rsidRPr="004948C7">
              <w:rPr>
                <w:rFonts w:ascii="Times New Roman" w:eastAsia="Times New Roman" w:hAnsi="Times New Roman" w:cs="Times New Roman"/>
              </w:rPr>
              <w:t>Immunocompromising conditions</w:t>
            </w:r>
          </w:p>
        </w:tc>
        <w:tc>
          <w:tcPr>
            <w:tcW w:w="5131" w:type="dxa"/>
            <w:shd w:val="clear" w:color="auto" w:fill="auto"/>
            <w:hideMark/>
          </w:tcPr>
          <w:p w14:paraId="7C5804E9" w14:textId="77777777" w:rsidR="001A5B45" w:rsidRPr="004948C7" w:rsidRDefault="001A5B45" w:rsidP="00566956">
            <w:pPr>
              <w:spacing w:after="0" w:line="240" w:lineRule="auto"/>
              <w:ind w:firstLineChars="100" w:firstLine="220"/>
              <w:rPr>
                <w:rFonts w:ascii="Times New Roman" w:eastAsia="Times New Roman" w:hAnsi="Times New Roman" w:cs="Times New Roman"/>
              </w:rPr>
            </w:pPr>
          </w:p>
        </w:tc>
      </w:tr>
      <w:tr w:rsidR="001A5B45" w:rsidRPr="004948C7" w14:paraId="39998609" w14:textId="77777777" w:rsidTr="00566956">
        <w:trPr>
          <w:trHeight w:val="64"/>
        </w:trPr>
        <w:tc>
          <w:tcPr>
            <w:tcW w:w="4229" w:type="dxa"/>
            <w:shd w:val="clear" w:color="auto" w:fill="auto"/>
            <w:vAlign w:val="center"/>
            <w:hideMark/>
          </w:tcPr>
          <w:p w14:paraId="2CBD267B" w14:textId="77777777" w:rsidR="001A5B45" w:rsidRPr="004948C7" w:rsidRDefault="001A5B45" w:rsidP="00566956">
            <w:pPr>
              <w:spacing w:after="0" w:line="240" w:lineRule="auto"/>
              <w:ind w:firstLineChars="200" w:firstLine="440"/>
              <w:rPr>
                <w:rFonts w:ascii="Times New Roman" w:eastAsia="Times New Roman" w:hAnsi="Times New Roman" w:cs="Times New Roman"/>
              </w:rPr>
            </w:pPr>
            <w:r w:rsidRPr="004948C7">
              <w:rPr>
                <w:rFonts w:ascii="Times New Roman" w:eastAsia="Times New Roman" w:hAnsi="Times New Roman" w:cs="Times New Roman"/>
              </w:rPr>
              <w:t>HIV infection</w:t>
            </w:r>
          </w:p>
        </w:tc>
        <w:tc>
          <w:tcPr>
            <w:tcW w:w="5131" w:type="dxa"/>
            <w:shd w:val="clear" w:color="auto" w:fill="auto"/>
            <w:hideMark/>
          </w:tcPr>
          <w:p w14:paraId="6F7A158C"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B20, Z21</w:t>
            </w:r>
          </w:p>
        </w:tc>
      </w:tr>
      <w:tr w:rsidR="001A5B45" w:rsidRPr="004948C7" w14:paraId="7DEC1630" w14:textId="77777777" w:rsidTr="00566956">
        <w:trPr>
          <w:trHeight w:val="64"/>
        </w:trPr>
        <w:tc>
          <w:tcPr>
            <w:tcW w:w="4229" w:type="dxa"/>
            <w:shd w:val="clear" w:color="auto" w:fill="auto"/>
            <w:vAlign w:val="center"/>
            <w:hideMark/>
          </w:tcPr>
          <w:p w14:paraId="51B7C995" w14:textId="77777777" w:rsidR="001A5B45" w:rsidRPr="004948C7" w:rsidRDefault="001A5B45" w:rsidP="00566956">
            <w:pPr>
              <w:spacing w:after="0" w:line="240" w:lineRule="auto"/>
              <w:ind w:firstLineChars="200" w:firstLine="440"/>
              <w:rPr>
                <w:rFonts w:ascii="Times New Roman" w:eastAsia="Times New Roman" w:hAnsi="Times New Roman" w:cs="Times New Roman"/>
              </w:rPr>
            </w:pPr>
            <w:r w:rsidRPr="004948C7">
              <w:rPr>
                <w:rFonts w:ascii="Times New Roman" w:eastAsia="Times New Roman" w:hAnsi="Times New Roman" w:cs="Times New Roman"/>
              </w:rPr>
              <w:lastRenderedPageBreak/>
              <w:t>Immune mediated inflammatory diseases</w:t>
            </w:r>
          </w:p>
        </w:tc>
        <w:tc>
          <w:tcPr>
            <w:tcW w:w="5131" w:type="dxa"/>
            <w:shd w:val="clear" w:color="auto" w:fill="auto"/>
            <w:hideMark/>
          </w:tcPr>
          <w:p w14:paraId="12BD2975"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K50–K51, L40, M32, M02.3, M05–M06, M08, M33, M35.2, M45</w:t>
            </w:r>
          </w:p>
        </w:tc>
      </w:tr>
      <w:tr w:rsidR="001A5B45" w:rsidRPr="004948C7" w14:paraId="5D879B0B" w14:textId="77777777" w:rsidTr="00566956">
        <w:trPr>
          <w:trHeight w:val="64"/>
        </w:trPr>
        <w:tc>
          <w:tcPr>
            <w:tcW w:w="4229" w:type="dxa"/>
            <w:shd w:val="clear" w:color="auto" w:fill="auto"/>
            <w:vAlign w:val="center"/>
            <w:hideMark/>
          </w:tcPr>
          <w:p w14:paraId="651C217A" w14:textId="77777777" w:rsidR="001A5B45" w:rsidRPr="004948C7" w:rsidRDefault="001A5B45" w:rsidP="00566956">
            <w:pPr>
              <w:spacing w:after="0" w:line="240" w:lineRule="auto"/>
              <w:ind w:firstLineChars="200" w:firstLine="440"/>
              <w:rPr>
                <w:rFonts w:ascii="Times New Roman" w:eastAsia="Times New Roman" w:hAnsi="Times New Roman" w:cs="Times New Roman"/>
              </w:rPr>
            </w:pPr>
            <w:r w:rsidRPr="004948C7">
              <w:rPr>
                <w:rFonts w:ascii="Times New Roman" w:eastAsia="Times New Roman" w:hAnsi="Times New Roman" w:cs="Times New Roman"/>
              </w:rPr>
              <w:t>Transplant (stem cell transplant or solid organ transplant)</w:t>
            </w:r>
          </w:p>
        </w:tc>
        <w:tc>
          <w:tcPr>
            <w:tcW w:w="5131" w:type="dxa"/>
            <w:shd w:val="clear" w:color="auto" w:fill="auto"/>
            <w:hideMark/>
          </w:tcPr>
          <w:p w14:paraId="033D30D9"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T86, Z94 (excluding Z94.5–Z94.7)</w:t>
            </w:r>
          </w:p>
        </w:tc>
      </w:tr>
      <w:tr w:rsidR="001A5B45" w:rsidRPr="004948C7" w14:paraId="4E1D418D" w14:textId="77777777" w:rsidTr="00566956">
        <w:trPr>
          <w:trHeight w:val="270"/>
        </w:trPr>
        <w:tc>
          <w:tcPr>
            <w:tcW w:w="4229" w:type="dxa"/>
            <w:shd w:val="clear" w:color="auto" w:fill="auto"/>
            <w:vAlign w:val="center"/>
            <w:hideMark/>
          </w:tcPr>
          <w:p w14:paraId="3653E744" w14:textId="77777777" w:rsidR="001A5B45" w:rsidRPr="004948C7" w:rsidRDefault="001A5B45" w:rsidP="00566956">
            <w:pPr>
              <w:spacing w:after="0" w:line="240" w:lineRule="auto"/>
              <w:ind w:firstLineChars="200" w:firstLine="440"/>
              <w:rPr>
                <w:rFonts w:ascii="Times New Roman" w:eastAsia="Times New Roman" w:hAnsi="Times New Roman" w:cs="Times New Roman"/>
              </w:rPr>
            </w:pPr>
            <w:r w:rsidRPr="004948C7">
              <w:rPr>
                <w:rFonts w:ascii="Times New Roman" w:eastAsia="Times New Roman" w:hAnsi="Times New Roman" w:cs="Times New Roman"/>
              </w:rPr>
              <w:t>Malignant neoplasm</w:t>
            </w:r>
          </w:p>
        </w:tc>
        <w:tc>
          <w:tcPr>
            <w:tcW w:w="5131" w:type="dxa"/>
            <w:shd w:val="clear" w:color="auto" w:fill="auto"/>
            <w:hideMark/>
          </w:tcPr>
          <w:p w14:paraId="4BDBE642"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C00–C96 (excluding C43–C44)</w:t>
            </w:r>
          </w:p>
        </w:tc>
      </w:tr>
      <w:tr w:rsidR="001A5B45" w:rsidRPr="004948C7" w14:paraId="456712E7" w14:textId="77777777" w:rsidTr="00566956">
        <w:trPr>
          <w:trHeight w:val="64"/>
        </w:trPr>
        <w:tc>
          <w:tcPr>
            <w:tcW w:w="4229" w:type="dxa"/>
            <w:shd w:val="clear" w:color="auto" w:fill="auto"/>
            <w:noWrap/>
            <w:hideMark/>
          </w:tcPr>
          <w:p w14:paraId="53689450"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Parkinson's disease</w:t>
            </w:r>
          </w:p>
        </w:tc>
        <w:tc>
          <w:tcPr>
            <w:tcW w:w="5131" w:type="dxa"/>
            <w:shd w:val="clear" w:color="auto" w:fill="auto"/>
            <w:hideMark/>
          </w:tcPr>
          <w:p w14:paraId="6E0EB5F3"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G20</w:t>
            </w:r>
          </w:p>
        </w:tc>
      </w:tr>
      <w:tr w:rsidR="001A5B45" w:rsidRPr="004948C7" w14:paraId="1A09D463" w14:textId="77777777" w:rsidTr="00566956">
        <w:trPr>
          <w:trHeight w:val="64"/>
        </w:trPr>
        <w:tc>
          <w:tcPr>
            <w:tcW w:w="4229" w:type="dxa"/>
            <w:shd w:val="clear" w:color="auto" w:fill="auto"/>
            <w:noWrap/>
            <w:hideMark/>
          </w:tcPr>
          <w:p w14:paraId="1E4D09DA"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Polycystic ovarian syndrome</w:t>
            </w:r>
          </w:p>
        </w:tc>
        <w:tc>
          <w:tcPr>
            <w:tcW w:w="5131" w:type="dxa"/>
            <w:shd w:val="clear" w:color="auto" w:fill="auto"/>
            <w:hideMark/>
          </w:tcPr>
          <w:p w14:paraId="0C7FB32F" w14:textId="77777777" w:rsidR="001A5B45" w:rsidRPr="004948C7" w:rsidRDefault="001A5B45" w:rsidP="00566956">
            <w:pPr>
              <w:spacing w:after="0" w:line="240" w:lineRule="auto"/>
              <w:rPr>
                <w:rFonts w:ascii="Times New Roman" w:eastAsia="Times New Roman" w:hAnsi="Times New Roman" w:cs="Times New Roman"/>
                <w:color w:val="000000"/>
              </w:rPr>
            </w:pPr>
            <w:bookmarkStart w:id="3" w:name="RANGE!B16"/>
            <w:r w:rsidRPr="004948C7">
              <w:rPr>
                <w:rFonts w:ascii="Times New Roman" w:eastAsia="Times New Roman" w:hAnsi="Times New Roman" w:cs="Times New Roman"/>
                <w:color w:val="000000"/>
              </w:rPr>
              <w:t>E28.2</w:t>
            </w:r>
            <w:bookmarkEnd w:id="3"/>
          </w:p>
        </w:tc>
      </w:tr>
      <w:tr w:rsidR="001A5B45" w:rsidRPr="004948C7" w14:paraId="76F14780" w14:textId="77777777" w:rsidTr="00566956">
        <w:trPr>
          <w:trHeight w:val="64"/>
        </w:trPr>
        <w:tc>
          <w:tcPr>
            <w:tcW w:w="4229" w:type="dxa"/>
            <w:shd w:val="clear" w:color="auto" w:fill="auto"/>
            <w:noWrap/>
            <w:hideMark/>
          </w:tcPr>
          <w:p w14:paraId="0625AA4B"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Pituitary adenoma</w:t>
            </w:r>
          </w:p>
        </w:tc>
        <w:tc>
          <w:tcPr>
            <w:tcW w:w="5131" w:type="dxa"/>
            <w:shd w:val="clear" w:color="auto" w:fill="auto"/>
            <w:hideMark/>
          </w:tcPr>
          <w:p w14:paraId="6E02A7EE"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D35.2</w:t>
            </w:r>
          </w:p>
        </w:tc>
      </w:tr>
      <w:tr w:rsidR="001A5B45" w:rsidRPr="004948C7" w14:paraId="34273540" w14:textId="77777777" w:rsidTr="00566956">
        <w:trPr>
          <w:trHeight w:val="64"/>
        </w:trPr>
        <w:tc>
          <w:tcPr>
            <w:tcW w:w="4229" w:type="dxa"/>
            <w:shd w:val="clear" w:color="auto" w:fill="auto"/>
            <w:noWrap/>
            <w:hideMark/>
          </w:tcPr>
          <w:p w14:paraId="2150E506"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Rosacea</w:t>
            </w:r>
          </w:p>
        </w:tc>
        <w:tc>
          <w:tcPr>
            <w:tcW w:w="5131" w:type="dxa"/>
            <w:shd w:val="clear" w:color="auto" w:fill="auto"/>
            <w:hideMark/>
          </w:tcPr>
          <w:p w14:paraId="376EE3D5"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L71</w:t>
            </w:r>
          </w:p>
        </w:tc>
      </w:tr>
      <w:tr w:rsidR="001A5B45" w:rsidRPr="004948C7" w14:paraId="116C05D7" w14:textId="77777777" w:rsidTr="00566956">
        <w:trPr>
          <w:trHeight w:val="64"/>
        </w:trPr>
        <w:tc>
          <w:tcPr>
            <w:tcW w:w="4229" w:type="dxa"/>
            <w:shd w:val="clear" w:color="auto" w:fill="auto"/>
            <w:hideMark/>
          </w:tcPr>
          <w:p w14:paraId="5F32AE0B"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Tinea versicolor (pityriasis versicolor)</w:t>
            </w:r>
          </w:p>
        </w:tc>
        <w:tc>
          <w:tcPr>
            <w:tcW w:w="5131" w:type="dxa"/>
            <w:shd w:val="clear" w:color="auto" w:fill="auto"/>
            <w:hideMark/>
          </w:tcPr>
          <w:p w14:paraId="364BB503"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B36.0</w:t>
            </w:r>
          </w:p>
        </w:tc>
      </w:tr>
      <w:tr w:rsidR="001A5B45" w:rsidRPr="004948C7" w14:paraId="57239B6C" w14:textId="77777777" w:rsidTr="00566956">
        <w:trPr>
          <w:trHeight w:val="64"/>
        </w:trPr>
        <w:tc>
          <w:tcPr>
            <w:tcW w:w="4229" w:type="dxa"/>
            <w:shd w:val="clear" w:color="auto" w:fill="auto"/>
            <w:hideMark/>
          </w:tcPr>
          <w:p w14:paraId="7828C319"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Diagnostic testing</w:t>
            </w:r>
          </w:p>
        </w:tc>
        <w:tc>
          <w:tcPr>
            <w:tcW w:w="5131" w:type="dxa"/>
            <w:shd w:val="clear" w:color="auto" w:fill="auto"/>
            <w:hideMark/>
          </w:tcPr>
          <w:p w14:paraId="4ED1868C"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CPT codes</w:t>
            </w:r>
          </w:p>
        </w:tc>
      </w:tr>
      <w:tr w:rsidR="001A5B45" w:rsidRPr="004948C7" w14:paraId="25E30403" w14:textId="77777777" w:rsidTr="00566956">
        <w:trPr>
          <w:trHeight w:val="64"/>
        </w:trPr>
        <w:tc>
          <w:tcPr>
            <w:tcW w:w="4229" w:type="dxa"/>
            <w:shd w:val="clear" w:color="auto" w:fill="auto"/>
            <w:hideMark/>
          </w:tcPr>
          <w:p w14:paraId="0C0E7406"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Direct microscopy</w:t>
            </w:r>
          </w:p>
        </w:tc>
        <w:tc>
          <w:tcPr>
            <w:tcW w:w="5131" w:type="dxa"/>
            <w:shd w:val="clear" w:color="auto" w:fill="auto"/>
            <w:hideMark/>
          </w:tcPr>
          <w:p w14:paraId="2185D256"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87210, 87220, 87206</w:t>
            </w:r>
          </w:p>
        </w:tc>
      </w:tr>
      <w:tr w:rsidR="001A5B45" w:rsidRPr="004948C7" w14:paraId="3C3AEEB3" w14:textId="77777777" w:rsidTr="00566956">
        <w:trPr>
          <w:trHeight w:val="64"/>
        </w:trPr>
        <w:tc>
          <w:tcPr>
            <w:tcW w:w="4229" w:type="dxa"/>
            <w:shd w:val="clear" w:color="auto" w:fill="auto"/>
            <w:hideMark/>
          </w:tcPr>
          <w:p w14:paraId="111DA79B"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Fungal culture</w:t>
            </w:r>
          </w:p>
        </w:tc>
        <w:tc>
          <w:tcPr>
            <w:tcW w:w="5131" w:type="dxa"/>
            <w:shd w:val="clear" w:color="auto" w:fill="auto"/>
            <w:hideMark/>
          </w:tcPr>
          <w:p w14:paraId="39B3A7D8"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87101, 87102, 87106, 87107</w:t>
            </w:r>
          </w:p>
        </w:tc>
      </w:tr>
      <w:tr w:rsidR="001A5B45" w:rsidRPr="004948C7" w14:paraId="085602F8" w14:textId="77777777" w:rsidTr="00566956">
        <w:trPr>
          <w:trHeight w:val="64"/>
        </w:trPr>
        <w:tc>
          <w:tcPr>
            <w:tcW w:w="4229" w:type="dxa"/>
            <w:shd w:val="clear" w:color="auto" w:fill="auto"/>
            <w:hideMark/>
          </w:tcPr>
          <w:p w14:paraId="3BE40BB7"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Biopsy</w:t>
            </w:r>
          </w:p>
        </w:tc>
        <w:tc>
          <w:tcPr>
            <w:tcW w:w="5131" w:type="dxa"/>
            <w:shd w:val="clear" w:color="auto" w:fill="auto"/>
            <w:hideMark/>
          </w:tcPr>
          <w:p w14:paraId="36A23848"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 xml:space="preserve">11100, 11102, 11103, 11104, 11105, 11106, 11107 </w:t>
            </w:r>
          </w:p>
        </w:tc>
      </w:tr>
      <w:tr w:rsidR="001A5B45" w:rsidRPr="004948C7" w14:paraId="06A08271" w14:textId="77777777" w:rsidTr="00566956">
        <w:trPr>
          <w:trHeight w:val="270"/>
        </w:trPr>
        <w:tc>
          <w:tcPr>
            <w:tcW w:w="4229" w:type="dxa"/>
            <w:tcBorders>
              <w:bottom w:val="single" w:sz="4" w:space="0" w:color="auto"/>
            </w:tcBorders>
            <w:shd w:val="clear" w:color="auto" w:fill="auto"/>
            <w:hideMark/>
          </w:tcPr>
          <w:p w14:paraId="66BC8B47"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Polymerase chain reaction</w:t>
            </w:r>
          </w:p>
        </w:tc>
        <w:tc>
          <w:tcPr>
            <w:tcW w:w="5131" w:type="dxa"/>
            <w:tcBorders>
              <w:bottom w:val="single" w:sz="4" w:space="0" w:color="auto"/>
            </w:tcBorders>
            <w:shd w:val="clear" w:color="auto" w:fill="auto"/>
            <w:hideMark/>
          </w:tcPr>
          <w:p w14:paraId="6A3822EB" w14:textId="77777777" w:rsidR="001A5B45" w:rsidRPr="004948C7" w:rsidRDefault="001A5B45" w:rsidP="00566956">
            <w:pPr>
              <w:spacing w:after="0" w:line="240" w:lineRule="auto"/>
              <w:rPr>
                <w:rFonts w:ascii="Times New Roman" w:eastAsia="Times New Roman" w:hAnsi="Times New Roman" w:cs="Times New Roman"/>
                <w:color w:val="000000"/>
              </w:rPr>
            </w:pPr>
            <w:r w:rsidRPr="004948C7">
              <w:rPr>
                <w:rFonts w:ascii="Times New Roman" w:eastAsia="Times New Roman" w:hAnsi="Times New Roman" w:cs="Times New Roman"/>
                <w:color w:val="000000"/>
              </w:rPr>
              <w:t>87481, 87798, 87800, 87801 </w:t>
            </w:r>
          </w:p>
        </w:tc>
      </w:tr>
      <w:tr w:rsidR="001A5B45" w:rsidRPr="004948C7" w14:paraId="0D7DD262" w14:textId="77777777" w:rsidTr="00566956">
        <w:trPr>
          <w:trHeight w:val="64"/>
        </w:trPr>
        <w:tc>
          <w:tcPr>
            <w:tcW w:w="9360" w:type="dxa"/>
            <w:gridSpan w:val="2"/>
            <w:tcBorders>
              <w:top w:val="single" w:sz="4" w:space="0" w:color="auto"/>
              <w:left w:val="nil"/>
              <w:bottom w:val="nil"/>
              <w:right w:val="nil"/>
            </w:tcBorders>
            <w:shd w:val="clear" w:color="auto" w:fill="auto"/>
            <w:hideMark/>
          </w:tcPr>
          <w:p w14:paraId="56B8E032" w14:textId="77777777" w:rsidR="001A5B45" w:rsidRPr="004948C7" w:rsidRDefault="001A5B45" w:rsidP="00566956">
            <w:pPr>
              <w:spacing w:after="0" w:line="240" w:lineRule="auto"/>
              <w:rPr>
                <w:rFonts w:ascii="Times New Roman" w:eastAsia="Times New Roman" w:hAnsi="Times New Roman" w:cs="Times New Roman"/>
                <w:b/>
                <w:bCs/>
                <w:color w:val="000000"/>
              </w:rPr>
            </w:pPr>
            <w:r w:rsidRPr="004948C7">
              <w:rPr>
                <w:rFonts w:ascii="Times New Roman" w:eastAsia="Times New Roman" w:hAnsi="Times New Roman" w:cs="Times New Roman"/>
                <w:b/>
                <w:bCs/>
                <w:color w:val="000000"/>
              </w:rPr>
              <w:t xml:space="preserve">Abbreviations: </w:t>
            </w:r>
            <w:r w:rsidRPr="004948C7">
              <w:rPr>
                <w:rFonts w:ascii="Times New Roman" w:eastAsia="Times New Roman" w:hAnsi="Times New Roman" w:cs="Times New Roman"/>
                <w:color w:val="000000"/>
              </w:rPr>
              <w:t xml:space="preserve">ICD-10-CM = International Classification of Diseases, Tenth Revision, Clinical Modification; CPT = Current Procedural Terminology </w:t>
            </w:r>
          </w:p>
        </w:tc>
      </w:tr>
    </w:tbl>
    <w:p w14:paraId="2EFCA284" w14:textId="77777777" w:rsidR="001A5B45" w:rsidRPr="004948C7" w:rsidRDefault="001A5B45" w:rsidP="001A5B45">
      <w:pPr>
        <w:spacing w:line="240" w:lineRule="auto"/>
        <w:contextualSpacing/>
        <w:rPr>
          <w:rFonts w:ascii="Times New Roman" w:hAnsi="Times New Roman" w:cs="Times New Roman"/>
        </w:rPr>
      </w:pPr>
    </w:p>
    <w:p w14:paraId="0F599B77" w14:textId="77777777" w:rsidR="001A5B45" w:rsidRPr="00694C87" w:rsidRDefault="001A5B45" w:rsidP="00AF6827">
      <w:pPr>
        <w:spacing w:line="480" w:lineRule="auto"/>
        <w:contextualSpacing/>
        <w:rPr>
          <w:rFonts w:ascii="Times New Roman" w:eastAsia="Calibri" w:hAnsi="Times New Roman" w:cs="Times New Roman"/>
        </w:rPr>
      </w:pPr>
    </w:p>
    <w:p w14:paraId="11CBB16B" w14:textId="77777777" w:rsidR="00612432" w:rsidRDefault="00612432"/>
    <w:sectPr w:rsidR="00612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32"/>
    <w:rsid w:val="00051B17"/>
    <w:rsid w:val="000B6D90"/>
    <w:rsid w:val="000E2971"/>
    <w:rsid w:val="001409CE"/>
    <w:rsid w:val="00165410"/>
    <w:rsid w:val="001A5B45"/>
    <w:rsid w:val="00286597"/>
    <w:rsid w:val="002F7C64"/>
    <w:rsid w:val="0033422D"/>
    <w:rsid w:val="003607A1"/>
    <w:rsid w:val="00361DD9"/>
    <w:rsid w:val="004106B0"/>
    <w:rsid w:val="00440EA5"/>
    <w:rsid w:val="00443C2B"/>
    <w:rsid w:val="004948C7"/>
    <w:rsid w:val="004C0601"/>
    <w:rsid w:val="004C2272"/>
    <w:rsid w:val="005D7034"/>
    <w:rsid w:val="00612432"/>
    <w:rsid w:val="0063077D"/>
    <w:rsid w:val="00632FCD"/>
    <w:rsid w:val="00754DC5"/>
    <w:rsid w:val="0076699E"/>
    <w:rsid w:val="007A222C"/>
    <w:rsid w:val="008970F7"/>
    <w:rsid w:val="009013C2"/>
    <w:rsid w:val="0095762E"/>
    <w:rsid w:val="009A2CAC"/>
    <w:rsid w:val="009C6B45"/>
    <w:rsid w:val="00A164C9"/>
    <w:rsid w:val="00A20317"/>
    <w:rsid w:val="00A87020"/>
    <w:rsid w:val="00AF6827"/>
    <w:rsid w:val="00B211D9"/>
    <w:rsid w:val="00B522B2"/>
    <w:rsid w:val="00BD11F8"/>
    <w:rsid w:val="00BD7046"/>
    <w:rsid w:val="00C16794"/>
    <w:rsid w:val="00C71E9F"/>
    <w:rsid w:val="00CF68B0"/>
    <w:rsid w:val="00D00CD9"/>
    <w:rsid w:val="00D0207F"/>
    <w:rsid w:val="00D42C24"/>
    <w:rsid w:val="00D56540"/>
    <w:rsid w:val="00DE73CC"/>
    <w:rsid w:val="00EB561E"/>
    <w:rsid w:val="00F0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FBC9"/>
  <w15:chartTrackingRefBased/>
  <w15:docId w15:val="{13BC1135-3F32-4A71-AFE6-040E774F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D9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6D90"/>
    <w:rPr>
      <w:sz w:val="16"/>
      <w:szCs w:val="16"/>
    </w:rPr>
  </w:style>
  <w:style w:type="character" w:styleId="Hyperlink">
    <w:name w:val="Hyperlink"/>
    <w:basedOn w:val="DefaultParagraphFont"/>
    <w:uiPriority w:val="99"/>
    <w:unhideWhenUsed/>
    <w:rsid w:val="00B522B2"/>
    <w:rPr>
      <w:color w:val="0563C1" w:themeColor="hyperlink"/>
      <w:u w:val="single"/>
    </w:rPr>
  </w:style>
  <w:style w:type="character" w:styleId="FollowedHyperlink">
    <w:name w:val="FollowedHyperlink"/>
    <w:basedOn w:val="DefaultParagraphFont"/>
    <w:uiPriority w:val="99"/>
    <w:semiHidden/>
    <w:unhideWhenUsed/>
    <w:rsid w:val="00B52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rative.com/documents/brief/marketscan-explainer-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2</Pages>
  <Words>405</Words>
  <Characters>2503</Characters>
  <Application>Microsoft Office Word</Application>
  <DocSecurity>0</DocSecurity>
  <Lines>80</Lines>
  <Paragraphs>55</Paragraphs>
  <ScaleCrop>false</ScaleCrop>
  <Company>Centers for Disease Control and Prevention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Jeremy (CDC/NCEZID/DFWED/MDB)</dc:creator>
  <cp:keywords/>
  <dc:description/>
  <cp:lastModifiedBy>Gold, Jeremy (CDC/NCEZID/DFWED/MDB)</cp:lastModifiedBy>
  <cp:revision>46</cp:revision>
  <dcterms:created xsi:type="dcterms:W3CDTF">2024-09-02T12:59:00Z</dcterms:created>
  <dcterms:modified xsi:type="dcterms:W3CDTF">2024-10-04T00:30:00Z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2024-09-02T13:00:14Z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63a9429d-f242-4c64-a580-819bce3f6038</vt:lpwstr>
  </property>
  <property fmtid="{D5CDD505-2E9C-101B-9397-08002B2CF9AE}" pid="8" name="MSIP_Label_7b94a7b8-f06c-4dfe-bdcc-9b548fd58c31_ContentBits">
    <vt:lpwstr>0</vt:lpwstr>
  </property>
</Properties>
</file>