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8865" w14:textId="77777777" w:rsidR="00DF08C0" w:rsidRDefault="00DF08C0" w:rsidP="00DF08C0">
      <w:pPr>
        <w:spacing w:after="160" w:line="259" w:lineRule="auto"/>
        <w:rPr>
          <w:rFonts w:asciiTheme="minorHAnsi" w:hAnsiTheme="minorHAnsi" w:cstheme="minorHAnsi"/>
          <w:b/>
          <w:bCs/>
          <w:sz w:val="22"/>
          <w:szCs w:val="22"/>
        </w:rPr>
      </w:pPr>
      <w:r w:rsidRPr="006D47BC">
        <w:rPr>
          <w:rFonts w:asciiTheme="minorHAnsi" w:hAnsiTheme="minorHAnsi" w:cstheme="minorHAnsi"/>
          <w:b/>
          <w:bCs/>
          <w:sz w:val="22"/>
          <w:szCs w:val="22"/>
        </w:rPr>
        <w:t xml:space="preserve">Supplemental </w:t>
      </w:r>
      <w:r>
        <w:rPr>
          <w:rFonts w:asciiTheme="minorHAnsi" w:hAnsiTheme="minorHAnsi" w:cstheme="minorHAnsi"/>
          <w:b/>
          <w:bCs/>
          <w:sz w:val="22"/>
          <w:szCs w:val="22"/>
        </w:rPr>
        <w:t>Materials</w:t>
      </w:r>
    </w:p>
    <w:p w14:paraId="76664369" w14:textId="77777777" w:rsidR="00DF08C0" w:rsidRDefault="00DF08C0" w:rsidP="00DF08C0">
      <w:pPr>
        <w:spacing w:after="160" w:line="259" w:lineRule="auto"/>
        <w:rPr>
          <w:rFonts w:asciiTheme="minorHAnsi" w:hAnsiTheme="minorHAnsi" w:cstheme="minorHAnsi"/>
          <w:b/>
          <w:bCs/>
          <w:sz w:val="22"/>
          <w:szCs w:val="22"/>
        </w:rPr>
      </w:pPr>
    </w:p>
    <w:p w14:paraId="4C35173D" w14:textId="5FFE4365" w:rsidR="00DF08C0" w:rsidRPr="006D47BC" w:rsidRDefault="00DF08C0" w:rsidP="00DF08C0">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 xml:space="preserve">Supplemental </w:t>
      </w:r>
      <w:r w:rsidRPr="006D47BC">
        <w:rPr>
          <w:rFonts w:asciiTheme="minorHAnsi" w:hAnsiTheme="minorHAnsi" w:cstheme="minorHAnsi"/>
          <w:b/>
          <w:bCs/>
          <w:sz w:val="22"/>
          <w:szCs w:val="22"/>
        </w:rPr>
        <w:t xml:space="preserve">Table </w:t>
      </w:r>
      <w:r>
        <w:rPr>
          <w:rFonts w:asciiTheme="minorHAnsi" w:hAnsiTheme="minorHAnsi" w:cstheme="minorHAnsi"/>
          <w:b/>
          <w:bCs/>
          <w:sz w:val="22"/>
          <w:szCs w:val="22"/>
        </w:rPr>
        <w:t>S</w:t>
      </w:r>
      <w:r w:rsidR="00475C2E">
        <w:rPr>
          <w:rFonts w:asciiTheme="minorHAnsi" w:hAnsiTheme="minorHAnsi" w:cstheme="minorHAnsi"/>
          <w:b/>
          <w:bCs/>
          <w:sz w:val="22"/>
          <w:szCs w:val="22"/>
        </w:rPr>
        <w:t>1</w:t>
      </w:r>
      <w:r w:rsidRPr="006D47BC">
        <w:rPr>
          <w:rFonts w:asciiTheme="minorHAnsi" w:hAnsiTheme="minorHAnsi" w:cstheme="minorHAnsi"/>
          <w:b/>
          <w:bCs/>
          <w:sz w:val="22"/>
          <w:szCs w:val="22"/>
        </w:rPr>
        <w:t>: Health facilities sampled, by level of care – Nakuru and Mombasa Counties, Kenya, 2019–2021</w:t>
      </w:r>
    </w:p>
    <w:tbl>
      <w:tblPr>
        <w:tblStyle w:val="PlainTable1"/>
        <w:tblW w:w="14125" w:type="dxa"/>
        <w:tblLayout w:type="fixed"/>
        <w:tblLook w:val="04A0" w:firstRow="1" w:lastRow="0" w:firstColumn="1" w:lastColumn="0" w:noHBand="0" w:noVBand="1"/>
      </w:tblPr>
      <w:tblGrid>
        <w:gridCol w:w="1139"/>
        <w:gridCol w:w="1363"/>
        <w:gridCol w:w="1036"/>
        <w:gridCol w:w="777"/>
        <w:gridCol w:w="1440"/>
        <w:gridCol w:w="1080"/>
        <w:gridCol w:w="810"/>
        <w:gridCol w:w="1440"/>
        <w:gridCol w:w="990"/>
        <w:gridCol w:w="810"/>
        <w:gridCol w:w="1440"/>
        <w:gridCol w:w="990"/>
        <w:gridCol w:w="810"/>
      </w:tblGrid>
      <w:tr w:rsidR="00DF08C0" w14:paraId="15019C41" w14:textId="77777777" w:rsidTr="005A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right w:val="single" w:sz="4" w:space="0" w:color="auto"/>
            </w:tcBorders>
          </w:tcPr>
          <w:p w14:paraId="2BC95A59" w14:textId="77777777" w:rsidR="00DF08C0" w:rsidRPr="003D57EC" w:rsidRDefault="00DF08C0" w:rsidP="00C766B1">
            <w:pPr>
              <w:spacing w:line="240" w:lineRule="auto"/>
              <w:rPr>
                <w:rFonts w:asciiTheme="minorHAnsi" w:hAnsiTheme="minorHAnsi" w:cstheme="minorHAnsi"/>
                <w:i/>
                <w:iCs/>
                <w:sz w:val="22"/>
                <w:szCs w:val="22"/>
              </w:rPr>
            </w:pPr>
          </w:p>
        </w:tc>
        <w:tc>
          <w:tcPr>
            <w:tcW w:w="6506" w:type="dxa"/>
            <w:gridSpan w:val="6"/>
            <w:tcBorders>
              <w:top w:val="single" w:sz="4" w:space="0" w:color="auto"/>
              <w:left w:val="single" w:sz="4" w:space="0" w:color="auto"/>
              <w:right w:val="single" w:sz="4" w:space="0" w:color="auto"/>
            </w:tcBorders>
          </w:tcPr>
          <w:p w14:paraId="669BE458" w14:textId="77777777" w:rsidR="00DF08C0" w:rsidRPr="003D57EC" w:rsidRDefault="00DF08C0" w:rsidP="00C766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sz w:val="22"/>
                <w:szCs w:val="22"/>
              </w:rPr>
              <w:t>Year-round strategy</w:t>
            </w:r>
          </w:p>
        </w:tc>
        <w:tc>
          <w:tcPr>
            <w:tcW w:w="6480" w:type="dxa"/>
            <w:gridSpan w:val="6"/>
            <w:tcBorders>
              <w:top w:val="single" w:sz="4" w:space="0" w:color="auto"/>
              <w:left w:val="single" w:sz="4" w:space="0" w:color="auto"/>
              <w:right w:val="single" w:sz="4" w:space="0" w:color="auto"/>
            </w:tcBorders>
          </w:tcPr>
          <w:p w14:paraId="0593DFE9" w14:textId="77777777" w:rsidR="00DF08C0" w:rsidRPr="003D57EC" w:rsidRDefault="00DF08C0" w:rsidP="00C766B1">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sz w:val="22"/>
                <w:szCs w:val="22"/>
              </w:rPr>
              <w:t>Campaign strategy</w:t>
            </w:r>
          </w:p>
        </w:tc>
      </w:tr>
      <w:tr w:rsidR="00DF08C0" w14:paraId="34C0E9FA"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right w:val="single" w:sz="4" w:space="0" w:color="auto"/>
            </w:tcBorders>
          </w:tcPr>
          <w:p w14:paraId="79D41C56" w14:textId="77777777" w:rsidR="00DF08C0" w:rsidRPr="003D57EC" w:rsidRDefault="00DF08C0" w:rsidP="00C766B1">
            <w:pPr>
              <w:spacing w:line="240" w:lineRule="auto"/>
              <w:rPr>
                <w:rFonts w:asciiTheme="minorHAnsi" w:hAnsiTheme="minorHAnsi" w:cstheme="minorHAnsi"/>
                <w:i/>
                <w:iCs/>
                <w:sz w:val="22"/>
                <w:szCs w:val="22"/>
              </w:rPr>
            </w:pPr>
          </w:p>
        </w:tc>
        <w:tc>
          <w:tcPr>
            <w:tcW w:w="3176" w:type="dxa"/>
            <w:gridSpan w:val="3"/>
            <w:tcBorders>
              <w:left w:val="single" w:sz="4" w:space="0" w:color="auto"/>
            </w:tcBorders>
          </w:tcPr>
          <w:p w14:paraId="59500E52" w14:textId="77777777" w:rsidR="00DF08C0" w:rsidRPr="003D57EC" w:rsidRDefault="00DF08C0" w:rsidP="00C766B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proofErr w:type="spellStart"/>
            <w:r>
              <w:rPr>
                <w:rFonts w:asciiTheme="minorHAnsi" w:hAnsiTheme="minorHAnsi" w:cstheme="minorHAnsi"/>
                <w:i/>
                <w:iCs/>
                <w:sz w:val="22"/>
                <w:szCs w:val="22"/>
              </w:rPr>
              <w:t>Njoro</w:t>
            </w:r>
            <w:proofErr w:type="spellEnd"/>
            <w:r>
              <w:rPr>
                <w:rFonts w:asciiTheme="minorHAnsi" w:hAnsiTheme="minorHAnsi" w:cstheme="minorHAnsi"/>
                <w:i/>
                <w:iCs/>
                <w:sz w:val="22"/>
                <w:szCs w:val="22"/>
              </w:rPr>
              <w:t xml:space="preserve"> (Nakuru County)</w:t>
            </w:r>
          </w:p>
        </w:tc>
        <w:tc>
          <w:tcPr>
            <w:tcW w:w="3330" w:type="dxa"/>
            <w:gridSpan w:val="3"/>
            <w:tcBorders>
              <w:right w:val="single" w:sz="4" w:space="0" w:color="auto"/>
            </w:tcBorders>
          </w:tcPr>
          <w:p w14:paraId="6F423C06" w14:textId="77777777" w:rsidR="00DF08C0" w:rsidRPr="003D57EC" w:rsidRDefault="00DF08C0" w:rsidP="00C766B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proofErr w:type="spellStart"/>
            <w:r>
              <w:rPr>
                <w:rFonts w:asciiTheme="minorHAnsi" w:hAnsiTheme="minorHAnsi" w:cstheme="minorHAnsi"/>
                <w:i/>
                <w:iCs/>
                <w:sz w:val="22"/>
                <w:szCs w:val="22"/>
              </w:rPr>
              <w:t>Jomvu</w:t>
            </w:r>
            <w:proofErr w:type="spellEnd"/>
            <w:r>
              <w:rPr>
                <w:rFonts w:asciiTheme="minorHAnsi" w:hAnsiTheme="minorHAnsi" w:cstheme="minorHAnsi"/>
                <w:i/>
                <w:iCs/>
                <w:sz w:val="22"/>
                <w:szCs w:val="22"/>
              </w:rPr>
              <w:t xml:space="preserve"> (Mombasa County)</w:t>
            </w:r>
          </w:p>
        </w:tc>
        <w:tc>
          <w:tcPr>
            <w:tcW w:w="3240" w:type="dxa"/>
            <w:gridSpan w:val="3"/>
            <w:tcBorders>
              <w:left w:val="single" w:sz="4" w:space="0" w:color="auto"/>
            </w:tcBorders>
          </w:tcPr>
          <w:p w14:paraId="5B05A305" w14:textId="77777777" w:rsidR="00DF08C0" w:rsidRPr="003D57EC" w:rsidRDefault="00DF08C0" w:rsidP="00C766B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Nakuru North (Nakuru County)</w:t>
            </w:r>
          </w:p>
        </w:tc>
        <w:tc>
          <w:tcPr>
            <w:tcW w:w="3240" w:type="dxa"/>
            <w:gridSpan w:val="3"/>
            <w:tcBorders>
              <w:right w:val="single" w:sz="4" w:space="0" w:color="auto"/>
            </w:tcBorders>
          </w:tcPr>
          <w:p w14:paraId="024BE5F0" w14:textId="77777777" w:rsidR="00DF08C0" w:rsidRPr="003D57EC" w:rsidRDefault="00DF08C0" w:rsidP="00C766B1">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rPr>
            </w:pPr>
            <w:proofErr w:type="spellStart"/>
            <w:r>
              <w:rPr>
                <w:rFonts w:asciiTheme="minorHAnsi" w:hAnsiTheme="minorHAnsi" w:cstheme="minorHAnsi"/>
                <w:i/>
                <w:iCs/>
                <w:sz w:val="22"/>
                <w:szCs w:val="22"/>
              </w:rPr>
              <w:t>Likoni</w:t>
            </w:r>
            <w:proofErr w:type="spellEnd"/>
            <w:r>
              <w:rPr>
                <w:rFonts w:asciiTheme="minorHAnsi" w:hAnsiTheme="minorHAnsi" w:cstheme="minorHAnsi"/>
                <w:i/>
                <w:iCs/>
                <w:sz w:val="22"/>
                <w:szCs w:val="22"/>
              </w:rPr>
              <w:t xml:space="preserve"> (Mombasa County)</w:t>
            </w:r>
          </w:p>
        </w:tc>
      </w:tr>
      <w:tr w:rsidR="00DF08C0" w14:paraId="7DA4C828" w14:textId="77777777" w:rsidTr="005A1AE9">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right w:val="single" w:sz="4" w:space="0" w:color="auto"/>
            </w:tcBorders>
          </w:tcPr>
          <w:p w14:paraId="67DCE1BB" w14:textId="77777777" w:rsidR="00DF08C0" w:rsidRPr="003D57EC" w:rsidRDefault="00DF08C0" w:rsidP="00C766B1">
            <w:pPr>
              <w:spacing w:line="240" w:lineRule="auto"/>
              <w:rPr>
                <w:rFonts w:asciiTheme="minorHAnsi" w:hAnsiTheme="minorHAnsi" w:cstheme="minorHAnsi"/>
                <w:i/>
                <w:iCs/>
                <w:sz w:val="22"/>
                <w:szCs w:val="22"/>
              </w:rPr>
            </w:pPr>
            <w:r>
              <w:rPr>
                <w:rFonts w:asciiTheme="minorHAnsi" w:hAnsiTheme="minorHAnsi" w:cstheme="minorHAnsi"/>
                <w:sz w:val="22"/>
                <w:szCs w:val="22"/>
              </w:rPr>
              <w:t>Level of care provision</w:t>
            </w:r>
            <w:r w:rsidRPr="003C1650">
              <w:rPr>
                <w:rFonts w:asciiTheme="minorHAnsi" w:hAnsiTheme="minorHAnsi" w:cstheme="minorHAnsi"/>
                <w:sz w:val="22"/>
                <w:szCs w:val="22"/>
                <w:vertAlign w:val="superscript"/>
              </w:rPr>
              <w:t>1</w:t>
            </w:r>
          </w:p>
        </w:tc>
        <w:tc>
          <w:tcPr>
            <w:tcW w:w="1363" w:type="dxa"/>
            <w:tcBorders>
              <w:left w:val="single" w:sz="4" w:space="0" w:color="auto"/>
            </w:tcBorders>
          </w:tcPr>
          <w:p w14:paraId="1FCC9F79"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Total participating government facilities</w:t>
            </w:r>
          </w:p>
        </w:tc>
        <w:tc>
          <w:tcPr>
            <w:tcW w:w="1036" w:type="dxa"/>
          </w:tcPr>
          <w:p w14:paraId="080EA4F3"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Sampled facilities</w:t>
            </w:r>
          </w:p>
        </w:tc>
        <w:tc>
          <w:tcPr>
            <w:tcW w:w="777" w:type="dxa"/>
          </w:tcPr>
          <w:p w14:paraId="34DAB666"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w:t>
            </w:r>
          </w:p>
        </w:tc>
        <w:tc>
          <w:tcPr>
            <w:tcW w:w="1440" w:type="dxa"/>
          </w:tcPr>
          <w:p w14:paraId="459442C4"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Total participating government facilities</w:t>
            </w:r>
          </w:p>
        </w:tc>
        <w:tc>
          <w:tcPr>
            <w:tcW w:w="1080" w:type="dxa"/>
          </w:tcPr>
          <w:p w14:paraId="63D23FA1"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Sampled facilities</w:t>
            </w:r>
          </w:p>
        </w:tc>
        <w:tc>
          <w:tcPr>
            <w:tcW w:w="810" w:type="dxa"/>
            <w:tcBorders>
              <w:right w:val="single" w:sz="4" w:space="0" w:color="auto"/>
            </w:tcBorders>
          </w:tcPr>
          <w:p w14:paraId="13DFE8F2"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w:t>
            </w:r>
          </w:p>
        </w:tc>
        <w:tc>
          <w:tcPr>
            <w:tcW w:w="1440" w:type="dxa"/>
            <w:tcBorders>
              <w:left w:val="single" w:sz="4" w:space="0" w:color="auto"/>
            </w:tcBorders>
          </w:tcPr>
          <w:p w14:paraId="0FF83D25"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Total participating government facilities</w:t>
            </w:r>
          </w:p>
        </w:tc>
        <w:tc>
          <w:tcPr>
            <w:tcW w:w="990" w:type="dxa"/>
          </w:tcPr>
          <w:p w14:paraId="414E74E1"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Sampled facilities</w:t>
            </w:r>
          </w:p>
        </w:tc>
        <w:tc>
          <w:tcPr>
            <w:tcW w:w="810" w:type="dxa"/>
          </w:tcPr>
          <w:p w14:paraId="79E6BDAB" w14:textId="77777777" w:rsidR="00DF08C0" w:rsidRPr="003D57EC"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w:t>
            </w:r>
          </w:p>
        </w:tc>
        <w:tc>
          <w:tcPr>
            <w:tcW w:w="1440" w:type="dxa"/>
          </w:tcPr>
          <w:p w14:paraId="24073279" w14:textId="77777777" w:rsidR="00DF08C0"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Total participating government facilities</w:t>
            </w:r>
          </w:p>
        </w:tc>
        <w:tc>
          <w:tcPr>
            <w:tcW w:w="990" w:type="dxa"/>
          </w:tcPr>
          <w:p w14:paraId="43280E6B" w14:textId="77777777" w:rsidR="00DF08C0"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Sampled facilities</w:t>
            </w:r>
          </w:p>
        </w:tc>
        <w:tc>
          <w:tcPr>
            <w:tcW w:w="810" w:type="dxa"/>
            <w:tcBorders>
              <w:right w:val="single" w:sz="4" w:space="0" w:color="auto"/>
            </w:tcBorders>
          </w:tcPr>
          <w:p w14:paraId="72BDFD21" w14:textId="77777777" w:rsidR="00DF08C0"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r>
              <w:rPr>
                <w:rFonts w:asciiTheme="minorHAnsi" w:hAnsiTheme="minorHAnsi" w:cstheme="minorHAnsi"/>
                <w:i/>
                <w:iCs/>
                <w:sz w:val="22"/>
                <w:szCs w:val="22"/>
              </w:rPr>
              <w:t>%</w:t>
            </w:r>
          </w:p>
        </w:tc>
      </w:tr>
      <w:tr w:rsidR="00DF08C0" w14:paraId="7F2B1EDD"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right w:val="single" w:sz="4" w:space="0" w:color="auto"/>
            </w:tcBorders>
          </w:tcPr>
          <w:p w14:paraId="359F9966" w14:textId="77777777" w:rsidR="00DF08C0" w:rsidRPr="003D57EC" w:rsidRDefault="00DF08C0" w:rsidP="00C766B1">
            <w:pPr>
              <w:spacing w:line="240" w:lineRule="auto"/>
              <w:rPr>
                <w:rFonts w:asciiTheme="minorHAnsi" w:hAnsiTheme="minorHAnsi" w:cstheme="minorHAnsi"/>
                <w:i/>
                <w:iCs/>
                <w:sz w:val="22"/>
                <w:szCs w:val="22"/>
              </w:rPr>
            </w:pPr>
            <w:r>
              <w:rPr>
                <w:rFonts w:asciiTheme="minorHAnsi" w:hAnsiTheme="minorHAnsi" w:cstheme="minorHAnsi"/>
                <w:b w:val="0"/>
                <w:bCs w:val="0"/>
                <w:sz w:val="22"/>
                <w:szCs w:val="22"/>
              </w:rPr>
              <w:t xml:space="preserve">Level 2 </w:t>
            </w:r>
          </w:p>
        </w:tc>
        <w:tc>
          <w:tcPr>
            <w:tcW w:w="1363" w:type="dxa"/>
            <w:tcBorders>
              <w:left w:val="single" w:sz="4" w:space="0" w:color="auto"/>
            </w:tcBorders>
          </w:tcPr>
          <w:p w14:paraId="46CCA310"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19</w:t>
            </w:r>
          </w:p>
        </w:tc>
        <w:tc>
          <w:tcPr>
            <w:tcW w:w="1036" w:type="dxa"/>
          </w:tcPr>
          <w:p w14:paraId="339881D1"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w:t>
            </w:r>
          </w:p>
        </w:tc>
        <w:tc>
          <w:tcPr>
            <w:tcW w:w="777" w:type="dxa"/>
          </w:tcPr>
          <w:p w14:paraId="7CB90311"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p>
        </w:tc>
        <w:tc>
          <w:tcPr>
            <w:tcW w:w="1440" w:type="dxa"/>
          </w:tcPr>
          <w:p w14:paraId="60B7A2B4" w14:textId="77777777" w:rsidR="00DF08C0" w:rsidRPr="00EA3D8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3</w:t>
            </w:r>
          </w:p>
        </w:tc>
        <w:tc>
          <w:tcPr>
            <w:tcW w:w="1080" w:type="dxa"/>
          </w:tcPr>
          <w:p w14:paraId="7FE9B338" w14:textId="77777777" w:rsidR="00DF08C0" w:rsidRPr="00EA3D8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2</w:t>
            </w:r>
          </w:p>
        </w:tc>
        <w:tc>
          <w:tcPr>
            <w:tcW w:w="810" w:type="dxa"/>
            <w:tcBorders>
              <w:right w:val="single" w:sz="4" w:space="0" w:color="auto"/>
            </w:tcBorders>
          </w:tcPr>
          <w:p w14:paraId="438D77C2"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67%</w:t>
            </w:r>
          </w:p>
        </w:tc>
        <w:tc>
          <w:tcPr>
            <w:tcW w:w="1440" w:type="dxa"/>
            <w:tcBorders>
              <w:left w:val="single" w:sz="4" w:space="0" w:color="auto"/>
            </w:tcBorders>
          </w:tcPr>
          <w:p w14:paraId="2538369A"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789385B6"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810" w:type="dxa"/>
          </w:tcPr>
          <w:p w14:paraId="4E7D9A2B"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50%</w:t>
            </w:r>
          </w:p>
        </w:tc>
        <w:tc>
          <w:tcPr>
            <w:tcW w:w="1440" w:type="dxa"/>
          </w:tcPr>
          <w:p w14:paraId="4390319F" w14:textId="77777777" w:rsidR="00DF08C0" w:rsidRPr="0022151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21517">
              <w:rPr>
                <w:rFonts w:asciiTheme="minorHAnsi" w:hAnsiTheme="minorHAnsi" w:cstheme="minorHAnsi"/>
                <w:sz w:val="22"/>
                <w:szCs w:val="22"/>
              </w:rPr>
              <w:t>3</w:t>
            </w:r>
          </w:p>
        </w:tc>
        <w:tc>
          <w:tcPr>
            <w:tcW w:w="990" w:type="dxa"/>
          </w:tcPr>
          <w:p w14:paraId="0DCC7DFA" w14:textId="77777777" w:rsidR="00DF08C0" w:rsidRPr="0022151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21517">
              <w:rPr>
                <w:rFonts w:asciiTheme="minorHAnsi" w:hAnsiTheme="minorHAnsi" w:cstheme="minorHAnsi"/>
                <w:sz w:val="22"/>
                <w:szCs w:val="22"/>
              </w:rPr>
              <w:t>3</w:t>
            </w:r>
          </w:p>
        </w:tc>
        <w:tc>
          <w:tcPr>
            <w:tcW w:w="810" w:type="dxa"/>
            <w:tcBorders>
              <w:right w:val="single" w:sz="4" w:space="0" w:color="auto"/>
            </w:tcBorders>
          </w:tcPr>
          <w:p w14:paraId="790991CB"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100%</w:t>
            </w:r>
          </w:p>
        </w:tc>
      </w:tr>
      <w:tr w:rsidR="00DF08C0" w14:paraId="1B57544E" w14:textId="77777777" w:rsidTr="005A1AE9">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right w:val="single" w:sz="4" w:space="0" w:color="auto"/>
            </w:tcBorders>
          </w:tcPr>
          <w:p w14:paraId="344C09E2" w14:textId="77777777" w:rsidR="00DF08C0" w:rsidRPr="003D57EC" w:rsidRDefault="00DF08C0" w:rsidP="00C766B1">
            <w:pPr>
              <w:spacing w:line="240" w:lineRule="auto"/>
              <w:rPr>
                <w:rFonts w:asciiTheme="minorHAnsi" w:hAnsiTheme="minorHAnsi" w:cstheme="minorHAnsi"/>
                <w:i/>
                <w:iCs/>
                <w:sz w:val="22"/>
                <w:szCs w:val="22"/>
              </w:rPr>
            </w:pPr>
            <w:r>
              <w:rPr>
                <w:rFonts w:asciiTheme="minorHAnsi" w:hAnsiTheme="minorHAnsi" w:cstheme="minorHAnsi"/>
                <w:b w:val="0"/>
                <w:bCs w:val="0"/>
                <w:sz w:val="22"/>
                <w:szCs w:val="22"/>
              </w:rPr>
              <w:t xml:space="preserve">Level 3 </w:t>
            </w:r>
          </w:p>
        </w:tc>
        <w:tc>
          <w:tcPr>
            <w:tcW w:w="1363" w:type="dxa"/>
            <w:tcBorders>
              <w:left w:val="single" w:sz="4" w:space="0" w:color="auto"/>
            </w:tcBorders>
          </w:tcPr>
          <w:p w14:paraId="6423F7D8"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3</w:t>
            </w:r>
          </w:p>
        </w:tc>
        <w:tc>
          <w:tcPr>
            <w:tcW w:w="1036" w:type="dxa"/>
          </w:tcPr>
          <w:p w14:paraId="52E80404"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777" w:type="dxa"/>
          </w:tcPr>
          <w:p w14:paraId="29EEF288"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67%</w:t>
            </w:r>
          </w:p>
        </w:tc>
        <w:tc>
          <w:tcPr>
            <w:tcW w:w="1440" w:type="dxa"/>
          </w:tcPr>
          <w:p w14:paraId="4EDB2685" w14:textId="77777777" w:rsidR="00DF08C0" w:rsidRPr="00EA3D87"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2</w:t>
            </w:r>
          </w:p>
        </w:tc>
        <w:tc>
          <w:tcPr>
            <w:tcW w:w="1080" w:type="dxa"/>
          </w:tcPr>
          <w:p w14:paraId="4861915C" w14:textId="77777777" w:rsidR="00DF08C0" w:rsidRPr="00EA3D87"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2</w:t>
            </w:r>
          </w:p>
        </w:tc>
        <w:tc>
          <w:tcPr>
            <w:tcW w:w="810" w:type="dxa"/>
            <w:tcBorders>
              <w:right w:val="single" w:sz="4" w:space="0" w:color="auto"/>
            </w:tcBorders>
          </w:tcPr>
          <w:p w14:paraId="6212567A"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100%</w:t>
            </w:r>
          </w:p>
        </w:tc>
        <w:tc>
          <w:tcPr>
            <w:tcW w:w="1440" w:type="dxa"/>
            <w:tcBorders>
              <w:left w:val="single" w:sz="4" w:space="0" w:color="auto"/>
            </w:tcBorders>
          </w:tcPr>
          <w:p w14:paraId="748C8146"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w:t>
            </w:r>
          </w:p>
        </w:tc>
        <w:tc>
          <w:tcPr>
            <w:tcW w:w="990" w:type="dxa"/>
          </w:tcPr>
          <w:p w14:paraId="4D485D67"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w:t>
            </w:r>
          </w:p>
        </w:tc>
        <w:tc>
          <w:tcPr>
            <w:tcW w:w="810" w:type="dxa"/>
          </w:tcPr>
          <w:p w14:paraId="6C3425BC"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67%</w:t>
            </w:r>
          </w:p>
        </w:tc>
        <w:tc>
          <w:tcPr>
            <w:tcW w:w="1440" w:type="dxa"/>
          </w:tcPr>
          <w:p w14:paraId="27989E07"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24F3286B"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810" w:type="dxa"/>
            <w:tcBorders>
              <w:right w:val="single" w:sz="4" w:space="0" w:color="auto"/>
            </w:tcBorders>
          </w:tcPr>
          <w:p w14:paraId="1F625B5A"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50%</w:t>
            </w:r>
          </w:p>
        </w:tc>
      </w:tr>
      <w:tr w:rsidR="00DF08C0" w14:paraId="75383B1A"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right w:val="single" w:sz="4" w:space="0" w:color="auto"/>
            </w:tcBorders>
          </w:tcPr>
          <w:p w14:paraId="0049E831" w14:textId="77777777" w:rsidR="00DF08C0" w:rsidRDefault="00DF08C0" w:rsidP="00C766B1">
            <w:pPr>
              <w:spacing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Level 4 </w:t>
            </w:r>
          </w:p>
        </w:tc>
        <w:tc>
          <w:tcPr>
            <w:tcW w:w="1363" w:type="dxa"/>
            <w:tcBorders>
              <w:left w:val="single" w:sz="4" w:space="0" w:color="auto"/>
            </w:tcBorders>
          </w:tcPr>
          <w:p w14:paraId="2E5D4797"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1036" w:type="dxa"/>
          </w:tcPr>
          <w:p w14:paraId="4B9030A4"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777" w:type="dxa"/>
          </w:tcPr>
          <w:p w14:paraId="75A6E20F"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50%</w:t>
            </w:r>
          </w:p>
        </w:tc>
        <w:tc>
          <w:tcPr>
            <w:tcW w:w="1440" w:type="dxa"/>
          </w:tcPr>
          <w:p w14:paraId="1E3B5B87" w14:textId="77777777" w:rsidR="00DF08C0" w:rsidRPr="00EA3D8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0</w:t>
            </w:r>
          </w:p>
        </w:tc>
        <w:tc>
          <w:tcPr>
            <w:tcW w:w="1080" w:type="dxa"/>
          </w:tcPr>
          <w:p w14:paraId="66330A1B" w14:textId="77777777" w:rsidR="00DF08C0" w:rsidRPr="00EA3D87"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w:t>
            </w:r>
          </w:p>
        </w:tc>
        <w:tc>
          <w:tcPr>
            <w:tcW w:w="810" w:type="dxa"/>
            <w:tcBorders>
              <w:right w:val="single" w:sz="4" w:space="0" w:color="auto"/>
            </w:tcBorders>
          </w:tcPr>
          <w:p w14:paraId="4F179343"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D6E23">
              <w:rPr>
                <w:rFonts w:asciiTheme="minorHAnsi" w:hAnsiTheme="minorHAnsi" w:cstheme="minorHAnsi"/>
                <w:sz w:val="22"/>
                <w:szCs w:val="22"/>
              </w:rPr>
              <w:t>--</w:t>
            </w:r>
          </w:p>
        </w:tc>
        <w:tc>
          <w:tcPr>
            <w:tcW w:w="1440" w:type="dxa"/>
            <w:tcBorders>
              <w:left w:val="single" w:sz="4" w:space="0" w:color="auto"/>
            </w:tcBorders>
          </w:tcPr>
          <w:p w14:paraId="567948EE"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990" w:type="dxa"/>
          </w:tcPr>
          <w:p w14:paraId="05EFB944"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810" w:type="dxa"/>
          </w:tcPr>
          <w:p w14:paraId="58A32145"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100%</w:t>
            </w:r>
          </w:p>
        </w:tc>
        <w:tc>
          <w:tcPr>
            <w:tcW w:w="1440" w:type="dxa"/>
          </w:tcPr>
          <w:p w14:paraId="05403D6B"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w:t>
            </w:r>
          </w:p>
        </w:tc>
        <w:tc>
          <w:tcPr>
            <w:tcW w:w="990" w:type="dxa"/>
          </w:tcPr>
          <w:p w14:paraId="0C80F430"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w:t>
            </w:r>
          </w:p>
        </w:tc>
        <w:tc>
          <w:tcPr>
            <w:tcW w:w="810" w:type="dxa"/>
            <w:tcBorders>
              <w:right w:val="single" w:sz="4" w:space="0" w:color="auto"/>
            </w:tcBorders>
          </w:tcPr>
          <w:p w14:paraId="4A247F66" w14:textId="77777777" w:rsidR="00DF08C0" w:rsidRPr="00830D52" w:rsidRDefault="00DF08C0" w:rsidP="00C766B1">
            <w:pPr>
              <w:spacing w:line="240"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50%</w:t>
            </w:r>
          </w:p>
        </w:tc>
      </w:tr>
      <w:tr w:rsidR="00DF08C0" w14:paraId="4A49D79A" w14:textId="77777777" w:rsidTr="005A1AE9">
        <w:tc>
          <w:tcPr>
            <w:cnfStyle w:val="001000000000" w:firstRow="0" w:lastRow="0" w:firstColumn="1" w:lastColumn="0" w:oddVBand="0" w:evenVBand="0" w:oddHBand="0" w:evenHBand="0" w:firstRowFirstColumn="0" w:firstRowLastColumn="0" w:lastRowFirstColumn="0" w:lastRowLastColumn="0"/>
            <w:tcW w:w="1139" w:type="dxa"/>
            <w:tcBorders>
              <w:left w:val="single" w:sz="4" w:space="0" w:color="auto"/>
              <w:bottom w:val="single" w:sz="4" w:space="0" w:color="auto"/>
              <w:right w:val="single" w:sz="4" w:space="0" w:color="auto"/>
            </w:tcBorders>
          </w:tcPr>
          <w:p w14:paraId="0940467D" w14:textId="77777777" w:rsidR="00DF08C0" w:rsidRDefault="00DF08C0" w:rsidP="00C766B1">
            <w:pPr>
              <w:spacing w:line="240" w:lineRule="auto"/>
              <w:rPr>
                <w:rFonts w:asciiTheme="minorHAnsi" w:hAnsiTheme="minorHAnsi" w:cstheme="minorHAnsi"/>
                <w:b w:val="0"/>
                <w:bCs w:val="0"/>
                <w:sz w:val="22"/>
                <w:szCs w:val="22"/>
              </w:rPr>
            </w:pPr>
            <w:r w:rsidRPr="006D47BC">
              <w:rPr>
                <w:rFonts w:asciiTheme="minorHAnsi" w:hAnsiTheme="minorHAnsi" w:cstheme="minorHAnsi"/>
                <w:sz w:val="22"/>
                <w:szCs w:val="22"/>
              </w:rPr>
              <w:t>Total</w:t>
            </w:r>
          </w:p>
        </w:tc>
        <w:tc>
          <w:tcPr>
            <w:tcW w:w="1363" w:type="dxa"/>
            <w:tcBorders>
              <w:left w:val="single" w:sz="4" w:space="0" w:color="auto"/>
              <w:bottom w:val="single" w:sz="4" w:space="0" w:color="auto"/>
            </w:tcBorders>
          </w:tcPr>
          <w:p w14:paraId="01DCEE93"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24</w:t>
            </w:r>
          </w:p>
        </w:tc>
        <w:tc>
          <w:tcPr>
            <w:tcW w:w="1036" w:type="dxa"/>
            <w:tcBorders>
              <w:bottom w:val="single" w:sz="4" w:space="0" w:color="auto"/>
            </w:tcBorders>
          </w:tcPr>
          <w:p w14:paraId="13B9239E"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p>
        </w:tc>
        <w:tc>
          <w:tcPr>
            <w:tcW w:w="777" w:type="dxa"/>
            <w:tcBorders>
              <w:bottom w:val="single" w:sz="4" w:space="0" w:color="auto"/>
            </w:tcBorders>
          </w:tcPr>
          <w:p w14:paraId="4098304E"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41%</w:t>
            </w:r>
          </w:p>
        </w:tc>
        <w:tc>
          <w:tcPr>
            <w:tcW w:w="1440" w:type="dxa"/>
            <w:tcBorders>
              <w:bottom w:val="single" w:sz="4" w:space="0" w:color="auto"/>
            </w:tcBorders>
          </w:tcPr>
          <w:p w14:paraId="2981EAE4" w14:textId="77777777" w:rsidR="00DF08C0" w:rsidRPr="00EA3D87"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5</w:t>
            </w:r>
          </w:p>
        </w:tc>
        <w:tc>
          <w:tcPr>
            <w:tcW w:w="1080" w:type="dxa"/>
            <w:tcBorders>
              <w:bottom w:val="single" w:sz="4" w:space="0" w:color="auto"/>
            </w:tcBorders>
          </w:tcPr>
          <w:p w14:paraId="781CFC66" w14:textId="77777777" w:rsidR="00DF08C0" w:rsidRPr="00EA3D87"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A3D87">
              <w:rPr>
                <w:rFonts w:asciiTheme="minorHAnsi" w:hAnsiTheme="minorHAnsi" w:cstheme="minorHAnsi"/>
                <w:sz w:val="22"/>
                <w:szCs w:val="22"/>
              </w:rPr>
              <w:t>4</w:t>
            </w:r>
          </w:p>
        </w:tc>
        <w:tc>
          <w:tcPr>
            <w:tcW w:w="810" w:type="dxa"/>
            <w:tcBorders>
              <w:bottom w:val="single" w:sz="4" w:space="0" w:color="auto"/>
              <w:right w:val="single" w:sz="4" w:space="0" w:color="auto"/>
            </w:tcBorders>
          </w:tcPr>
          <w:p w14:paraId="0B0BD184"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80%</w:t>
            </w:r>
          </w:p>
        </w:tc>
        <w:tc>
          <w:tcPr>
            <w:tcW w:w="1440" w:type="dxa"/>
            <w:tcBorders>
              <w:left w:val="single" w:sz="4" w:space="0" w:color="auto"/>
              <w:bottom w:val="single" w:sz="4" w:space="0" w:color="auto"/>
            </w:tcBorders>
          </w:tcPr>
          <w:p w14:paraId="5F715D30"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C788D">
              <w:rPr>
                <w:rFonts w:asciiTheme="minorHAnsi" w:hAnsiTheme="minorHAnsi" w:cstheme="minorHAnsi"/>
                <w:sz w:val="22"/>
                <w:szCs w:val="22"/>
              </w:rPr>
              <w:t>9</w:t>
            </w:r>
          </w:p>
        </w:tc>
        <w:tc>
          <w:tcPr>
            <w:tcW w:w="990" w:type="dxa"/>
            <w:tcBorders>
              <w:bottom w:val="single" w:sz="4" w:space="0" w:color="auto"/>
            </w:tcBorders>
          </w:tcPr>
          <w:p w14:paraId="1B10E909"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w:t>
            </w:r>
          </w:p>
        </w:tc>
        <w:tc>
          <w:tcPr>
            <w:tcW w:w="810" w:type="dxa"/>
            <w:tcBorders>
              <w:bottom w:val="single" w:sz="4" w:space="0" w:color="auto"/>
            </w:tcBorders>
          </w:tcPr>
          <w:p w14:paraId="72C8B5A4"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67%</w:t>
            </w:r>
          </w:p>
        </w:tc>
        <w:tc>
          <w:tcPr>
            <w:tcW w:w="1440" w:type="dxa"/>
            <w:tcBorders>
              <w:bottom w:val="single" w:sz="4" w:space="0" w:color="auto"/>
            </w:tcBorders>
          </w:tcPr>
          <w:p w14:paraId="18ED3756"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w:t>
            </w:r>
          </w:p>
        </w:tc>
        <w:tc>
          <w:tcPr>
            <w:tcW w:w="990" w:type="dxa"/>
            <w:tcBorders>
              <w:bottom w:val="single" w:sz="4" w:space="0" w:color="auto"/>
            </w:tcBorders>
          </w:tcPr>
          <w:p w14:paraId="5F70A14D"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5</w:t>
            </w:r>
          </w:p>
        </w:tc>
        <w:tc>
          <w:tcPr>
            <w:tcW w:w="810" w:type="dxa"/>
            <w:tcBorders>
              <w:bottom w:val="single" w:sz="4" w:space="0" w:color="auto"/>
              <w:right w:val="single" w:sz="4" w:space="0" w:color="auto"/>
            </w:tcBorders>
          </w:tcPr>
          <w:p w14:paraId="7EE8F69D" w14:textId="77777777" w:rsidR="00DF08C0" w:rsidRPr="00830D52" w:rsidRDefault="00DF08C0" w:rsidP="00C766B1">
            <w:pPr>
              <w:spacing w:line="240"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71%</w:t>
            </w:r>
          </w:p>
        </w:tc>
      </w:tr>
    </w:tbl>
    <w:p w14:paraId="0DE0FE73" w14:textId="77777777" w:rsidR="00DF08C0" w:rsidRPr="006D47BC" w:rsidRDefault="00DF08C0" w:rsidP="00DF08C0">
      <w:pPr>
        <w:spacing w:after="160" w:line="259" w:lineRule="auto"/>
        <w:rPr>
          <w:rFonts w:asciiTheme="minorHAnsi" w:hAnsiTheme="minorHAnsi" w:cstheme="minorHAnsi"/>
          <w:b/>
          <w:bCs/>
          <w:sz w:val="22"/>
          <w:szCs w:val="22"/>
        </w:rPr>
      </w:pPr>
    </w:p>
    <w:p w14:paraId="7E301FF5" w14:textId="77777777" w:rsidR="00EC4E7A" w:rsidRDefault="00DF08C0" w:rsidP="00DF08C0">
      <w:pPr>
        <w:spacing w:line="240" w:lineRule="auto"/>
        <w:rPr>
          <w:rFonts w:asciiTheme="minorHAnsi" w:hAnsiTheme="minorHAnsi" w:cstheme="minorHAnsi"/>
          <w:sz w:val="22"/>
          <w:szCs w:val="22"/>
        </w:rPr>
      </w:pPr>
      <w:r w:rsidRPr="00332113">
        <w:rPr>
          <w:rFonts w:asciiTheme="minorHAnsi" w:hAnsiTheme="minorHAnsi" w:cstheme="minorHAnsi"/>
          <w:sz w:val="22"/>
          <w:szCs w:val="22"/>
          <w:vertAlign w:val="superscript"/>
        </w:rPr>
        <w:t>1</w:t>
      </w:r>
      <w:r>
        <w:rPr>
          <w:rFonts w:asciiTheme="minorHAnsi" w:hAnsiTheme="minorHAnsi" w:cstheme="minorHAnsi"/>
          <w:sz w:val="22"/>
          <w:szCs w:val="22"/>
        </w:rPr>
        <w:t>Level 2 facilities = health dispensaries (outpatient services only); Level 3 facilities = health centers (outpatient and inpatient services usually maternity services); Level 4 facilities = sub-county hospitals.</w:t>
      </w:r>
    </w:p>
    <w:p w14:paraId="177E2613" w14:textId="77777777" w:rsidR="00EC4E7A" w:rsidRDefault="00EC4E7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3AE8993" w14:textId="558BB0C8" w:rsidR="00F40EBB" w:rsidRPr="006D47BC" w:rsidRDefault="00F40EBB" w:rsidP="00F40EBB">
      <w:pPr>
        <w:spacing w:after="160" w:line="259" w:lineRule="auto"/>
        <w:rPr>
          <w:rFonts w:asciiTheme="minorHAnsi" w:hAnsiTheme="minorHAnsi" w:cstheme="minorHAnsi"/>
          <w:b/>
          <w:bCs/>
          <w:sz w:val="22"/>
          <w:szCs w:val="22"/>
        </w:rPr>
      </w:pPr>
      <w:r w:rsidRPr="006B3E2A">
        <w:rPr>
          <w:rFonts w:asciiTheme="minorHAnsi" w:hAnsiTheme="minorHAnsi" w:cstheme="minorHAnsi"/>
          <w:b/>
          <w:bCs/>
          <w:sz w:val="22"/>
          <w:szCs w:val="22"/>
        </w:rPr>
        <w:lastRenderedPageBreak/>
        <w:t>Supplemental Table S</w:t>
      </w:r>
      <w:r>
        <w:rPr>
          <w:rFonts w:asciiTheme="minorHAnsi" w:hAnsiTheme="minorHAnsi" w:cstheme="minorHAnsi"/>
          <w:b/>
          <w:bCs/>
          <w:sz w:val="22"/>
          <w:szCs w:val="22"/>
        </w:rPr>
        <w:t>2</w:t>
      </w:r>
      <w:r w:rsidRPr="006B3E2A">
        <w:rPr>
          <w:rFonts w:asciiTheme="minorHAnsi" w:hAnsiTheme="minorHAnsi" w:cstheme="minorHAnsi"/>
          <w:b/>
          <w:bCs/>
          <w:sz w:val="22"/>
          <w:szCs w:val="22"/>
        </w:rPr>
        <w:t xml:space="preserve">: </w:t>
      </w:r>
      <w:r w:rsidR="0086322B">
        <w:rPr>
          <w:rFonts w:asciiTheme="minorHAnsi" w:hAnsiTheme="minorHAnsi" w:cstheme="minorHAnsi"/>
          <w:b/>
          <w:bCs/>
          <w:sz w:val="22"/>
          <w:szCs w:val="22"/>
        </w:rPr>
        <w:t>Operational needs</w:t>
      </w:r>
      <w:r w:rsidR="004D7BBD">
        <w:rPr>
          <w:rFonts w:asciiTheme="minorHAnsi" w:hAnsiTheme="minorHAnsi" w:cstheme="minorHAnsi"/>
          <w:b/>
          <w:bCs/>
          <w:sz w:val="22"/>
          <w:szCs w:val="22"/>
        </w:rPr>
        <w:t>,</w:t>
      </w:r>
      <w:r>
        <w:rPr>
          <w:rFonts w:asciiTheme="minorHAnsi" w:hAnsiTheme="minorHAnsi" w:cstheme="minorHAnsi"/>
          <w:b/>
          <w:bCs/>
          <w:sz w:val="22"/>
          <w:szCs w:val="22"/>
        </w:rPr>
        <w:t xml:space="preserve"> by </w:t>
      </w:r>
      <w:r w:rsidRPr="006B3E2A">
        <w:rPr>
          <w:rFonts w:asciiTheme="minorHAnsi" w:hAnsiTheme="minorHAnsi" w:cstheme="minorHAnsi"/>
          <w:b/>
          <w:bCs/>
          <w:sz w:val="22"/>
          <w:szCs w:val="22"/>
        </w:rPr>
        <w:t>delivery strategy</w:t>
      </w:r>
      <w:r w:rsidR="004D7BBD">
        <w:rPr>
          <w:rFonts w:asciiTheme="minorHAnsi" w:hAnsiTheme="minorHAnsi" w:cstheme="minorHAnsi"/>
          <w:b/>
          <w:bCs/>
          <w:sz w:val="22"/>
          <w:szCs w:val="22"/>
        </w:rPr>
        <w:t>,</w:t>
      </w:r>
      <w:r w:rsidR="00E73003">
        <w:rPr>
          <w:rFonts w:asciiTheme="minorHAnsi" w:hAnsiTheme="minorHAnsi" w:cstheme="minorHAnsi"/>
          <w:b/>
          <w:bCs/>
          <w:sz w:val="22"/>
          <w:szCs w:val="22"/>
        </w:rPr>
        <w:t xml:space="preserve"> for pediatric influenza vaccination</w:t>
      </w:r>
      <w:r w:rsidRPr="006B3E2A">
        <w:rPr>
          <w:rFonts w:asciiTheme="minorHAnsi" w:hAnsiTheme="minorHAnsi" w:cstheme="minorHAnsi"/>
          <w:b/>
          <w:bCs/>
          <w:sz w:val="22"/>
          <w:szCs w:val="22"/>
        </w:rPr>
        <w:t xml:space="preserve"> – Nakuru and Mombasa Counties, Kenya, 2019–2021</w:t>
      </w:r>
    </w:p>
    <w:tbl>
      <w:tblPr>
        <w:tblStyle w:val="TableGrid"/>
        <w:tblW w:w="12950" w:type="dxa"/>
        <w:tblLook w:val="04A0" w:firstRow="1" w:lastRow="0" w:firstColumn="1" w:lastColumn="0" w:noHBand="0" w:noVBand="1"/>
      </w:tblPr>
      <w:tblGrid>
        <w:gridCol w:w="1945"/>
        <w:gridCol w:w="4349"/>
        <w:gridCol w:w="3328"/>
        <w:gridCol w:w="3328"/>
      </w:tblGrid>
      <w:tr w:rsidR="00DB1B4E" w14:paraId="7BB5BAC5" w14:textId="17CF37BA" w:rsidTr="00DB1B4E">
        <w:tc>
          <w:tcPr>
            <w:tcW w:w="1945" w:type="dxa"/>
          </w:tcPr>
          <w:p w14:paraId="4DAF6989" w14:textId="4B800AE9" w:rsidR="00DB1B4E" w:rsidRPr="006D01B7" w:rsidRDefault="00DB1B4E" w:rsidP="00DB1B4E">
            <w:pPr>
              <w:spacing w:line="240" w:lineRule="auto"/>
              <w:rPr>
                <w:rFonts w:asciiTheme="minorHAnsi" w:hAnsiTheme="minorHAnsi" w:cstheme="minorHAnsi"/>
                <w:b/>
                <w:bCs/>
                <w:sz w:val="22"/>
                <w:szCs w:val="22"/>
              </w:rPr>
            </w:pPr>
            <w:r>
              <w:rPr>
                <w:rFonts w:asciiTheme="minorHAnsi" w:hAnsiTheme="minorHAnsi" w:cstheme="minorHAnsi"/>
                <w:b/>
                <w:bCs/>
                <w:sz w:val="22"/>
                <w:szCs w:val="22"/>
              </w:rPr>
              <w:t>Program activity</w:t>
            </w:r>
          </w:p>
        </w:tc>
        <w:tc>
          <w:tcPr>
            <w:tcW w:w="4349" w:type="dxa"/>
          </w:tcPr>
          <w:p w14:paraId="5D709358" w14:textId="2D267465" w:rsidR="00DB1B4E" w:rsidRPr="007B1B4F" w:rsidRDefault="00DB1B4E" w:rsidP="00DB1B4E">
            <w:pPr>
              <w:spacing w:line="240" w:lineRule="auto"/>
              <w:jc w:val="center"/>
              <w:rPr>
                <w:rFonts w:asciiTheme="minorHAnsi" w:hAnsiTheme="minorHAnsi" w:cstheme="minorHAnsi"/>
                <w:b/>
                <w:bCs/>
                <w:sz w:val="22"/>
                <w:szCs w:val="22"/>
              </w:rPr>
            </w:pPr>
            <w:r>
              <w:rPr>
                <w:rFonts w:asciiTheme="minorHAnsi" w:hAnsiTheme="minorHAnsi" w:cstheme="minorHAnsi"/>
                <w:b/>
                <w:bCs/>
                <w:sz w:val="22"/>
                <w:szCs w:val="22"/>
              </w:rPr>
              <w:t>Input</w:t>
            </w:r>
          </w:p>
        </w:tc>
        <w:tc>
          <w:tcPr>
            <w:tcW w:w="3328" w:type="dxa"/>
          </w:tcPr>
          <w:p w14:paraId="42D18A5C" w14:textId="315E10E7" w:rsidR="00DB1B4E" w:rsidRPr="007B1B4F" w:rsidRDefault="00DB1B4E" w:rsidP="00DB1B4E">
            <w:pPr>
              <w:spacing w:line="240" w:lineRule="auto"/>
              <w:jc w:val="center"/>
              <w:rPr>
                <w:rFonts w:asciiTheme="minorHAnsi" w:hAnsiTheme="minorHAnsi" w:cstheme="minorHAnsi"/>
                <w:b/>
                <w:bCs/>
                <w:sz w:val="22"/>
                <w:szCs w:val="22"/>
              </w:rPr>
            </w:pPr>
            <w:r w:rsidRPr="007B1B4F">
              <w:rPr>
                <w:rFonts w:asciiTheme="minorHAnsi" w:hAnsiTheme="minorHAnsi" w:cstheme="minorHAnsi"/>
                <w:b/>
                <w:bCs/>
                <w:sz w:val="22"/>
                <w:szCs w:val="22"/>
              </w:rPr>
              <w:t>Seasonal campaign delivery</w:t>
            </w:r>
          </w:p>
        </w:tc>
        <w:tc>
          <w:tcPr>
            <w:tcW w:w="3328" w:type="dxa"/>
          </w:tcPr>
          <w:p w14:paraId="1AE5EF7E" w14:textId="5B32D86C" w:rsidR="00DB1B4E" w:rsidRPr="00DB1B4E" w:rsidRDefault="00DB1B4E" w:rsidP="00DB1B4E">
            <w:pPr>
              <w:spacing w:line="240" w:lineRule="auto"/>
              <w:jc w:val="center"/>
              <w:rPr>
                <w:rFonts w:asciiTheme="minorHAnsi" w:hAnsiTheme="minorHAnsi" w:cstheme="minorHAnsi"/>
                <w:sz w:val="22"/>
                <w:szCs w:val="22"/>
              </w:rPr>
            </w:pPr>
            <w:r w:rsidRPr="007B1B4F">
              <w:rPr>
                <w:rFonts w:asciiTheme="minorHAnsi" w:hAnsiTheme="minorHAnsi" w:cstheme="minorHAnsi"/>
                <w:b/>
                <w:bCs/>
                <w:sz w:val="22"/>
                <w:szCs w:val="22"/>
              </w:rPr>
              <w:t>Year-round delivery</w:t>
            </w:r>
          </w:p>
        </w:tc>
      </w:tr>
      <w:tr w:rsidR="00DB1B4E" w14:paraId="108F5B86" w14:textId="7582AFB2" w:rsidTr="00DB1B4E">
        <w:trPr>
          <w:trHeight w:val="1232"/>
        </w:trPr>
        <w:tc>
          <w:tcPr>
            <w:tcW w:w="1945" w:type="dxa"/>
          </w:tcPr>
          <w:p w14:paraId="05CAFF1F" w14:textId="4B700B51" w:rsidR="00DB1B4E" w:rsidRPr="00BA2900" w:rsidRDefault="00DB1B4E" w:rsidP="00DB1B4E">
            <w:pPr>
              <w:spacing w:line="240" w:lineRule="auto"/>
              <w:rPr>
                <w:rFonts w:asciiTheme="minorHAnsi" w:hAnsiTheme="minorHAnsi" w:cstheme="minorHAnsi"/>
                <w:sz w:val="22"/>
                <w:szCs w:val="22"/>
              </w:rPr>
            </w:pPr>
            <w:r w:rsidRPr="00BA2900">
              <w:rPr>
                <w:rFonts w:ascii="Calibri" w:eastAsia="Times New Roman" w:hAnsi="Calibri" w:cs="Calibri"/>
                <w:b/>
                <w:bCs/>
                <w:color w:val="000000"/>
                <w:sz w:val="22"/>
                <w:szCs w:val="22"/>
                <w:lang w:eastAsia="en-GB"/>
              </w:rPr>
              <w:t>Advocacy and social mobilization</w:t>
            </w:r>
          </w:p>
        </w:tc>
        <w:tc>
          <w:tcPr>
            <w:tcW w:w="4349" w:type="dxa"/>
          </w:tcPr>
          <w:p w14:paraId="57A9FCEF" w14:textId="0F67D2D1" w:rsidR="00DB1B4E" w:rsidRPr="00BA2900"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Number of sensitization meetings conducted</w:t>
            </w:r>
          </w:p>
        </w:tc>
        <w:tc>
          <w:tcPr>
            <w:tcW w:w="3328" w:type="dxa"/>
          </w:tcPr>
          <w:p w14:paraId="2F595144" w14:textId="28F06A3D" w:rsidR="00DB1B4E"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6 (1 county-level, 1 stakeholder sensitization, and 1 community health worker sensitization in each county)</w:t>
            </w:r>
          </w:p>
        </w:tc>
        <w:tc>
          <w:tcPr>
            <w:tcW w:w="3328" w:type="dxa"/>
          </w:tcPr>
          <w:p w14:paraId="3ABAA0BD" w14:textId="48A58F16" w:rsidR="00DB1B4E"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6 (1 county-level, 1 stakeholder sensitization, and 1 community health worker sensitization in each county)</w:t>
            </w:r>
          </w:p>
        </w:tc>
      </w:tr>
      <w:tr w:rsidR="00DB1B4E" w14:paraId="6E73302C" w14:textId="002854C2" w:rsidTr="00DB1B4E">
        <w:tc>
          <w:tcPr>
            <w:tcW w:w="1945" w:type="dxa"/>
          </w:tcPr>
          <w:p w14:paraId="66B6D189" w14:textId="4E7D8925" w:rsidR="00DB1B4E" w:rsidRPr="00BA2900" w:rsidRDefault="00DB1B4E" w:rsidP="00DB1B4E">
            <w:pPr>
              <w:spacing w:line="240" w:lineRule="auto"/>
              <w:rPr>
                <w:rFonts w:asciiTheme="minorHAnsi" w:hAnsiTheme="minorHAnsi" w:cstheme="minorHAnsi"/>
                <w:sz w:val="22"/>
                <w:szCs w:val="22"/>
              </w:rPr>
            </w:pPr>
            <w:r w:rsidRPr="00BA2900">
              <w:rPr>
                <w:rFonts w:ascii="Calibri" w:eastAsia="Times New Roman" w:hAnsi="Calibri" w:cs="Calibri"/>
                <w:b/>
                <w:bCs/>
                <w:color w:val="000000"/>
                <w:sz w:val="22"/>
                <w:szCs w:val="22"/>
                <w:lang w:eastAsia="en-GB"/>
              </w:rPr>
              <w:t>Training</w:t>
            </w:r>
          </w:p>
        </w:tc>
        <w:tc>
          <w:tcPr>
            <w:tcW w:w="4349" w:type="dxa"/>
          </w:tcPr>
          <w:p w14:paraId="0E9154E8" w14:textId="2AEBBF8C" w:rsidR="00DB1B4E" w:rsidRPr="00BA2900"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Number of trainings conducted</w:t>
            </w:r>
          </w:p>
        </w:tc>
        <w:tc>
          <w:tcPr>
            <w:tcW w:w="3328" w:type="dxa"/>
          </w:tcPr>
          <w:p w14:paraId="7872FD7A" w14:textId="6E9B137B" w:rsidR="00DB1B4E"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5 (2 in each county + 1 national-level)</w:t>
            </w:r>
          </w:p>
        </w:tc>
        <w:tc>
          <w:tcPr>
            <w:tcW w:w="3328" w:type="dxa"/>
          </w:tcPr>
          <w:p w14:paraId="5C0A5404" w14:textId="126F0F65" w:rsidR="00DB1B4E" w:rsidRDefault="00DB1B4E" w:rsidP="00DB1B4E">
            <w:pPr>
              <w:spacing w:line="240" w:lineRule="auto"/>
              <w:rPr>
                <w:rFonts w:asciiTheme="minorHAnsi" w:hAnsiTheme="minorHAnsi" w:cstheme="minorHAnsi"/>
                <w:sz w:val="22"/>
                <w:szCs w:val="22"/>
              </w:rPr>
            </w:pPr>
            <w:r>
              <w:rPr>
                <w:rFonts w:asciiTheme="minorHAnsi" w:hAnsiTheme="minorHAnsi" w:cstheme="minorHAnsi"/>
                <w:sz w:val="22"/>
                <w:szCs w:val="22"/>
              </w:rPr>
              <w:t>5 (2 in each county + 1 national-level)</w:t>
            </w:r>
          </w:p>
        </w:tc>
      </w:tr>
      <w:tr w:rsidR="00477C6D" w14:paraId="23503C8D" w14:textId="2B6CCF60" w:rsidTr="00DB1B4E">
        <w:tc>
          <w:tcPr>
            <w:tcW w:w="1945" w:type="dxa"/>
            <w:vMerge w:val="restart"/>
          </w:tcPr>
          <w:p w14:paraId="540BF5C1" w14:textId="32C46EF5" w:rsidR="00477C6D" w:rsidRPr="00BA2900" w:rsidRDefault="00477C6D" w:rsidP="00DB1B4E">
            <w:pPr>
              <w:spacing w:line="240" w:lineRule="auto"/>
              <w:rPr>
                <w:rFonts w:asciiTheme="minorHAnsi" w:hAnsiTheme="minorHAnsi" w:cstheme="minorHAnsi"/>
                <w:sz w:val="22"/>
                <w:szCs w:val="22"/>
              </w:rPr>
            </w:pPr>
            <w:r w:rsidRPr="00BA2900">
              <w:rPr>
                <w:rFonts w:ascii="Calibri" w:eastAsia="Times New Roman" w:hAnsi="Calibri" w:cs="Calibri"/>
                <w:b/>
                <w:bCs/>
                <w:color w:val="000000"/>
                <w:sz w:val="22"/>
                <w:szCs w:val="22"/>
                <w:lang w:eastAsia="en-GB"/>
              </w:rPr>
              <w:t>Distribution, storage, and waste management</w:t>
            </w:r>
          </w:p>
        </w:tc>
        <w:tc>
          <w:tcPr>
            <w:tcW w:w="4349" w:type="dxa"/>
          </w:tcPr>
          <w:p w14:paraId="69DFCAFF" w14:textId="74F5A6D9" w:rsidR="00477C6D" w:rsidRPr="00BA2900" w:rsidRDefault="00477C6D" w:rsidP="00DB1B4E">
            <w:pPr>
              <w:spacing w:line="240" w:lineRule="auto"/>
              <w:rPr>
                <w:rFonts w:asciiTheme="minorHAnsi" w:hAnsiTheme="minorHAnsi" w:cstheme="minorHAnsi"/>
                <w:sz w:val="22"/>
                <w:szCs w:val="22"/>
              </w:rPr>
            </w:pPr>
            <w:r>
              <w:rPr>
                <w:rFonts w:asciiTheme="minorHAnsi" w:hAnsiTheme="minorHAnsi" w:cstheme="minorHAnsi"/>
                <w:sz w:val="22"/>
                <w:szCs w:val="22"/>
              </w:rPr>
              <w:t>Number of months of equipment/maintenance required</w:t>
            </w:r>
          </w:p>
        </w:tc>
        <w:tc>
          <w:tcPr>
            <w:tcW w:w="3328" w:type="dxa"/>
          </w:tcPr>
          <w:p w14:paraId="497B8954" w14:textId="39EF4B51" w:rsidR="00477C6D" w:rsidRPr="00E73003" w:rsidRDefault="00477C6D" w:rsidP="00DB1B4E">
            <w:pPr>
              <w:spacing w:line="240" w:lineRule="auto"/>
              <w:rPr>
                <w:rFonts w:asciiTheme="minorHAnsi" w:hAnsiTheme="minorHAnsi" w:cstheme="minorHAnsi"/>
                <w:b/>
                <w:bCs/>
                <w:sz w:val="22"/>
                <w:szCs w:val="22"/>
              </w:rPr>
            </w:pPr>
            <w:r w:rsidRPr="00E73003">
              <w:rPr>
                <w:rFonts w:ascii="Calibri" w:eastAsia="Times New Roman" w:hAnsi="Calibri" w:cs="Calibri"/>
                <w:color w:val="000000"/>
                <w:sz w:val="22"/>
                <w:szCs w:val="22"/>
                <w:lang w:eastAsia="en-GB"/>
              </w:rPr>
              <w:t xml:space="preserve">4 </w:t>
            </w:r>
          </w:p>
        </w:tc>
        <w:tc>
          <w:tcPr>
            <w:tcW w:w="3328" w:type="dxa"/>
          </w:tcPr>
          <w:p w14:paraId="35D98144" w14:textId="3DA72EE4" w:rsidR="00477C6D" w:rsidRPr="00E73003" w:rsidRDefault="00477C6D" w:rsidP="00DB1B4E">
            <w:pPr>
              <w:spacing w:line="240" w:lineRule="auto"/>
              <w:rPr>
                <w:rFonts w:ascii="Calibri" w:eastAsia="Times New Roman" w:hAnsi="Calibri" w:cs="Calibri"/>
                <w:color w:val="000000"/>
                <w:sz w:val="22"/>
                <w:szCs w:val="22"/>
                <w:lang w:eastAsia="en-GB"/>
              </w:rPr>
            </w:pPr>
            <w:r w:rsidRPr="00E73003">
              <w:rPr>
                <w:rFonts w:ascii="Calibri" w:eastAsia="Times New Roman" w:hAnsi="Calibri" w:cs="Calibri"/>
                <w:color w:val="000000"/>
                <w:sz w:val="22"/>
                <w:szCs w:val="22"/>
                <w:lang w:eastAsia="en-GB"/>
              </w:rPr>
              <w:t xml:space="preserve">12 </w:t>
            </w:r>
          </w:p>
        </w:tc>
      </w:tr>
      <w:tr w:rsidR="00477C6D" w14:paraId="65942D88" w14:textId="6ADC2D54" w:rsidTr="00DB1B4E">
        <w:tc>
          <w:tcPr>
            <w:tcW w:w="1945" w:type="dxa"/>
            <w:vMerge/>
          </w:tcPr>
          <w:p w14:paraId="6463B764" w14:textId="77777777" w:rsidR="00477C6D" w:rsidRPr="00BA2900" w:rsidRDefault="00477C6D" w:rsidP="00DB1B4E">
            <w:pPr>
              <w:spacing w:line="240" w:lineRule="auto"/>
              <w:rPr>
                <w:rFonts w:ascii="Calibri" w:eastAsia="Times New Roman" w:hAnsi="Calibri" w:cs="Calibri"/>
                <w:b/>
                <w:bCs/>
                <w:color w:val="000000"/>
                <w:sz w:val="22"/>
                <w:szCs w:val="22"/>
                <w:lang w:eastAsia="en-GB"/>
              </w:rPr>
            </w:pPr>
          </w:p>
        </w:tc>
        <w:tc>
          <w:tcPr>
            <w:tcW w:w="4349" w:type="dxa"/>
          </w:tcPr>
          <w:p w14:paraId="607F5E81" w14:textId="725FABB2" w:rsidR="00477C6D" w:rsidRDefault="00477C6D" w:rsidP="00DB1B4E">
            <w:pPr>
              <w:spacing w:line="240" w:lineRule="auto"/>
              <w:rPr>
                <w:rFonts w:asciiTheme="minorHAnsi" w:hAnsiTheme="minorHAnsi" w:cstheme="minorHAnsi"/>
                <w:sz w:val="22"/>
                <w:szCs w:val="22"/>
              </w:rPr>
            </w:pPr>
            <w:r>
              <w:rPr>
                <w:rFonts w:asciiTheme="minorHAnsi" w:hAnsiTheme="minorHAnsi" w:cstheme="minorHAnsi"/>
                <w:sz w:val="22"/>
                <w:szCs w:val="22"/>
              </w:rPr>
              <w:t>Number of vaccine delivery transport trips required from regional depot to sub-county store</w:t>
            </w:r>
          </w:p>
        </w:tc>
        <w:tc>
          <w:tcPr>
            <w:tcW w:w="3328" w:type="dxa"/>
          </w:tcPr>
          <w:p w14:paraId="2BC2A72D" w14:textId="25872E53" w:rsidR="00477C6D" w:rsidRPr="00A067C5" w:rsidRDefault="00477C6D" w:rsidP="00DB1B4E">
            <w:pPr>
              <w:spacing w:line="240" w:lineRule="auto"/>
              <w:rPr>
                <w:rFonts w:asciiTheme="minorHAnsi" w:hAnsiTheme="minorHAnsi" w:cstheme="minorHAnsi"/>
                <w:sz w:val="22"/>
                <w:szCs w:val="22"/>
              </w:rPr>
            </w:pPr>
            <w:r w:rsidRPr="00A067C5">
              <w:rPr>
                <w:rFonts w:asciiTheme="minorHAnsi" w:hAnsiTheme="minorHAnsi" w:cstheme="minorHAnsi"/>
                <w:sz w:val="22"/>
                <w:szCs w:val="22"/>
              </w:rPr>
              <w:t>1 trip per month</w:t>
            </w:r>
            <w:r>
              <w:rPr>
                <w:rFonts w:asciiTheme="minorHAnsi" w:hAnsiTheme="minorHAnsi" w:cstheme="minorHAnsi"/>
                <w:sz w:val="22"/>
                <w:szCs w:val="22"/>
              </w:rPr>
              <w:t xml:space="preserve"> (4 trips total)</w:t>
            </w:r>
            <w:r w:rsidRPr="00A067C5">
              <w:rPr>
                <w:rFonts w:asciiTheme="minorHAnsi" w:hAnsiTheme="minorHAnsi" w:cstheme="minorHAnsi"/>
                <w:sz w:val="22"/>
                <w:szCs w:val="22"/>
              </w:rPr>
              <w:t xml:space="preserve"> </w:t>
            </w:r>
          </w:p>
        </w:tc>
        <w:tc>
          <w:tcPr>
            <w:tcW w:w="3328" w:type="dxa"/>
          </w:tcPr>
          <w:p w14:paraId="050670CA" w14:textId="3318D7DD" w:rsidR="00477C6D" w:rsidRDefault="00477C6D" w:rsidP="00DB1B4E">
            <w:pPr>
              <w:spacing w:line="240" w:lineRule="auto"/>
              <w:rPr>
                <w:rFonts w:asciiTheme="minorHAnsi" w:hAnsiTheme="minorHAnsi" w:cstheme="minorHAnsi"/>
                <w:sz w:val="22"/>
                <w:szCs w:val="22"/>
                <w:highlight w:val="yellow"/>
              </w:rPr>
            </w:pPr>
            <w:r w:rsidRPr="00A067C5">
              <w:rPr>
                <w:rFonts w:asciiTheme="minorHAnsi" w:hAnsiTheme="minorHAnsi" w:cstheme="minorHAnsi"/>
                <w:sz w:val="22"/>
                <w:szCs w:val="22"/>
              </w:rPr>
              <w:t>1 trip per quarter</w:t>
            </w:r>
            <w:r>
              <w:rPr>
                <w:rFonts w:asciiTheme="minorHAnsi" w:hAnsiTheme="minorHAnsi" w:cstheme="minorHAnsi"/>
                <w:sz w:val="22"/>
                <w:szCs w:val="22"/>
              </w:rPr>
              <w:t xml:space="preserve"> (4 trips total)</w:t>
            </w:r>
          </w:p>
        </w:tc>
      </w:tr>
      <w:tr w:rsidR="00477C6D" w14:paraId="6603190D" w14:textId="77777777" w:rsidTr="00DB1B4E">
        <w:tc>
          <w:tcPr>
            <w:tcW w:w="1945" w:type="dxa"/>
            <w:vMerge/>
          </w:tcPr>
          <w:p w14:paraId="55275E52" w14:textId="77777777" w:rsidR="00477C6D" w:rsidRPr="00BA2900" w:rsidRDefault="00477C6D" w:rsidP="00DB1B4E">
            <w:pPr>
              <w:spacing w:line="240" w:lineRule="auto"/>
              <w:rPr>
                <w:rFonts w:ascii="Calibri" w:eastAsia="Times New Roman" w:hAnsi="Calibri" w:cs="Calibri"/>
                <w:b/>
                <w:bCs/>
                <w:color w:val="000000"/>
                <w:sz w:val="22"/>
                <w:szCs w:val="22"/>
                <w:lang w:eastAsia="en-GB"/>
              </w:rPr>
            </w:pPr>
          </w:p>
        </w:tc>
        <w:tc>
          <w:tcPr>
            <w:tcW w:w="4349" w:type="dxa"/>
          </w:tcPr>
          <w:p w14:paraId="625A576A" w14:textId="03BFF791" w:rsidR="00477C6D" w:rsidRPr="00A067C5" w:rsidRDefault="00477C6D" w:rsidP="00DB1B4E">
            <w:pPr>
              <w:spacing w:line="240" w:lineRule="auto"/>
              <w:rPr>
                <w:rFonts w:asciiTheme="minorHAnsi" w:hAnsiTheme="minorHAnsi" w:cstheme="minorHAnsi"/>
                <w:sz w:val="22"/>
                <w:szCs w:val="22"/>
              </w:rPr>
            </w:pPr>
            <w:r w:rsidRPr="00A067C5">
              <w:rPr>
                <w:rFonts w:asciiTheme="minorHAnsi" w:hAnsiTheme="minorHAnsi" w:cstheme="minorHAnsi"/>
                <w:sz w:val="22"/>
                <w:szCs w:val="22"/>
              </w:rPr>
              <w:t>Number of vaccine delivery transport trips required from sub</w:t>
            </w:r>
            <w:r>
              <w:rPr>
                <w:rFonts w:asciiTheme="minorHAnsi" w:hAnsiTheme="minorHAnsi" w:cstheme="minorHAnsi"/>
                <w:sz w:val="22"/>
                <w:szCs w:val="22"/>
              </w:rPr>
              <w:t>-</w:t>
            </w:r>
            <w:r w:rsidRPr="00A067C5">
              <w:rPr>
                <w:rFonts w:asciiTheme="minorHAnsi" w:hAnsiTheme="minorHAnsi" w:cstheme="minorHAnsi"/>
                <w:sz w:val="22"/>
                <w:szCs w:val="22"/>
              </w:rPr>
              <w:t>county store to health facilit</w:t>
            </w:r>
            <w:r>
              <w:rPr>
                <w:rFonts w:asciiTheme="minorHAnsi" w:hAnsiTheme="minorHAnsi" w:cstheme="minorHAnsi"/>
                <w:sz w:val="22"/>
                <w:szCs w:val="22"/>
              </w:rPr>
              <w:t>ies</w:t>
            </w:r>
          </w:p>
        </w:tc>
        <w:tc>
          <w:tcPr>
            <w:tcW w:w="3328" w:type="dxa"/>
          </w:tcPr>
          <w:p w14:paraId="3ED85F5D" w14:textId="03FE3E62" w:rsidR="00477C6D" w:rsidRPr="00A067C5" w:rsidRDefault="00477C6D" w:rsidP="00DB1B4E">
            <w:pPr>
              <w:spacing w:line="240" w:lineRule="auto"/>
              <w:rPr>
                <w:rFonts w:asciiTheme="minorHAnsi" w:hAnsiTheme="minorHAnsi" w:cstheme="minorHAnsi"/>
                <w:sz w:val="22"/>
                <w:szCs w:val="22"/>
              </w:rPr>
            </w:pPr>
            <w:r w:rsidRPr="00A067C5">
              <w:rPr>
                <w:rFonts w:asciiTheme="minorHAnsi" w:hAnsiTheme="minorHAnsi" w:cstheme="minorHAnsi"/>
                <w:sz w:val="22"/>
                <w:szCs w:val="22"/>
              </w:rPr>
              <w:t>3 trips per month</w:t>
            </w:r>
            <w:r>
              <w:rPr>
                <w:rFonts w:asciiTheme="minorHAnsi" w:hAnsiTheme="minorHAnsi" w:cstheme="minorHAnsi"/>
                <w:sz w:val="22"/>
                <w:szCs w:val="22"/>
              </w:rPr>
              <w:t xml:space="preserve"> (12 trips total)</w:t>
            </w:r>
          </w:p>
        </w:tc>
        <w:tc>
          <w:tcPr>
            <w:tcW w:w="3328" w:type="dxa"/>
          </w:tcPr>
          <w:p w14:paraId="0DCF552B" w14:textId="0B742986" w:rsidR="00477C6D" w:rsidRPr="00A067C5" w:rsidRDefault="00477C6D" w:rsidP="00DB1B4E">
            <w:pPr>
              <w:spacing w:line="240" w:lineRule="auto"/>
              <w:rPr>
                <w:rFonts w:asciiTheme="minorHAnsi" w:hAnsiTheme="minorHAnsi" w:cstheme="minorHAnsi"/>
                <w:sz w:val="22"/>
                <w:szCs w:val="22"/>
              </w:rPr>
            </w:pPr>
            <w:r w:rsidRPr="00A067C5">
              <w:rPr>
                <w:rFonts w:asciiTheme="minorHAnsi" w:hAnsiTheme="minorHAnsi" w:cstheme="minorHAnsi"/>
                <w:sz w:val="22"/>
                <w:szCs w:val="22"/>
              </w:rPr>
              <w:t>1 trip per month</w:t>
            </w:r>
            <w:r>
              <w:rPr>
                <w:rFonts w:asciiTheme="minorHAnsi" w:hAnsiTheme="minorHAnsi" w:cstheme="minorHAnsi"/>
                <w:sz w:val="22"/>
                <w:szCs w:val="22"/>
              </w:rPr>
              <w:t xml:space="preserve"> (12 trips total)</w:t>
            </w:r>
          </w:p>
        </w:tc>
      </w:tr>
      <w:tr w:rsidR="00DB1B4E" w:rsidRPr="00AE30B6" w14:paraId="39B5832E" w14:textId="134A8BFA" w:rsidTr="00DB1B4E">
        <w:tc>
          <w:tcPr>
            <w:tcW w:w="1945" w:type="dxa"/>
            <w:vMerge w:val="restart"/>
          </w:tcPr>
          <w:p w14:paraId="49DBA309" w14:textId="3A5F3360" w:rsidR="00DB1B4E" w:rsidRPr="00BA2900" w:rsidRDefault="00DB1B4E" w:rsidP="00DB1B4E">
            <w:pPr>
              <w:spacing w:line="240" w:lineRule="auto"/>
              <w:rPr>
                <w:rFonts w:ascii="Calibri" w:eastAsia="Times New Roman" w:hAnsi="Calibri" w:cs="Calibri"/>
                <w:b/>
                <w:bCs/>
                <w:color w:val="000000"/>
                <w:sz w:val="22"/>
                <w:szCs w:val="22"/>
                <w:lang w:eastAsia="en-GB"/>
              </w:rPr>
            </w:pPr>
            <w:r w:rsidRPr="00AE30B6">
              <w:rPr>
                <w:rFonts w:ascii="Calibri" w:eastAsia="Times New Roman" w:hAnsi="Calibri" w:cs="Calibri"/>
                <w:b/>
                <w:bCs/>
                <w:color w:val="000000"/>
                <w:sz w:val="22"/>
                <w:szCs w:val="22"/>
                <w:lang w:eastAsia="en-GB"/>
              </w:rPr>
              <w:t>Service delivery</w:t>
            </w:r>
          </w:p>
        </w:tc>
        <w:tc>
          <w:tcPr>
            <w:tcW w:w="4349" w:type="dxa"/>
          </w:tcPr>
          <w:p w14:paraId="0A0A6026" w14:textId="14EACBF0" w:rsidR="00DB1B4E" w:rsidRPr="00A53C99" w:rsidRDefault="00DB1B4E" w:rsidP="00DB1B4E">
            <w:pPr>
              <w:spacing w:line="240" w:lineRule="auto"/>
              <w:rPr>
                <w:rFonts w:ascii="Calibri" w:eastAsia="Times New Roman" w:hAnsi="Calibri" w:cs="Calibri"/>
                <w:color w:val="000000"/>
                <w:sz w:val="22"/>
                <w:szCs w:val="22"/>
                <w:lang w:eastAsia="en-GB"/>
              </w:rPr>
            </w:pPr>
            <w:r w:rsidRPr="00A53C99">
              <w:rPr>
                <w:rFonts w:ascii="Calibri" w:eastAsia="Times New Roman" w:hAnsi="Calibri" w:cs="Calibri"/>
                <w:color w:val="000000"/>
                <w:sz w:val="22"/>
                <w:szCs w:val="22"/>
                <w:lang w:eastAsia="en-GB"/>
              </w:rPr>
              <w:t>Number of surge staff hired</w:t>
            </w:r>
          </w:p>
        </w:tc>
        <w:tc>
          <w:tcPr>
            <w:tcW w:w="3328" w:type="dxa"/>
          </w:tcPr>
          <w:p w14:paraId="54A78566" w14:textId="45A789AF" w:rsidR="00DB1B4E" w:rsidRPr="00E87A05" w:rsidRDefault="00DB1B4E" w:rsidP="00DB1B4E">
            <w:pPr>
              <w:spacing w:line="240" w:lineRule="auto"/>
              <w:rPr>
                <w:rFonts w:ascii="Calibri" w:eastAsia="Times New Roman" w:hAnsi="Calibri" w:cs="Calibri"/>
                <w:color w:val="000000"/>
                <w:sz w:val="22"/>
                <w:szCs w:val="22"/>
                <w:lang w:eastAsia="en-GB"/>
              </w:rPr>
            </w:pPr>
            <w:r w:rsidRPr="00E87A05">
              <w:rPr>
                <w:rFonts w:ascii="Calibri" w:eastAsia="Times New Roman" w:hAnsi="Calibri" w:cs="Calibri"/>
                <w:color w:val="000000"/>
                <w:sz w:val="22"/>
                <w:szCs w:val="22"/>
                <w:lang w:eastAsia="en-GB"/>
              </w:rPr>
              <w:t>14</w:t>
            </w:r>
            <w:r>
              <w:rPr>
                <w:rFonts w:ascii="Calibri" w:eastAsia="Times New Roman" w:hAnsi="Calibri" w:cs="Calibri"/>
                <w:color w:val="000000"/>
                <w:sz w:val="22"/>
                <w:szCs w:val="22"/>
                <w:lang w:eastAsia="en-GB"/>
              </w:rPr>
              <w:t xml:space="preserve"> (nurses)</w:t>
            </w:r>
          </w:p>
        </w:tc>
        <w:tc>
          <w:tcPr>
            <w:tcW w:w="3328" w:type="dxa"/>
          </w:tcPr>
          <w:p w14:paraId="426EC2AA" w14:textId="1295C323" w:rsidR="00DB1B4E" w:rsidRPr="00E87A05" w:rsidRDefault="005360F4" w:rsidP="00DB1B4E">
            <w:pPr>
              <w:spacing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0</w:t>
            </w:r>
          </w:p>
        </w:tc>
      </w:tr>
      <w:tr w:rsidR="00DB1B4E" w:rsidRPr="00AE30B6" w14:paraId="6D70CB9B" w14:textId="6B0F5729" w:rsidTr="00DB1B4E">
        <w:tc>
          <w:tcPr>
            <w:tcW w:w="1945" w:type="dxa"/>
            <w:vMerge/>
          </w:tcPr>
          <w:p w14:paraId="47506F29" w14:textId="77777777" w:rsidR="00DB1B4E" w:rsidRPr="00AE30B6" w:rsidRDefault="00DB1B4E" w:rsidP="00DB1B4E">
            <w:pPr>
              <w:spacing w:line="240" w:lineRule="auto"/>
              <w:rPr>
                <w:rFonts w:ascii="Calibri" w:eastAsia="Times New Roman" w:hAnsi="Calibri" w:cs="Calibri"/>
                <w:b/>
                <w:bCs/>
                <w:color w:val="000000"/>
                <w:sz w:val="22"/>
                <w:szCs w:val="22"/>
                <w:lang w:eastAsia="en-GB"/>
              </w:rPr>
            </w:pPr>
          </w:p>
        </w:tc>
        <w:tc>
          <w:tcPr>
            <w:tcW w:w="4349" w:type="dxa"/>
          </w:tcPr>
          <w:p w14:paraId="73C55A6C" w14:textId="65BD9D54" w:rsidR="00DB1B4E" w:rsidRPr="00A53C99" w:rsidRDefault="009B264C" w:rsidP="00DB1B4E">
            <w:pPr>
              <w:spacing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Median</w:t>
            </w:r>
            <w:r w:rsidR="00A2747B">
              <w:rPr>
                <w:rFonts w:ascii="Calibri" w:eastAsia="Times New Roman" w:hAnsi="Calibri" w:cs="Calibri"/>
                <w:color w:val="000000"/>
                <w:sz w:val="22"/>
                <w:szCs w:val="22"/>
                <w:lang w:eastAsia="en-GB"/>
              </w:rPr>
              <w:t xml:space="preserve"> p</w:t>
            </w:r>
            <w:r w:rsidR="00DB1B4E">
              <w:rPr>
                <w:rFonts w:ascii="Calibri" w:eastAsia="Times New Roman" w:hAnsi="Calibri" w:cs="Calibri"/>
                <w:color w:val="000000"/>
                <w:sz w:val="22"/>
                <w:szCs w:val="22"/>
                <w:lang w:eastAsia="en-GB"/>
              </w:rPr>
              <w:t>ercentage of staff time dedicated to influenza vaccination</w:t>
            </w:r>
          </w:p>
        </w:tc>
        <w:tc>
          <w:tcPr>
            <w:tcW w:w="3328" w:type="dxa"/>
          </w:tcPr>
          <w:p w14:paraId="084580F4" w14:textId="142020CA" w:rsidR="00DB1B4E" w:rsidRPr="00A90CDB" w:rsidRDefault="009B264C" w:rsidP="00DB1B4E">
            <w:pPr>
              <w:spacing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25%</w:t>
            </w:r>
          </w:p>
        </w:tc>
        <w:tc>
          <w:tcPr>
            <w:tcW w:w="3328" w:type="dxa"/>
          </w:tcPr>
          <w:p w14:paraId="3CE4154E" w14:textId="505C462E" w:rsidR="00DB1B4E" w:rsidRPr="00A90CDB" w:rsidRDefault="008F5B8F" w:rsidP="00DB1B4E">
            <w:pPr>
              <w:spacing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8</w:t>
            </w:r>
            <w:r w:rsidR="00B719FB">
              <w:rPr>
                <w:rFonts w:ascii="Calibri" w:eastAsia="Times New Roman" w:hAnsi="Calibri" w:cs="Calibri"/>
                <w:color w:val="000000"/>
                <w:sz w:val="22"/>
                <w:szCs w:val="22"/>
                <w:lang w:eastAsia="en-GB"/>
              </w:rPr>
              <w:t>%</w:t>
            </w:r>
          </w:p>
        </w:tc>
      </w:tr>
      <w:tr w:rsidR="00DB1B4E" w:rsidRPr="00AE30B6" w14:paraId="15DE8BE1" w14:textId="79491E91" w:rsidTr="00DB1B4E">
        <w:tc>
          <w:tcPr>
            <w:tcW w:w="1945" w:type="dxa"/>
          </w:tcPr>
          <w:p w14:paraId="2797BCED" w14:textId="2AF90288" w:rsidR="00DB1B4E" w:rsidRPr="00BA2900" w:rsidRDefault="00DB1B4E" w:rsidP="00DB1B4E">
            <w:pPr>
              <w:spacing w:line="240" w:lineRule="auto"/>
              <w:rPr>
                <w:rFonts w:ascii="Calibri" w:eastAsia="Times New Roman" w:hAnsi="Calibri" w:cs="Calibri"/>
                <w:b/>
                <w:bCs/>
                <w:color w:val="000000"/>
                <w:sz w:val="22"/>
                <w:szCs w:val="22"/>
                <w:lang w:eastAsia="en-GB"/>
              </w:rPr>
            </w:pPr>
            <w:r w:rsidRPr="00AE30B6">
              <w:rPr>
                <w:rFonts w:ascii="Calibri" w:eastAsia="Times New Roman" w:hAnsi="Calibri" w:cs="Calibri"/>
                <w:b/>
                <w:bCs/>
                <w:color w:val="000000"/>
                <w:sz w:val="22"/>
                <w:szCs w:val="22"/>
                <w:lang w:eastAsia="en-GB"/>
              </w:rPr>
              <w:t>Monitoring</w:t>
            </w:r>
          </w:p>
        </w:tc>
        <w:tc>
          <w:tcPr>
            <w:tcW w:w="4349" w:type="dxa"/>
          </w:tcPr>
          <w:p w14:paraId="03378946" w14:textId="5B71DB14" w:rsidR="00DB1B4E" w:rsidRPr="00A53C99" w:rsidRDefault="00DB1B4E" w:rsidP="00DB1B4E">
            <w:pPr>
              <w:spacing w:line="240" w:lineRule="auto"/>
              <w:rPr>
                <w:rFonts w:ascii="Calibri" w:eastAsia="Times New Roman" w:hAnsi="Calibri" w:cs="Calibri"/>
                <w:color w:val="000000"/>
                <w:sz w:val="22"/>
                <w:szCs w:val="22"/>
                <w:lang w:eastAsia="en-GB"/>
              </w:rPr>
            </w:pPr>
            <w:r w:rsidRPr="00A53C99">
              <w:rPr>
                <w:rFonts w:ascii="Calibri" w:eastAsia="Times New Roman" w:hAnsi="Calibri" w:cs="Calibri"/>
                <w:color w:val="000000"/>
                <w:sz w:val="22"/>
                <w:szCs w:val="22"/>
                <w:lang w:eastAsia="en-GB"/>
              </w:rPr>
              <w:t>Number of months of monitoring required</w:t>
            </w:r>
          </w:p>
        </w:tc>
        <w:tc>
          <w:tcPr>
            <w:tcW w:w="3328" w:type="dxa"/>
          </w:tcPr>
          <w:p w14:paraId="1F22D1FD" w14:textId="2C292ACF" w:rsidR="00DB1B4E" w:rsidRPr="00E73003" w:rsidRDefault="00DB1B4E" w:rsidP="00DB1B4E">
            <w:pPr>
              <w:spacing w:line="240" w:lineRule="auto"/>
              <w:rPr>
                <w:rFonts w:ascii="Calibri" w:eastAsia="Times New Roman" w:hAnsi="Calibri" w:cs="Calibri"/>
                <w:color w:val="000000"/>
                <w:sz w:val="22"/>
                <w:szCs w:val="22"/>
                <w:lang w:eastAsia="en-GB"/>
              </w:rPr>
            </w:pPr>
            <w:r w:rsidRPr="00E73003">
              <w:rPr>
                <w:rFonts w:ascii="Calibri" w:eastAsia="Times New Roman" w:hAnsi="Calibri" w:cs="Calibri"/>
                <w:color w:val="000000"/>
                <w:sz w:val="22"/>
                <w:szCs w:val="22"/>
                <w:lang w:eastAsia="en-GB"/>
              </w:rPr>
              <w:t xml:space="preserve">4 </w:t>
            </w:r>
          </w:p>
        </w:tc>
        <w:tc>
          <w:tcPr>
            <w:tcW w:w="3328" w:type="dxa"/>
          </w:tcPr>
          <w:p w14:paraId="2B89BD1A" w14:textId="3B7FD591" w:rsidR="00DB1B4E" w:rsidRPr="00E73003" w:rsidRDefault="00DB1B4E" w:rsidP="00DB1B4E">
            <w:pPr>
              <w:spacing w:line="240" w:lineRule="auto"/>
              <w:rPr>
                <w:rFonts w:ascii="Calibri" w:eastAsia="Times New Roman" w:hAnsi="Calibri" w:cs="Calibri"/>
                <w:color w:val="000000"/>
                <w:sz w:val="22"/>
                <w:szCs w:val="22"/>
                <w:lang w:eastAsia="en-GB"/>
              </w:rPr>
            </w:pPr>
            <w:r w:rsidRPr="00E73003">
              <w:rPr>
                <w:rFonts w:ascii="Calibri" w:eastAsia="Times New Roman" w:hAnsi="Calibri" w:cs="Calibri"/>
                <w:color w:val="000000"/>
                <w:sz w:val="22"/>
                <w:szCs w:val="22"/>
                <w:lang w:eastAsia="en-GB"/>
              </w:rPr>
              <w:t xml:space="preserve">12 </w:t>
            </w:r>
          </w:p>
        </w:tc>
      </w:tr>
      <w:tr w:rsidR="00DB1B4E" w:rsidRPr="00AE30B6" w14:paraId="3DDF6001" w14:textId="3182CA8D" w:rsidTr="00DB1B4E">
        <w:tc>
          <w:tcPr>
            <w:tcW w:w="1945" w:type="dxa"/>
          </w:tcPr>
          <w:p w14:paraId="1C11534F" w14:textId="7429E31C" w:rsidR="00DB1B4E" w:rsidRPr="00BA2900" w:rsidRDefault="00DB1B4E" w:rsidP="00DB1B4E">
            <w:pPr>
              <w:spacing w:line="240" w:lineRule="auto"/>
              <w:rPr>
                <w:rFonts w:ascii="Calibri" w:eastAsia="Times New Roman" w:hAnsi="Calibri" w:cs="Calibri"/>
                <w:b/>
                <w:bCs/>
                <w:color w:val="000000"/>
                <w:sz w:val="22"/>
                <w:szCs w:val="22"/>
                <w:lang w:eastAsia="en-GB"/>
              </w:rPr>
            </w:pPr>
            <w:r w:rsidRPr="00AE30B6">
              <w:rPr>
                <w:rFonts w:ascii="Calibri" w:eastAsia="Times New Roman" w:hAnsi="Calibri" w:cs="Calibri"/>
                <w:b/>
                <w:bCs/>
                <w:color w:val="000000"/>
                <w:sz w:val="22"/>
                <w:szCs w:val="22"/>
                <w:lang w:eastAsia="en-GB"/>
              </w:rPr>
              <w:t>Supervision</w:t>
            </w:r>
          </w:p>
        </w:tc>
        <w:tc>
          <w:tcPr>
            <w:tcW w:w="4349" w:type="dxa"/>
          </w:tcPr>
          <w:p w14:paraId="5FB5BF69" w14:textId="469B4C99" w:rsidR="00DB1B4E" w:rsidRPr="00E73003" w:rsidRDefault="00DB1B4E" w:rsidP="00DB1B4E">
            <w:pPr>
              <w:spacing w:line="240" w:lineRule="auto"/>
              <w:rPr>
                <w:rFonts w:ascii="Calibri" w:eastAsia="Times New Roman" w:hAnsi="Calibri" w:cs="Calibri"/>
                <w:color w:val="000000"/>
                <w:sz w:val="22"/>
                <w:szCs w:val="22"/>
                <w:lang w:eastAsia="en-GB"/>
              </w:rPr>
            </w:pPr>
            <w:r w:rsidRPr="00E73003">
              <w:rPr>
                <w:rFonts w:ascii="Calibri" w:eastAsia="Times New Roman" w:hAnsi="Calibri" w:cs="Calibri"/>
                <w:color w:val="000000"/>
                <w:sz w:val="22"/>
                <w:szCs w:val="22"/>
                <w:lang w:eastAsia="en-GB"/>
              </w:rPr>
              <w:t>Number of supervision visits conducted</w:t>
            </w:r>
          </w:p>
        </w:tc>
        <w:tc>
          <w:tcPr>
            <w:tcW w:w="3328" w:type="dxa"/>
          </w:tcPr>
          <w:p w14:paraId="0920796F" w14:textId="79610AAF" w:rsidR="00DB1B4E" w:rsidRPr="00B06428" w:rsidRDefault="00DB1B4E" w:rsidP="00DB1B4E">
            <w:pPr>
              <w:spacing w:line="240" w:lineRule="auto"/>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2 (1 per county)</w:t>
            </w:r>
          </w:p>
        </w:tc>
        <w:tc>
          <w:tcPr>
            <w:tcW w:w="3328" w:type="dxa"/>
          </w:tcPr>
          <w:p w14:paraId="33056627" w14:textId="730007B0" w:rsidR="00DB1B4E" w:rsidRDefault="00DB1B4E" w:rsidP="00DB1B4E">
            <w:pPr>
              <w:spacing w:line="240" w:lineRule="auto"/>
              <w:rPr>
                <w:rFonts w:ascii="Calibri" w:eastAsia="Times New Roman" w:hAnsi="Calibri" w:cs="Calibri"/>
                <w:color w:val="000000"/>
                <w:sz w:val="22"/>
                <w:szCs w:val="22"/>
                <w:lang w:eastAsia="en-GB"/>
              </w:rPr>
            </w:pPr>
            <w:r w:rsidRPr="00DB1B4E">
              <w:rPr>
                <w:rFonts w:ascii="Calibri" w:eastAsia="Times New Roman" w:hAnsi="Calibri" w:cs="Calibri"/>
                <w:color w:val="000000"/>
                <w:sz w:val="22"/>
                <w:szCs w:val="22"/>
                <w:lang w:eastAsia="en-GB"/>
              </w:rPr>
              <w:t xml:space="preserve">3 (2 </w:t>
            </w:r>
            <w:r w:rsidR="00ED5095">
              <w:rPr>
                <w:rFonts w:ascii="Calibri" w:eastAsia="Times New Roman" w:hAnsi="Calibri" w:cs="Calibri"/>
                <w:color w:val="000000"/>
                <w:sz w:val="22"/>
                <w:szCs w:val="22"/>
                <w:lang w:eastAsia="en-GB"/>
              </w:rPr>
              <w:t>per</w:t>
            </w:r>
            <w:r w:rsidRPr="00DB1B4E">
              <w:rPr>
                <w:rFonts w:ascii="Calibri" w:eastAsia="Times New Roman" w:hAnsi="Calibri" w:cs="Calibri"/>
                <w:color w:val="000000"/>
                <w:sz w:val="22"/>
                <w:szCs w:val="22"/>
                <w:lang w:eastAsia="en-GB"/>
              </w:rPr>
              <w:t xml:space="preserve"> county</w:t>
            </w:r>
            <w:r w:rsidR="00ED5095">
              <w:rPr>
                <w:rFonts w:ascii="Calibri" w:eastAsia="Times New Roman" w:hAnsi="Calibri" w:cs="Calibri"/>
                <w:color w:val="000000"/>
                <w:sz w:val="22"/>
                <w:szCs w:val="22"/>
                <w:lang w:eastAsia="en-GB"/>
              </w:rPr>
              <w:t xml:space="preserve"> planned; one was </w:t>
            </w:r>
            <w:r w:rsidR="00211AFF">
              <w:rPr>
                <w:rFonts w:ascii="Calibri" w:eastAsia="Times New Roman" w:hAnsi="Calibri" w:cs="Calibri"/>
                <w:color w:val="000000"/>
                <w:sz w:val="22"/>
                <w:szCs w:val="22"/>
                <w:lang w:eastAsia="en-GB"/>
              </w:rPr>
              <w:t>cancelled due to movement restrictions as part of COVID-19 mitigation measures</w:t>
            </w:r>
            <w:r w:rsidRPr="00DB1B4E">
              <w:rPr>
                <w:rFonts w:ascii="Calibri" w:eastAsia="Times New Roman" w:hAnsi="Calibri" w:cs="Calibri"/>
                <w:color w:val="000000"/>
                <w:sz w:val="22"/>
                <w:szCs w:val="22"/>
                <w:lang w:eastAsia="en-GB"/>
              </w:rPr>
              <w:t>)</w:t>
            </w:r>
          </w:p>
        </w:tc>
      </w:tr>
    </w:tbl>
    <w:p w14:paraId="0B8E2A8B" w14:textId="1746F052" w:rsidR="00DF08C0" w:rsidRPr="00AE30B6" w:rsidRDefault="00DF08C0" w:rsidP="00DF08C0">
      <w:pPr>
        <w:spacing w:line="240" w:lineRule="auto"/>
        <w:rPr>
          <w:rFonts w:ascii="Calibri" w:eastAsia="Times New Roman" w:hAnsi="Calibri" w:cs="Calibri"/>
          <w:b/>
          <w:bCs/>
          <w:color w:val="000000"/>
          <w:sz w:val="22"/>
          <w:szCs w:val="22"/>
          <w:lang w:eastAsia="en-GB"/>
        </w:rPr>
      </w:pPr>
      <w:r w:rsidRPr="00AE30B6">
        <w:rPr>
          <w:rFonts w:ascii="Calibri" w:eastAsia="Times New Roman" w:hAnsi="Calibri" w:cs="Calibri"/>
          <w:b/>
          <w:bCs/>
          <w:color w:val="000000"/>
          <w:sz w:val="22"/>
          <w:szCs w:val="22"/>
          <w:lang w:eastAsia="en-GB"/>
        </w:rPr>
        <w:br w:type="page"/>
      </w:r>
    </w:p>
    <w:p w14:paraId="6802C2C7" w14:textId="77777777" w:rsidR="00DF08C0" w:rsidRDefault="00DF08C0" w:rsidP="00DF08C0">
      <w:pPr>
        <w:spacing w:after="160" w:line="259" w:lineRule="auto"/>
        <w:rPr>
          <w:rFonts w:asciiTheme="minorHAnsi" w:hAnsiTheme="minorHAnsi" w:cstheme="minorHAnsi"/>
          <w:b/>
          <w:bCs/>
          <w:sz w:val="22"/>
          <w:szCs w:val="22"/>
        </w:rPr>
        <w:sectPr w:rsidR="00DF08C0" w:rsidSect="00D26642">
          <w:pgSz w:w="15840" w:h="12240" w:orient="landscape"/>
          <w:pgMar w:top="1440" w:right="1440" w:bottom="1440" w:left="1440" w:header="720" w:footer="720" w:gutter="0"/>
          <w:cols w:space="720"/>
          <w:docGrid w:linePitch="360"/>
        </w:sectPr>
      </w:pPr>
    </w:p>
    <w:p w14:paraId="4CF7338B" w14:textId="2EA595C3" w:rsidR="00DF08C0" w:rsidRPr="006D47BC" w:rsidRDefault="00DF08C0" w:rsidP="00DF08C0">
      <w:pPr>
        <w:spacing w:after="160" w:line="259" w:lineRule="auto"/>
        <w:rPr>
          <w:rFonts w:asciiTheme="minorHAnsi" w:hAnsiTheme="minorHAnsi" w:cstheme="minorHAnsi"/>
          <w:b/>
          <w:bCs/>
          <w:sz w:val="22"/>
          <w:szCs w:val="22"/>
        </w:rPr>
      </w:pPr>
      <w:r w:rsidRPr="006B3E2A">
        <w:rPr>
          <w:rFonts w:asciiTheme="minorHAnsi" w:hAnsiTheme="minorHAnsi" w:cstheme="minorHAnsi"/>
          <w:b/>
          <w:bCs/>
          <w:sz w:val="22"/>
          <w:szCs w:val="22"/>
        </w:rPr>
        <w:lastRenderedPageBreak/>
        <w:t>Supplemental Table S</w:t>
      </w:r>
      <w:r w:rsidR="00EC4E7A">
        <w:rPr>
          <w:rFonts w:asciiTheme="minorHAnsi" w:hAnsiTheme="minorHAnsi" w:cstheme="minorHAnsi"/>
          <w:b/>
          <w:bCs/>
          <w:sz w:val="22"/>
          <w:szCs w:val="22"/>
        </w:rPr>
        <w:t>3</w:t>
      </w:r>
      <w:r w:rsidRPr="006B3E2A">
        <w:rPr>
          <w:rFonts w:asciiTheme="minorHAnsi" w:hAnsiTheme="minorHAnsi" w:cstheme="minorHAnsi"/>
          <w:b/>
          <w:bCs/>
          <w:sz w:val="22"/>
          <w:szCs w:val="22"/>
        </w:rPr>
        <w:t>: Detailed costs by administrative level for the campaign delivery strategy – Nakuru and Mombasa Counties, Kenya, 2019–2021</w:t>
      </w:r>
    </w:p>
    <w:tbl>
      <w:tblPr>
        <w:tblStyle w:val="PlainTable1"/>
        <w:tblW w:w="15210" w:type="dxa"/>
        <w:tblInd w:w="-995" w:type="dxa"/>
        <w:tblLayout w:type="fixed"/>
        <w:tblLook w:val="04A0" w:firstRow="1" w:lastRow="0" w:firstColumn="1" w:lastColumn="0" w:noHBand="0" w:noVBand="1"/>
      </w:tblPr>
      <w:tblGrid>
        <w:gridCol w:w="1980"/>
        <w:gridCol w:w="1440"/>
        <w:gridCol w:w="1170"/>
        <w:gridCol w:w="1260"/>
        <w:gridCol w:w="1350"/>
        <w:gridCol w:w="1350"/>
        <w:gridCol w:w="1440"/>
        <w:gridCol w:w="1080"/>
        <w:gridCol w:w="1260"/>
        <w:gridCol w:w="1350"/>
        <w:gridCol w:w="1530"/>
      </w:tblGrid>
      <w:tr w:rsidR="00DF08C0" w:rsidRPr="006D47BC" w14:paraId="6464271A" w14:textId="77777777" w:rsidTr="005A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right w:val="single" w:sz="4" w:space="0" w:color="auto"/>
            </w:tcBorders>
          </w:tcPr>
          <w:p w14:paraId="428140E0" w14:textId="77777777" w:rsidR="00DF08C0" w:rsidRPr="00FC7F0E" w:rsidRDefault="00DF08C0" w:rsidP="005A1AE9">
            <w:pPr>
              <w:rPr>
                <w:rFonts w:asciiTheme="minorHAnsi" w:hAnsiTheme="minorHAnsi" w:cstheme="minorHAnsi"/>
                <w:sz w:val="20"/>
                <w:szCs w:val="20"/>
              </w:rPr>
            </w:pPr>
          </w:p>
        </w:tc>
        <w:tc>
          <w:tcPr>
            <w:tcW w:w="6570" w:type="dxa"/>
            <w:gridSpan w:val="5"/>
            <w:tcBorders>
              <w:top w:val="single" w:sz="4" w:space="0" w:color="auto"/>
              <w:left w:val="single" w:sz="4" w:space="0" w:color="auto"/>
              <w:right w:val="single" w:sz="4" w:space="0" w:color="auto"/>
            </w:tcBorders>
          </w:tcPr>
          <w:p w14:paraId="73A2A1FF" w14:textId="77777777" w:rsidR="00DF08C0" w:rsidRPr="00FC7F0E" w:rsidRDefault="00DF08C0" w:rsidP="005A1AE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Financial cost</w:t>
            </w:r>
          </w:p>
          <w:p w14:paraId="412D9E8F" w14:textId="77777777" w:rsidR="00DF08C0" w:rsidRPr="00FC7F0E" w:rsidRDefault="00DF08C0" w:rsidP="005A1AE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Theme="minorHAnsi" w:hAnsiTheme="minorHAnsi" w:cstheme="minorHAnsi"/>
                <w:sz w:val="20"/>
                <w:szCs w:val="20"/>
              </w:rPr>
              <w:t>USD (% of total)</w:t>
            </w:r>
          </w:p>
        </w:tc>
        <w:tc>
          <w:tcPr>
            <w:tcW w:w="6660" w:type="dxa"/>
            <w:gridSpan w:val="5"/>
            <w:tcBorders>
              <w:top w:val="single" w:sz="4" w:space="0" w:color="auto"/>
              <w:left w:val="single" w:sz="4" w:space="0" w:color="auto"/>
              <w:right w:val="single" w:sz="4" w:space="0" w:color="auto"/>
            </w:tcBorders>
          </w:tcPr>
          <w:p w14:paraId="0E28B596" w14:textId="77777777" w:rsidR="00DF08C0" w:rsidRPr="00FC7F0E" w:rsidRDefault="00DF08C0" w:rsidP="005A1AE9">
            <w:pPr>
              <w:tabs>
                <w:tab w:val="left" w:pos="60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Economic cost</w:t>
            </w:r>
          </w:p>
          <w:p w14:paraId="4ACAE29B" w14:textId="77777777" w:rsidR="00DF08C0" w:rsidRPr="00FC7F0E" w:rsidRDefault="00DF08C0" w:rsidP="005A1AE9">
            <w:pPr>
              <w:tabs>
                <w:tab w:val="left" w:pos="60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USD (% of total)</w:t>
            </w:r>
          </w:p>
        </w:tc>
      </w:tr>
      <w:tr w:rsidR="00DF08C0" w:rsidRPr="006D47BC" w14:paraId="232E5F8D"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713D05A1" w14:textId="77777777" w:rsidR="00DF08C0" w:rsidRPr="00FC7F0E" w:rsidRDefault="00DF08C0" w:rsidP="005A1AE9">
            <w:pPr>
              <w:rPr>
                <w:rFonts w:asciiTheme="minorHAnsi" w:hAnsiTheme="minorHAnsi" w:cstheme="minorHAnsi"/>
                <w:sz w:val="20"/>
                <w:szCs w:val="20"/>
              </w:rPr>
            </w:pPr>
            <w:r w:rsidRPr="00FC7F0E">
              <w:rPr>
                <w:rFonts w:asciiTheme="minorHAnsi" w:hAnsiTheme="minorHAnsi" w:cstheme="minorHAnsi"/>
                <w:sz w:val="20"/>
                <w:szCs w:val="20"/>
              </w:rPr>
              <w:t>Program activity</w:t>
            </w:r>
          </w:p>
        </w:tc>
        <w:tc>
          <w:tcPr>
            <w:tcW w:w="1440" w:type="dxa"/>
            <w:tcBorders>
              <w:left w:val="single" w:sz="4" w:space="0" w:color="auto"/>
            </w:tcBorders>
          </w:tcPr>
          <w:p w14:paraId="4D0DF4FD"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National</w:t>
            </w:r>
          </w:p>
        </w:tc>
        <w:tc>
          <w:tcPr>
            <w:tcW w:w="1170" w:type="dxa"/>
          </w:tcPr>
          <w:p w14:paraId="2B7C5F5C"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Regional</w:t>
            </w:r>
          </w:p>
        </w:tc>
        <w:tc>
          <w:tcPr>
            <w:tcW w:w="1260" w:type="dxa"/>
          </w:tcPr>
          <w:p w14:paraId="5D6310E8"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County</w:t>
            </w:r>
          </w:p>
        </w:tc>
        <w:tc>
          <w:tcPr>
            <w:tcW w:w="1350" w:type="dxa"/>
          </w:tcPr>
          <w:p w14:paraId="3C8C6EDF"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Sub</w:t>
            </w:r>
            <w:r>
              <w:rPr>
                <w:rFonts w:asciiTheme="minorHAnsi" w:hAnsiTheme="minorHAnsi" w:cstheme="minorHAnsi"/>
                <w:i/>
                <w:iCs/>
                <w:sz w:val="20"/>
                <w:szCs w:val="20"/>
              </w:rPr>
              <w:t>-</w:t>
            </w:r>
            <w:r w:rsidRPr="00FC7F0E">
              <w:rPr>
                <w:rFonts w:asciiTheme="minorHAnsi" w:hAnsiTheme="minorHAnsi" w:cstheme="minorHAnsi"/>
                <w:i/>
                <w:iCs/>
                <w:sz w:val="20"/>
                <w:szCs w:val="20"/>
              </w:rPr>
              <w:t>county</w:t>
            </w:r>
          </w:p>
        </w:tc>
        <w:tc>
          <w:tcPr>
            <w:tcW w:w="1350" w:type="dxa"/>
            <w:tcBorders>
              <w:right w:val="single" w:sz="4" w:space="0" w:color="auto"/>
            </w:tcBorders>
          </w:tcPr>
          <w:p w14:paraId="72862BA3"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Health facility</w:t>
            </w:r>
          </w:p>
        </w:tc>
        <w:tc>
          <w:tcPr>
            <w:tcW w:w="1440" w:type="dxa"/>
            <w:tcBorders>
              <w:left w:val="single" w:sz="4" w:space="0" w:color="auto"/>
            </w:tcBorders>
          </w:tcPr>
          <w:p w14:paraId="2045091F"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National</w:t>
            </w:r>
          </w:p>
        </w:tc>
        <w:tc>
          <w:tcPr>
            <w:tcW w:w="1080" w:type="dxa"/>
          </w:tcPr>
          <w:p w14:paraId="137BBC50"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Regional</w:t>
            </w:r>
          </w:p>
        </w:tc>
        <w:tc>
          <w:tcPr>
            <w:tcW w:w="1260" w:type="dxa"/>
          </w:tcPr>
          <w:p w14:paraId="0CF3F892"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County</w:t>
            </w:r>
          </w:p>
        </w:tc>
        <w:tc>
          <w:tcPr>
            <w:tcW w:w="1350" w:type="dxa"/>
            <w:tcBorders>
              <w:right w:val="single" w:sz="4" w:space="0" w:color="BFBFBF" w:themeColor="background1" w:themeShade="BF"/>
            </w:tcBorders>
          </w:tcPr>
          <w:p w14:paraId="0693B2AA" w14:textId="77777777" w:rsidR="00DF08C0" w:rsidRPr="00FC7F0E" w:rsidRDefault="00DF08C0" w:rsidP="005A1AE9">
            <w:pPr>
              <w:tabs>
                <w:tab w:val="left" w:pos="60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Sub</w:t>
            </w:r>
            <w:r>
              <w:rPr>
                <w:rFonts w:asciiTheme="minorHAnsi" w:hAnsiTheme="minorHAnsi" w:cstheme="minorHAnsi"/>
                <w:i/>
                <w:iCs/>
                <w:sz w:val="20"/>
                <w:szCs w:val="20"/>
              </w:rPr>
              <w:t>-</w:t>
            </w:r>
            <w:r w:rsidRPr="00FC7F0E">
              <w:rPr>
                <w:rFonts w:asciiTheme="minorHAnsi" w:hAnsiTheme="minorHAnsi" w:cstheme="minorHAnsi"/>
                <w:i/>
                <w:iCs/>
                <w:sz w:val="20"/>
                <w:szCs w:val="20"/>
              </w:rPr>
              <w:t>county</w:t>
            </w:r>
          </w:p>
        </w:tc>
        <w:tc>
          <w:tcPr>
            <w:tcW w:w="1530" w:type="dxa"/>
            <w:tcBorders>
              <w:left w:val="single" w:sz="4" w:space="0" w:color="BFBFBF" w:themeColor="background1" w:themeShade="BF"/>
              <w:right w:val="single" w:sz="4" w:space="0" w:color="auto"/>
            </w:tcBorders>
          </w:tcPr>
          <w:p w14:paraId="6B39CB05" w14:textId="77777777" w:rsidR="00DF08C0" w:rsidRPr="00FC7F0E" w:rsidRDefault="00DF08C0" w:rsidP="005A1AE9">
            <w:pPr>
              <w:tabs>
                <w:tab w:val="left" w:pos="60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Health facility</w:t>
            </w:r>
          </w:p>
        </w:tc>
      </w:tr>
      <w:tr w:rsidR="00DF08C0" w:rsidRPr="006D47BC" w14:paraId="73467041"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vAlign w:val="center"/>
          </w:tcPr>
          <w:p w14:paraId="45146AE1"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Cost of vaccine</w:t>
            </w:r>
          </w:p>
        </w:tc>
        <w:tc>
          <w:tcPr>
            <w:tcW w:w="1440" w:type="dxa"/>
            <w:tcBorders>
              <w:left w:val="single" w:sz="4" w:space="0" w:color="auto"/>
            </w:tcBorders>
            <w:vAlign w:val="center"/>
          </w:tcPr>
          <w:p w14:paraId="3B551E98"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148,047</w:t>
            </w:r>
            <w:r w:rsidRPr="00FC7F0E">
              <w:rPr>
                <w:rFonts w:ascii="Calibri" w:hAnsi="Calibri" w:cs="Calibri"/>
                <w:color w:val="000000"/>
                <w:sz w:val="20"/>
                <w:szCs w:val="20"/>
              </w:rPr>
              <w:t xml:space="preserve"> (88%)</w:t>
            </w:r>
          </w:p>
        </w:tc>
        <w:tc>
          <w:tcPr>
            <w:tcW w:w="1170" w:type="dxa"/>
            <w:vAlign w:val="center"/>
          </w:tcPr>
          <w:p w14:paraId="4B83736D"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260" w:type="dxa"/>
            <w:vAlign w:val="center"/>
          </w:tcPr>
          <w:p w14:paraId="0CEFFE02"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3443F">
              <w:rPr>
                <w:rFonts w:ascii="Calibri" w:hAnsi="Calibri" w:cs="Calibri"/>
                <w:color w:val="000000"/>
                <w:sz w:val="20"/>
                <w:szCs w:val="20"/>
              </w:rPr>
              <w:t>-- </w:t>
            </w:r>
          </w:p>
        </w:tc>
        <w:tc>
          <w:tcPr>
            <w:tcW w:w="1350" w:type="dxa"/>
            <w:vAlign w:val="center"/>
          </w:tcPr>
          <w:p w14:paraId="6DF04B4C"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3443F">
              <w:rPr>
                <w:rFonts w:ascii="Calibri" w:hAnsi="Calibri" w:cs="Calibri"/>
                <w:color w:val="000000"/>
                <w:sz w:val="20"/>
                <w:szCs w:val="20"/>
              </w:rPr>
              <w:t>-- </w:t>
            </w:r>
          </w:p>
        </w:tc>
        <w:tc>
          <w:tcPr>
            <w:tcW w:w="1350" w:type="dxa"/>
            <w:tcBorders>
              <w:right w:val="single" w:sz="4" w:space="0" w:color="auto"/>
            </w:tcBorders>
            <w:vAlign w:val="center"/>
          </w:tcPr>
          <w:p w14:paraId="368581C5"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3443F">
              <w:rPr>
                <w:rFonts w:ascii="Calibri" w:hAnsi="Calibri" w:cs="Calibri"/>
                <w:color w:val="000000"/>
                <w:sz w:val="20"/>
                <w:szCs w:val="20"/>
              </w:rPr>
              <w:t>-- </w:t>
            </w:r>
          </w:p>
        </w:tc>
        <w:tc>
          <w:tcPr>
            <w:tcW w:w="1440" w:type="dxa"/>
            <w:tcBorders>
              <w:left w:val="single" w:sz="4" w:space="0" w:color="auto"/>
            </w:tcBorders>
            <w:vAlign w:val="center"/>
          </w:tcPr>
          <w:p w14:paraId="3AD0306B"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148,047</w:t>
            </w:r>
            <w:r w:rsidRPr="00FC7F0E">
              <w:rPr>
                <w:rFonts w:ascii="Calibri" w:hAnsi="Calibri" w:cs="Calibri"/>
                <w:color w:val="000000"/>
                <w:sz w:val="20"/>
                <w:szCs w:val="20"/>
              </w:rPr>
              <w:t xml:space="preserve"> (88%)</w:t>
            </w:r>
          </w:p>
        </w:tc>
        <w:tc>
          <w:tcPr>
            <w:tcW w:w="1080" w:type="dxa"/>
            <w:vAlign w:val="center"/>
          </w:tcPr>
          <w:p w14:paraId="5FDE4825"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0917">
              <w:rPr>
                <w:rFonts w:ascii="Calibri" w:hAnsi="Calibri" w:cs="Calibri"/>
                <w:color w:val="000000"/>
                <w:sz w:val="20"/>
                <w:szCs w:val="20"/>
              </w:rPr>
              <w:t>-- </w:t>
            </w:r>
          </w:p>
        </w:tc>
        <w:tc>
          <w:tcPr>
            <w:tcW w:w="1260" w:type="dxa"/>
            <w:vAlign w:val="center"/>
          </w:tcPr>
          <w:p w14:paraId="6D829406"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0917">
              <w:rPr>
                <w:rFonts w:ascii="Calibri" w:hAnsi="Calibri" w:cs="Calibri"/>
                <w:color w:val="000000"/>
                <w:sz w:val="20"/>
                <w:szCs w:val="20"/>
              </w:rPr>
              <w:t>-- </w:t>
            </w:r>
          </w:p>
        </w:tc>
        <w:tc>
          <w:tcPr>
            <w:tcW w:w="1350" w:type="dxa"/>
            <w:tcBorders>
              <w:right w:val="single" w:sz="4" w:space="0" w:color="BFBFBF" w:themeColor="background1" w:themeShade="BF"/>
            </w:tcBorders>
            <w:vAlign w:val="center"/>
          </w:tcPr>
          <w:p w14:paraId="45758930"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0917">
              <w:rPr>
                <w:rFonts w:ascii="Calibri" w:hAnsi="Calibri" w:cs="Calibri"/>
                <w:color w:val="000000"/>
                <w:sz w:val="20"/>
                <w:szCs w:val="20"/>
              </w:rPr>
              <w:t>-- </w:t>
            </w:r>
          </w:p>
        </w:tc>
        <w:tc>
          <w:tcPr>
            <w:tcW w:w="1530" w:type="dxa"/>
            <w:tcBorders>
              <w:left w:val="single" w:sz="4" w:space="0" w:color="BFBFBF" w:themeColor="background1" w:themeShade="BF"/>
              <w:right w:val="single" w:sz="4" w:space="0" w:color="auto"/>
            </w:tcBorders>
            <w:vAlign w:val="center"/>
          </w:tcPr>
          <w:p w14:paraId="491CDC91"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0917">
              <w:rPr>
                <w:rFonts w:ascii="Calibri" w:hAnsi="Calibri" w:cs="Calibri"/>
                <w:color w:val="000000"/>
                <w:sz w:val="20"/>
                <w:szCs w:val="20"/>
              </w:rPr>
              <w:t>-- </w:t>
            </w:r>
          </w:p>
        </w:tc>
      </w:tr>
      <w:tr w:rsidR="00DF08C0" w:rsidRPr="006D47BC" w14:paraId="40A58E58"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704D55B0"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Advocacy and social mobilization</w:t>
            </w:r>
          </w:p>
        </w:tc>
        <w:tc>
          <w:tcPr>
            <w:tcW w:w="1440" w:type="dxa"/>
            <w:tcBorders>
              <w:left w:val="single" w:sz="4" w:space="0" w:color="auto"/>
            </w:tcBorders>
            <w:vAlign w:val="center"/>
          </w:tcPr>
          <w:p w14:paraId="61DD2650"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6,975 (4%)</w:t>
            </w:r>
          </w:p>
        </w:tc>
        <w:tc>
          <w:tcPr>
            <w:tcW w:w="1170" w:type="dxa"/>
            <w:vAlign w:val="center"/>
          </w:tcPr>
          <w:p w14:paraId="7C13C21F"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260" w:type="dxa"/>
            <w:vAlign w:val="center"/>
          </w:tcPr>
          <w:p w14:paraId="1D0B1128"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1,077 (48%)</w:t>
            </w:r>
          </w:p>
        </w:tc>
        <w:tc>
          <w:tcPr>
            <w:tcW w:w="1350" w:type="dxa"/>
            <w:vAlign w:val="center"/>
          </w:tcPr>
          <w:p w14:paraId="4C9DE29A"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13,524 (76%)</w:t>
            </w:r>
          </w:p>
        </w:tc>
        <w:tc>
          <w:tcPr>
            <w:tcW w:w="1350" w:type="dxa"/>
            <w:tcBorders>
              <w:right w:val="single" w:sz="4" w:space="0" w:color="auto"/>
            </w:tcBorders>
            <w:vAlign w:val="center"/>
          </w:tcPr>
          <w:p w14:paraId="600B1B30"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3,297 (12%)</w:t>
            </w:r>
          </w:p>
        </w:tc>
        <w:tc>
          <w:tcPr>
            <w:tcW w:w="1440" w:type="dxa"/>
            <w:tcBorders>
              <w:left w:val="single" w:sz="4" w:space="0" w:color="auto"/>
            </w:tcBorders>
            <w:vAlign w:val="center"/>
          </w:tcPr>
          <w:p w14:paraId="251EFA33"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6,975 (4%)</w:t>
            </w:r>
          </w:p>
        </w:tc>
        <w:tc>
          <w:tcPr>
            <w:tcW w:w="1080" w:type="dxa"/>
            <w:vAlign w:val="center"/>
          </w:tcPr>
          <w:p w14:paraId="30713060"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260" w:type="dxa"/>
            <w:vAlign w:val="center"/>
          </w:tcPr>
          <w:p w14:paraId="01598F0C"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1</w:t>
            </w:r>
            <w:r>
              <w:rPr>
                <w:rFonts w:ascii="Calibri" w:hAnsi="Calibri" w:cs="Calibri"/>
                <w:color w:val="000000"/>
                <w:sz w:val="20"/>
                <w:szCs w:val="20"/>
              </w:rPr>
              <w:t>,</w:t>
            </w:r>
            <w:r w:rsidRPr="00FC7F0E">
              <w:rPr>
                <w:rFonts w:ascii="Calibri" w:hAnsi="Calibri" w:cs="Calibri"/>
                <w:color w:val="000000"/>
                <w:sz w:val="20"/>
                <w:szCs w:val="20"/>
              </w:rPr>
              <w:t>077 (42%)</w:t>
            </w:r>
          </w:p>
        </w:tc>
        <w:tc>
          <w:tcPr>
            <w:tcW w:w="1350" w:type="dxa"/>
            <w:tcBorders>
              <w:right w:val="single" w:sz="4" w:space="0" w:color="BFBFBF" w:themeColor="background1" w:themeShade="BF"/>
            </w:tcBorders>
            <w:vAlign w:val="center"/>
          </w:tcPr>
          <w:p w14:paraId="63D16D5D"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13,524 (74%)</w:t>
            </w:r>
          </w:p>
        </w:tc>
        <w:tc>
          <w:tcPr>
            <w:tcW w:w="1530" w:type="dxa"/>
            <w:tcBorders>
              <w:left w:val="single" w:sz="4" w:space="0" w:color="BFBFBF" w:themeColor="background1" w:themeShade="BF"/>
              <w:right w:val="single" w:sz="4" w:space="0" w:color="auto"/>
            </w:tcBorders>
            <w:vAlign w:val="center"/>
          </w:tcPr>
          <w:p w14:paraId="745D76DA"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3,297 (6%)</w:t>
            </w:r>
          </w:p>
        </w:tc>
      </w:tr>
      <w:tr w:rsidR="00DF08C0" w:rsidRPr="006D47BC" w14:paraId="40D50CFE"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2A529745"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Training</w:t>
            </w:r>
          </w:p>
        </w:tc>
        <w:tc>
          <w:tcPr>
            <w:tcW w:w="1440" w:type="dxa"/>
            <w:tcBorders>
              <w:left w:val="single" w:sz="4" w:space="0" w:color="auto"/>
            </w:tcBorders>
            <w:vAlign w:val="center"/>
          </w:tcPr>
          <w:p w14:paraId="3D81E89D"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10,</w:t>
            </w:r>
            <w:r>
              <w:rPr>
                <w:rFonts w:ascii="Calibri" w:hAnsi="Calibri" w:cs="Calibri"/>
                <w:color w:val="000000"/>
                <w:sz w:val="20"/>
                <w:szCs w:val="20"/>
              </w:rPr>
              <w:t>700</w:t>
            </w:r>
            <w:r w:rsidRPr="00FC7F0E">
              <w:rPr>
                <w:rFonts w:ascii="Calibri" w:hAnsi="Calibri" w:cs="Calibri"/>
                <w:color w:val="000000"/>
                <w:sz w:val="20"/>
                <w:szCs w:val="20"/>
              </w:rPr>
              <w:t xml:space="preserve"> (6%)</w:t>
            </w:r>
          </w:p>
        </w:tc>
        <w:tc>
          <w:tcPr>
            <w:tcW w:w="1170" w:type="dxa"/>
            <w:vAlign w:val="center"/>
          </w:tcPr>
          <w:p w14:paraId="3BC5B1DE"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260" w:type="dxa"/>
            <w:vAlign w:val="center"/>
          </w:tcPr>
          <w:p w14:paraId="2A455B88"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1,1</w:t>
            </w:r>
            <w:r>
              <w:rPr>
                <w:rFonts w:ascii="Calibri" w:hAnsi="Calibri" w:cs="Calibri"/>
                <w:color w:val="000000"/>
                <w:sz w:val="20"/>
                <w:szCs w:val="20"/>
              </w:rPr>
              <w:t>60</w:t>
            </w:r>
            <w:r w:rsidRPr="00FC7F0E">
              <w:rPr>
                <w:rFonts w:ascii="Calibri" w:hAnsi="Calibri" w:cs="Calibri"/>
                <w:color w:val="000000"/>
                <w:sz w:val="20"/>
                <w:szCs w:val="20"/>
              </w:rPr>
              <w:t xml:space="preserve"> (52%)</w:t>
            </w:r>
          </w:p>
        </w:tc>
        <w:tc>
          <w:tcPr>
            <w:tcW w:w="1350" w:type="dxa"/>
            <w:vAlign w:val="center"/>
          </w:tcPr>
          <w:p w14:paraId="41D527A1"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4,3</w:t>
            </w:r>
            <w:r>
              <w:rPr>
                <w:rFonts w:ascii="Calibri" w:hAnsi="Calibri" w:cs="Calibri"/>
                <w:color w:val="000000"/>
                <w:sz w:val="20"/>
                <w:szCs w:val="20"/>
              </w:rPr>
              <w:t>33</w:t>
            </w:r>
            <w:r w:rsidRPr="00FC7F0E">
              <w:rPr>
                <w:rFonts w:ascii="Calibri" w:hAnsi="Calibri" w:cs="Calibri"/>
                <w:color w:val="000000"/>
                <w:sz w:val="20"/>
                <w:szCs w:val="20"/>
              </w:rPr>
              <w:t xml:space="preserve"> (24%)</w:t>
            </w:r>
          </w:p>
        </w:tc>
        <w:tc>
          <w:tcPr>
            <w:tcW w:w="1350" w:type="dxa"/>
            <w:tcBorders>
              <w:right w:val="single" w:sz="4" w:space="0" w:color="auto"/>
            </w:tcBorders>
            <w:vAlign w:val="center"/>
          </w:tcPr>
          <w:p w14:paraId="295E204F"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5,8</w:t>
            </w:r>
            <w:r>
              <w:rPr>
                <w:rFonts w:ascii="Calibri" w:hAnsi="Calibri" w:cs="Calibri"/>
                <w:color w:val="000000"/>
                <w:sz w:val="20"/>
                <w:szCs w:val="20"/>
              </w:rPr>
              <w:t>38</w:t>
            </w:r>
            <w:r w:rsidRPr="00FC7F0E">
              <w:rPr>
                <w:rFonts w:ascii="Calibri" w:hAnsi="Calibri" w:cs="Calibri"/>
                <w:color w:val="000000"/>
                <w:sz w:val="20"/>
                <w:szCs w:val="20"/>
              </w:rPr>
              <w:t xml:space="preserve"> (22%)</w:t>
            </w:r>
          </w:p>
        </w:tc>
        <w:tc>
          <w:tcPr>
            <w:tcW w:w="1440" w:type="dxa"/>
            <w:tcBorders>
              <w:left w:val="single" w:sz="4" w:space="0" w:color="auto"/>
            </w:tcBorders>
            <w:vAlign w:val="center"/>
          </w:tcPr>
          <w:p w14:paraId="1B0A41DB"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10,</w:t>
            </w:r>
            <w:r>
              <w:rPr>
                <w:rFonts w:ascii="Calibri" w:hAnsi="Calibri" w:cs="Calibri"/>
                <w:color w:val="000000"/>
                <w:sz w:val="20"/>
                <w:szCs w:val="20"/>
              </w:rPr>
              <w:t>700</w:t>
            </w:r>
            <w:r w:rsidRPr="00FC7F0E">
              <w:rPr>
                <w:rFonts w:ascii="Calibri" w:hAnsi="Calibri" w:cs="Calibri"/>
                <w:color w:val="000000"/>
                <w:sz w:val="20"/>
                <w:szCs w:val="20"/>
              </w:rPr>
              <w:t xml:space="preserve"> (6%)</w:t>
            </w:r>
          </w:p>
        </w:tc>
        <w:tc>
          <w:tcPr>
            <w:tcW w:w="1080" w:type="dxa"/>
            <w:vAlign w:val="center"/>
          </w:tcPr>
          <w:p w14:paraId="738D2926"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260" w:type="dxa"/>
            <w:vAlign w:val="center"/>
          </w:tcPr>
          <w:p w14:paraId="097098A9"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1,1</w:t>
            </w:r>
            <w:r>
              <w:rPr>
                <w:rFonts w:ascii="Calibri" w:hAnsi="Calibri" w:cs="Calibri"/>
                <w:color w:val="000000"/>
                <w:sz w:val="20"/>
                <w:szCs w:val="20"/>
              </w:rPr>
              <w:t>60</w:t>
            </w:r>
            <w:r w:rsidRPr="00FC7F0E">
              <w:rPr>
                <w:rFonts w:ascii="Calibri" w:hAnsi="Calibri" w:cs="Calibri"/>
                <w:color w:val="000000"/>
                <w:sz w:val="20"/>
                <w:szCs w:val="20"/>
              </w:rPr>
              <w:t xml:space="preserve"> (</w:t>
            </w:r>
            <w:r>
              <w:rPr>
                <w:rFonts w:ascii="Calibri" w:hAnsi="Calibri" w:cs="Calibri"/>
                <w:color w:val="000000"/>
                <w:sz w:val="20"/>
                <w:szCs w:val="20"/>
              </w:rPr>
              <w:t>45</w:t>
            </w:r>
            <w:r w:rsidRPr="00FC7F0E">
              <w:rPr>
                <w:rFonts w:ascii="Calibri" w:hAnsi="Calibri" w:cs="Calibri"/>
                <w:color w:val="000000"/>
                <w:sz w:val="20"/>
                <w:szCs w:val="20"/>
              </w:rPr>
              <w:t>%)</w:t>
            </w:r>
          </w:p>
        </w:tc>
        <w:tc>
          <w:tcPr>
            <w:tcW w:w="1350" w:type="dxa"/>
            <w:tcBorders>
              <w:right w:val="single" w:sz="4" w:space="0" w:color="BFBFBF" w:themeColor="background1" w:themeShade="BF"/>
            </w:tcBorders>
            <w:vAlign w:val="center"/>
          </w:tcPr>
          <w:p w14:paraId="3F9D36A1"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4,3</w:t>
            </w:r>
            <w:r>
              <w:rPr>
                <w:rFonts w:ascii="Calibri" w:hAnsi="Calibri" w:cs="Calibri"/>
                <w:color w:val="000000"/>
                <w:sz w:val="20"/>
                <w:szCs w:val="20"/>
              </w:rPr>
              <w:t>33</w:t>
            </w:r>
            <w:r w:rsidRPr="00FC7F0E">
              <w:rPr>
                <w:rFonts w:ascii="Calibri" w:hAnsi="Calibri" w:cs="Calibri"/>
                <w:color w:val="000000"/>
                <w:sz w:val="20"/>
                <w:szCs w:val="20"/>
              </w:rPr>
              <w:t xml:space="preserve"> (24%)</w:t>
            </w:r>
          </w:p>
        </w:tc>
        <w:tc>
          <w:tcPr>
            <w:tcW w:w="1530" w:type="dxa"/>
            <w:tcBorders>
              <w:left w:val="single" w:sz="4" w:space="0" w:color="BFBFBF" w:themeColor="background1" w:themeShade="BF"/>
              <w:right w:val="single" w:sz="4" w:space="0" w:color="auto"/>
            </w:tcBorders>
            <w:vAlign w:val="center"/>
          </w:tcPr>
          <w:p w14:paraId="0D4590EA"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5,8</w:t>
            </w:r>
            <w:r>
              <w:rPr>
                <w:rFonts w:ascii="Calibri" w:hAnsi="Calibri" w:cs="Calibri"/>
                <w:color w:val="000000"/>
                <w:sz w:val="20"/>
                <w:szCs w:val="20"/>
              </w:rPr>
              <w:t>38</w:t>
            </w:r>
            <w:r w:rsidRPr="00FC7F0E">
              <w:rPr>
                <w:rFonts w:ascii="Calibri" w:hAnsi="Calibri" w:cs="Calibri"/>
                <w:color w:val="000000"/>
                <w:sz w:val="20"/>
                <w:szCs w:val="20"/>
              </w:rPr>
              <w:t xml:space="preserve"> (</w:t>
            </w:r>
            <w:r>
              <w:rPr>
                <w:rFonts w:ascii="Calibri" w:hAnsi="Calibri" w:cs="Calibri"/>
                <w:color w:val="000000"/>
                <w:sz w:val="20"/>
                <w:szCs w:val="20"/>
              </w:rPr>
              <w:t>11</w:t>
            </w:r>
            <w:r w:rsidRPr="00FC7F0E">
              <w:rPr>
                <w:rFonts w:ascii="Calibri" w:hAnsi="Calibri" w:cs="Calibri"/>
                <w:color w:val="000000"/>
                <w:sz w:val="20"/>
                <w:szCs w:val="20"/>
              </w:rPr>
              <w:t>%)</w:t>
            </w:r>
          </w:p>
        </w:tc>
      </w:tr>
      <w:tr w:rsidR="00DF08C0" w:rsidRPr="006D47BC" w14:paraId="7775082B"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486037A7"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Distribution, storage, and waste management</w:t>
            </w:r>
          </w:p>
        </w:tc>
        <w:tc>
          <w:tcPr>
            <w:tcW w:w="1440" w:type="dxa"/>
            <w:tcBorders>
              <w:left w:val="single" w:sz="4" w:space="0" w:color="auto"/>
            </w:tcBorders>
            <w:vAlign w:val="center"/>
          </w:tcPr>
          <w:p w14:paraId="2E43D12B"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2,</w:t>
            </w:r>
            <w:r>
              <w:rPr>
                <w:rFonts w:ascii="Calibri" w:hAnsi="Calibri" w:cs="Calibri"/>
                <w:color w:val="000000"/>
                <w:sz w:val="20"/>
                <w:szCs w:val="20"/>
              </w:rPr>
              <w:t>101</w:t>
            </w:r>
            <w:r w:rsidRPr="00FC7F0E">
              <w:rPr>
                <w:rFonts w:ascii="Calibri" w:hAnsi="Calibri" w:cs="Calibri"/>
                <w:color w:val="000000"/>
                <w:sz w:val="20"/>
                <w:szCs w:val="20"/>
              </w:rPr>
              <w:t xml:space="preserve"> (1%)</w:t>
            </w:r>
          </w:p>
        </w:tc>
        <w:tc>
          <w:tcPr>
            <w:tcW w:w="1170" w:type="dxa"/>
            <w:vAlign w:val="center"/>
          </w:tcPr>
          <w:p w14:paraId="7ABC2DBE"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23</w:t>
            </w:r>
            <w:r>
              <w:rPr>
                <w:rFonts w:ascii="Calibri" w:hAnsi="Calibri" w:cs="Calibri"/>
                <w:color w:val="000000"/>
                <w:sz w:val="20"/>
                <w:szCs w:val="20"/>
              </w:rPr>
              <w:t>2</w:t>
            </w:r>
            <w:r w:rsidRPr="00FC7F0E">
              <w:rPr>
                <w:rFonts w:ascii="Calibri" w:hAnsi="Calibri" w:cs="Calibri"/>
                <w:color w:val="000000"/>
                <w:sz w:val="20"/>
                <w:szCs w:val="20"/>
              </w:rPr>
              <w:t xml:space="preserve"> (100%)</w:t>
            </w:r>
          </w:p>
        </w:tc>
        <w:tc>
          <w:tcPr>
            <w:tcW w:w="1260" w:type="dxa"/>
            <w:vAlign w:val="center"/>
          </w:tcPr>
          <w:p w14:paraId="2033CB09"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F6DF4">
              <w:rPr>
                <w:rFonts w:ascii="Calibri" w:hAnsi="Calibri" w:cs="Calibri"/>
                <w:color w:val="000000"/>
                <w:sz w:val="20"/>
                <w:szCs w:val="20"/>
              </w:rPr>
              <w:t>-- </w:t>
            </w:r>
          </w:p>
        </w:tc>
        <w:tc>
          <w:tcPr>
            <w:tcW w:w="1350" w:type="dxa"/>
            <w:vAlign w:val="center"/>
          </w:tcPr>
          <w:p w14:paraId="7E00D93B"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F6DF4">
              <w:rPr>
                <w:rFonts w:ascii="Calibri" w:hAnsi="Calibri" w:cs="Calibri"/>
                <w:color w:val="000000"/>
                <w:sz w:val="20"/>
                <w:szCs w:val="20"/>
              </w:rPr>
              <w:t>-- </w:t>
            </w:r>
          </w:p>
        </w:tc>
        <w:tc>
          <w:tcPr>
            <w:tcW w:w="1350" w:type="dxa"/>
            <w:tcBorders>
              <w:right w:val="single" w:sz="4" w:space="0" w:color="auto"/>
            </w:tcBorders>
            <w:vAlign w:val="center"/>
          </w:tcPr>
          <w:p w14:paraId="019A98C9"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F6DF4">
              <w:rPr>
                <w:rFonts w:ascii="Calibri" w:hAnsi="Calibri" w:cs="Calibri"/>
                <w:color w:val="000000"/>
                <w:sz w:val="20"/>
                <w:szCs w:val="20"/>
              </w:rPr>
              <w:t>-- </w:t>
            </w:r>
          </w:p>
        </w:tc>
        <w:tc>
          <w:tcPr>
            <w:tcW w:w="1440" w:type="dxa"/>
            <w:tcBorders>
              <w:left w:val="single" w:sz="4" w:space="0" w:color="auto"/>
            </w:tcBorders>
            <w:vAlign w:val="center"/>
          </w:tcPr>
          <w:p w14:paraId="22E3FD4F"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2,4</w:t>
            </w:r>
            <w:r>
              <w:rPr>
                <w:rFonts w:ascii="Calibri" w:hAnsi="Calibri" w:cs="Calibri"/>
                <w:color w:val="000000"/>
                <w:sz w:val="20"/>
                <w:szCs w:val="20"/>
              </w:rPr>
              <w:t>9</w:t>
            </w:r>
            <w:r w:rsidRPr="00FC7F0E">
              <w:rPr>
                <w:rFonts w:ascii="Calibri" w:hAnsi="Calibri" w:cs="Calibri"/>
                <w:color w:val="000000"/>
                <w:sz w:val="20"/>
                <w:szCs w:val="20"/>
              </w:rPr>
              <w:t>4 (</w:t>
            </w:r>
            <w:r>
              <w:rPr>
                <w:rFonts w:ascii="Calibri" w:hAnsi="Calibri" w:cs="Calibri"/>
                <w:color w:val="000000"/>
                <w:sz w:val="20"/>
                <w:szCs w:val="20"/>
              </w:rPr>
              <w:t>1</w:t>
            </w:r>
            <w:r w:rsidRPr="00FC7F0E">
              <w:rPr>
                <w:rFonts w:ascii="Calibri" w:hAnsi="Calibri" w:cs="Calibri"/>
                <w:color w:val="000000"/>
                <w:sz w:val="20"/>
                <w:szCs w:val="20"/>
              </w:rPr>
              <w:t>%)</w:t>
            </w:r>
          </w:p>
        </w:tc>
        <w:tc>
          <w:tcPr>
            <w:tcW w:w="1080" w:type="dxa"/>
            <w:vAlign w:val="center"/>
          </w:tcPr>
          <w:p w14:paraId="1F799293"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72</w:t>
            </w:r>
            <w:r>
              <w:rPr>
                <w:rFonts w:ascii="Calibri" w:hAnsi="Calibri" w:cs="Calibri"/>
                <w:color w:val="000000"/>
                <w:sz w:val="20"/>
                <w:szCs w:val="20"/>
              </w:rPr>
              <w:t>2</w:t>
            </w:r>
            <w:r w:rsidRPr="00FC7F0E">
              <w:rPr>
                <w:rFonts w:ascii="Calibri" w:hAnsi="Calibri" w:cs="Calibri"/>
                <w:color w:val="000000"/>
                <w:sz w:val="20"/>
                <w:szCs w:val="20"/>
              </w:rPr>
              <w:t xml:space="preserve"> (6</w:t>
            </w:r>
            <w:r>
              <w:rPr>
                <w:rFonts w:ascii="Calibri" w:hAnsi="Calibri" w:cs="Calibri"/>
                <w:color w:val="000000"/>
                <w:sz w:val="20"/>
                <w:szCs w:val="20"/>
              </w:rPr>
              <w:t>3</w:t>
            </w:r>
            <w:r w:rsidRPr="00FC7F0E">
              <w:rPr>
                <w:rFonts w:ascii="Calibri" w:hAnsi="Calibri" w:cs="Calibri"/>
                <w:color w:val="000000"/>
                <w:sz w:val="20"/>
                <w:szCs w:val="20"/>
              </w:rPr>
              <w:t>%)</w:t>
            </w:r>
          </w:p>
        </w:tc>
        <w:tc>
          <w:tcPr>
            <w:tcW w:w="1260" w:type="dxa"/>
            <w:vAlign w:val="center"/>
          </w:tcPr>
          <w:p w14:paraId="15F8CC56"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350" w:type="dxa"/>
            <w:tcBorders>
              <w:right w:val="single" w:sz="4" w:space="0" w:color="BFBFBF" w:themeColor="background1" w:themeShade="BF"/>
            </w:tcBorders>
            <w:vAlign w:val="center"/>
          </w:tcPr>
          <w:p w14:paraId="04C3C08C"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31</w:t>
            </w:r>
            <w:r>
              <w:rPr>
                <w:rFonts w:ascii="Calibri" w:hAnsi="Calibri" w:cs="Calibri"/>
                <w:color w:val="000000"/>
                <w:sz w:val="20"/>
                <w:szCs w:val="20"/>
              </w:rPr>
              <w:t>3</w:t>
            </w:r>
            <w:r w:rsidRPr="00FC7F0E">
              <w:rPr>
                <w:rFonts w:ascii="Calibri" w:hAnsi="Calibri" w:cs="Calibri"/>
                <w:color w:val="000000"/>
                <w:sz w:val="20"/>
                <w:szCs w:val="20"/>
              </w:rPr>
              <w:t xml:space="preserve"> (2%)</w:t>
            </w:r>
          </w:p>
        </w:tc>
        <w:tc>
          <w:tcPr>
            <w:tcW w:w="1530" w:type="dxa"/>
            <w:tcBorders>
              <w:left w:val="single" w:sz="4" w:space="0" w:color="BFBFBF" w:themeColor="background1" w:themeShade="BF"/>
              <w:right w:val="single" w:sz="4" w:space="0" w:color="auto"/>
            </w:tcBorders>
            <w:vAlign w:val="center"/>
          </w:tcPr>
          <w:p w14:paraId="64BE66A7"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3,058</w:t>
            </w:r>
            <w:r w:rsidRPr="00FC7F0E">
              <w:rPr>
                <w:rFonts w:ascii="Calibri" w:hAnsi="Calibri" w:cs="Calibri"/>
                <w:color w:val="000000"/>
                <w:sz w:val="20"/>
                <w:szCs w:val="20"/>
              </w:rPr>
              <w:t xml:space="preserve"> (</w:t>
            </w:r>
            <w:r>
              <w:rPr>
                <w:rFonts w:ascii="Calibri" w:hAnsi="Calibri" w:cs="Calibri"/>
                <w:color w:val="000000"/>
                <w:sz w:val="20"/>
                <w:szCs w:val="20"/>
              </w:rPr>
              <w:t>6</w:t>
            </w:r>
            <w:r w:rsidRPr="00FC7F0E">
              <w:rPr>
                <w:rFonts w:ascii="Calibri" w:hAnsi="Calibri" w:cs="Calibri"/>
                <w:color w:val="000000"/>
                <w:sz w:val="20"/>
                <w:szCs w:val="20"/>
              </w:rPr>
              <w:t>%)</w:t>
            </w:r>
          </w:p>
        </w:tc>
      </w:tr>
      <w:tr w:rsidR="00DF08C0" w:rsidRPr="006D47BC" w14:paraId="6EE96339"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5FC74691"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Service delivery</w:t>
            </w:r>
          </w:p>
        </w:tc>
        <w:tc>
          <w:tcPr>
            <w:tcW w:w="1440" w:type="dxa"/>
            <w:tcBorders>
              <w:left w:val="single" w:sz="4" w:space="0" w:color="auto"/>
            </w:tcBorders>
            <w:vAlign w:val="center"/>
          </w:tcPr>
          <w:p w14:paraId="7AEB06B5"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170" w:type="dxa"/>
            <w:vAlign w:val="center"/>
          </w:tcPr>
          <w:p w14:paraId="256D4C62"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260" w:type="dxa"/>
            <w:vAlign w:val="center"/>
          </w:tcPr>
          <w:p w14:paraId="6D18248A"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vAlign w:val="center"/>
          </w:tcPr>
          <w:p w14:paraId="523EB346"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tcBorders>
              <w:right w:val="single" w:sz="4" w:space="0" w:color="auto"/>
            </w:tcBorders>
            <w:vAlign w:val="center"/>
          </w:tcPr>
          <w:p w14:paraId="4A70690F"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11,775 (44%)</w:t>
            </w:r>
          </w:p>
        </w:tc>
        <w:tc>
          <w:tcPr>
            <w:tcW w:w="1440" w:type="dxa"/>
            <w:tcBorders>
              <w:left w:val="single" w:sz="4" w:space="0" w:color="auto"/>
            </w:tcBorders>
            <w:vAlign w:val="center"/>
          </w:tcPr>
          <w:p w14:paraId="557B3C1D"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5BC7">
              <w:rPr>
                <w:rFonts w:ascii="Calibri" w:hAnsi="Calibri" w:cs="Calibri"/>
                <w:color w:val="000000"/>
                <w:sz w:val="20"/>
                <w:szCs w:val="20"/>
              </w:rPr>
              <w:t>-- </w:t>
            </w:r>
          </w:p>
        </w:tc>
        <w:tc>
          <w:tcPr>
            <w:tcW w:w="1080" w:type="dxa"/>
            <w:vAlign w:val="center"/>
          </w:tcPr>
          <w:p w14:paraId="73BE124D"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5BC7">
              <w:rPr>
                <w:rFonts w:ascii="Calibri" w:hAnsi="Calibri" w:cs="Calibri"/>
                <w:color w:val="000000"/>
                <w:sz w:val="20"/>
                <w:szCs w:val="20"/>
              </w:rPr>
              <w:t>-- </w:t>
            </w:r>
          </w:p>
        </w:tc>
        <w:tc>
          <w:tcPr>
            <w:tcW w:w="1260" w:type="dxa"/>
            <w:vAlign w:val="center"/>
          </w:tcPr>
          <w:p w14:paraId="5DD11825"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5BC7">
              <w:rPr>
                <w:rFonts w:ascii="Calibri" w:hAnsi="Calibri" w:cs="Calibri"/>
                <w:color w:val="000000"/>
                <w:sz w:val="20"/>
                <w:szCs w:val="20"/>
              </w:rPr>
              <w:t>-- </w:t>
            </w:r>
          </w:p>
        </w:tc>
        <w:tc>
          <w:tcPr>
            <w:tcW w:w="1350" w:type="dxa"/>
            <w:tcBorders>
              <w:right w:val="single" w:sz="4" w:space="0" w:color="BFBFBF" w:themeColor="background1" w:themeShade="BF"/>
            </w:tcBorders>
            <w:vAlign w:val="center"/>
          </w:tcPr>
          <w:p w14:paraId="39982D2A"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5BC7">
              <w:rPr>
                <w:rFonts w:ascii="Calibri" w:hAnsi="Calibri" w:cs="Calibri"/>
                <w:color w:val="000000"/>
                <w:sz w:val="20"/>
                <w:szCs w:val="20"/>
              </w:rPr>
              <w:t>-- </w:t>
            </w:r>
          </w:p>
        </w:tc>
        <w:tc>
          <w:tcPr>
            <w:tcW w:w="1530" w:type="dxa"/>
            <w:tcBorders>
              <w:left w:val="single" w:sz="4" w:space="0" w:color="BFBFBF" w:themeColor="background1" w:themeShade="BF"/>
              <w:right w:val="single" w:sz="4" w:space="0" w:color="auto"/>
            </w:tcBorders>
            <w:vAlign w:val="center"/>
          </w:tcPr>
          <w:p w14:paraId="1E09896A"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 xml:space="preserve">    34,154 (66%)</w:t>
            </w:r>
          </w:p>
        </w:tc>
      </w:tr>
      <w:tr w:rsidR="00DF08C0" w:rsidRPr="006D47BC" w14:paraId="36E6C846"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0A9078FF"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Monitoring</w:t>
            </w:r>
          </w:p>
        </w:tc>
        <w:tc>
          <w:tcPr>
            <w:tcW w:w="1440" w:type="dxa"/>
            <w:tcBorders>
              <w:left w:val="single" w:sz="4" w:space="0" w:color="auto"/>
            </w:tcBorders>
            <w:vAlign w:val="center"/>
          </w:tcPr>
          <w:p w14:paraId="637E88B4"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170" w:type="dxa"/>
            <w:vAlign w:val="center"/>
          </w:tcPr>
          <w:p w14:paraId="084F58D4"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260" w:type="dxa"/>
            <w:vAlign w:val="center"/>
          </w:tcPr>
          <w:p w14:paraId="670F8505"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vAlign w:val="center"/>
          </w:tcPr>
          <w:p w14:paraId="596F0002"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tcBorders>
              <w:right w:val="single" w:sz="4" w:space="0" w:color="auto"/>
            </w:tcBorders>
            <w:vAlign w:val="center"/>
          </w:tcPr>
          <w:p w14:paraId="12603BD9"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 </w:t>
            </w:r>
          </w:p>
        </w:tc>
        <w:tc>
          <w:tcPr>
            <w:tcW w:w="1440" w:type="dxa"/>
            <w:tcBorders>
              <w:left w:val="single" w:sz="4" w:space="0" w:color="auto"/>
            </w:tcBorders>
            <w:vAlign w:val="center"/>
          </w:tcPr>
          <w:p w14:paraId="10E4B59F"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p>
        </w:tc>
        <w:tc>
          <w:tcPr>
            <w:tcW w:w="1080" w:type="dxa"/>
            <w:vAlign w:val="center"/>
          </w:tcPr>
          <w:p w14:paraId="31185AAC"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433 (38%)</w:t>
            </w:r>
          </w:p>
        </w:tc>
        <w:tc>
          <w:tcPr>
            <w:tcW w:w="1260" w:type="dxa"/>
            <w:vAlign w:val="center"/>
          </w:tcPr>
          <w:p w14:paraId="0E5B3E05"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343 (13%)</w:t>
            </w:r>
          </w:p>
        </w:tc>
        <w:tc>
          <w:tcPr>
            <w:tcW w:w="1350" w:type="dxa"/>
            <w:tcBorders>
              <w:right w:val="single" w:sz="4" w:space="0" w:color="BFBFBF" w:themeColor="background1" w:themeShade="BF"/>
            </w:tcBorders>
            <w:vAlign w:val="center"/>
          </w:tcPr>
          <w:p w14:paraId="5D670EDF"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222 (1%)</w:t>
            </w:r>
          </w:p>
        </w:tc>
        <w:tc>
          <w:tcPr>
            <w:tcW w:w="1530" w:type="dxa"/>
            <w:tcBorders>
              <w:left w:val="single" w:sz="4" w:space="0" w:color="BFBFBF" w:themeColor="background1" w:themeShade="BF"/>
              <w:right w:val="single" w:sz="4" w:space="0" w:color="auto"/>
            </w:tcBorders>
            <w:vAlign w:val="center"/>
          </w:tcPr>
          <w:p w14:paraId="55B25EAC"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 </w:t>
            </w:r>
          </w:p>
        </w:tc>
      </w:tr>
      <w:tr w:rsidR="00DF08C0" w:rsidRPr="006D47BC" w14:paraId="250B0CB1"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4E9DEC76"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Supervision</w:t>
            </w:r>
          </w:p>
        </w:tc>
        <w:tc>
          <w:tcPr>
            <w:tcW w:w="1440" w:type="dxa"/>
            <w:tcBorders>
              <w:left w:val="single" w:sz="4" w:space="0" w:color="auto"/>
            </w:tcBorders>
            <w:vAlign w:val="center"/>
          </w:tcPr>
          <w:p w14:paraId="1B854C34"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170" w:type="dxa"/>
            <w:vAlign w:val="center"/>
          </w:tcPr>
          <w:p w14:paraId="63C9187E"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260" w:type="dxa"/>
            <w:vAlign w:val="center"/>
          </w:tcPr>
          <w:p w14:paraId="34BD7D0E"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vAlign w:val="center"/>
          </w:tcPr>
          <w:p w14:paraId="64734F69"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BD23C7">
              <w:rPr>
                <w:rFonts w:ascii="Calibri" w:hAnsi="Calibri" w:cs="Calibri"/>
                <w:color w:val="000000"/>
                <w:sz w:val="20"/>
                <w:szCs w:val="20"/>
              </w:rPr>
              <w:t>-- </w:t>
            </w:r>
          </w:p>
        </w:tc>
        <w:tc>
          <w:tcPr>
            <w:tcW w:w="1350" w:type="dxa"/>
            <w:tcBorders>
              <w:right w:val="single" w:sz="4" w:space="0" w:color="auto"/>
            </w:tcBorders>
            <w:vAlign w:val="center"/>
          </w:tcPr>
          <w:p w14:paraId="36BA5A5E"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FC7F0E">
              <w:rPr>
                <w:rFonts w:ascii="Calibri" w:hAnsi="Calibri" w:cs="Calibri"/>
                <w:color w:val="000000"/>
                <w:sz w:val="20"/>
                <w:szCs w:val="20"/>
              </w:rPr>
              <w:t>5,695 (21%)</w:t>
            </w:r>
          </w:p>
        </w:tc>
        <w:tc>
          <w:tcPr>
            <w:tcW w:w="1440" w:type="dxa"/>
            <w:tcBorders>
              <w:left w:val="single" w:sz="4" w:space="0" w:color="auto"/>
            </w:tcBorders>
            <w:vAlign w:val="center"/>
          </w:tcPr>
          <w:p w14:paraId="26299F38"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66ED">
              <w:rPr>
                <w:rFonts w:ascii="Calibri" w:hAnsi="Calibri" w:cs="Calibri"/>
                <w:color w:val="000000"/>
                <w:sz w:val="20"/>
                <w:szCs w:val="20"/>
              </w:rPr>
              <w:t>-- </w:t>
            </w:r>
          </w:p>
        </w:tc>
        <w:tc>
          <w:tcPr>
            <w:tcW w:w="1080" w:type="dxa"/>
            <w:vAlign w:val="center"/>
          </w:tcPr>
          <w:p w14:paraId="25CDDD5E"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66ED">
              <w:rPr>
                <w:rFonts w:ascii="Calibri" w:hAnsi="Calibri" w:cs="Calibri"/>
                <w:color w:val="000000"/>
                <w:sz w:val="20"/>
                <w:szCs w:val="20"/>
              </w:rPr>
              <w:t>-- </w:t>
            </w:r>
          </w:p>
        </w:tc>
        <w:tc>
          <w:tcPr>
            <w:tcW w:w="1260" w:type="dxa"/>
            <w:vAlign w:val="center"/>
          </w:tcPr>
          <w:p w14:paraId="65B23790"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66ED">
              <w:rPr>
                <w:rFonts w:ascii="Calibri" w:hAnsi="Calibri" w:cs="Calibri"/>
                <w:color w:val="000000"/>
                <w:sz w:val="20"/>
                <w:szCs w:val="20"/>
              </w:rPr>
              <w:t>-- </w:t>
            </w:r>
          </w:p>
        </w:tc>
        <w:tc>
          <w:tcPr>
            <w:tcW w:w="1350" w:type="dxa"/>
            <w:tcBorders>
              <w:right w:val="single" w:sz="4" w:space="0" w:color="BFBFBF" w:themeColor="background1" w:themeShade="BF"/>
            </w:tcBorders>
            <w:vAlign w:val="center"/>
          </w:tcPr>
          <w:p w14:paraId="010A760B"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F66ED">
              <w:rPr>
                <w:rFonts w:ascii="Calibri" w:hAnsi="Calibri" w:cs="Calibri"/>
                <w:color w:val="000000"/>
                <w:sz w:val="20"/>
                <w:szCs w:val="20"/>
              </w:rPr>
              <w:t>-- </w:t>
            </w:r>
          </w:p>
        </w:tc>
        <w:tc>
          <w:tcPr>
            <w:tcW w:w="1530" w:type="dxa"/>
            <w:tcBorders>
              <w:left w:val="single" w:sz="4" w:space="0" w:color="BFBFBF" w:themeColor="background1" w:themeShade="BF"/>
              <w:right w:val="single" w:sz="4" w:space="0" w:color="auto"/>
            </w:tcBorders>
            <w:vAlign w:val="center"/>
          </w:tcPr>
          <w:p w14:paraId="095F3899" w14:textId="77777777" w:rsidR="00DF08C0" w:rsidRPr="00FC7F0E"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Calibri" w:hAnsi="Calibri" w:cs="Calibri"/>
                <w:color w:val="000000"/>
                <w:sz w:val="20"/>
                <w:szCs w:val="20"/>
              </w:rPr>
              <w:t>5,695 (11%)</w:t>
            </w:r>
          </w:p>
        </w:tc>
      </w:tr>
      <w:tr w:rsidR="00DF08C0" w:rsidRPr="006D47BC" w14:paraId="4E672713"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right w:val="single" w:sz="4" w:space="0" w:color="auto"/>
            </w:tcBorders>
          </w:tcPr>
          <w:p w14:paraId="33F2AFBD" w14:textId="77777777" w:rsidR="00DF08C0" w:rsidRPr="00FC7F0E" w:rsidRDefault="00DF08C0" w:rsidP="005A1AE9">
            <w:pPr>
              <w:rPr>
                <w:rFonts w:asciiTheme="minorHAnsi" w:hAnsiTheme="minorHAnsi" w:cstheme="minorHAnsi"/>
                <w:sz w:val="20"/>
                <w:szCs w:val="20"/>
              </w:rPr>
            </w:pPr>
            <w:r w:rsidRPr="00FC7F0E">
              <w:rPr>
                <w:rFonts w:asciiTheme="minorHAnsi" w:hAnsiTheme="minorHAnsi" w:cstheme="minorHAnsi"/>
                <w:sz w:val="20"/>
                <w:szCs w:val="20"/>
              </w:rPr>
              <w:t>Total</w:t>
            </w:r>
          </w:p>
        </w:tc>
        <w:tc>
          <w:tcPr>
            <w:tcW w:w="1440" w:type="dxa"/>
            <w:tcBorders>
              <w:left w:val="single" w:sz="4" w:space="0" w:color="auto"/>
              <w:bottom w:val="single" w:sz="4" w:space="0" w:color="auto"/>
            </w:tcBorders>
            <w:vAlign w:val="center"/>
          </w:tcPr>
          <w:p w14:paraId="004CC828"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C66232">
              <w:rPr>
                <w:rFonts w:ascii="Calibri" w:hAnsi="Calibri" w:cs="Calibri"/>
                <w:b/>
                <w:bCs/>
                <w:color w:val="000000"/>
                <w:sz w:val="20"/>
                <w:szCs w:val="20"/>
              </w:rPr>
              <w:t>167</w:t>
            </w:r>
            <w:r>
              <w:rPr>
                <w:rFonts w:ascii="Calibri" w:hAnsi="Calibri" w:cs="Calibri"/>
                <w:b/>
                <w:bCs/>
                <w:color w:val="000000"/>
                <w:sz w:val="20"/>
                <w:szCs w:val="20"/>
              </w:rPr>
              <w:t>,824</w:t>
            </w:r>
          </w:p>
        </w:tc>
        <w:tc>
          <w:tcPr>
            <w:tcW w:w="1170" w:type="dxa"/>
            <w:tcBorders>
              <w:bottom w:val="single" w:sz="4" w:space="0" w:color="auto"/>
            </w:tcBorders>
            <w:vAlign w:val="center"/>
          </w:tcPr>
          <w:p w14:paraId="1CA7643D"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23</w:t>
            </w:r>
            <w:r>
              <w:rPr>
                <w:rFonts w:ascii="Calibri" w:hAnsi="Calibri" w:cs="Calibri"/>
                <w:b/>
                <w:bCs/>
                <w:color w:val="000000"/>
                <w:sz w:val="20"/>
                <w:szCs w:val="20"/>
              </w:rPr>
              <w:t>2</w:t>
            </w:r>
          </w:p>
        </w:tc>
        <w:tc>
          <w:tcPr>
            <w:tcW w:w="1260" w:type="dxa"/>
            <w:tcBorders>
              <w:bottom w:val="single" w:sz="4" w:space="0" w:color="auto"/>
            </w:tcBorders>
            <w:vAlign w:val="center"/>
          </w:tcPr>
          <w:p w14:paraId="5CBD2EBF"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2,23</w:t>
            </w:r>
            <w:r>
              <w:rPr>
                <w:rFonts w:ascii="Calibri" w:hAnsi="Calibri" w:cs="Calibri"/>
                <w:b/>
                <w:bCs/>
                <w:color w:val="000000"/>
                <w:sz w:val="20"/>
                <w:szCs w:val="20"/>
              </w:rPr>
              <w:t>6</w:t>
            </w:r>
          </w:p>
        </w:tc>
        <w:tc>
          <w:tcPr>
            <w:tcW w:w="1350" w:type="dxa"/>
            <w:tcBorders>
              <w:bottom w:val="single" w:sz="4" w:space="0" w:color="auto"/>
            </w:tcBorders>
            <w:vAlign w:val="center"/>
          </w:tcPr>
          <w:p w14:paraId="60B736E7"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17,8</w:t>
            </w:r>
            <w:r>
              <w:rPr>
                <w:rFonts w:ascii="Calibri" w:hAnsi="Calibri" w:cs="Calibri"/>
                <w:b/>
                <w:bCs/>
                <w:color w:val="000000"/>
                <w:sz w:val="20"/>
                <w:szCs w:val="20"/>
              </w:rPr>
              <w:t>56</w:t>
            </w:r>
          </w:p>
        </w:tc>
        <w:tc>
          <w:tcPr>
            <w:tcW w:w="1350" w:type="dxa"/>
            <w:tcBorders>
              <w:bottom w:val="single" w:sz="4" w:space="0" w:color="auto"/>
              <w:right w:val="single" w:sz="4" w:space="0" w:color="auto"/>
            </w:tcBorders>
            <w:vAlign w:val="center"/>
          </w:tcPr>
          <w:p w14:paraId="6FC23872"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26,</w:t>
            </w:r>
            <w:r>
              <w:rPr>
                <w:rFonts w:ascii="Calibri" w:hAnsi="Calibri" w:cs="Calibri"/>
                <w:b/>
                <w:bCs/>
                <w:color w:val="000000"/>
                <w:sz w:val="20"/>
                <w:szCs w:val="20"/>
              </w:rPr>
              <w:t>605</w:t>
            </w:r>
          </w:p>
        </w:tc>
        <w:tc>
          <w:tcPr>
            <w:tcW w:w="1440" w:type="dxa"/>
            <w:tcBorders>
              <w:left w:val="single" w:sz="4" w:space="0" w:color="auto"/>
              <w:bottom w:val="single" w:sz="4" w:space="0" w:color="auto"/>
            </w:tcBorders>
            <w:vAlign w:val="center"/>
          </w:tcPr>
          <w:p w14:paraId="08FC6946"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Calibri" w:hAnsi="Calibri" w:cs="Calibri"/>
                <w:b/>
                <w:bCs/>
                <w:color w:val="000000"/>
                <w:sz w:val="20"/>
                <w:szCs w:val="20"/>
              </w:rPr>
              <w:t>168,217</w:t>
            </w:r>
          </w:p>
        </w:tc>
        <w:tc>
          <w:tcPr>
            <w:tcW w:w="1080" w:type="dxa"/>
            <w:tcBorders>
              <w:bottom w:val="single" w:sz="4" w:space="0" w:color="auto"/>
            </w:tcBorders>
            <w:vAlign w:val="center"/>
          </w:tcPr>
          <w:p w14:paraId="565F5FA5"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1,15</w:t>
            </w:r>
            <w:r>
              <w:rPr>
                <w:rFonts w:ascii="Calibri" w:hAnsi="Calibri" w:cs="Calibri"/>
                <w:b/>
                <w:bCs/>
                <w:color w:val="000000"/>
                <w:sz w:val="20"/>
                <w:szCs w:val="20"/>
              </w:rPr>
              <w:t>6</w:t>
            </w:r>
          </w:p>
        </w:tc>
        <w:tc>
          <w:tcPr>
            <w:tcW w:w="1260" w:type="dxa"/>
            <w:tcBorders>
              <w:bottom w:val="single" w:sz="4" w:space="0" w:color="auto"/>
            </w:tcBorders>
            <w:vAlign w:val="center"/>
          </w:tcPr>
          <w:p w14:paraId="23E52625"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2,57</w:t>
            </w:r>
            <w:r>
              <w:rPr>
                <w:rFonts w:ascii="Calibri" w:hAnsi="Calibri" w:cs="Calibri"/>
                <w:b/>
                <w:bCs/>
                <w:color w:val="000000"/>
                <w:sz w:val="20"/>
                <w:szCs w:val="20"/>
              </w:rPr>
              <w:t>9</w:t>
            </w:r>
          </w:p>
        </w:tc>
        <w:tc>
          <w:tcPr>
            <w:tcW w:w="1350" w:type="dxa"/>
            <w:tcBorders>
              <w:bottom w:val="single" w:sz="4" w:space="0" w:color="auto"/>
              <w:right w:val="single" w:sz="4" w:space="0" w:color="BFBFBF" w:themeColor="background1" w:themeShade="BF"/>
            </w:tcBorders>
            <w:vAlign w:val="center"/>
          </w:tcPr>
          <w:p w14:paraId="28F50DD1"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FC7F0E">
              <w:rPr>
                <w:rFonts w:ascii="Calibri" w:hAnsi="Calibri" w:cs="Calibri"/>
                <w:b/>
                <w:bCs/>
                <w:color w:val="000000"/>
                <w:sz w:val="20"/>
                <w:szCs w:val="20"/>
              </w:rPr>
              <w:t>18,3</w:t>
            </w:r>
            <w:r>
              <w:rPr>
                <w:rFonts w:ascii="Calibri" w:hAnsi="Calibri" w:cs="Calibri"/>
                <w:b/>
                <w:bCs/>
                <w:color w:val="000000"/>
                <w:sz w:val="20"/>
                <w:szCs w:val="20"/>
              </w:rPr>
              <w:t>92</w:t>
            </w:r>
          </w:p>
        </w:tc>
        <w:tc>
          <w:tcPr>
            <w:tcW w:w="1530" w:type="dxa"/>
            <w:tcBorders>
              <w:left w:val="single" w:sz="4" w:space="0" w:color="BFBFBF" w:themeColor="background1" w:themeShade="BF"/>
              <w:bottom w:val="single" w:sz="4" w:space="0" w:color="auto"/>
              <w:right w:val="single" w:sz="4" w:space="0" w:color="auto"/>
            </w:tcBorders>
            <w:vAlign w:val="center"/>
          </w:tcPr>
          <w:p w14:paraId="5C1FE37D" w14:textId="77777777" w:rsidR="00DF08C0" w:rsidRPr="00FC7F0E"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Calibri" w:hAnsi="Calibri" w:cs="Calibri"/>
                <w:b/>
                <w:bCs/>
                <w:color w:val="000000"/>
                <w:sz w:val="20"/>
                <w:szCs w:val="20"/>
              </w:rPr>
              <w:t>52,041</w:t>
            </w:r>
          </w:p>
        </w:tc>
      </w:tr>
    </w:tbl>
    <w:p w14:paraId="6652D69F" w14:textId="77777777" w:rsidR="00DF08C0" w:rsidRPr="006D47BC" w:rsidRDefault="00DF08C0" w:rsidP="00DF08C0">
      <w:pPr>
        <w:spacing w:after="160" w:line="259" w:lineRule="auto"/>
        <w:rPr>
          <w:rFonts w:asciiTheme="minorHAnsi" w:hAnsiTheme="minorHAnsi" w:cstheme="minorHAnsi"/>
          <w:b/>
          <w:bCs/>
          <w:sz w:val="22"/>
          <w:szCs w:val="22"/>
        </w:rPr>
      </w:pPr>
    </w:p>
    <w:p w14:paraId="13007FFC" w14:textId="77777777" w:rsidR="00DF08C0" w:rsidRPr="0080363D" w:rsidRDefault="00DF08C0" w:rsidP="00DF08C0">
      <w:pPr>
        <w:spacing w:line="240" w:lineRule="auto"/>
        <w:rPr>
          <w:rFonts w:asciiTheme="minorHAnsi" w:hAnsiTheme="minorHAnsi" w:cstheme="minorHAnsi"/>
          <w:sz w:val="22"/>
          <w:szCs w:val="22"/>
        </w:rPr>
      </w:pPr>
      <w:r w:rsidRPr="0080363D">
        <w:rPr>
          <w:rFonts w:asciiTheme="minorHAnsi" w:hAnsiTheme="minorHAnsi" w:cstheme="minorHAnsi"/>
          <w:sz w:val="22"/>
          <w:szCs w:val="22"/>
        </w:rPr>
        <w:t>All costs presented in U.S. Dollars; 1 US$ = </w:t>
      </w:r>
      <w:r>
        <w:rPr>
          <w:rFonts w:asciiTheme="minorHAnsi" w:hAnsiTheme="minorHAnsi" w:cstheme="minorHAnsi"/>
          <w:sz w:val="22"/>
          <w:szCs w:val="22"/>
        </w:rPr>
        <w:t>107.85</w:t>
      </w:r>
      <w:r w:rsidRPr="0080363D">
        <w:rPr>
          <w:rFonts w:asciiTheme="minorHAnsi" w:hAnsiTheme="minorHAnsi" w:cstheme="minorHAnsi"/>
          <w:sz w:val="22"/>
          <w:szCs w:val="22"/>
        </w:rPr>
        <w:t xml:space="preserve"> Kenya</w:t>
      </w:r>
      <w:r>
        <w:rPr>
          <w:rFonts w:asciiTheme="minorHAnsi" w:hAnsiTheme="minorHAnsi" w:cstheme="minorHAnsi"/>
          <w:sz w:val="22"/>
          <w:szCs w:val="22"/>
        </w:rPr>
        <w:t>n</w:t>
      </w:r>
      <w:r w:rsidRPr="0080363D">
        <w:rPr>
          <w:rFonts w:asciiTheme="minorHAnsi" w:hAnsiTheme="minorHAnsi" w:cstheme="minorHAnsi"/>
          <w:sz w:val="22"/>
          <w:szCs w:val="22"/>
        </w:rPr>
        <w:t xml:space="preserve"> </w:t>
      </w:r>
      <w:r>
        <w:rPr>
          <w:rFonts w:asciiTheme="minorHAnsi" w:hAnsiTheme="minorHAnsi" w:cstheme="minorHAnsi"/>
          <w:sz w:val="22"/>
          <w:szCs w:val="22"/>
        </w:rPr>
        <w:t>s</w:t>
      </w:r>
      <w:r w:rsidRPr="0080363D">
        <w:rPr>
          <w:rFonts w:asciiTheme="minorHAnsi" w:hAnsiTheme="minorHAnsi" w:cstheme="minorHAnsi"/>
          <w:sz w:val="22"/>
          <w:szCs w:val="22"/>
        </w:rPr>
        <w:t>hillings (2021).</w:t>
      </w:r>
    </w:p>
    <w:p w14:paraId="153AA172" w14:textId="77777777" w:rsidR="00DF08C0" w:rsidRDefault="00DF08C0" w:rsidP="00DF08C0">
      <w:pPr>
        <w:spacing w:line="240" w:lineRule="auto"/>
        <w:rPr>
          <w:rFonts w:asciiTheme="minorHAnsi" w:hAnsiTheme="minorHAnsi" w:cstheme="minorHAnsi"/>
          <w:sz w:val="22"/>
          <w:szCs w:val="22"/>
        </w:rPr>
      </w:pPr>
      <w:r w:rsidRPr="0080363D">
        <w:rPr>
          <w:rFonts w:asciiTheme="minorHAnsi" w:hAnsiTheme="minorHAnsi" w:cstheme="minorHAnsi"/>
          <w:sz w:val="22"/>
          <w:szCs w:val="22"/>
        </w:rPr>
        <w:t>Totals might not sum exactly to components due to rounding.</w:t>
      </w:r>
    </w:p>
    <w:p w14:paraId="7242DCC2" w14:textId="77777777" w:rsidR="00DF08C0" w:rsidRDefault="00DF08C0" w:rsidP="00DF08C0">
      <w:pPr>
        <w:rPr>
          <w:rFonts w:asciiTheme="minorHAnsi" w:hAnsiTheme="minorHAnsi" w:cstheme="minorHAnsi"/>
          <w:b/>
          <w:bCs/>
          <w:sz w:val="22"/>
          <w:szCs w:val="22"/>
        </w:rPr>
      </w:pPr>
      <w:r>
        <w:rPr>
          <w:rFonts w:asciiTheme="minorHAnsi" w:hAnsiTheme="minorHAnsi" w:cstheme="minorHAnsi"/>
          <w:b/>
          <w:bCs/>
          <w:sz w:val="22"/>
          <w:szCs w:val="22"/>
        </w:rPr>
        <w:br w:type="page"/>
      </w:r>
    </w:p>
    <w:p w14:paraId="0A1BF1CB" w14:textId="40BCDBCA" w:rsidR="00DF08C0" w:rsidRDefault="00DF08C0" w:rsidP="00DF08C0">
      <w:pPr>
        <w:spacing w:after="160" w:line="259" w:lineRule="auto"/>
        <w:rPr>
          <w:rFonts w:asciiTheme="minorHAnsi" w:hAnsiTheme="minorHAnsi" w:cstheme="minorHAnsi"/>
          <w:b/>
          <w:bCs/>
          <w:sz w:val="22"/>
          <w:szCs w:val="22"/>
        </w:rPr>
      </w:pPr>
      <w:r w:rsidRPr="0044739A">
        <w:rPr>
          <w:rFonts w:asciiTheme="minorHAnsi" w:hAnsiTheme="minorHAnsi" w:cstheme="minorHAnsi"/>
          <w:b/>
          <w:bCs/>
          <w:sz w:val="22"/>
          <w:szCs w:val="22"/>
        </w:rPr>
        <w:lastRenderedPageBreak/>
        <w:t>Supplemental Table S</w:t>
      </w:r>
      <w:r w:rsidR="00EC4E7A">
        <w:rPr>
          <w:rFonts w:asciiTheme="minorHAnsi" w:hAnsiTheme="minorHAnsi" w:cstheme="minorHAnsi"/>
          <w:b/>
          <w:bCs/>
          <w:sz w:val="22"/>
          <w:szCs w:val="22"/>
        </w:rPr>
        <w:t>4</w:t>
      </w:r>
      <w:r w:rsidRPr="0044739A">
        <w:rPr>
          <w:rFonts w:asciiTheme="minorHAnsi" w:hAnsiTheme="minorHAnsi" w:cstheme="minorHAnsi"/>
          <w:b/>
          <w:bCs/>
          <w:sz w:val="22"/>
          <w:szCs w:val="22"/>
        </w:rPr>
        <w:t>: Detailed costs by administrative level for the year-round delivery strategy – Nakuru and Mombasa Counties, Kenya, 2019–2021</w:t>
      </w:r>
    </w:p>
    <w:tbl>
      <w:tblPr>
        <w:tblStyle w:val="PlainTable1"/>
        <w:tblW w:w="15120" w:type="dxa"/>
        <w:tblInd w:w="-995" w:type="dxa"/>
        <w:tblLayout w:type="fixed"/>
        <w:tblLook w:val="04A0" w:firstRow="1" w:lastRow="0" w:firstColumn="1" w:lastColumn="0" w:noHBand="0" w:noVBand="1"/>
      </w:tblPr>
      <w:tblGrid>
        <w:gridCol w:w="1980"/>
        <w:gridCol w:w="1440"/>
        <w:gridCol w:w="1170"/>
        <w:gridCol w:w="1260"/>
        <w:gridCol w:w="1350"/>
        <w:gridCol w:w="1350"/>
        <w:gridCol w:w="1440"/>
        <w:gridCol w:w="1260"/>
        <w:gridCol w:w="1260"/>
        <w:gridCol w:w="1260"/>
        <w:gridCol w:w="1350"/>
      </w:tblGrid>
      <w:tr w:rsidR="00DF08C0" w:rsidRPr="006D47BC" w14:paraId="7CF00FFB" w14:textId="77777777" w:rsidTr="005A1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right w:val="single" w:sz="4" w:space="0" w:color="auto"/>
            </w:tcBorders>
          </w:tcPr>
          <w:p w14:paraId="6D17C133" w14:textId="77777777" w:rsidR="00DF08C0" w:rsidRPr="00FC7F0E" w:rsidRDefault="00DF08C0" w:rsidP="005A1AE9">
            <w:pPr>
              <w:rPr>
                <w:rFonts w:asciiTheme="minorHAnsi" w:hAnsiTheme="minorHAnsi" w:cstheme="minorHAnsi"/>
                <w:sz w:val="20"/>
                <w:szCs w:val="20"/>
              </w:rPr>
            </w:pPr>
          </w:p>
        </w:tc>
        <w:tc>
          <w:tcPr>
            <w:tcW w:w="6570" w:type="dxa"/>
            <w:gridSpan w:val="5"/>
            <w:tcBorders>
              <w:top w:val="single" w:sz="4" w:space="0" w:color="auto"/>
              <w:left w:val="single" w:sz="4" w:space="0" w:color="auto"/>
              <w:right w:val="single" w:sz="4" w:space="0" w:color="auto"/>
            </w:tcBorders>
          </w:tcPr>
          <w:p w14:paraId="435BB42B" w14:textId="77777777" w:rsidR="00DF08C0" w:rsidRPr="00FC7F0E" w:rsidRDefault="00DF08C0" w:rsidP="005A1AE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Financial cost</w:t>
            </w:r>
          </w:p>
          <w:p w14:paraId="301BAC2A" w14:textId="77777777" w:rsidR="00DF08C0" w:rsidRPr="00FC7F0E" w:rsidRDefault="00DF08C0" w:rsidP="005A1AE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C7F0E">
              <w:rPr>
                <w:rFonts w:asciiTheme="minorHAnsi" w:hAnsiTheme="minorHAnsi" w:cstheme="minorHAnsi"/>
                <w:sz w:val="20"/>
                <w:szCs w:val="20"/>
              </w:rPr>
              <w:t>USD (% of total)</w:t>
            </w:r>
          </w:p>
        </w:tc>
        <w:tc>
          <w:tcPr>
            <w:tcW w:w="6570" w:type="dxa"/>
            <w:gridSpan w:val="5"/>
            <w:tcBorders>
              <w:top w:val="single" w:sz="4" w:space="0" w:color="auto"/>
              <w:left w:val="single" w:sz="4" w:space="0" w:color="auto"/>
              <w:right w:val="single" w:sz="4" w:space="0" w:color="auto"/>
            </w:tcBorders>
          </w:tcPr>
          <w:p w14:paraId="30A8993B" w14:textId="77777777" w:rsidR="00DF08C0" w:rsidRPr="00FC7F0E" w:rsidRDefault="00DF08C0" w:rsidP="005A1AE9">
            <w:pPr>
              <w:tabs>
                <w:tab w:val="left" w:pos="60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Economic cost</w:t>
            </w:r>
          </w:p>
          <w:p w14:paraId="4F0B3B55" w14:textId="77777777" w:rsidR="00DF08C0" w:rsidRPr="00FC7F0E" w:rsidRDefault="00DF08C0" w:rsidP="005A1AE9">
            <w:pPr>
              <w:tabs>
                <w:tab w:val="left" w:pos="601"/>
              </w:tab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FC7F0E">
              <w:rPr>
                <w:rFonts w:asciiTheme="minorHAnsi" w:hAnsiTheme="minorHAnsi" w:cstheme="minorHAnsi"/>
                <w:sz w:val="20"/>
                <w:szCs w:val="20"/>
              </w:rPr>
              <w:t>USD (% of total)</w:t>
            </w:r>
          </w:p>
        </w:tc>
      </w:tr>
      <w:tr w:rsidR="00DF08C0" w:rsidRPr="006D47BC" w14:paraId="289B75EA"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20A203CD" w14:textId="77777777" w:rsidR="00DF08C0" w:rsidRPr="00FC7F0E" w:rsidRDefault="00DF08C0" w:rsidP="005A1AE9">
            <w:pPr>
              <w:rPr>
                <w:rFonts w:asciiTheme="minorHAnsi" w:hAnsiTheme="minorHAnsi" w:cstheme="minorHAnsi"/>
                <w:sz w:val="20"/>
                <w:szCs w:val="20"/>
              </w:rPr>
            </w:pPr>
            <w:r w:rsidRPr="00FC7F0E">
              <w:rPr>
                <w:rFonts w:asciiTheme="minorHAnsi" w:hAnsiTheme="minorHAnsi" w:cstheme="minorHAnsi"/>
                <w:sz w:val="20"/>
                <w:szCs w:val="20"/>
              </w:rPr>
              <w:t>Program activity</w:t>
            </w:r>
          </w:p>
        </w:tc>
        <w:tc>
          <w:tcPr>
            <w:tcW w:w="1440" w:type="dxa"/>
            <w:tcBorders>
              <w:left w:val="single" w:sz="4" w:space="0" w:color="auto"/>
            </w:tcBorders>
          </w:tcPr>
          <w:p w14:paraId="02788D71"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National</w:t>
            </w:r>
          </w:p>
        </w:tc>
        <w:tc>
          <w:tcPr>
            <w:tcW w:w="1170" w:type="dxa"/>
          </w:tcPr>
          <w:p w14:paraId="65D6E3D7"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Regional</w:t>
            </w:r>
          </w:p>
        </w:tc>
        <w:tc>
          <w:tcPr>
            <w:tcW w:w="1260" w:type="dxa"/>
          </w:tcPr>
          <w:p w14:paraId="7FEFAD5C"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County</w:t>
            </w:r>
          </w:p>
        </w:tc>
        <w:tc>
          <w:tcPr>
            <w:tcW w:w="1350" w:type="dxa"/>
          </w:tcPr>
          <w:p w14:paraId="28DA95BD"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Sub</w:t>
            </w:r>
            <w:r>
              <w:rPr>
                <w:rFonts w:asciiTheme="minorHAnsi" w:hAnsiTheme="minorHAnsi" w:cstheme="minorHAnsi"/>
                <w:i/>
                <w:iCs/>
                <w:sz w:val="20"/>
                <w:szCs w:val="20"/>
              </w:rPr>
              <w:t>-</w:t>
            </w:r>
            <w:r w:rsidRPr="00FC7F0E">
              <w:rPr>
                <w:rFonts w:asciiTheme="minorHAnsi" w:hAnsiTheme="minorHAnsi" w:cstheme="minorHAnsi"/>
                <w:i/>
                <w:iCs/>
                <w:sz w:val="20"/>
                <w:szCs w:val="20"/>
              </w:rPr>
              <w:t>county</w:t>
            </w:r>
          </w:p>
        </w:tc>
        <w:tc>
          <w:tcPr>
            <w:tcW w:w="1350" w:type="dxa"/>
            <w:tcBorders>
              <w:right w:val="single" w:sz="4" w:space="0" w:color="auto"/>
            </w:tcBorders>
          </w:tcPr>
          <w:p w14:paraId="64AF3C1D"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Health facility</w:t>
            </w:r>
          </w:p>
        </w:tc>
        <w:tc>
          <w:tcPr>
            <w:tcW w:w="1440" w:type="dxa"/>
            <w:tcBorders>
              <w:left w:val="single" w:sz="4" w:space="0" w:color="auto"/>
            </w:tcBorders>
          </w:tcPr>
          <w:p w14:paraId="31A2172D"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National</w:t>
            </w:r>
          </w:p>
        </w:tc>
        <w:tc>
          <w:tcPr>
            <w:tcW w:w="1260" w:type="dxa"/>
          </w:tcPr>
          <w:p w14:paraId="325FEFBE"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Regional</w:t>
            </w:r>
          </w:p>
        </w:tc>
        <w:tc>
          <w:tcPr>
            <w:tcW w:w="1260" w:type="dxa"/>
          </w:tcPr>
          <w:p w14:paraId="257D100F" w14:textId="77777777" w:rsidR="00DF08C0" w:rsidRPr="00FC7F0E" w:rsidRDefault="00DF08C0" w:rsidP="005A1AE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County</w:t>
            </w:r>
          </w:p>
        </w:tc>
        <w:tc>
          <w:tcPr>
            <w:tcW w:w="1260" w:type="dxa"/>
            <w:tcBorders>
              <w:right w:val="single" w:sz="4" w:space="0" w:color="BFBFBF" w:themeColor="background1" w:themeShade="BF"/>
            </w:tcBorders>
          </w:tcPr>
          <w:p w14:paraId="49DDE697" w14:textId="77777777" w:rsidR="00DF08C0" w:rsidRPr="00FC7F0E" w:rsidRDefault="00DF08C0" w:rsidP="005A1AE9">
            <w:pPr>
              <w:tabs>
                <w:tab w:val="left" w:pos="60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Sub</w:t>
            </w:r>
            <w:r>
              <w:rPr>
                <w:rFonts w:asciiTheme="minorHAnsi" w:hAnsiTheme="minorHAnsi" w:cstheme="minorHAnsi"/>
                <w:i/>
                <w:iCs/>
                <w:sz w:val="20"/>
                <w:szCs w:val="20"/>
              </w:rPr>
              <w:t>-</w:t>
            </w:r>
            <w:r w:rsidRPr="00FC7F0E">
              <w:rPr>
                <w:rFonts w:asciiTheme="minorHAnsi" w:hAnsiTheme="minorHAnsi" w:cstheme="minorHAnsi"/>
                <w:i/>
                <w:iCs/>
                <w:sz w:val="20"/>
                <w:szCs w:val="20"/>
              </w:rPr>
              <w:t>county</w:t>
            </w:r>
          </w:p>
        </w:tc>
        <w:tc>
          <w:tcPr>
            <w:tcW w:w="1350" w:type="dxa"/>
            <w:tcBorders>
              <w:left w:val="single" w:sz="4" w:space="0" w:color="BFBFBF" w:themeColor="background1" w:themeShade="BF"/>
              <w:right w:val="single" w:sz="4" w:space="0" w:color="auto"/>
            </w:tcBorders>
          </w:tcPr>
          <w:p w14:paraId="60E41235" w14:textId="77777777" w:rsidR="00DF08C0" w:rsidRPr="00FC7F0E" w:rsidRDefault="00DF08C0" w:rsidP="005A1AE9">
            <w:pPr>
              <w:tabs>
                <w:tab w:val="left" w:pos="601"/>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rPr>
            </w:pPr>
            <w:r w:rsidRPr="00FC7F0E">
              <w:rPr>
                <w:rFonts w:asciiTheme="minorHAnsi" w:hAnsiTheme="minorHAnsi" w:cstheme="minorHAnsi"/>
                <w:i/>
                <w:iCs/>
                <w:sz w:val="20"/>
                <w:szCs w:val="20"/>
              </w:rPr>
              <w:t>Health facility</w:t>
            </w:r>
          </w:p>
        </w:tc>
      </w:tr>
      <w:tr w:rsidR="00DF08C0" w:rsidRPr="006D47BC" w14:paraId="277CA234"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vAlign w:val="center"/>
          </w:tcPr>
          <w:p w14:paraId="6F0752BE"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Cost of vaccine</w:t>
            </w:r>
          </w:p>
        </w:tc>
        <w:tc>
          <w:tcPr>
            <w:tcW w:w="1440" w:type="dxa"/>
            <w:tcBorders>
              <w:left w:val="single" w:sz="4" w:space="0" w:color="auto"/>
            </w:tcBorders>
            <w:vAlign w:val="center"/>
          </w:tcPr>
          <w:p w14:paraId="06FE40D5"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177,145</w:t>
            </w:r>
            <w:r w:rsidRPr="007E45E6">
              <w:rPr>
                <w:rFonts w:ascii="Calibri" w:hAnsi="Calibri" w:cs="Calibri"/>
                <w:color w:val="000000"/>
                <w:sz w:val="20"/>
                <w:szCs w:val="20"/>
              </w:rPr>
              <w:t xml:space="preserve"> </w:t>
            </w:r>
            <w:r w:rsidRPr="006B61AC">
              <w:rPr>
                <w:rFonts w:ascii="Calibri" w:hAnsi="Calibri" w:cs="Calibri"/>
                <w:color w:val="000000"/>
                <w:sz w:val="20"/>
                <w:szCs w:val="20"/>
              </w:rPr>
              <w:t>(93%)</w:t>
            </w:r>
          </w:p>
        </w:tc>
        <w:tc>
          <w:tcPr>
            <w:tcW w:w="1170" w:type="dxa"/>
            <w:vAlign w:val="center"/>
          </w:tcPr>
          <w:p w14:paraId="6309DDF4"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91CC2">
              <w:rPr>
                <w:rFonts w:ascii="Calibri" w:hAnsi="Calibri" w:cs="Calibri"/>
                <w:color w:val="000000"/>
                <w:sz w:val="20"/>
                <w:szCs w:val="20"/>
              </w:rPr>
              <w:t>-- </w:t>
            </w:r>
          </w:p>
        </w:tc>
        <w:tc>
          <w:tcPr>
            <w:tcW w:w="1260" w:type="dxa"/>
            <w:vAlign w:val="center"/>
          </w:tcPr>
          <w:p w14:paraId="0C94CAC9"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91CC2">
              <w:rPr>
                <w:rFonts w:ascii="Calibri" w:hAnsi="Calibri" w:cs="Calibri"/>
                <w:color w:val="000000"/>
                <w:sz w:val="20"/>
                <w:szCs w:val="20"/>
              </w:rPr>
              <w:t>-- </w:t>
            </w:r>
          </w:p>
        </w:tc>
        <w:tc>
          <w:tcPr>
            <w:tcW w:w="1350" w:type="dxa"/>
            <w:vAlign w:val="center"/>
          </w:tcPr>
          <w:p w14:paraId="43343F23"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91CC2">
              <w:rPr>
                <w:rFonts w:ascii="Calibri" w:hAnsi="Calibri" w:cs="Calibri"/>
                <w:color w:val="000000"/>
                <w:sz w:val="20"/>
                <w:szCs w:val="20"/>
              </w:rPr>
              <w:t>-- </w:t>
            </w:r>
          </w:p>
        </w:tc>
        <w:tc>
          <w:tcPr>
            <w:tcW w:w="1350" w:type="dxa"/>
            <w:tcBorders>
              <w:right w:val="single" w:sz="4" w:space="0" w:color="auto"/>
            </w:tcBorders>
            <w:vAlign w:val="center"/>
          </w:tcPr>
          <w:p w14:paraId="4666EB72"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391CC2">
              <w:rPr>
                <w:rFonts w:ascii="Calibri" w:hAnsi="Calibri" w:cs="Calibri"/>
                <w:color w:val="000000"/>
                <w:sz w:val="20"/>
                <w:szCs w:val="20"/>
              </w:rPr>
              <w:t>-- </w:t>
            </w:r>
          </w:p>
        </w:tc>
        <w:tc>
          <w:tcPr>
            <w:tcW w:w="1440" w:type="dxa"/>
            <w:tcBorders>
              <w:left w:val="single" w:sz="4" w:space="0" w:color="auto"/>
            </w:tcBorders>
            <w:vAlign w:val="center"/>
          </w:tcPr>
          <w:p w14:paraId="7563440F"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177,145</w:t>
            </w:r>
            <w:r w:rsidRPr="007E45E6">
              <w:rPr>
                <w:rFonts w:ascii="Calibri" w:hAnsi="Calibri" w:cs="Calibri"/>
                <w:color w:val="000000"/>
                <w:sz w:val="20"/>
                <w:szCs w:val="20"/>
              </w:rPr>
              <w:t xml:space="preserve"> </w:t>
            </w:r>
            <w:r w:rsidRPr="006B61AC">
              <w:rPr>
                <w:rFonts w:ascii="Calibri" w:hAnsi="Calibri" w:cs="Calibri"/>
                <w:color w:val="000000"/>
                <w:sz w:val="20"/>
                <w:szCs w:val="20"/>
              </w:rPr>
              <w:t>(90%)</w:t>
            </w:r>
          </w:p>
        </w:tc>
        <w:tc>
          <w:tcPr>
            <w:tcW w:w="1260" w:type="dxa"/>
            <w:vAlign w:val="center"/>
          </w:tcPr>
          <w:p w14:paraId="7C36F6DF"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1DDD">
              <w:rPr>
                <w:rFonts w:ascii="Calibri" w:hAnsi="Calibri" w:cs="Calibri"/>
                <w:color w:val="000000"/>
                <w:sz w:val="20"/>
                <w:szCs w:val="20"/>
              </w:rPr>
              <w:t>-- </w:t>
            </w:r>
          </w:p>
        </w:tc>
        <w:tc>
          <w:tcPr>
            <w:tcW w:w="1260" w:type="dxa"/>
            <w:vAlign w:val="center"/>
          </w:tcPr>
          <w:p w14:paraId="63A9B9E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1DDD">
              <w:rPr>
                <w:rFonts w:ascii="Calibri" w:hAnsi="Calibri" w:cs="Calibri"/>
                <w:color w:val="000000"/>
                <w:sz w:val="20"/>
                <w:szCs w:val="20"/>
              </w:rPr>
              <w:t>-- </w:t>
            </w:r>
          </w:p>
        </w:tc>
        <w:tc>
          <w:tcPr>
            <w:tcW w:w="1260" w:type="dxa"/>
            <w:tcBorders>
              <w:right w:val="single" w:sz="4" w:space="0" w:color="BFBFBF" w:themeColor="background1" w:themeShade="BF"/>
            </w:tcBorders>
            <w:vAlign w:val="center"/>
          </w:tcPr>
          <w:p w14:paraId="014EAF1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1DDD">
              <w:rPr>
                <w:rFonts w:ascii="Calibri" w:hAnsi="Calibri" w:cs="Calibri"/>
                <w:color w:val="000000"/>
                <w:sz w:val="20"/>
                <w:szCs w:val="20"/>
              </w:rPr>
              <w:t>-- </w:t>
            </w:r>
          </w:p>
        </w:tc>
        <w:tc>
          <w:tcPr>
            <w:tcW w:w="1350" w:type="dxa"/>
            <w:tcBorders>
              <w:left w:val="single" w:sz="4" w:space="0" w:color="BFBFBF" w:themeColor="background1" w:themeShade="BF"/>
              <w:right w:val="single" w:sz="4" w:space="0" w:color="auto"/>
            </w:tcBorders>
            <w:vAlign w:val="center"/>
          </w:tcPr>
          <w:p w14:paraId="42A0A23C"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1DDD">
              <w:rPr>
                <w:rFonts w:ascii="Calibri" w:hAnsi="Calibri" w:cs="Calibri"/>
                <w:color w:val="000000"/>
                <w:sz w:val="20"/>
                <w:szCs w:val="20"/>
              </w:rPr>
              <w:t>-- </w:t>
            </w:r>
          </w:p>
        </w:tc>
      </w:tr>
      <w:tr w:rsidR="00DF08C0" w:rsidRPr="006D47BC" w14:paraId="53E49599"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736771FD"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Advocacy and social mobilization</w:t>
            </w:r>
          </w:p>
        </w:tc>
        <w:tc>
          <w:tcPr>
            <w:tcW w:w="1440" w:type="dxa"/>
            <w:tcBorders>
              <w:left w:val="single" w:sz="4" w:space="0" w:color="auto"/>
            </w:tcBorders>
            <w:vAlign w:val="center"/>
          </w:tcPr>
          <w:p w14:paraId="628CF397"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6,891 (4%)</w:t>
            </w:r>
          </w:p>
        </w:tc>
        <w:tc>
          <w:tcPr>
            <w:tcW w:w="1170" w:type="dxa"/>
            <w:vAlign w:val="center"/>
          </w:tcPr>
          <w:p w14:paraId="5469CB49"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vAlign w:val="center"/>
          </w:tcPr>
          <w:p w14:paraId="79A88AC7"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1,105 (4</w:t>
            </w:r>
            <w:r>
              <w:rPr>
                <w:rFonts w:ascii="Calibri" w:hAnsi="Calibri" w:cs="Calibri"/>
                <w:color w:val="000000"/>
                <w:sz w:val="20"/>
                <w:szCs w:val="20"/>
              </w:rPr>
              <w:t>7</w:t>
            </w:r>
            <w:r w:rsidRPr="006B61AC">
              <w:rPr>
                <w:rFonts w:ascii="Calibri" w:hAnsi="Calibri" w:cs="Calibri"/>
                <w:color w:val="000000"/>
                <w:sz w:val="20"/>
                <w:szCs w:val="20"/>
              </w:rPr>
              <w:t>%)</w:t>
            </w:r>
          </w:p>
        </w:tc>
        <w:tc>
          <w:tcPr>
            <w:tcW w:w="1350" w:type="dxa"/>
            <w:vAlign w:val="center"/>
          </w:tcPr>
          <w:p w14:paraId="51E0FDA3"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9,974 (67%)</w:t>
            </w:r>
          </w:p>
        </w:tc>
        <w:tc>
          <w:tcPr>
            <w:tcW w:w="1350" w:type="dxa"/>
            <w:tcBorders>
              <w:right w:val="single" w:sz="4" w:space="0" w:color="auto"/>
            </w:tcBorders>
            <w:vAlign w:val="center"/>
          </w:tcPr>
          <w:p w14:paraId="3F6F2E1B"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3,297 (19%)</w:t>
            </w:r>
          </w:p>
        </w:tc>
        <w:tc>
          <w:tcPr>
            <w:tcW w:w="1440" w:type="dxa"/>
            <w:tcBorders>
              <w:left w:val="single" w:sz="4" w:space="0" w:color="auto"/>
            </w:tcBorders>
            <w:vAlign w:val="center"/>
          </w:tcPr>
          <w:p w14:paraId="27489E1F"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6,891 (</w:t>
            </w:r>
            <w:r>
              <w:rPr>
                <w:rFonts w:ascii="Calibri" w:hAnsi="Calibri" w:cs="Calibri"/>
                <w:color w:val="000000"/>
                <w:sz w:val="20"/>
                <w:szCs w:val="20"/>
              </w:rPr>
              <w:t>3</w:t>
            </w:r>
            <w:r w:rsidRPr="006B61AC">
              <w:rPr>
                <w:rFonts w:ascii="Calibri" w:hAnsi="Calibri" w:cs="Calibri"/>
                <w:color w:val="000000"/>
                <w:sz w:val="20"/>
                <w:szCs w:val="20"/>
              </w:rPr>
              <w:t>%)</w:t>
            </w:r>
          </w:p>
        </w:tc>
        <w:tc>
          <w:tcPr>
            <w:tcW w:w="1260" w:type="dxa"/>
            <w:vAlign w:val="center"/>
          </w:tcPr>
          <w:p w14:paraId="27E6DCB6"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vAlign w:val="center"/>
          </w:tcPr>
          <w:p w14:paraId="5EADF69A"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1,105 (33%)</w:t>
            </w:r>
          </w:p>
        </w:tc>
        <w:tc>
          <w:tcPr>
            <w:tcW w:w="1260" w:type="dxa"/>
            <w:tcBorders>
              <w:right w:val="single" w:sz="4" w:space="0" w:color="BFBFBF" w:themeColor="background1" w:themeShade="BF"/>
            </w:tcBorders>
            <w:vAlign w:val="center"/>
          </w:tcPr>
          <w:p w14:paraId="52DA4C88"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9,974 (57%)</w:t>
            </w:r>
          </w:p>
        </w:tc>
        <w:tc>
          <w:tcPr>
            <w:tcW w:w="1350" w:type="dxa"/>
            <w:tcBorders>
              <w:left w:val="single" w:sz="4" w:space="0" w:color="BFBFBF" w:themeColor="background1" w:themeShade="BF"/>
              <w:right w:val="single" w:sz="4" w:space="0" w:color="auto"/>
            </w:tcBorders>
            <w:vAlign w:val="center"/>
          </w:tcPr>
          <w:p w14:paraId="1BB6EE67"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3,297 (3%)</w:t>
            </w:r>
          </w:p>
        </w:tc>
      </w:tr>
      <w:tr w:rsidR="00DF08C0" w:rsidRPr="006D47BC" w14:paraId="1F2CB8F1"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034BE08F"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Training</w:t>
            </w:r>
          </w:p>
        </w:tc>
        <w:tc>
          <w:tcPr>
            <w:tcW w:w="1440" w:type="dxa"/>
            <w:tcBorders>
              <w:left w:val="single" w:sz="4" w:space="0" w:color="auto"/>
            </w:tcBorders>
            <w:vAlign w:val="center"/>
          </w:tcPr>
          <w:p w14:paraId="10F2767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5,</w:t>
            </w:r>
            <w:r>
              <w:rPr>
                <w:rFonts w:ascii="Calibri" w:hAnsi="Calibri" w:cs="Calibri"/>
                <w:color w:val="000000"/>
                <w:sz w:val="20"/>
                <w:szCs w:val="20"/>
              </w:rPr>
              <w:t>350</w:t>
            </w:r>
            <w:r w:rsidRPr="006B61AC">
              <w:rPr>
                <w:rFonts w:ascii="Calibri" w:hAnsi="Calibri" w:cs="Calibri"/>
                <w:color w:val="000000"/>
                <w:sz w:val="20"/>
                <w:szCs w:val="20"/>
              </w:rPr>
              <w:t xml:space="preserve"> (3%)</w:t>
            </w:r>
          </w:p>
        </w:tc>
        <w:tc>
          <w:tcPr>
            <w:tcW w:w="1170" w:type="dxa"/>
            <w:vAlign w:val="center"/>
          </w:tcPr>
          <w:p w14:paraId="40B85727"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vAlign w:val="center"/>
          </w:tcPr>
          <w:p w14:paraId="7AF4576B"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1,2</w:t>
            </w:r>
            <w:r>
              <w:rPr>
                <w:rFonts w:ascii="Calibri" w:hAnsi="Calibri" w:cs="Calibri"/>
                <w:color w:val="000000"/>
                <w:sz w:val="20"/>
                <w:szCs w:val="20"/>
              </w:rPr>
              <w:t>22</w:t>
            </w:r>
            <w:r w:rsidRPr="006B61AC">
              <w:rPr>
                <w:rFonts w:ascii="Calibri" w:hAnsi="Calibri" w:cs="Calibri"/>
                <w:color w:val="000000"/>
                <w:sz w:val="20"/>
                <w:szCs w:val="20"/>
              </w:rPr>
              <w:t xml:space="preserve"> (5</w:t>
            </w:r>
            <w:r>
              <w:rPr>
                <w:rFonts w:ascii="Calibri" w:hAnsi="Calibri" w:cs="Calibri"/>
                <w:color w:val="000000"/>
                <w:sz w:val="20"/>
                <w:szCs w:val="20"/>
              </w:rPr>
              <w:t>3</w:t>
            </w:r>
            <w:r w:rsidRPr="006B61AC">
              <w:rPr>
                <w:rFonts w:ascii="Calibri" w:hAnsi="Calibri" w:cs="Calibri"/>
                <w:color w:val="000000"/>
                <w:sz w:val="20"/>
                <w:szCs w:val="20"/>
              </w:rPr>
              <w:t>%)</w:t>
            </w:r>
          </w:p>
        </w:tc>
        <w:tc>
          <w:tcPr>
            <w:tcW w:w="1350" w:type="dxa"/>
            <w:vAlign w:val="center"/>
          </w:tcPr>
          <w:p w14:paraId="0ACAA56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2,</w:t>
            </w:r>
            <w:r>
              <w:rPr>
                <w:rFonts w:ascii="Calibri" w:hAnsi="Calibri" w:cs="Calibri"/>
                <w:color w:val="000000"/>
                <w:sz w:val="20"/>
                <w:szCs w:val="20"/>
              </w:rPr>
              <w:t>447</w:t>
            </w:r>
            <w:r w:rsidRPr="006B61AC">
              <w:rPr>
                <w:rFonts w:ascii="Calibri" w:hAnsi="Calibri" w:cs="Calibri"/>
                <w:color w:val="000000"/>
                <w:sz w:val="20"/>
                <w:szCs w:val="20"/>
              </w:rPr>
              <w:t xml:space="preserve"> (16%)</w:t>
            </w:r>
          </w:p>
        </w:tc>
        <w:tc>
          <w:tcPr>
            <w:tcW w:w="1350" w:type="dxa"/>
            <w:tcBorders>
              <w:right w:val="single" w:sz="4" w:space="0" w:color="auto"/>
            </w:tcBorders>
            <w:vAlign w:val="center"/>
          </w:tcPr>
          <w:p w14:paraId="1B38FC53"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7,</w:t>
            </w:r>
            <w:r>
              <w:rPr>
                <w:rFonts w:ascii="Calibri" w:hAnsi="Calibri" w:cs="Calibri"/>
                <w:color w:val="000000"/>
                <w:sz w:val="20"/>
                <w:szCs w:val="20"/>
              </w:rPr>
              <w:t>21</w:t>
            </w:r>
            <w:r w:rsidRPr="006B61AC">
              <w:rPr>
                <w:rFonts w:ascii="Calibri" w:hAnsi="Calibri" w:cs="Calibri"/>
                <w:color w:val="000000"/>
                <w:sz w:val="20"/>
                <w:szCs w:val="20"/>
              </w:rPr>
              <w:t>6 (42%)</w:t>
            </w:r>
          </w:p>
        </w:tc>
        <w:tc>
          <w:tcPr>
            <w:tcW w:w="1440" w:type="dxa"/>
            <w:tcBorders>
              <w:left w:val="single" w:sz="4" w:space="0" w:color="auto"/>
            </w:tcBorders>
            <w:vAlign w:val="center"/>
          </w:tcPr>
          <w:p w14:paraId="7434B8B1"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10,</w:t>
            </w:r>
            <w:r>
              <w:rPr>
                <w:rFonts w:ascii="Calibri" w:hAnsi="Calibri" w:cs="Calibri"/>
                <w:color w:val="000000"/>
                <w:sz w:val="20"/>
                <w:szCs w:val="20"/>
              </w:rPr>
              <w:t>700</w:t>
            </w:r>
            <w:r w:rsidRPr="006B61AC">
              <w:rPr>
                <w:rFonts w:ascii="Calibri" w:hAnsi="Calibri" w:cs="Calibri"/>
                <w:color w:val="000000"/>
                <w:sz w:val="20"/>
                <w:szCs w:val="20"/>
              </w:rPr>
              <w:t xml:space="preserve"> (5%)</w:t>
            </w:r>
          </w:p>
        </w:tc>
        <w:tc>
          <w:tcPr>
            <w:tcW w:w="1260" w:type="dxa"/>
            <w:vAlign w:val="center"/>
          </w:tcPr>
          <w:p w14:paraId="259E5583"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vAlign w:val="center"/>
          </w:tcPr>
          <w:p w14:paraId="46435C21"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1,2</w:t>
            </w:r>
            <w:r>
              <w:rPr>
                <w:rFonts w:ascii="Calibri" w:hAnsi="Calibri" w:cs="Calibri"/>
                <w:color w:val="000000"/>
                <w:sz w:val="20"/>
                <w:szCs w:val="20"/>
              </w:rPr>
              <w:t>22</w:t>
            </w:r>
            <w:r w:rsidRPr="006B61AC">
              <w:rPr>
                <w:rFonts w:ascii="Calibri" w:hAnsi="Calibri" w:cs="Calibri"/>
                <w:color w:val="000000"/>
                <w:sz w:val="20"/>
                <w:szCs w:val="20"/>
              </w:rPr>
              <w:t xml:space="preserve"> (36%)</w:t>
            </w:r>
          </w:p>
        </w:tc>
        <w:tc>
          <w:tcPr>
            <w:tcW w:w="1260" w:type="dxa"/>
            <w:tcBorders>
              <w:right w:val="single" w:sz="4" w:space="0" w:color="BFBFBF" w:themeColor="background1" w:themeShade="BF"/>
            </w:tcBorders>
            <w:vAlign w:val="center"/>
          </w:tcPr>
          <w:p w14:paraId="21323A27"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2,4</w:t>
            </w:r>
            <w:r>
              <w:rPr>
                <w:rFonts w:ascii="Calibri" w:hAnsi="Calibri" w:cs="Calibri"/>
                <w:color w:val="000000"/>
                <w:sz w:val="20"/>
                <w:szCs w:val="20"/>
              </w:rPr>
              <w:t>47</w:t>
            </w:r>
            <w:r w:rsidRPr="006B61AC">
              <w:rPr>
                <w:rFonts w:ascii="Calibri" w:hAnsi="Calibri" w:cs="Calibri"/>
                <w:color w:val="000000"/>
                <w:sz w:val="20"/>
                <w:szCs w:val="20"/>
              </w:rPr>
              <w:t xml:space="preserve"> (14%)</w:t>
            </w:r>
          </w:p>
        </w:tc>
        <w:tc>
          <w:tcPr>
            <w:tcW w:w="1350" w:type="dxa"/>
            <w:tcBorders>
              <w:left w:val="single" w:sz="4" w:space="0" w:color="BFBFBF" w:themeColor="background1" w:themeShade="BF"/>
              <w:right w:val="single" w:sz="4" w:space="0" w:color="auto"/>
            </w:tcBorders>
            <w:vAlign w:val="center"/>
          </w:tcPr>
          <w:p w14:paraId="1EEDADAE"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7,</w:t>
            </w:r>
            <w:r>
              <w:rPr>
                <w:rFonts w:ascii="Calibri" w:hAnsi="Calibri" w:cs="Calibri"/>
                <w:color w:val="000000"/>
                <w:sz w:val="20"/>
                <w:szCs w:val="20"/>
              </w:rPr>
              <w:t>21</w:t>
            </w:r>
            <w:r w:rsidRPr="006B61AC">
              <w:rPr>
                <w:rFonts w:ascii="Calibri" w:hAnsi="Calibri" w:cs="Calibri"/>
                <w:color w:val="000000"/>
                <w:sz w:val="20"/>
                <w:szCs w:val="20"/>
              </w:rPr>
              <w:t>6 (7%)</w:t>
            </w:r>
          </w:p>
        </w:tc>
      </w:tr>
      <w:tr w:rsidR="00DF08C0" w:rsidRPr="006D47BC" w14:paraId="7CDC76FE"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11BFA908"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Distribution, storage, and waste management</w:t>
            </w:r>
          </w:p>
        </w:tc>
        <w:tc>
          <w:tcPr>
            <w:tcW w:w="1440" w:type="dxa"/>
            <w:tcBorders>
              <w:left w:val="single" w:sz="4" w:space="0" w:color="auto"/>
            </w:tcBorders>
            <w:vAlign w:val="center"/>
          </w:tcPr>
          <w:p w14:paraId="00C44338"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85</w:t>
            </w:r>
            <w:r>
              <w:rPr>
                <w:rFonts w:ascii="Calibri" w:hAnsi="Calibri" w:cs="Calibri"/>
                <w:color w:val="000000"/>
                <w:sz w:val="20"/>
                <w:szCs w:val="20"/>
              </w:rPr>
              <w:t>4</w:t>
            </w:r>
            <w:r w:rsidRPr="006B61AC">
              <w:rPr>
                <w:rFonts w:ascii="Calibri" w:hAnsi="Calibri" w:cs="Calibri"/>
                <w:color w:val="000000"/>
                <w:sz w:val="20"/>
                <w:szCs w:val="20"/>
              </w:rPr>
              <w:t xml:space="preserve"> (&lt;1%)</w:t>
            </w:r>
          </w:p>
        </w:tc>
        <w:tc>
          <w:tcPr>
            <w:tcW w:w="1170" w:type="dxa"/>
            <w:vAlign w:val="center"/>
          </w:tcPr>
          <w:p w14:paraId="04536E6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55</w:t>
            </w:r>
            <w:r>
              <w:rPr>
                <w:rFonts w:ascii="Calibri" w:hAnsi="Calibri" w:cs="Calibri"/>
                <w:color w:val="000000"/>
                <w:sz w:val="20"/>
                <w:szCs w:val="20"/>
              </w:rPr>
              <w:t>6</w:t>
            </w:r>
            <w:r w:rsidRPr="006B61AC">
              <w:rPr>
                <w:rFonts w:ascii="Calibri" w:hAnsi="Calibri" w:cs="Calibri"/>
                <w:color w:val="000000"/>
                <w:sz w:val="20"/>
                <w:szCs w:val="20"/>
              </w:rPr>
              <w:t xml:space="preserve"> (100%)</w:t>
            </w:r>
          </w:p>
        </w:tc>
        <w:tc>
          <w:tcPr>
            <w:tcW w:w="1260" w:type="dxa"/>
            <w:vAlign w:val="center"/>
          </w:tcPr>
          <w:p w14:paraId="0FBE00BE"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350" w:type="dxa"/>
            <w:vAlign w:val="center"/>
          </w:tcPr>
          <w:p w14:paraId="072F29EA"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2,4</w:t>
            </w:r>
            <w:r>
              <w:rPr>
                <w:rFonts w:ascii="Calibri" w:hAnsi="Calibri" w:cs="Calibri"/>
                <w:color w:val="000000"/>
                <w:sz w:val="20"/>
                <w:szCs w:val="20"/>
              </w:rPr>
              <w:t>2</w:t>
            </w:r>
            <w:r w:rsidRPr="006B61AC">
              <w:rPr>
                <w:rFonts w:ascii="Calibri" w:hAnsi="Calibri" w:cs="Calibri"/>
                <w:color w:val="000000"/>
                <w:sz w:val="20"/>
                <w:szCs w:val="20"/>
              </w:rPr>
              <w:t>0 (16%)</w:t>
            </w:r>
          </w:p>
        </w:tc>
        <w:tc>
          <w:tcPr>
            <w:tcW w:w="1350" w:type="dxa"/>
            <w:tcBorders>
              <w:right w:val="single" w:sz="4" w:space="0" w:color="auto"/>
            </w:tcBorders>
            <w:vAlign w:val="center"/>
          </w:tcPr>
          <w:p w14:paraId="3767A2A6"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440" w:type="dxa"/>
            <w:tcBorders>
              <w:left w:val="single" w:sz="4" w:space="0" w:color="auto"/>
            </w:tcBorders>
            <w:vAlign w:val="center"/>
          </w:tcPr>
          <w:p w14:paraId="1DD77F86"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2,4</w:t>
            </w:r>
            <w:r>
              <w:rPr>
                <w:rFonts w:ascii="Calibri" w:hAnsi="Calibri" w:cs="Calibri"/>
                <w:color w:val="000000"/>
                <w:sz w:val="20"/>
                <w:szCs w:val="20"/>
              </w:rPr>
              <w:t>9</w:t>
            </w:r>
            <w:r w:rsidRPr="006B61AC">
              <w:rPr>
                <w:rFonts w:ascii="Calibri" w:hAnsi="Calibri" w:cs="Calibri"/>
                <w:color w:val="000000"/>
                <w:sz w:val="20"/>
                <w:szCs w:val="20"/>
              </w:rPr>
              <w:t>8 (1%)</w:t>
            </w:r>
          </w:p>
        </w:tc>
        <w:tc>
          <w:tcPr>
            <w:tcW w:w="1260" w:type="dxa"/>
            <w:vAlign w:val="center"/>
          </w:tcPr>
          <w:p w14:paraId="6F43ECBA"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1,44</w:t>
            </w:r>
            <w:r>
              <w:rPr>
                <w:rFonts w:ascii="Calibri" w:hAnsi="Calibri" w:cs="Calibri"/>
                <w:color w:val="000000"/>
                <w:sz w:val="20"/>
                <w:szCs w:val="20"/>
              </w:rPr>
              <w:t>7</w:t>
            </w:r>
            <w:r w:rsidRPr="006B61AC">
              <w:rPr>
                <w:rFonts w:ascii="Calibri" w:hAnsi="Calibri" w:cs="Calibri"/>
                <w:color w:val="000000"/>
                <w:sz w:val="20"/>
                <w:szCs w:val="20"/>
              </w:rPr>
              <w:t xml:space="preserve"> (53%)</w:t>
            </w:r>
          </w:p>
        </w:tc>
        <w:tc>
          <w:tcPr>
            <w:tcW w:w="1260" w:type="dxa"/>
            <w:vAlign w:val="center"/>
          </w:tcPr>
          <w:p w14:paraId="1BDD8C7D"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tcBorders>
              <w:right w:val="single" w:sz="4" w:space="0" w:color="BFBFBF" w:themeColor="background1" w:themeShade="BF"/>
            </w:tcBorders>
            <w:vAlign w:val="center"/>
          </w:tcPr>
          <w:p w14:paraId="1D63671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1,71</w:t>
            </w:r>
            <w:r>
              <w:rPr>
                <w:rFonts w:ascii="Calibri" w:hAnsi="Calibri" w:cs="Calibri"/>
                <w:color w:val="000000"/>
                <w:sz w:val="20"/>
                <w:szCs w:val="20"/>
              </w:rPr>
              <w:t>7</w:t>
            </w:r>
            <w:r w:rsidRPr="006B61AC">
              <w:rPr>
                <w:rFonts w:ascii="Calibri" w:hAnsi="Calibri" w:cs="Calibri"/>
                <w:color w:val="000000"/>
                <w:sz w:val="20"/>
                <w:szCs w:val="20"/>
              </w:rPr>
              <w:t xml:space="preserve"> (10%)</w:t>
            </w:r>
          </w:p>
        </w:tc>
        <w:tc>
          <w:tcPr>
            <w:tcW w:w="1350" w:type="dxa"/>
            <w:tcBorders>
              <w:left w:val="single" w:sz="4" w:space="0" w:color="BFBFBF" w:themeColor="background1" w:themeShade="BF"/>
              <w:right w:val="single" w:sz="4" w:space="0" w:color="auto"/>
            </w:tcBorders>
            <w:vAlign w:val="center"/>
          </w:tcPr>
          <w:p w14:paraId="09758784"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19,</w:t>
            </w:r>
            <w:r>
              <w:rPr>
                <w:rFonts w:ascii="Calibri" w:hAnsi="Calibri" w:cs="Calibri"/>
                <w:color w:val="000000"/>
                <w:sz w:val="20"/>
                <w:szCs w:val="20"/>
              </w:rPr>
              <w:t>817</w:t>
            </w:r>
            <w:r w:rsidRPr="006B61AC">
              <w:rPr>
                <w:rFonts w:ascii="Calibri" w:hAnsi="Calibri" w:cs="Calibri"/>
                <w:color w:val="000000"/>
                <w:sz w:val="20"/>
                <w:szCs w:val="20"/>
              </w:rPr>
              <w:t xml:space="preserve"> (19%)</w:t>
            </w:r>
          </w:p>
        </w:tc>
      </w:tr>
      <w:tr w:rsidR="00DF08C0" w:rsidRPr="006D47BC" w14:paraId="63E34D90"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30CDD646"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Service delivery</w:t>
            </w:r>
          </w:p>
        </w:tc>
        <w:tc>
          <w:tcPr>
            <w:tcW w:w="1440" w:type="dxa"/>
            <w:tcBorders>
              <w:left w:val="single" w:sz="4" w:space="0" w:color="auto"/>
            </w:tcBorders>
            <w:vAlign w:val="center"/>
          </w:tcPr>
          <w:p w14:paraId="63A219C3"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170" w:type="dxa"/>
            <w:vAlign w:val="center"/>
          </w:tcPr>
          <w:p w14:paraId="5CC341FA"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260" w:type="dxa"/>
            <w:vAlign w:val="center"/>
          </w:tcPr>
          <w:p w14:paraId="49C7027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vAlign w:val="center"/>
          </w:tcPr>
          <w:p w14:paraId="72B75A1C"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tcBorders>
              <w:right w:val="single" w:sz="4" w:space="0" w:color="auto"/>
            </w:tcBorders>
            <w:vAlign w:val="center"/>
          </w:tcPr>
          <w:p w14:paraId="7F08E92B"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86E64">
              <w:rPr>
                <w:rFonts w:ascii="Calibri" w:hAnsi="Calibri" w:cs="Calibri"/>
                <w:color w:val="000000"/>
                <w:sz w:val="20"/>
                <w:szCs w:val="20"/>
              </w:rPr>
              <w:t>-- </w:t>
            </w:r>
          </w:p>
        </w:tc>
        <w:tc>
          <w:tcPr>
            <w:tcW w:w="1440" w:type="dxa"/>
            <w:tcBorders>
              <w:left w:val="single" w:sz="4" w:space="0" w:color="auto"/>
            </w:tcBorders>
            <w:vAlign w:val="center"/>
          </w:tcPr>
          <w:p w14:paraId="13E60059"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328C7">
              <w:rPr>
                <w:rFonts w:ascii="Calibri" w:hAnsi="Calibri" w:cs="Calibri"/>
                <w:color w:val="000000"/>
                <w:sz w:val="20"/>
                <w:szCs w:val="20"/>
              </w:rPr>
              <w:t>-- </w:t>
            </w:r>
          </w:p>
        </w:tc>
        <w:tc>
          <w:tcPr>
            <w:tcW w:w="1260" w:type="dxa"/>
            <w:vAlign w:val="center"/>
          </w:tcPr>
          <w:p w14:paraId="79A81532"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328C7">
              <w:rPr>
                <w:rFonts w:ascii="Calibri" w:hAnsi="Calibri" w:cs="Calibri"/>
                <w:color w:val="000000"/>
                <w:sz w:val="20"/>
                <w:szCs w:val="20"/>
              </w:rPr>
              <w:t>-- </w:t>
            </w:r>
          </w:p>
        </w:tc>
        <w:tc>
          <w:tcPr>
            <w:tcW w:w="1260" w:type="dxa"/>
            <w:vAlign w:val="center"/>
          </w:tcPr>
          <w:p w14:paraId="40420837"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328C7">
              <w:rPr>
                <w:rFonts w:ascii="Calibri" w:hAnsi="Calibri" w:cs="Calibri"/>
                <w:color w:val="000000"/>
                <w:sz w:val="20"/>
                <w:szCs w:val="20"/>
              </w:rPr>
              <w:t>-- </w:t>
            </w:r>
          </w:p>
        </w:tc>
        <w:tc>
          <w:tcPr>
            <w:tcW w:w="1260" w:type="dxa"/>
            <w:tcBorders>
              <w:right w:val="single" w:sz="4" w:space="0" w:color="BFBFBF" w:themeColor="background1" w:themeShade="BF"/>
            </w:tcBorders>
            <w:vAlign w:val="center"/>
          </w:tcPr>
          <w:p w14:paraId="4041F2EF"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328C7">
              <w:rPr>
                <w:rFonts w:ascii="Calibri" w:hAnsi="Calibri" w:cs="Calibri"/>
                <w:color w:val="000000"/>
                <w:sz w:val="20"/>
                <w:szCs w:val="20"/>
              </w:rPr>
              <w:t>-- </w:t>
            </w:r>
          </w:p>
        </w:tc>
        <w:tc>
          <w:tcPr>
            <w:tcW w:w="1350" w:type="dxa"/>
            <w:tcBorders>
              <w:left w:val="single" w:sz="4" w:space="0" w:color="BFBFBF" w:themeColor="background1" w:themeShade="BF"/>
              <w:right w:val="single" w:sz="4" w:space="0" w:color="auto"/>
            </w:tcBorders>
            <w:vAlign w:val="center"/>
          </w:tcPr>
          <w:p w14:paraId="3D118335"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68,712 (65%)</w:t>
            </w:r>
          </w:p>
        </w:tc>
      </w:tr>
      <w:tr w:rsidR="00DF08C0" w:rsidRPr="006D47BC" w14:paraId="5FB64CD7"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222367D4"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Monitoring</w:t>
            </w:r>
          </w:p>
        </w:tc>
        <w:tc>
          <w:tcPr>
            <w:tcW w:w="1440" w:type="dxa"/>
            <w:tcBorders>
              <w:left w:val="single" w:sz="4" w:space="0" w:color="auto"/>
            </w:tcBorders>
            <w:vAlign w:val="center"/>
          </w:tcPr>
          <w:p w14:paraId="4352F3AD"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170" w:type="dxa"/>
            <w:vAlign w:val="center"/>
          </w:tcPr>
          <w:p w14:paraId="605B0E82"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260" w:type="dxa"/>
            <w:vAlign w:val="center"/>
          </w:tcPr>
          <w:p w14:paraId="2048893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vAlign w:val="center"/>
          </w:tcPr>
          <w:p w14:paraId="19C3C8DC"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tcBorders>
              <w:right w:val="single" w:sz="4" w:space="0" w:color="auto"/>
            </w:tcBorders>
            <w:vAlign w:val="center"/>
          </w:tcPr>
          <w:p w14:paraId="06FD7246"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86E64">
              <w:rPr>
                <w:rFonts w:ascii="Calibri" w:hAnsi="Calibri" w:cs="Calibri"/>
                <w:color w:val="000000"/>
                <w:sz w:val="20"/>
                <w:szCs w:val="20"/>
              </w:rPr>
              <w:t>-- </w:t>
            </w:r>
          </w:p>
        </w:tc>
        <w:tc>
          <w:tcPr>
            <w:tcW w:w="1440" w:type="dxa"/>
            <w:tcBorders>
              <w:left w:val="single" w:sz="4" w:space="0" w:color="auto"/>
            </w:tcBorders>
            <w:vAlign w:val="center"/>
          </w:tcPr>
          <w:p w14:paraId="44158C72"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c>
          <w:tcPr>
            <w:tcW w:w="1260" w:type="dxa"/>
            <w:vAlign w:val="center"/>
          </w:tcPr>
          <w:p w14:paraId="09B9C0EB"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1,300 (47%)</w:t>
            </w:r>
          </w:p>
        </w:tc>
        <w:tc>
          <w:tcPr>
            <w:tcW w:w="1260" w:type="dxa"/>
            <w:vAlign w:val="center"/>
          </w:tcPr>
          <w:p w14:paraId="362AA022"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1,029 (31%)</w:t>
            </w:r>
          </w:p>
        </w:tc>
        <w:tc>
          <w:tcPr>
            <w:tcW w:w="1260" w:type="dxa"/>
            <w:tcBorders>
              <w:right w:val="single" w:sz="4" w:space="0" w:color="BFBFBF" w:themeColor="background1" w:themeShade="BF"/>
            </w:tcBorders>
            <w:vAlign w:val="center"/>
          </w:tcPr>
          <w:p w14:paraId="1C4E0B0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3,382 (19%)</w:t>
            </w:r>
          </w:p>
        </w:tc>
        <w:tc>
          <w:tcPr>
            <w:tcW w:w="1350" w:type="dxa"/>
            <w:tcBorders>
              <w:left w:val="single" w:sz="4" w:space="0" w:color="BFBFBF" w:themeColor="background1" w:themeShade="BF"/>
              <w:right w:val="single" w:sz="4" w:space="0" w:color="auto"/>
            </w:tcBorders>
            <w:vAlign w:val="center"/>
          </w:tcPr>
          <w:p w14:paraId="7908BFE2"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Calibri" w:hAnsi="Calibri" w:cs="Calibri"/>
                <w:color w:val="000000"/>
                <w:sz w:val="20"/>
                <w:szCs w:val="20"/>
              </w:rPr>
              <w:t>--</w:t>
            </w:r>
            <w:r w:rsidRPr="00FC7F0E">
              <w:rPr>
                <w:rFonts w:ascii="Calibri" w:hAnsi="Calibri" w:cs="Calibri"/>
                <w:color w:val="000000"/>
                <w:sz w:val="20"/>
                <w:szCs w:val="20"/>
              </w:rPr>
              <w:t> </w:t>
            </w:r>
            <w:r w:rsidRPr="006B61AC">
              <w:rPr>
                <w:rFonts w:ascii="Calibri" w:hAnsi="Calibri" w:cs="Calibri"/>
                <w:color w:val="000000"/>
                <w:sz w:val="20"/>
                <w:szCs w:val="20"/>
              </w:rPr>
              <w:t> </w:t>
            </w:r>
          </w:p>
        </w:tc>
      </w:tr>
      <w:tr w:rsidR="00DF08C0" w:rsidRPr="006D47BC" w14:paraId="1239971B" w14:textId="77777777" w:rsidTr="005A1AE9">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right w:val="single" w:sz="4" w:space="0" w:color="auto"/>
            </w:tcBorders>
          </w:tcPr>
          <w:p w14:paraId="6FAECB2A" w14:textId="77777777" w:rsidR="00DF08C0" w:rsidRPr="00FC7F0E" w:rsidRDefault="00DF08C0" w:rsidP="005A1AE9">
            <w:pPr>
              <w:rPr>
                <w:rFonts w:asciiTheme="minorHAnsi" w:hAnsiTheme="minorHAnsi" w:cstheme="minorHAnsi"/>
                <w:b w:val="0"/>
                <w:bCs w:val="0"/>
                <w:sz w:val="20"/>
                <w:szCs w:val="20"/>
              </w:rPr>
            </w:pPr>
            <w:r w:rsidRPr="00FC7F0E">
              <w:rPr>
                <w:rFonts w:asciiTheme="minorHAnsi" w:hAnsiTheme="minorHAnsi" w:cstheme="minorHAnsi"/>
                <w:b w:val="0"/>
                <w:bCs w:val="0"/>
                <w:sz w:val="20"/>
                <w:szCs w:val="20"/>
              </w:rPr>
              <w:t>Supervision</w:t>
            </w:r>
          </w:p>
        </w:tc>
        <w:tc>
          <w:tcPr>
            <w:tcW w:w="1440" w:type="dxa"/>
            <w:tcBorders>
              <w:left w:val="single" w:sz="4" w:space="0" w:color="auto"/>
            </w:tcBorders>
            <w:vAlign w:val="center"/>
          </w:tcPr>
          <w:p w14:paraId="1FB4FC27"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170" w:type="dxa"/>
            <w:vAlign w:val="center"/>
          </w:tcPr>
          <w:p w14:paraId="7D3A1B3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260" w:type="dxa"/>
            <w:vAlign w:val="center"/>
          </w:tcPr>
          <w:p w14:paraId="3933E068"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vAlign w:val="center"/>
          </w:tcPr>
          <w:p w14:paraId="1634C954"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A074A">
              <w:rPr>
                <w:rFonts w:ascii="Calibri" w:hAnsi="Calibri" w:cs="Calibri"/>
                <w:color w:val="000000"/>
                <w:sz w:val="20"/>
                <w:szCs w:val="20"/>
              </w:rPr>
              <w:t>-- </w:t>
            </w:r>
          </w:p>
        </w:tc>
        <w:tc>
          <w:tcPr>
            <w:tcW w:w="1350" w:type="dxa"/>
            <w:tcBorders>
              <w:right w:val="single" w:sz="4" w:space="0" w:color="auto"/>
            </w:tcBorders>
            <w:vAlign w:val="center"/>
          </w:tcPr>
          <w:p w14:paraId="021C634D"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6B61AC">
              <w:rPr>
                <w:rFonts w:ascii="Calibri" w:hAnsi="Calibri" w:cs="Calibri"/>
                <w:color w:val="000000"/>
                <w:sz w:val="20"/>
                <w:szCs w:val="20"/>
              </w:rPr>
              <w:t>6,793 (39%)</w:t>
            </w:r>
          </w:p>
        </w:tc>
        <w:tc>
          <w:tcPr>
            <w:tcW w:w="1440" w:type="dxa"/>
            <w:tcBorders>
              <w:left w:val="single" w:sz="4" w:space="0" w:color="auto"/>
            </w:tcBorders>
            <w:vAlign w:val="center"/>
          </w:tcPr>
          <w:p w14:paraId="161A34E7"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011">
              <w:rPr>
                <w:rFonts w:ascii="Calibri" w:hAnsi="Calibri" w:cs="Calibri"/>
                <w:color w:val="000000"/>
                <w:sz w:val="20"/>
                <w:szCs w:val="20"/>
              </w:rPr>
              <w:t>-- </w:t>
            </w:r>
          </w:p>
        </w:tc>
        <w:tc>
          <w:tcPr>
            <w:tcW w:w="1260" w:type="dxa"/>
            <w:vAlign w:val="center"/>
          </w:tcPr>
          <w:p w14:paraId="066C30AE"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011">
              <w:rPr>
                <w:rFonts w:ascii="Calibri" w:hAnsi="Calibri" w:cs="Calibri"/>
                <w:color w:val="000000"/>
                <w:sz w:val="20"/>
                <w:szCs w:val="20"/>
              </w:rPr>
              <w:t>-- </w:t>
            </w:r>
          </w:p>
        </w:tc>
        <w:tc>
          <w:tcPr>
            <w:tcW w:w="1260" w:type="dxa"/>
            <w:vAlign w:val="center"/>
          </w:tcPr>
          <w:p w14:paraId="7F943483"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011">
              <w:rPr>
                <w:rFonts w:ascii="Calibri" w:hAnsi="Calibri" w:cs="Calibri"/>
                <w:color w:val="000000"/>
                <w:sz w:val="20"/>
                <w:szCs w:val="20"/>
              </w:rPr>
              <w:t>-- </w:t>
            </w:r>
          </w:p>
        </w:tc>
        <w:tc>
          <w:tcPr>
            <w:tcW w:w="1260" w:type="dxa"/>
            <w:tcBorders>
              <w:right w:val="single" w:sz="4" w:space="0" w:color="BFBFBF" w:themeColor="background1" w:themeShade="BF"/>
            </w:tcBorders>
            <w:vAlign w:val="center"/>
          </w:tcPr>
          <w:p w14:paraId="73AF735B"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011">
              <w:rPr>
                <w:rFonts w:ascii="Calibri" w:hAnsi="Calibri" w:cs="Calibri"/>
                <w:color w:val="000000"/>
                <w:sz w:val="20"/>
                <w:szCs w:val="20"/>
              </w:rPr>
              <w:t>-- </w:t>
            </w:r>
          </w:p>
        </w:tc>
        <w:tc>
          <w:tcPr>
            <w:tcW w:w="1350" w:type="dxa"/>
            <w:tcBorders>
              <w:left w:val="single" w:sz="4" w:space="0" w:color="BFBFBF" w:themeColor="background1" w:themeShade="BF"/>
              <w:right w:val="single" w:sz="4" w:space="0" w:color="auto"/>
            </w:tcBorders>
            <w:vAlign w:val="center"/>
          </w:tcPr>
          <w:p w14:paraId="2CE96E4F" w14:textId="77777777" w:rsidR="00DF08C0" w:rsidRPr="006B61AC" w:rsidRDefault="00DF08C0" w:rsidP="005A1AE9">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6B61AC">
              <w:rPr>
                <w:rFonts w:ascii="Calibri" w:hAnsi="Calibri" w:cs="Calibri"/>
                <w:color w:val="000000"/>
                <w:sz w:val="20"/>
                <w:szCs w:val="20"/>
              </w:rPr>
              <w:t>6,793 (6%)</w:t>
            </w:r>
          </w:p>
        </w:tc>
      </w:tr>
      <w:tr w:rsidR="00DF08C0" w:rsidRPr="006D47BC" w14:paraId="7D2E0F76" w14:textId="77777777" w:rsidTr="005A1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right w:val="single" w:sz="4" w:space="0" w:color="auto"/>
            </w:tcBorders>
          </w:tcPr>
          <w:p w14:paraId="4666A872" w14:textId="77777777" w:rsidR="00DF08C0" w:rsidRPr="00FC7F0E" w:rsidRDefault="00DF08C0" w:rsidP="005A1AE9">
            <w:pPr>
              <w:rPr>
                <w:rFonts w:asciiTheme="minorHAnsi" w:hAnsiTheme="minorHAnsi" w:cstheme="minorHAnsi"/>
                <w:sz w:val="20"/>
                <w:szCs w:val="20"/>
              </w:rPr>
            </w:pPr>
            <w:r w:rsidRPr="00FC7F0E">
              <w:rPr>
                <w:rFonts w:asciiTheme="minorHAnsi" w:hAnsiTheme="minorHAnsi" w:cstheme="minorHAnsi"/>
                <w:sz w:val="20"/>
                <w:szCs w:val="20"/>
              </w:rPr>
              <w:t>Total</w:t>
            </w:r>
          </w:p>
        </w:tc>
        <w:tc>
          <w:tcPr>
            <w:tcW w:w="1440" w:type="dxa"/>
            <w:tcBorders>
              <w:left w:val="single" w:sz="4" w:space="0" w:color="auto"/>
              <w:bottom w:val="single" w:sz="4" w:space="0" w:color="auto"/>
            </w:tcBorders>
            <w:vAlign w:val="center"/>
          </w:tcPr>
          <w:p w14:paraId="6B58FBBF"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Calibri" w:hAnsi="Calibri" w:cs="Calibri"/>
                <w:b/>
                <w:bCs/>
                <w:color w:val="000000"/>
                <w:sz w:val="20"/>
                <w:szCs w:val="20"/>
              </w:rPr>
              <w:t>190,240</w:t>
            </w:r>
          </w:p>
        </w:tc>
        <w:tc>
          <w:tcPr>
            <w:tcW w:w="1170" w:type="dxa"/>
            <w:tcBorders>
              <w:bottom w:val="single" w:sz="4" w:space="0" w:color="auto"/>
            </w:tcBorders>
            <w:vAlign w:val="center"/>
          </w:tcPr>
          <w:p w14:paraId="4FBEC286"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55</w:t>
            </w:r>
            <w:r>
              <w:rPr>
                <w:rFonts w:ascii="Calibri" w:hAnsi="Calibri" w:cs="Calibri"/>
                <w:b/>
                <w:bCs/>
                <w:color w:val="000000"/>
                <w:sz w:val="20"/>
                <w:szCs w:val="20"/>
              </w:rPr>
              <w:t>6</w:t>
            </w:r>
          </w:p>
        </w:tc>
        <w:tc>
          <w:tcPr>
            <w:tcW w:w="1260" w:type="dxa"/>
            <w:tcBorders>
              <w:bottom w:val="single" w:sz="4" w:space="0" w:color="auto"/>
            </w:tcBorders>
            <w:vAlign w:val="center"/>
          </w:tcPr>
          <w:p w14:paraId="64397D7F"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2,</w:t>
            </w:r>
            <w:r>
              <w:rPr>
                <w:rFonts w:ascii="Calibri" w:hAnsi="Calibri" w:cs="Calibri"/>
                <w:b/>
                <w:bCs/>
                <w:color w:val="000000"/>
                <w:sz w:val="20"/>
                <w:szCs w:val="20"/>
              </w:rPr>
              <w:t>326</w:t>
            </w:r>
          </w:p>
        </w:tc>
        <w:tc>
          <w:tcPr>
            <w:tcW w:w="1350" w:type="dxa"/>
            <w:tcBorders>
              <w:bottom w:val="single" w:sz="4" w:space="0" w:color="auto"/>
            </w:tcBorders>
            <w:vAlign w:val="center"/>
          </w:tcPr>
          <w:p w14:paraId="0C9063C8"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14,8</w:t>
            </w:r>
            <w:r>
              <w:rPr>
                <w:rFonts w:ascii="Calibri" w:hAnsi="Calibri" w:cs="Calibri"/>
                <w:b/>
                <w:bCs/>
                <w:color w:val="000000"/>
                <w:sz w:val="20"/>
                <w:szCs w:val="20"/>
              </w:rPr>
              <w:t>4</w:t>
            </w:r>
            <w:r w:rsidRPr="006B61AC">
              <w:rPr>
                <w:rFonts w:ascii="Calibri" w:hAnsi="Calibri" w:cs="Calibri"/>
                <w:b/>
                <w:bCs/>
                <w:color w:val="000000"/>
                <w:sz w:val="20"/>
                <w:szCs w:val="20"/>
              </w:rPr>
              <w:t>0</w:t>
            </w:r>
          </w:p>
        </w:tc>
        <w:tc>
          <w:tcPr>
            <w:tcW w:w="1350" w:type="dxa"/>
            <w:tcBorders>
              <w:bottom w:val="single" w:sz="4" w:space="0" w:color="auto"/>
              <w:right w:val="single" w:sz="4" w:space="0" w:color="auto"/>
            </w:tcBorders>
            <w:vAlign w:val="center"/>
          </w:tcPr>
          <w:p w14:paraId="1A509FB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17,</w:t>
            </w:r>
            <w:r>
              <w:rPr>
                <w:rFonts w:ascii="Calibri" w:hAnsi="Calibri" w:cs="Calibri"/>
                <w:b/>
                <w:bCs/>
                <w:color w:val="000000"/>
                <w:sz w:val="20"/>
                <w:szCs w:val="20"/>
              </w:rPr>
              <w:t>307</w:t>
            </w:r>
          </w:p>
        </w:tc>
        <w:tc>
          <w:tcPr>
            <w:tcW w:w="1440" w:type="dxa"/>
            <w:tcBorders>
              <w:left w:val="single" w:sz="4" w:space="0" w:color="auto"/>
              <w:bottom w:val="single" w:sz="4" w:space="0" w:color="auto"/>
            </w:tcBorders>
            <w:vAlign w:val="center"/>
          </w:tcPr>
          <w:p w14:paraId="220AE6F9"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4739A">
              <w:rPr>
                <w:rFonts w:ascii="Calibri" w:hAnsi="Calibri" w:cs="Calibri"/>
                <w:b/>
                <w:bCs/>
                <w:color w:val="000000"/>
                <w:sz w:val="20"/>
                <w:szCs w:val="20"/>
              </w:rPr>
              <w:t>19</w:t>
            </w:r>
            <w:r>
              <w:rPr>
                <w:rFonts w:ascii="Calibri" w:hAnsi="Calibri" w:cs="Calibri"/>
                <w:b/>
                <w:bCs/>
                <w:color w:val="000000"/>
                <w:sz w:val="20"/>
                <w:szCs w:val="20"/>
              </w:rPr>
              <w:t>7,234</w:t>
            </w:r>
          </w:p>
        </w:tc>
        <w:tc>
          <w:tcPr>
            <w:tcW w:w="1260" w:type="dxa"/>
            <w:tcBorders>
              <w:bottom w:val="single" w:sz="4" w:space="0" w:color="auto"/>
            </w:tcBorders>
            <w:vAlign w:val="center"/>
          </w:tcPr>
          <w:p w14:paraId="174BB59A"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2,74</w:t>
            </w:r>
            <w:r>
              <w:rPr>
                <w:rFonts w:ascii="Calibri" w:hAnsi="Calibri" w:cs="Calibri"/>
                <w:b/>
                <w:bCs/>
                <w:color w:val="000000"/>
                <w:sz w:val="20"/>
                <w:szCs w:val="20"/>
              </w:rPr>
              <w:t>7</w:t>
            </w:r>
          </w:p>
        </w:tc>
        <w:tc>
          <w:tcPr>
            <w:tcW w:w="1260" w:type="dxa"/>
            <w:tcBorders>
              <w:bottom w:val="single" w:sz="4" w:space="0" w:color="auto"/>
            </w:tcBorders>
            <w:vAlign w:val="center"/>
          </w:tcPr>
          <w:p w14:paraId="4E8291F0"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3,3</w:t>
            </w:r>
            <w:r>
              <w:rPr>
                <w:rFonts w:ascii="Calibri" w:hAnsi="Calibri" w:cs="Calibri"/>
                <w:b/>
                <w:bCs/>
                <w:color w:val="000000"/>
                <w:sz w:val="20"/>
                <w:szCs w:val="20"/>
              </w:rPr>
              <w:t>55</w:t>
            </w:r>
          </w:p>
        </w:tc>
        <w:tc>
          <w:tcPr>
            <w:tcW w:w="1260" w:type="dxa"/>
            <w:tcBorders>
              <w:bottom w:val="single" w:sz="4" w:space="0" w:color="auto"/>
              <w:right w:val="single" w:sz="4" w:space="0" w:color="BFBFBF" w:themeColor="background1" w:themeShade="BF"/>
            </w:tcBorders>
            <w:vAlign w:val="center"/>
          </w:tcPr>
          <w:p w14:paraId="0225787C"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17,5</w:t>
            </w:r>
            <w:r>
              <w:rPr>
                <w:rFonts w:ascii="Calibri" w:hAnsi="Calibri" w:cs="Calibri"/>
                <w:b/>
                <w:bCs/>
                <w:color w:val="000000"/>
                <w:sz w:val="20"/>
                <w:szCs w:val="20"/>
              </w:rPr>
              <w:t>20</w:t>
            </w:r>
          </w:p>
        </w:tc>
        <w:tc>
          <w:tcPr>
            <w:tcW w:w="1350" w:type="dxa"/>
            <w:tcBorders>
              <w:left w:val="single" w:sz="4" w:space="0" w:color="BFBFBF" w:themeColor="background1" w:themeShade="BF"/>
              <w:bottom w:val="single" w:sz="4" w:space="0" w:color="auto"/>
              <w:right w:val="single" w:sz="4" w:space="0" w:color="auto"/>
            </w:tcBorders>
            <w:vAlign w:val="center"/>
          </w:tcPr>
          <w:p w14:paraId="728BEDC8" w14:textId="77777777" w:rsidR="00DF08C0" w:rsidRPr="006B61AC" w:rsidRDefault="00DF08C0" w:rsidP="005A1AE9">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B61AC">
              <w:rPr>
                <w:rFonts w:ascii="Calibri" w:hAnsi="Calibri" w:cs="Calibri"/>
                <w:b/>
                <w:bCs/>
                <w:color w:val="000000"/>
                <w:sz w:val="20"/>
                <w:szCs w:val="20"/>
              </w:rPr>
              <w:t>105,</w:t>
            </w:r>
            <w:r>
              <w:rPr>
                <w:rFonts w:ascii="Calibri" w:hAnsi="Calibri" w:cs="Calibri"/>
                <w:b/>
                <w:bCs/>
                <w:color w:val="000000"/>
                <w:sz w:val="20"/>
                <w:szCs w:val="20"/>
              </w:rPr>
              <w:t>835</w:t>
            </w:r>
          </w:p>
        </w:tc>
      </w:tr>
    </w:tbl>
    <w:p w14:paraId="6B1411BC" w14:textId="77777777" w:rsidR="00DF08C0" w:rsidRDefault="00DF08C0" w:rsidP="00DF08C0">
      <w:pPr>
        <w:rPr>
          <w:rFonts w:asciiTheme="minorHAnsi" w:hAnsiTheme="minorHAnsi" w:cstheme="minorHAnsi"/>
          <w:b/>
          <w:bCs/>
          <w:sz w:val="22"/>
          <w:szCs w:val="22"/>
        </w:rPr>
      </w:pPr>
    </w:p>
    <w:p w14:paraId="7BF93A7A" w14:textId="77777777" w:rsidR="00DF08C0" w:rsidRPr="0080363D" w:rsidRDefault="00DF08C0" w:rsidP="00DF08C0">
      <w:pPr>
        <w:spacing w:line="240" w:lineRule="auto"/>
        <w:rPr>
          <w:rFonts w:asciiTheme="minorHAnsi" w:hAnsiTheme="minorHAnsi" w:cstheme="minorHAnsi"/>
          <w:sz w:val="22"/>
          <w:szCs w:val="22"/>
        </w:rPr>
      </w:pPr>
      <w:r w:rsidRPr="0080363D">
        <w:rPr>
          <w:rFonts w:asciiTheme="minorHAnsi" w:hAnsiTheme="minorHAnsi" w:cstheme="minorHAnsi"/>
          <w:sz w:val="22"/>
          <w:szCs w:val="22"/>
        </w:rPr>
        <w:t>All costs presented in U.S. Dollars; 1 US$ = 10</w:t>
      </w:r>
      <w:r>
        <w:rPr>
          <w:rFonts w:asciiTheme="minorHAnsi" w:hAnsiTheme="minorHAnsi" w:cstheme="minorHAnsi"/>
          <w:sz w:val="22"/>
          <w:szCs w:val="22"/>
        </w:rPr>
        <w:t xml:space="preserve">7.85 </w:t>
      </w:r>
      <w:r w:rsidRPr="0080363D">
        <w:rPr>
          <w:rFonts w:asciiTheme="minorHAnsi" w:hAnsiTheme="minorHAnsi" w:cstheme="minorHAnsi"/>
          <w:sz w:val="22"/>
          <w:szCs w:val="22"/>
        </w:rPr>
        <w:t>Kenya</w:t>
      </w:r>
      <w:r>
        <w:rPr>
          <w:rFonts w:asciiTheme="minorHAnsi" w:hAnsiTheme="minorHAnsi" w:cstheme="minorHAnsi"/>
          <w:sz w:val="22"/>
          <w:szCs w:val="22"/>
        </w:rPr>
        <w:t>n</w:t>
      </w:r>
      <w:r w:rsidRPr="0080363D">
        <w:rPr>
          <w:rFonts w:asciiTheme="minorHAnsi" w:hAnsiTheme="minorHAnsi" w:cstheme="minorHAnsi"/>
          <w:sz w:val="22"/>
          <w:szCs w:val="22"/>
        </w:rPr>
        <w:t xml:space="preserve"> </w:t>
      </w:r>
      <w:r>
        <w:rPr>
          <w:rFonts w:asciiTheme="minorHAnsi" w:hAnsiTheme="minorHAnsi" w:cstheme="minorHAnsi"/>
          <w:sz w:val="22"/>
          <w:szCs w:val="22"/>
        </w:rPr>
        <w:t>s</w:t>
      </w:r>
      <w:r w:rsidRPr="0080363D">
        <w:rPr>
          <w:rFonts w:asciiTheme="minorHAnsi" w:hAnsiTheme="minorHAnsi" w:cstheme="minorHAnsi"/>
          <w:sz w:val="22"/>
          <w:szCs w:val="22"/>
        </w:rPr>
        <w:t>hillings (2021).</w:t>
      </w:r>
    </w:p>
    <w:p w14:paraId="23454ACA" w14:textId="77777777" w:rsidR="00DF08C0" w:rsidRDefault="00DF08C0" w:rsidP="00DF08C0">
      <w:pPr>
        <w:spacing w:line="240" w:lineRule="auto"/>
        <w:rPr>
          <w:rFonts w:asciiTheme="minorHAnsi" w:hAnsiTheme="minorHAnsi" w:cstheme="minorHAnsi"/>
          <w:sz w:val="22"/>
          <w:szCs w:val="22"/>
        </w:rPr>
      </w:pPr>
      <w:r w:rsidRPr="0080363D">
        <w:rPr>
          <w:rFonts w:asciiTheme="minorHAnsi" w:hAnsiTheme="minorHAnsi" w:cstheme="minorHAnsi"/>
          <w:sz w:val="22"/>
          <w:szCs w:val="22"/>
        </w:rPr>
        <w:t>Totals might not sum exactly to components due to rounding.</w:t>
      </w:r>
    </w:p>
    <w:p w14:paraId="3452F396" w14:textId="77777777" w:rsidR="00DF08C0" w:rsidRDefault="00DF08C0" w:rsidP="00DF08C0">
      <w:pPr>
        <w:rPr>
          <w:rFonts w:asciiTheme="minorHAnsi" w:hAnsiTheme="minorHAnsi" w:cstheme="minorHAnsi"/>
          <w:b/>
          <w:bCs/>
          <w:sz w:val="22"/>
          <w:szCs w:val="22"/>
        </w:rPr>
        <w:sectPr w:rsidR="00DF08C0" w:rsidSect="00D26642">
          <w:pgSz w:w="15840" w:h="12240" w:orient="landscape"/>
          <w:pgMar w:top="1440" w:right="1440" w:bottom="1440" w:left="1440" w:header="720" w:footer="720" w:gutter="0"/>
          <w:cols w:space="720"/>
          <w:docGrid w:linePitch="360"/>
        </w:sectPr>
      </w:pPr>
    </w:p>
    <w:p w14:paraId="6D5790EA" w14:textId="77777777" w:rsidR="00DF08C0" w:rsidRDefault="00DF08C0" w:rsidP="00DF08C0">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lastRenderedPageBreak/>
        <w:t>Supplemental Methods</w:t>
      </w:r>
    </w:p>
    <w:p w14:paraId="535F4F87" w14:textId="77777777" w:rsidR="00DF08C0" w:rsidRDefault="00DF08C0" w:rsidP="00DF08C0">
      <w:pPr>
        <w:spacing w:after="160" w:line="259" w:lineRule="auto"/>
        <w:rPr>
          <w:rFonts w:asciiTheme="minorHAnsi" w:hAnsiTheme="minorHAnsi" w:cstheme="minorHAnsi"/>
          <w:sz w:val="22"/>
          <w:szCs w:val="22"/>
        </w:rPr>
      </w:pPr>
      <w:r w:rsidRPr="003F58EA">
        <w:rPr>
          <w:rFonts w:asciiTheme="minorHAnsi" w:hAnsiTheme="minorHAnsi" w:cstheme="minorHAnsi"/>
          <w:sz w:val="22"/>
          <w:szCs w:val="22"/>
        </w:rPr>
        <w:t xml:space="preserve">We organized cost inputs into six categories corresponding to the following vaccination program activities: (1) advocacy and social mobilization (ASM); (2) training; (3) </w:t>
      </w:r>
      <w:r>
        <w:rPr>
          <w:rFonts w:asciiTheme="minorHAnsi" w:hAnsiTheme="minorHAnsi" w:cstheme="minorHAnsi"/>
          <w:sz w:val="22"/>
          <w:szCs w:val="22"/>
        </w:rPr>
        <w:t>distribution</w:t>
      </w:r>
      <w:r w:rsidRPr="003F58EA">
        <w:rPr>
          <w:rFonts w:asciiTheme="minorHAnsi" w:hAnsiTheme="minorHAnsi" w:cstheme="minorHAnsi"/>
          <w:sz w:val="22"/>
          <w:szCs w:val="22"/>
        </w:rPr>
        <w:t>, storage, and waste management; (4) service delivery; (5) monitoring; and (6) supervision</w:t>
      </w:r>
      <w:r>
        <w:rPr>
          <w:rFonts w:asciiTheme="minorHAnsi" w:hAnsiTheme="minorHAnsi" w:cstheme="minorHAnsi"/>
          <w:sz w:val="22"/>
          <w:szCs w:val="22"/>
        </w:rPr>
        <w:t xml:space="preserve">. The activities and cost inputs of each category are summarized in the table below.  </w:t>
      </w:r>
    </w:p>
    <w:p w14:paraId="0A7AC4E3" w14:textId="77777777" w:rsidR="00DF08C0" w:rsidRPr="009075C2" w:rsidRDefault="00DF08C0" w:rsidP="00DF08C0">
      <w:pPr>
        <w:pStyle w:val="Caption"/>
        <w:keepNext/>
        <w:rPr>
          <w:i w:val="0"/>
          <w:iCs w:val="0"/>
          <w:color w:val="auto"/>
        </w:rPr>
      </w:pPr>
      <w:r w:rsidRPr="009075C2">
        <w:rPr>
          <w:rFonts w:asciiTheme="minorHAnsi" w:hAnsiTheme="minorHAnsi" w:cstheme="minorHAnsi"/>
          <w:b/>
          <w:bCs/>
          <w:i w:val="0"/>
          <w:iCs w:val="0"/>
          <w:color w:val="auto"/>
          <w:sz w:val="22"/>
          <w:szCs w:val="22"/>
        </w:rPr>
        <w:t xml:space="preserve"> </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5812"/>
        <w:gridCol w:w="6865"/>
      </w:tblGrid>
      <w:tr w:rsidR="00DF08C0" w:rsidRPr="00650E9C" w14:paraId="291BC573" w14:textId="77777777" w:rsidTr="005A1AE9">
        <w:trPr>
          <w:trHeight w:val="290"/>
        </w:trPr>
        <w:tc>
          <w:tcPr>
            <w:tcW w:w="1271" w:type="dxa"/>
            <w:shd w:val="clear" w:color="auto" w:fill="auto"/>
            <w:noWrap/>
            <w:hideMark/>
          </w:tcPr>
          <w:p w14:paraId="22DFFFF3"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Cost category</w:t>
            </w:r>
          </w:p>
        </w:tc>
        <w:tc>
          <w:tcPr>
            <w:tcW w:w="5812" w:type="dxa"/>
            <w:shd w:val="clear" w:color="auto" w:fill="auto"/>
            <w:noWrap/>
            <w:hideMark/>
          </w:tcPr>
          <w:p w14:paraId="066ACBB2" w14:textId="77777777" w:rsidR="00DF08C0" w:rsidRPr="009075C2" w:rsidRDefault="00DF08C0" w:rsidP="005A1AE9">
            <w:pPr>
              <w:spacing w:line="240" w:lineRule="auto"/>
              <w:jc w:val="center"/>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Activities undertaken</w:t>
            </w:r>
          </w:p>
        </w:tc>
        <w:tc>
          <w:tcPr>
            <w:tcW w:w="6865" w:type="dxa"/>
            <w:shd w:val="clear" w:color="auto" w:fill="auto"/>
            <w:noWrap/>
            <w:hideMark/>
          </w:tcPr>
          <w:p w14:paraId="4A152AE7" w14:textId="77777777" w:rsidR="00DF08C0" w:rsidRPr="009075C2" w:rsidRDefault="00DF08C0" w:rsidP="005A1AE9">
            <w:pPr>
              <w:spacing w:line="240" w:lineRule="auto"/>
              <w:jc w:val="center"/>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Cost inputs</w:t>
            </w:r>
          </w:p>
        </w:tc>
      </w:tr>
      <w:tr w:rsidR="00DF08C0" w:rsidRPr="00650E9C" w14:paraId="6A9E2B03" w14:textId="77777777" w:rsidTr="005A1AE9">
        <w:trPr>
          <w:trHeight w:val="1398"/>
        </w:trPr>
        <w:tc>
          <w:tcPr>
            <w:tcW w:w="1271" w:type="dxa"/>
            <w:shd w:val="clear" w:color="auto" w:fill="auto"/>
            <w:noWrap/>
            <w:hideMark/>
          </w:tcPr>
          <w:p w14:paraId="297284FA"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Advocacy and social mobilization</w:t>
            </w:r>
          </w:p>
        </w:tc>
        <w:tc>
          <w:tcPr>
            <w:tcW w:w="5812" w:type="dxa"/>
            <w:shd w:val="clear" w:color="auto" w:fill="auto"/>
            <w:hideMark/>
          </w:tcPr>
          <w:p w14:paraId="29642724"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National advocacy meetings</w:t>
            </w:r>
            <w:r w:rsidRPr="009075C2">
              <w:rPr>
                <w:rFonts w:asciiTheme="minorHAnsi" w:eastAsia="Times New Roman" w:hAnsiTheme="minorHAnsi" w:cstheme="minorHAnsi"/>
                <w:color w:val="000000"/>
                <w:sz w:val="20"/>
                <w:szCs w:val="20"/>
                <w:lang w:eastAsia="en-GB"/>
              </w:rPr>
              <w:br/>
              <w:t>Development of information, education, and communication (IEC) materials</w:t>
            </w:r>
            <w:r w:rsidRPr="009075C2">
              <w:rPr>
                <w:rFonts w:asciiTheme="minorHAnsi" w:eastAsia="Times New Roman" w:hAnsiTheme="minorHAnsi" w:cstheme="minorHAnsi"/>
                <w:color w:val="000000"/>
                <w:sz w:val="20"/>
                <w:szCs w:val="20"/>
                <w:lang w:eastAsia="en-GB"/>
              </w:rPr>
              <w:br/>
              <w:t>Pretesting IEC materials</w:t>
            </w:r>
            <w:r w:rsidRPr="009075C2">
              <w:rPr>
                <w:rFonts w:asciiTheme="minorHAnsi" w:eastAsia="Times New Roman" w:hAnsiTheme="minorHAnsi" w:cstheme="minorHAnsi"/>
                <w:color w:val="000000"/>
                <w:sz w:val="20"/>
                <w:szCs w:val="20"/>
                <w:lang w:eastAsia="en-GB"/>
              </w:rPr>
              <w:br/>
              <w:t>County health management team meetings</w:t>
            </w:r>
            <w:r w:rsidRPr="009075C2">
              <w:rPr>
                <w:rFonts w:asciiTheme="minorHAnsi" w:eastAsia="Times New Roman" w:hAnsiTheme="minorHAnsi" w:cstheme="minorHAnsi"/>
                <w:color w:val="000000"/>
                <w:sz w:val="20"/>
                <w:szCs w:val="20"/>
                <w:lang w:eastAsia="en-GB"/>
              </w:rPr>
              <w:br/>
              <w:t>Stakeholder and community health volunteer (CHV) sensitization meetings</w:t>
            </w:r>
            <w:r w:rsidRPr="009075C2">
              <w:rPr>
                <w:rFonts w:asciiTheme="minorHAnsi" w:eastAsia="Times New Roman" w:hAnsiTheme="minorHAnsi" w:cstheme="minorHAnsi"/>
                <w:color w:val="000000"/>
                <w:sz w:val="20"/>
                <w:szCs w:val="20"/>
                <w:lang w:eastAsia="en-GB"/>
              </w:rPr>
              <w:br/>
              <w:t xml:space="preserve">Social mobilization activities which included event launches, road shows, posters </w:t>
            </w:r>
            <w:r w:rsidRPr="009075C2">
              <w:rPr>
                <w:rFonts w:asciiTheme="minorHAnsi" w:eastAsia="Times New Roman" w:hAnsiTheme="minorHAnsi" w:cstheme="minorHAnsi"/>
                <w:color w:val="000000"/>
                <w:sz w:val="20"/>
                <w:szCs w:val="20"/>
                <w:lang w:eastAsia="en-GB"/>
              </w:rPr>
              <w:br/>
              <w:t>Event launch (specific to campaign strategy)</w:t>
            </w:r>
          </w:p>
          <w:p w14:paraId="023E4C06"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p>
        </w:tc>
        <w:tc>
          <w:tcPr>
            <w:tcW w:w="6865" w:type="dxa"/>
            <w:shd w:val="clear" w:color="auto" w:fill="auto"/>
            <w:hideMark/>
          </w:tcPr>
          <w:p w14:paraId="2AF741A5"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Daily Subsistence Allowances (DSA) and lunch allowances for government staff travelling away from their workstations</w:t>
            </w:r>
            <w:r w:rsidRPr="009075C2">
              <w:rPr>
                <w:rFonts w:asciiTheme="minorHAnsi" w:eastAsia="Times New Roman" w:hAnsiTheme="minorHAnsi" w:cstheme="minorHAnsi"/>
                <w:color w:val="000000"/>
                <w:sz w:val="20"/>
                <w:szCs w:val="20"/>
                <w:lang w:eastAsia="en-GB"/>
              </w:rPr>
              <w:br/>
              <w:t>Transport costs such as fuel costs for government vehicles, car hire, air tickets, daily transport allowances for individuals travelling away from their workstations</w:t>
            </w:r>
            <w:r w:rsidRPr="009075C2">
              <w:rPr>
                <w:rFonts w:asciiTheme="minorHAnsi" w:eastAsia="Times New Roman" w:hAnsiTheme="minorHAnsi" w:cstheme="minorHAnsi"/>
                <w:color w:val="000000"/>
                <w:sz w:val="20"/>
                <w:szCs w:val="20"/>
                <w:lang w:eastAsia="en-GB"/>
              </w:rPr>
              <w:br/>
              <w:t xml:space="preserve">Meeting venue costs such as hall hire, tent hire, </w:t>
            </w:r>
            <w:r>
              <w:rPr>
                <w:rFonts w:asciiTheme="minorHAnsi" w:eastAsia="Times New Roman" w:hAnsiTheme="minorHAnsi" w:cstheme="minorHAnsi"/>
                <w:color w:val="000000"/>
                <w:sz w:val="20"/>
                <w:szCs w:val="20"/>
                <w:lang w:eastAsia="en-GB"/>
              </w:rPr>
              <w:t>meeting/training</w:t>
            </w:r>
            <w:r w:rsidRPr="009075C2">
              <w:rPr>
                <w:rFonts w:asciiTheme="minorHAnsi" w:eastAsia="Times New Roman" w:hAnsiTheme="minorHAnsi" w:cstheme="minorHAnsi"/>
                <w:color w:val="000000"/>
                <w:sz w:val="20"/>
                <w:szCs w:val="20"/>
                <w:lang w:eastAsia="en-GB"/>
              </w:rPr>
              <w:t xml:space="preserve"> costs, printing costs</w:t>
            </w:r>
            <w:r w:rsidRPr="009075C2">
              <w:rPr>
                <w:rFonts w:asciiTheme="minorHAnsi" w:eastAsia="Times New Roman" w:hAnsiTheme="minorHAnsi" w:cstheme="minorHAnsi"/>
                <w:color w:val="000000"/>
                <w:sz w:val="20"/>
                <w:szCs w:val="20"/>
                <w:lang w:eastAsia="en-GB"/>
              </w:rPr>
              <w:br/>
              <w:t>Communication costs such as mobile phone charges</w:t>
            </w:r>
            <w:r w:rsidRPr="009075C2">
              <w:rPr>
                <w:rFonts w:asciiTheme="minorHAnsi" w:eastAsia="Times New Roman" w:hAnsiTheme="minorHAnsi" w:cstheme="minorHAnsi"/>
                <w:color w:val="000000"/>
                <w:sz w:val="20"/>
                <w:szCs w:val="20"/>
                <w:lang w:eastAsia="en-GB"/>
              </w:rPr>
              <w:br/>
              <w:t>Design, printing and recording of audiovisual IEC material</w:t>
            </w:r>
          </w:p>
        </w:tc>
      </w:tr>
      <w:tr w:rsidR="00DF08C0" w:rsidRPr="00650E9C" w14:paraId="59B7E463" w14:textId="77777777" w:rsidTr="005A1AE9">
        <w:trPr>
          <w:trHeight w:val="1695"/>
        </w:trPr>
        <w:tc>
          <w:tcPr>
            <w:tcW w:w="1271" w:type="dxa"/>
            <w:shd w:val="clear" w:color="auto" w:fill="auto"/>
            <w:noWrap/>
            <w:hideMark/>
          </w:tcPr>
          <w:p w14:paraId="50E4FB4A"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Training</w:t>
            </w:r>
          </w:p>
        </w:tc>
        <w:tc>
          <w:tcPr>
            <w:tcW w:w="5812" w:type="dxa"/>
            <w:shd w:val="clear" w:color="auto" w:fill="auto"/>
            <w:noWrap/>
            <w:hideMark/>
          </w:tcPr>
          <w:p w14:paraId="7B89209E"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Training of county and sub</w:t>
            </w:r>
            <w:r>
              <w:rPr>
                <w:rFonts w:asciiTheme="minorHAnsi" w:eastAsia="Times New Roman" w:hAnsiTheme="minorHAnsi" w:cstheme="minorHAnsi"/>
                <w:color w:val="000000"/>
                <w:sz w:val="20"/>
                <w:szCs w:val="20"/>
                <w:lang w:eastAsia="en-GB"/>
              </w:rPr>
              <w:t>-</w:t>
            </w:r>
            <w:r w:rsidRPr="009075C2">
              <w:rPr>
                <w:rFonts w:asciiTheme="minorHAnsi" w:eastAsia="Times New Roman" w:hAnsiTheme="minorHAnsi" w:cstheme="minorHAnsi"/>
                <w:color w:val="000000"/>
                <w:sz w:val="20"/>
                <w:szCs w:val="20"/>
                <w:lang w:eastAsia="en-GB"/>
              </w:rPr>
              <w:t xml:space="preserve">county health management teams and health care workers at health facilities </w:t>
            </w:r>
          </w:p>
        </w:tc>
        <w:tc>
          <w:tcPr>
            <w:tcW w:w="6865" w:type="dxa"/>
            <w:shd w:val="clear" w:color="auto" w:fill="auto"/>
            <w:hideMark/>
          </w:tcPr>
          <w:p w14:paraId="56B54C53"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Daily Subsistence Allowances (DSA) and lunch allowances for government staff travelling away from their work stations</w:t>
            </w:r>
            <w:r w:rsidRPr="009075C2">
              <w:rPr>
                <w:rFonts w:asciiTheme="minorHAnsi" w:eastAsia="Times New Roman" w:hAnsiTheme="minorHAnsi" w:cstheme="minorHAnsi"/>
                <w:color w:val="000000"/>
                <w:sz w:val="20"/>
                <w:szCs w:val="20"/>
                <w:lang w:eastAsia="en-GB"/>
              </w:rPr>
              <w:br/>
              <w:t xml:space="preserve">Training /facilitation allowances for government trainers </w:t>
            </w:r>
            <w:r w:rsidRPr="009075C2">
              <w:rPr>
                <w:rFonts w:asciiTheme="minorHAnsi" w:eastAsia="Times New Roman" w:hAnsiTheme="minorHAnsi" w:cstheme="minorHAnsi"/>
                <w:color w:val="000000"/>
                <w:sz w:val="20"/>
                <w:szCs w:val="20"/>
                <w:lang w:eastAsia="en-GB"/>
              </w:rPr>
              <w:br/>
              <w:t>Transport costs such as fuel costs for government vehicles, car hire, air tickets, daily transport allowances for individuals travelling away from their workstations</w:t>
            </w:r>
            <w:r w:rsidRPr="009075C2">
              <w:rPr>
                <w:rFonts w:asciiTheme="minorHAnsi" w:eastAsia="Times New Roman" w:hAnsiTheme="minorHAnsi" w:cstheme="minorHAnsi"/>
                <w:color w:val="000000"/>
                <w:sz w:val="20"/>
                <w:szCs w:val="20"/>
                <w:lang w:eastAsia="en-GB"/>
              </w:rPr>
              <w:br/>
              <w:t xml:space="preserve">Meeting venue costs such as hall hire, tent hire, </w:t>
            </w:r>
            <w:r>
              <w:rPr>
                <w:rFonts w:asciiTheme="minorHAnsi" w:eastAsia="Times New Roman" w:hAnsiTheme="minorHAnsi" w:cstheme="minorHAnsi"/>
                <w:color w:val="000000"/>
                <w:sz w:val="20"/>
                <w:szCs w:val="20"/>
                <w:lang w:eastAsia="en-GB"/>
              </w:rPr>
              <w:t>meeting/training</w:t>
            </w:r>
            <w:r w:rsidRPr="009075C2">
              <w:rPr>
                <w:rFonts w:asciiTheme="minorHAnsi" w:eastAsia="Times New Roman" w:hAnsiTheme="minorHAnsi" w:cstheme="minorHAnsi"/>
                <w:color w:val="000000"/>
                <w:sz w:val="20"/>
                <w:szCs w:val="20"/>
                <w:lang w:eastAsia="en-GB"/>
              </w:rPr>
              <w:t xml:space="preserve"> costs, printing costs</w:t>
            </w:r>
            <w:r w:rsidRPr="009075C2">
              <w:rPr>
                <w:rFonts w:asciiTheme="minorHAnsi" w:eastAsia="Times New Roman" w:hAnsiTheme="minorHAnsi" w:cstheme="minorHAnsi"/>
                <w:color w:val="000000"/>
                <w:sz w:val="20"/>
                <w:szCs w:val="20"/>
                <w:lang w:eastAsia="en-GB"/>
              </w:rPr>
              <w:br/>
              <w:t>Communication costs such as mobile phone charges</w:t>
            </w:r>
            <w:r w:rsidRPr="009075C2">
              <w:rPr>
                <w:rFonts w:asciiTheme="minorHAnsi" w:eastAsia="Times New Roman" w:hAnsiTheme="minorHAnsi" w:cstheme="minorHAnsi"/>
                <w:color w:val="000000"/>
                <w:sz w:val="20"/>
                <w:szCs w:val="20"/>
                <w:lang w:eastAsia="en-GB"/>
              </w:rPr>
              <w:br/>
              <w:t>Development and printing of training material</w:t>
            </w:r>
          </w:p>
          <w:p w14:paraId="043E00F8"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p>
        </w:tc>
      </w:tr>
      <w:tr w:rsidR="00DF08C0" w:rsidRPr="00650E9C" w14:paraId="5441BF63" w14:textId="77777777" w:rsidTr="005A1AE9">
        <w:trPr>
          <w:trHeight w:val="290"/>
        </w:trPr>
        <w:tc>
          <w:tcPr>
            <w:tcW w:w="1271" w:type="dxa"/>
            <w:shd w:val="clear" w:color="auto" w:fill="auto"/>
            <w:noWrap/>
            <w:hideMark/>
          </w:tcPr>
          <w:p w14:paraId="7EC18FF0"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Distribution, storage, and waste management</w:t>
            </w:r>
          </w:p>
        </w:tc>
        <w:tc>
          <w:tcPr>
            <w:tcW w:w="5812" w:type="dxa"/>
            <w:shd w:val="clear" w:color="auto" w:fill="auto"/>
            <w:noWrap/>
            <w:hideMark/>
          </w:tcPr>
          <w:p w14:paraId="62BBF28E"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Transportation of vaccines from the national to regional stores</w:t>
            </w:r>
          </w:p>
          <w:p w14:paraId="5F5521E7"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Transportation of vaccines from regional stores to sub</w:t>
            </w:r>
            <w:r>
              <w:rPr>
                <w:rFonts w:asciiTheme="minorHAnsi" w:eastAsia="Times New Roman" w:hAnsiTheme="minorHAnsi" w:cstheme="minorHAnsi"/>
                <w:color w:val="000000"/>
                <w:sz w:val="20"/>
                <w:szCs w:val="20"/>
                <w:lang w:eastAsia="en-GB"/>
              </w:rPr>
              <w:t>-</w:t>
            </w:r>
            <w:r w:rsidRPr="009075C2">
              <w:rPr>
                <w:rFonts w:asciiTheme="minorHAnsi" w:eastAsia="Times New Roman" w:hAnsiTheme="minorHAnsi" w:cstheme="minorHAnsi"/>
                <w:color w:val="000000"/>
                <w:sz w:val="20"/>
                <w:szCs w:val="20"/>
                <w:lang w:eastAsia="en-GB"/>
              </w:rPr>
              <w:t>county stores</w:t>
            </w:r>
          </w:p>
          <w:p w14:paraId="60027F78"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Transportation of vaccines from sub</w:t>
            </w:r>
            <w:r>
              <w:rPr>
                <w:rFonts w:asciiTheme="minorHAnsi" w:eastAsia="Times New Roman" w:hAnsiTheme="minorHAnsi" w:cstheme="minorHAnsi"/>
                <w:color w:val="000000"/>
                <w:sz w:val="20"/>
                <w:szCs w:val="20"/>
                <w:lang w:eastAsia="en-GB"/>
              </w:rPr>
              <w:t>-</w:t>
            </w:r>
            <w:r w:rsidRPr="009075C2">
              <w:rPr>
                <w:rFonts w:asciiTheme="minorHAnsi" w:eastAsia="Times New Roman" w:hAnsiTheme="minorHAnsi" w:cstheme="minorHAnsi"/>
                <w:color w:val="000000"/>
                <w:sz w:val="20"/>
                <w:szCs w:val="20"/>
                <w:lang w:eastAsia="en-GB"/>
              </w:rPr>
              <w:t xml:space="preserve">county stores to health facilities </w:t>
            </w:r>
          </w:p>
          <w:p w14:paraId="5AE115A7" w14:textId="77777777" w:rsidR="00DF08C0" w:rsidRPr="009075C2" w:rsidRDefault="00DF08C0" w:rsidP="005A1AE9">
            <w:pPr>
              <w:spacing w:line="240" w:lineRule="auto"/>
              <w:rPr>
                <w:rFonts w:asciiTheme="minorHAnsi" w:hAnsiTheme="minorHAnsi" w:cstheme="minorHAnsi"/>
                <w:sz w:val="20"/>
                <w:szCs w:val="20"/>
              </w:rPr>
            </w:pPr>
            <w:r w:rsidRPr="009075C2">
              <w:rPr>
                <w:rFonts w:asciiTheme="minorHAnsi" w:hAnsiTheme="minorHAnsi" w:cstheme="minorHAnsi"/>
                <w:sz w:val="20"/>
                <w:szCs w:val="20"/>
              </w:rPr>
              <w:t>Storage of vaccines at the national, regional, and sub</w:t>
            </w:r>
            <w:r>
              <w:rPr>
                <w:rFonts w:asciiTheme="minorHAnsi" w:hAnsiTheme="minorHAnsi" w:cstheme="minorHAnsi"/>
                <w:sz w:val="20"/>
                <w:szCs w:val="20"/>
              </w:rPr>
              <w:t>-</w:t>
            </w:r>
            <w:r w:rsidRPr="009075C2">
              <w:rPr>
                <w:rFonts w:asciiTheme="minorHAnsi" w:hAnsiTheme="minorHAnsi" w:cstheme="minorHAnsi"/>
                <w:sz w:val="20"/>
                <w:szCs w:val="20"/>
              </w:rPr>
              <w:t>county level</w:t>
            </w:r>
          </w:p>
          <w:p w14:paraId="08089990"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Disposal of waste at the health facility level</w:t>
            </w:r>
          </w:p>
        </w:tc>
        <w:tc>
          <w:tcPr>
            <w:tcW w:w="6865" w:type="dxa"/>
            <w:shd w:val="clear" w:color="auto" w:fill="auto"/>
            <w:hideMark/>
          </w:tcPr>
          <w:p w14:paraId="4CF7E062"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Daily Subsistence Allowances (DSA) and lunch allowances for government staff travelling away from their workstations</w:t>
            </w:r>
            <w:r w:rsidRPr="009075C2">
              <w:rPr>
                <w:rFonts w:asciiTheme="minorHAnsi" w:eastAsia="Times New Roman" w:hAnsiTheme="minorHAnsi" w:cstheme="minorHAnsi"/>
                <w:color w:val="000000"/>
                <w:sz w:val="20"/>
                <w:szCs w:val="20"/>
                <w:lang w:eastAsia="en-GB"/>
              </w:rPr>
              <w:br/>
              <w:t xml:space="preserve">Transport costs such as fuel costs for government vehicles and transport allowances for individuals travelling away from their </w:t>
            </w:r>
            <w:proofErr w:type="gramStart"/>
            <w:r w:rsidRPr="009075C2">
              <w:rPr>
                <w:rFonts w:asciiTheme="minorHAnsi" w:eastAsia="Times New Roman" w:hAnsiTheme="minorHAnsi" w:cstheme="minorHAnsi"/>
                <w:color w:val="000000"/>
                <w:sz w:val="20"/>
                <w:szCs w:val="20"/>
                <w:lang w:eastAsia="en-GB"/>
              </w:rPr>
              <w:t>workstations</w:t>
            </w:r>
            <w:proofErr w:type="gramEnd"/>
          </w:p>
          <w:p w14:paraId="5C67FCD8"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 xml:space="preserve">Payment to loaders for vaccine loading and off </w:t>
            </w:r>
            <w:proofErr w:type="gramStart"/>
            <w:r w:rsidRPr="009075C2">
              <w:rPr>
                <w:rFonts w:asciiTheme="minorHAnsi" w:eastAsia="Times New Roman" w:hAnsiTheme="minorHAnsi" w:cstheme="minorHAnsi"/>
                <w:color w:val="000000"/>
                <w:sz w:val="20"/>
                <w:szCs w:val="20"/>
                <w:lang w:eastAsia="en-GB"/>
              </w:rPr>
              <w:t>loading</w:t>
            </w:r>
            <w:proofErr w:type="gramEnd"/>
          </w:p>
          <w:p w14:paraId="1C5BE43B" w14:textId="77777777" w:rsidR="00DF08C0" w:rsidRPr="009075C2" w:rsidRDefault="00DF08C0" w:rsidP="005A1AE9">
            <w:pPr>
              <w:spacing w:line="240" w:lineRule="auto"/>
              <w:rPr>
                <w:rFonts w:asciiTheme="minorHAnsi" w:hAnsiTheme="minorHAnsi" w:cstheme="minorHAnsi"/>
                <w:sz w:val="20"/>
                <w:szCs w:val="20"/>
              </w:rPr>
            </w:pPr>
            <w:r w:rsidRPr="009075C2">
              <w:rPr>
                <w:rFonts w:asciiTheme="minorHAnsi" w:hAnsiTheme="minorHAnsi" w:cstheme="minorHAnsi"/>
                <w:sz w:val="20"/>
                <w:szCs w:val="20"/>
              </w:rPr>
              <w:t xml:space="preserve">Cost of the buildings used to store influenza </w:t>
            </w:r>
            <w:proofErr w:type="gramStart"/>
            <w:r w:rsidRPr="009075C2">
              <w:rPr>
                <w:rFonts w:asciiTheme="minorHAnsi" w:hAnsiTheme="minorHAnsi" w:cstheme="minorHAnsi"/>
                <w:sz w:val="20"/>
                <w:szCs w:val="20"/>
              </w:rPr>
              <w:t>vaccine</w:t>
            </w:r>
            <w:proofErr w:type="gramEnd"/>
          </w:p>
          <w:p w14:paraId="0C4F6548"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Costs of the installation and use of a burning chamber</w:t>
            </w:r>
          </w:p>
          <w:p w14:paraId="5CED3752"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lastRenderedPageBreak/>
              <w:t>Purchase and maintenance costs of walk-in cold rooms and cold chain equipment and supplies</w:t>
            </w:r>
          </w:p>
          <w:p w14:paraId="13703F86"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p>
        </w:tc>
      </w:tr>
      <w:tr w:rsidR="00DF08C0" w:rsidRPr="00650E9C" w14:paraId="344DC84C" w14:textId="77777777" w:rsidTr="005A1AE9">
        <w:trPr>
          <w:trHeight w:val="290"/>
        </w:trPr>
        <w:tc>
          <w:tcPr>
            <w:tcW w:w="1271" w:type="dxa"/>
            <w:shd w:val="clear" w:color="auto" w:fill="auto"/>
            <w:noWrap/>
            <w:hideMark/>
          </w:tcPr>
          <w:p w14:paraId="79580C48"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lastRenderedPageBreak/>
              <w:t>Service delivery</w:t>
            </w:r>
          </w:p>
        </w:tc>
        <w:tc>
          <w:tcPr>
            <w:tcW w:w="5812" w:type="dxa"/>
            <w:shd w:val="clear" w:color="auto" w:fill="auto"/>
            <w:noWrap/>
            <w:hideMark/>
          </w:tcPr>
          <w:p w14:paraId="41DC25C2"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Storage and administration of the vaccine at the health facility level</w:t>
            </w:r>
          </w:p>
        </w:tc>
        <w:tc>
          <w:tcPr>
            <w:tcW w:w="6865" w:type="dxa"/>
            <w:shd w:val="clear" w:color="auto" w:fill="auto"/>
            <w:hideMark/>
          </w:tcPr>
          <w:p w14:paraId="35A16A34" w14:textId="77777777" w:rsidR="00DF08C0" w:rsidRPr="009075C2" w:rsidRDefault="00DF08C0" w:rsidP="005A1AE9">
            <w:pPr>
              <w:spacing w:line="240" w:lineRule="auto"/>
              <w:rPr>
                <w:rFonts w:asciiTheme="minorHAnsi" w:hAnsiTheme="minorHAnsi" w:cstheme="minorHAnsi"/>
                <w:sz w:val="20"/>
                <w:szCs w:val="20"/>
              </w:rPr>
            </w:pPr>
            <w:r w:rsidRPr="009075C2">
              <w:rPr>
                <w:rFonts w:asciiTheme="minorHAnsi" w:hAnsiTheme="minorHAnsi" w:cstheme="minorHAnsi"/>
                <w:sz w:val="20"/>
                <w:szCs w:val="20"/>
              </w:rPr>
              <w:t>Salaries of health care workers</w:t>
            </w:r>
          </w:p>
          <w:p w14:paraId="0C7427DB" w14:textId="77777777" w:rsidR="00DF08C0" w:rsidRPr="009075C2" w:rsidRDefault="00DF08C0" w:rsidP="005A1AE9">
            <w:pPr>
              <w:spacing w:line="240" w:lineRule="auto"/>
              <w:rPr>
                <w:rFonts w:asciiTheme="minorHAnsi" w:hAnsiTheme="minorHAnsi" w:cstheme="minorHAnsi"/>
                <w:sz w:val="20"/>
                <w:szCs w:val="20"/>
              </w:rPr>
            </w:pPr>
            <w:r w:rsidRPr="009075C2">
              <w:rPr>
                <w:rFonts w:asciiTheme="minorHAnsi" w:hAnsiTheme="minorHAnsi" w:cstheme="minorHAnsi"/>
                <w:sz w:val="20"/>
                <w:szCs w:val="20"/>
              </w:rPr>
              <w:t xml:space="preserve">Costs of buildings where influenza vaccine was </w:t>
            </w:r>
            <w:proofErr w:type="gramStart"/>
            <w:r w:rsidRPr="009075C2">
              <w:rPr>
                <w:rFonts w:asciiTheme="minorHAnsi" w:hAnsiTheme="minorHAnsi" w:cstheme="minorHAnsi"/>
                <w:sz w:val="20"/>
                <w:szCs w:val="20"/>
              </w:rPr>
              <w:t>administered</w:t>
            </w:r>
            <w:proofErr w:type="gramEnd"/>
          </w:p>
          <w:p w14:paraId="5F29C3AA" w14:textId="77777777" w:rsidR="00DF08C0" w:rsidRPr="009075C2" w:rsidRDefault="00DF08C0" w:rsidP="005A1AE9">
            <w:pPr>
              <w:spacing w:line="240" w:lineRule="auto"/>
              <w:rPr>
                <w:rFonts w:asciiTheme="minorHAnsi" w:hAnsiTheme="minorHAnsi" w:cstheme="minorHAnsi"/>
                <w:sz w:val="20"/>
                <w:szCs w:val="20"/>
              </w:rPr>
            </w:pPr>
            <w:r w:rsidRPr="009075C2">
              <w:rPr>
                <w:rFonts w:asciiTheme="minorHAnsi" w:hAnsiTheme="minorHAnsi" w:cstheme="minorHAnsi"/>
                <w:sz w:val="20"/>
                <w:szCs w:val="20"/>
              </w:rPr>
              <w:t>Overhead costs (water and electricity)</w:t>
            </w:r>
          </w:p>
          <w:p w14:paraId="6044390E" w14:textId="77777777" w:rsidR="00DF08C0" w:rsidRPr="009075C2" w:rsidRDefault="00DF08C0" w:rsidP="005A1AE9">
            <w:pPr>
              <w:spacing w:line="240" w:lineRule="auto"/>
              <w:rPr>
                <w:rFonts w:asciiTheme="minorHAnsi" w:eastAsia="Times New Roman" w:hAnsiTheme="minorHAnsi" w:cstheme="minorHAnsi"/>
                <w:sz w:val="20"/>
                <w:szCs w:val="20"/>
                <w:lang w:eastAsia="en-GB"/>
              </w:rPr>
            </w:pPr>
          </w:p>
        </w:tc>
      </w:tr>
      <w:tr w:rsidR="00DF08C0" w:rsidRPr="00650E9C" w14:paraId="4D395EFF" w14:textId="77777777" w:rsidTr="005A1AE9">
        <w:trPr>
          <w:trHeight w:val="290"/>
        </w:trPr>
        <w:tc>
          <w:tcPr>
            <w:tcW w:w="1271" w:type="dxa"/>
            <w:shd w:val="clear" w:color="auto" w:fill="auto"/>
            <w:noWrap/>
            <w:hideMark/>
          </w:tcPr>
          <w:p w14:paraId="2709C8E7"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Monitoring</w:t>
            </w:r>
          </w:p>
        </w:tc>
        <w:tc>
          <w:tcPr>
            <w:tcW w:w="5812" w:type="dxa"/>
            <w:shd w:val="clear" w:color="auto" w:fill="auto"/>
            <w:noWrap/>
            <w:hideMark/>
          </w:tcPr>
          <w:p w14:paraId="3D6D0FB9"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 xml:space="preserve">Monitoring the influenza vaccine project at the national, </w:t>
            </w:r>
            <w:proofErr w:type="gramStart"/>
            <w:r w:rsidRPr="009075C2">
              <w:rPr>
                <w:rFonts w:asciiTheme="minorHAnsi" w:eastAsia="Times New Roman" w:hAnsiTheme="minorHAnsi" w:cstheme="minorHAnsi"/>
                <w:color w:val="000000"/>
                <w:sz w:val="20"/>
                <w:szCs w:val="20"/>
                <w:lang w:eastAsia="en-GB"/>
              </w:rPr>
              <w:t>county</w:t>
            </w:r>
            <w:proofErr w:type="gramEnd"/>
            <w:r w:rsidRPr="009075C2">
              <w:rPr>
                <w:rFonts w:asciiTheme="minorHAnsi" w:eastAsia="Times New Roman" w:hAnsiTheme="minorHAnsi" w:cstheme="minorHAnsi"/>
                <w:color w:val="000000"/>
                <w:sz w:val="20"/>
                <w:szCs w:val="20"/>
                <w:lang w:eastAsia="en-GB"/>
              </w:rPr>
              <w:t xml:space="preserve"> and sub</w:t>
            </w:r>
            <w:r>
              <w:rPr>
                <w:rFonts w:asciiTheme="minorHAnsi" w:eastAsia="Times New Roman" w:hAnsiTheme="minorHAnsi" w:cstheme="minorHAnsi"/>
                <w:color w:val="000000"/>
                <w:sz w:val="20"/>
                <w:szCs w:val="20"/>
                <w:lang w:eastAsia="en-GB"/>
              </w:rPr>
              <w:t>-</w:t>
            </w:r>
            <w:r w:rsidRPr="009075C2">
              <w:rPr>
                <w:rFonts w:asciiTheme="minorHAnsi" w:eastAsia="Times New Roman" w:hAnsiTheme="minorHAnsi" w:cstheme="minorHAnsi"/>
                <w:color w:val="000000"/>
                <w:sz w:val="20"/>
                <w:szCs w:val="20"/>
                <w:lang w:eastAsia="en-GB"/>
              </w:rPr>
              <w:t>county level</w:t>
            </w:r>
          </w:p>
        </w:tc>
        <w:tc>
          <w:tcPr>
            <w:tcW w:w="6865" w:type="dxa"/>
            <w:shd w:val="clear" w:color="auto" w:fill="auto"/>
            <w:hideMark/>
          </w:tcPr>
          <w:p w14:paraId="1C0102D4" w14:textId="77777777" w:rsidR="00DF08C0" w:rsidRPr="009075C2" w:rsidRDefault="00DF08C0" w:rsidP="005A1AE9">
            <w:pPr>
              <w:spacing w:line="240" w:lineRule="auto"/>
              <w:rPr>
                <w:rFonts w:asciiTheme="minorHAnsi" w:eastAsia="Times New Roman" w:hAnsiTheme="minorHAnsi" w:cstheme="minorHAnsi"/>
                <w:sz w:val="20"/>
                <w:szCs w:val="20"/>
                <w:lang w:eastAsia="en-GB"/>
              </w:rPr>
            </w:pPr>
            <w:r w:rsidRPr="009075C2">
              <w:rPr>
                <w:rFonts w:asciiTheme="minorHAnsi" w:eastAsia="Times New Roman" w:hAnsiTheme="minorHAnsi" w:cstheme="minorHAnsi"/>
                <w:sz w:val="20"/>
                <w:szCs w:val="20"/>
                <w:lang w:eastAsia="en-GB"/>
              </w:rPr>
              <w:t xml:space="preserve">Salaries of health care workers at the national, </w:t>
            </w:r>
            <w:proofErr w:type="gramStart"/>
            <w:r w:rsidRPr="009075C2">
              <w:rPr>
                <w:rFonts w:asciiTheme="minorHAnsi" w:eastAsia="Times New Roman" w:hAnsiTheme="minorHAnsi" w:cstheme="minorHAnsi"/>
                <w:sz w:val="20"/>
                <w:szCs w:val="20"/>
                <w:lang w:eastAsia="en-GB"/>
              </w:rPr>
              <w:t>county</w:t>
            </w:r>
            <w:proofErr w:type="gramEnd"/>
            <w:r w:rsidRPr="009075C2">
              <w:rPr>
                <w:rFonts w:asciiTheme="minorHAnsi" w:eastAsia="Times New Roman" w:hAnsiTheme="minorHAnsi" w:cstheme="minorHAnsi"/>
                <w:sz w:val="20"/>
                <w:szCs w:val="20"/>
                <w:lang w:eastAsia="en-GB"/>
              </w:rPr>
              <w:t xml:space="preserve"> and sub</w:t>
            </w:r>
            <w:r>
              <w:rPr>
                <w:rFonts w:asciiTheme="minorHAnsi" w:eastAsia="Times New Roman" w:hAnsiTheme="minorHAnsi" w:cstheme="minorHAnsi"/>
                <w:sz w:val="20"/>
                <w:szCs w:val="20"/>
                <w:lang w:eastAsia="en-GB"/>
              </w:rPr>
              <w:t>-</w:t>
            </w:r>
            <w:r w:rsidRPr="009075C2">
              <w:rPr>
                <w:rFonts w:asciiTheme="minorHAnsi" w:eastAsia="Times New Roman" w:hAnsiTheme="minorHAnsi" w:cstheme="minorHAnsi"/>
                <w:sz w:val="20"/>
                <w:szCs w:val="20"/>
                <w:lang w:eastAsia="en-GB"/>
              </w:rPr>
              <w:t>county level</w:t>
            </w:r>
          </w:p>
          <w:p w14:paraId="6DD63197" w14:textId="77777777" w:rsidR="00DF08C0" w:rsidRPr="009075C2" w:rsidRDefault="00DF08C0" w:rsidP="005A1AE9">
            <w:pPr>
              <w:spacing w:line="240" w:lineRule="auto"/>
              <w:rPr>
                <w:rFonts w:asciiTheme="minorHAnsi" w:eastAsia="Times New Roman" w:hAnsiTheme="minorHAnsi" w:cstheme="minorHAnsi"/>
                <w:sz w:val="20"/>
                <w:szCs w:val="20"/>
                <w:lang w:eastAsia="en-GB"/>
              </w:rPr>
            </w:pPr>
          </w:p>
        </w:tc>
      </w:tr>
      <w:tr w:rsidR="00DF08C0" w:rsidRPr="00650E9C" w14:paraId="5A83036F" w14:textId="77777777" w:rsidTr="005A1AE9">
        <w:trPr>
          <w:trHeight w:val="290"/>
        </w:trPr>
        <w:tc>
          <w:tcPr>
            <w:tcW w:w="1271" w:type="dxa"/>
            <w:shd w:val="clear" w:color="auto" w:fill="auto"/>
            <w:noWrap/>
            <w:hideMark/>
          </w:tcPr>
          <w:p w14:paraId="2CFE4144" w14:textId="77777777" w:rsidR="00DF08C0" w:rsidRPr="009075C2" w:rsidRDefault="00DF08C0" w:rsidP="005A1AE9">
            <w:pPr>
              <w:spacing w:line="240" w:lineRule="auto"/>
              <w:rPr>
                <w:rFonts w:ascii="Calibri" w:eastAsia="Times New Roman" w:hAnsi="Calibri" w:cs="Calibri"/>
                <w:b/>
                <w:bCs/>
                <w:color w:val="000000"/>
                <w:sz w:val="20"/>
                <w:szCs w:val="20"/>
                <w:lang w:eastAsia="en-GB"/>
              </w:rPr>
            </w:pPr>
            <w:r w:rsidRPr="009075C2">
              <w:rPr>
                <w:rFonts w:ascii="Calibri" w:eastAsia="Times New Roman" w:hAnsi="Calibri" w:cs="Calibri"/>
                <w:b/>
                <w:bCs/>
                <w:color w:val="000000"/>
                <w:sz w:val="20"/>
                <w:szCs w:val="20"/>
                <w:lang w:eastAsia="en-GB"/>
              </w:rPr>
              <w:t>Supervision</w:t>
            </w:r>
          </w:p>
        </w:tc>
        <w:tc>
          <w:tcPr>
            <w:tcW w:w="5812" w:type="dxa"/>
            <w:shd w:val="clear" w:color="auto" w:fill="auto"/>
            <w:noWrap/>
            <w:hideMark/>
          </w:tcPr>
          <w:p w14:paraId="311AA55F"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 xml:space="preserve">Supervision of public private and faith-based health facilities offering the influenza vaccine by national, </w:t>
            </w:r>
            <w:proofErr w:type="gramStart"/>
            <w:r w:rsidRPr="009075C2">
              <w:rPr>
                <w:rFonts w:asciiTheme="minorHAnsi" w:eastAsia="Times New Roman" w:hAnsiTheme="minorHAnsi" w:cstheme="minorHAnsi"/>
                <w:color w:val="000000"/>
                <w:sz w:val="20"/>
                <w:szCs w:val="20"/>
                <w:lang w:eastAsia="en-GB"/>
              </w:rPr>
              <w:t>county</w:t>
            </w:r>
            <w:proofErr w:type="gramEnd"/>
            <w:r w:rsidRPr="009075C2">
              <w:rPr>
                <w:rFonts w:asciiTheme="minorHAnsi" w:eastAsia="Times New Roman" w:hAnsiTheme="minorHAnsi" w:cstheme="minorHAnsi"/>
                <w:color w:val="000000"/>
                <w:sz w:val="20"/>
                <w:szCs w:val="20"/>
                <w:lang w:eastAsia="en-GB"/>
              </w:rPr>
              <w:t xml:space="preserve"> and sub</w:t>
            </w:r>
            <w:r>
              <w:rPr>
                <w:rFonts w:asciiTheme="minorHAnsi" w:eastAsia="Times New Roman" w:hAnsiTheme="minorHAnsi" w:cstheme="minorHAnsi"/>
                <w:color w:val="000000"/>
                <w:sz w:val="20"/>
                <w:szCs w:val="20"/>
                <w:lang w:eastAsia="en-GB"/>
              </w:rPr>
              <w:t>-</w:t>
            </w:r>
            <w:r w:rsidRPr="009075C2">
              <w:rPr>
                <w:rFonts w:asciiTheme="minorHAnsi" w:eastAsia="Times New Roman" w:hAnsiTheme="minorHAnsi" w:cstheme="minorHAnsi"/>
                <w:color w:val="000000"/>
                <w:sz w:val="20"/>
                <w:szCs w:val="20"/>
                <w:lang w:eastAsia="en-GB"/>
              </w:rPr>
              <w:t>county staff</w:t>
            </w:r>
          </w:p>
        </w:tc>
        <w:tc>
          <w:tcPr>
            <w:tcW w:w="6865" w:type="dxa"/>
            <w:shd w:val="clear" w:color="auto" w:fill="auto"/>
            <w:hideMark/>
          </w:tcPr>
          <w:p w14:paraId="6646F4EB" w14:textId="77777777" w:rsidR="00DF08C0" w:rsidRPr="009075C2" w:rsidRDefault="00DF08C0" w:rsidP="005A1AE9">
            <w:pPr>
              <w:spacing w:line="240" w:lineRule="auto"/>
              <w:rPr>
                <w:rFonts w:asciiTheme="minorHAnsi" w:eastAsia="Times New Roman" w:hAnsiTheme="minorHAnsi" w:cstheme="minorHAnsi"/>
                <w:color w:val="000000"/>
                <w:sz w:val="20"/>
                <w:szCs w:val="20"/>
                <w:lang w:eastAsia="en-GB"/>
              </w:rPr>
            </w:pPr>
            <w:r w:rsidRPr="009075C2">
              <w:rPr>
                <w:rFonts w:asciiTheme="minorHAnsi" w:eastAsia="Times New Roman" w:hAnsiTheme="minorHAnsi" w:cstheme="minorHAnsi"/>
                <w:color w:val="000000"/>
                <w:sz w:val="20"/>
                <w:szCs w:val="20"/>
                <w:lang w:eastAsia="en-GB"/>
              </w:rPr>
              <w:t>Daily Subsistence Allowances (DSA) and lunch allowances for government staff travelling away from their workstations</w:t>
            </w:r>
            <w:r w:rsidRPr="009075C2">
              <w:rPr>
                <w:rFonts w:asciiTheme="minorHAnsi" w:eastAsia="Times New Roman" w:hAnsiTheme="minorHAnsi" w:cstheme="minorHAnsi"/>
                <w:color w:val="000000"/>
                <w:sz w:val="20"/>
                <w:szCs w:val="20"/>
                <w:lang w:eastAsia="en-GB"/>
              </w:rPr>
              <w:br/>
              <w:t>Transport costs such as fuel costs for government vehicles, car hire, air tickets, daily transport allowances for individuals travelling away from their workstations</w:t>
            </w:r>
            <w:r w:rsidRPr="009075C2">
              <w:rPr>
                <w:rFonts w:asciiTheme="minorHAnsi" w:eastAsia="Times New Roman" w:hAnsiTheme="minorHAnsi" w:cstheme="minorHAnsi"/>
                <w:color w:val="000000"/>
                <w:sz w:val="20"/>
                <w:szCs w:val="20"/>
                <w:lang w:eastAsia="en-GB"/>
              </w:rPr>
              <w:br/>
              <w:t xml:space="preserve">Meeting venue costs such as hall hire, tent hire, </w:t>
            </w:r>
            <w:r>
              <w:rPr>
                <w:rFonts w:asciiTheme="minorHAnsi" w:eastAsia="Times New Roman" w:hAnsiTheme="minorHAnsi" w:cstheme="minorHAnsi"/>
                <w:color w:val="000000"/>
                <w:sz w:val="20"/>
                <w:szCs w:val="20"/>
                <w:lang w:eastAsia="en-GB"/>
              </w:rPr>
              <w:t>meeting/training</w:t>
            </w:r>
            <w:r w:rsidRPr="009075C2">
              <w:rPr>
                <w:rFonts w:asciiTheme="minorHAnsi" w:eastAsia="Times New Roman" w:hAnsiTheme="minorHAnsi" w:cstheme="minorHAnsi"/>
                <w:color w:val="000000"/>
                <w:sz w:val="20"/>
                <w:szCs w:val="20"/>
                <w:lang w:eastAsia="en-GB"/>
              </w:rPr>
              <w:t xml:space="preserve"> costs, printing costs</w:t>
            </w:r>
            <w:r w:rsidRPr="009075C2">
              <w:rPr>
                <w:rFonts w:asciiTheme="minorHAnsi" w:eastAsia="Times New Roman" w:hAnsiTheme="minorHAnsi" w:cstheme="minorHAnsi"/>
                <w:color w:val="000000"/>
                <w:sz w:val="20"/>
                <w:szCs w:val="20"/>
                <w:lang w:eastAsia="en-GB"/>
              </w:rPr>
              <w:br/>
              <w:t>Communication costs such as mobile phone charges</w:t>
            </w:r>
            <w:r w:rsidRPr="009075C2">
              <w:rPr>
                <w:rFonts w:asciiTheme="minorHAnsi" w:eastAsia="Times New Roman" w:hAnsiTheme="minorHAnsi" w:cstheme="minorHAnsi"/>
                <w:color w:val="000000"/>
                <w:sz w:val="20"/>
                <w:szCs w:val="20"/>
                <w:lang w:eastAsia="en-GB"/>
              </w:rPr>
              <w:br/>
              <w:t xml:space="preserve">Design, printing and recording of audiovisual IEC </w:t>
            </w:r>
            <w:proofErr w:type="gramStart"/>
            <w:r w:rsidRPr="009075C2">
              <w:rPr>
                <w:rFonts w:asciiTheme="minorHAnsi" w:eastAsia="Times New Roman" w:hAnsiTheme="minorHAnsi" w:cstheme="minorHAnsi"/>
                <w:color w:val="000000"/>
                <w:sz w:val="20"/>
                <w:szCs w:val="20"/>
                <w:lang w:eastAsia="en-GB"/>
              </w:rPr>
              <w:t>material</w:t>
            </w:r>
            <w:proofErr w:type="gramEnd"/>
          </w:p>
          <w:p w14:paraId="4B2EB92E" w14:textId="77777777" w:rsidR="00DF08C0" w:rsidRPr="009075C2" w:rsidRDefault="00DF08C0" w:rsidP="005A1AE9">
            <w:pPr>
              <w:spacing w:line="240" w:lineRule="auto"/>
              <w:rPr>
                <w:rFonts w:asciiTheme="minorHAnsi" w:eastAsia="Times New Roman" w:hAnsiTheme="minorHAnsi" w:cstheme="minorHAnsi"/>
                <w:sz w:val="20"/>
                <w:szCs w:val="20"/>
                <w:lang w:eastAsia="en-GB"/>
              </w:rPr>
            </w:pPr>
          </w:p>
        </w:tc>
      </w:tr>
    </w:tbl>
    <w:p w14:paraId="6F279E7A" w14:textId="77777777" w:rsidR="00DF08C0" w:rsidRDefault="00DF08C0" w:rsidP="00DF08C0">
      <w:pPr>
        <w:spacing w:after="160" w:line="259" w:lineRule="auto"/>
        <w:rPr>
          <w:rFonts w:asciiTheme="minorHAnsi" w:hAnsiTheme="minorHAnsi" w:cstheme="minorHAnsi"/>
          <w:sz w:val="22"/>
          <w:szCs w:val="22"/>
        </w:rPr>
        <w:sectPr w:rsidR="00DF08C0" w:rsidSect="0089142F">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pPr>
    </w:p>
    <w:p w14:paraId="5DF79066" w14:textId="33D42700" w:rsidR="00DF08C0" w:rsidRDefault="00DF08C0" w:rsidP="00DF08C0">
      <w:pPr>
        <w:spacing w:line="240" w:lineRule="auto"/>
        <w:jc w:val="both"/>
        <w:rPr>
          <w:rFonts w:asciiTheme="minorHAnsi" w:hAnsiTheme="minorHAnsi" w:cstheme="minorHAnsi"/>
          <w:sz w:val="22"/>
          <w:szCs w:val="22"/>
        </w:rPr>
      </w:pPr>
      <w:r w:rsidRPr="00E85530">
        <w:rPr>
          <w:rFonts w:asciiTheme="minorHAnsi" w:hAnsiTheme="minorHAnsi" w:cstheme="minorHAnsi"/>
          <w:sz w:val="22"/>
          <w:szCs w:val="22"/>
        </w:rPr>
        <w:lastRenderedPageBreak/>
        <w:t>For any cost item that was shared between the influenza vaccine project and other health services</w:t>
      </w:r>
      <w:r>
        <w:rPr>
          <w:rFonts w:asciiTheme="minorHAnsi" w:hAnsiTheme="minorHAnsi" w:cstheme="minorHAnsi"/>
          <w:sz w:val="22"/>
          <w:szCs w:val="22"/>
        </w:rPr>
        <w:t>,</w:t>
      </w:r>
      <w:r w:rsidRPr="00E85530">
        <w:rPr>
          <w:rFonts w:asciiTheme="minorHAnsi" w:hAnsiTheme="minorHAnsi" w:cstheme="minorHAnsi"/>
          <w:sz w:val="22"/>
          <w:szCs w:val="22"/>
        </w:rPr>
        <w:t xml:space="preserve"> we obtained healthcare workers’ inputs to </w:t>
      </w:r>
      <w:r>
        <w:rPr>
          <w:rFonts w:asciiTheme="minorHAnsi" w:hAnsiTheme="minorHAnsi" w:cstheme="minorHAnsi"/>
          <w:sz w:val="22"/>
          <w:szCs w:val="22"/>
        </w:rPr>
        <w:t>determine</w:t>
      </w:r>
      <w:r w:rsidRPr="00E85530">
        <w:rPr>
          <w:rFonts w:asciiTheme="minorHAnsi" w:hAnsiTheme="minorHAnsi" w:cstheme="minorHAnsi"/>
          <w:sz w:val="22"/>
          <w:szCs w:val="22"/>
        </w:rPr>
        <w:t xml:space="preserve"> the proportion allocable to the influenza vaccine project. Daily Subsistence Allowance (DSA) </w:t>
      </w:r>
      <w:r>
        <w:rPr>
          <w:rFonts w:asciiTheme="minorHAnsi" w:hAnsiTheme="minorHAnsi" w:cstheme="minorHAnsi"/>
          <w:sz w:val="22"/>
          <w:szCs w:val="22"/>
        </w:rPr>
        <w:t xml:space="preserve">costs were obtained from the Salaries and Remuneration Commission </w:t>
      </w:r>
      <w:r w:rsidR="006C144C">
        <w:rPr>
          <w:rFonts w:asciiTheme="minorHAnsi" w:hAnsiTheme="minorHAnsi" w:cstheme="minorHAnsi"/>
          <w:noProof/>
          <w:sz w:val="22"/>
          <w:szCs w:val="22"/>
        </w:rPr>
        <w:t>[1]</w:t>
      </w:r>
      <w:r>
        <w:rPr>
          <w:rFonts w:asciiTheme="minorHAnsi" w:hAnsiTheme="minorHAnsi" w:cstheme="minorHAnsi"/>
          <w:sz w:val="22"/>
          <w:szCs w:val="22"/>
        </w:rPr>
        <w:t>. For transport costs such as air tickets, we used a standard rate across all the strategies as there were substantial fluctuations in air ticket prices during the demonstration project that were unrelated to the strategies. For most cost items, the annual costs were obtained. Annual costs were included in the year-round analysis while for the campaign strategy annual costs were divided by 3 to obtain the cost associated with the 4-month campaign strategy.</w:t>
      </w:r>
    </w:p>
    <w:p w14:paraId="7D6B9069" w14:textId="77777777" w:rsidR="00DF08C0" w:rsidRPr="00E85530" w:rsidRDefault="00DF08C0" w:rsidP="00DF08C0">
      <w:pPr>
        <w:spacing w:line="240" w:lineRule="auto"/>
        <w:jc w:val="both"/>
        <w:rPr>
          <w:rFonts w:asciiTheme="minorHAnsi" w:hAnsiTheme="minorHAnsi" w:cstheme="minorHAnsi"/>
          <w:sz w:val="22"/>
          <w:szCs w:val="22"/>
        </w:rPr>
      </w:pPr>
    </w:p>
    <w:p w14:paraId="229019E9" w14:textId="77777777" w:rsidR="00DF08C0" w:rsidRDefault="00DF08C0" w:rsidP="00DF08C0">
      <w:pPr>
        <w:spacing w:after="160" w:line="259" w:lineRule="auto"/>
        <w:rPr>
          <w:rFonts w:asciiTheme="minorHAnsi" w:hAnsiTheme="minorHAnsi" w:cstheme="minorHAnsi"/>
          <w:sz w:val="22"/>
          <w:szCs w:val="22"/>
        </w:rPr>
      </w:pPr>
      <w:r>
        <w:rPr>
          <w:rFonts w:asciiTheme="minorHAnsi" w:hAnsiTheme="minorHAnsi" w:cstheme="minorHAnsi"/>
          <w:sz w:val="22"/>
          <w:szCs w:val="22"/>
        </w:rPr>
        <w:t>We provide additional notes on the categories in the section below:</w:t>
      </w:r>
    </w:p>
    <w:p w14:paraId="0D3ECC99" w14:textId="77777777" w:rsidR="00DF08C0" w:rsidRDefault="00DF08C0" w:rsidP="00DF08C0">
      <w:pPr>
        <w:spacing w:line="240" w:lineRule="auto"/>
        <w:jc w:val="both"/>
        <w:rPr>
          <w:rFonts w:asciiTheme="minorHAnsi" w:hAnsiTheme="minorHAnsi" w:cstheme="minorHAnsi"/>
          <w:sz w:val="22"/>
          <w:szCs w:val="22"/>
        </w:rPr>
      </w:pPr>
      <w:r w:rsidRPr="00E85530">
        <w:rPr>
          <w:rFonts w:asciiTheme="minorHAnsi" w:hAnsiTheme="minorHAnsi" w:cstheme="minorHAnsi"/>
          <w:b/>
          <w:bCs/>
          <w:sz w:val="22"/>
          <w:szCs w:val="22"/>
        </w:rPr>
        <w:t>Advocacy and social mobilization</w:t>
      </w:r>
      <w:r w:rsidRPr="00E85530">
        <w:rPr>
          <w:rFonts w:asciiTheme="minorHAnsi" w:hAnsiTheme="minorHAnsi" w:cstheme="minorHAnsi"/>
          <w:sz w:val="22"/>
          <w:szCs w:val="22"/>
        </w:rPr>
        <w:t>: For the purposes of this analysis, costs incurred at the national, and county level were not shared between strategies. We incorporated the full costs of each of these activities into each of the strategies to avoid underestimating the cost of delivering each strategy. For example, one national level advocacy meeting was held to discuss the influenza vaccine project. We did not assign half of the costs to either strategy because if one strategy had been adopted this meeting would still have been held at a similar cost.</w:t>
      </w:r>
    </w:p>
    <w:p w14:paraId="3D3BD1F7" w14:textId="77777777" w:rsidR="00DF08C0" w:rsidRDefault="00DF08C0" w:rsidP="00DF08C0">
      <w:pPr>
        <w:spacing w:line="240" w:lineRule="auto"/>
        <w:jc w:val="both"/>
        <w:rPr>
          <w:rFonts w:asciiTheme="minorHAnsi" w:hAnsiTheme="minorHAnsi" w:cstheme="minorHAnsi"/>
          <w:sz w:val="22"/>
          <w:szCs w:val="22"/>
        </w:rPr>
      </w:pPr>
    </w:p>
    <w:p w14:paraId="3AF2B60A" w14:textId="77777777" w:rsidR="00DF08C0" w:rsidRPr="00BA5E6A" w:rsidRDefault="00DF08C0" w:rsidP="00DF08C0">
      <w:pPr>
        <w:spacing w:line="240" w:lineRule="auto"/>
        <w:jc w:val="both"/>
        <w:rPr>
          <w:rFonts w:asciiTheme="minorHAnsi" w:hAnsiTheme="minorHAnsi" w:cstheme="minorHAnsi"/>
          <w:i/>
          <w:iCs/>
          <w:sz w:val="22"/>
          <w:szCs w:val="22"/>
          <w:u w:val="single"/>
        </w:rPr>
      </w:pPr>
      <w:r w:rsidRPr="0024690B">
        <w:rPr>
          <w:rFonts w:asciiTheme="minorHAnsi" w:hAnsiTheme="minorHAnsi" w:cstheme="minorHAnsi"/>
          <w:b/>
          <w:bCs/>
          <w:sz w:val="22"/>
          <w:szCs w:val="22"/>
        </w:rPr>
        <w:t>Distribution:</w:t>
      </w:r>
      <w:r>
        <w:rPr>
          <w:rFonts w:asciiTheme="minorHAnsi" w:hAnsiTheme="minorHAnsi" w:cstheme="minorHAnsi"/>
          <w:sz w:val="22"/>
          <w:szCs w:val="22"/>
        </w:rPr>
        <w:t xml:space="preserve"> For the duration of the demonstration project, the regional store in Mombasa was not in use due to renovations and costs associated with vaccine storage at this level were captured during data collection. These costs were excluded from the analysis from the analysis. </w:t>
      </w:r>
    </w:p>
    <w:p w14:paraId="0C3E7826" w14:textId="77777777" w:rsidR="00DF08C0" w:rsidRPr="00BD6CB5" w:rsidRDefault="00DF08C0" w:rsidP="00DF08C0">
      <w:pPr>
        <w:spacing w:line="240" w:lineRule="auto"/>
        <w:jc w:val="both"/>
        <w:rPr>
          <w:rFonts w:asciiTheme="minorHAnsi" w:hAnsiTheme="minorHAnsi" w:cstheme="minorHAnsi"/>
          <w:sz w:val="22"/>
          <w:szCs w:val="22"/>
        </w:rPr>
      </w:pPr>
    </w:p>
    <w:p w14:paraId="53940D77" w14:textId="77777777" w:rsidR="00DF08C0" w:rsidRDefault="00DF08C0" w:rsidP="00DF08C0">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Vaccines were distributed the national level to regional stores once every 3 months. In the year-round strategy vaccines were collected from the regional store twice every 3 months as compared once in 3 months for the campaign strategy. The number of trips was influenced by the space available at the sub-county store. The health facility collected vaccines from the sub-county store once a month. More frequent vaccine deliveries to health facilities were made for the campaign strategy but this cost was not included in the analysis. </w:t>
      </w:r>
    </w:p>
    <w:p w14:paraId="71D568E4" w14:textId="77777777" w:rsidR="00DF08C0" w:rsidRDefault="00DF08C0" w:rsidP="00DF08C0">
      <w:pPr>
        <w:spacing w:line="240" w:lineRule="auto"/>
        <w:jc w:val="both"/>
        <w:rPr>
          <w:rFonts w:asciiTheme="minorHAnsi" w:hAnsiTheme="minorHAnsi" w:cstheme="minorHAnsi"/>
          <w:sz w:val="22"/>
          <w:szCs w:val="22"/>
        </w:rPr>
      </w:pPr>
    </w:p>
    <w:p w14:paraId="2325EACA" w14:textId="77777777" w:rsidR="00DF08C0" w:rsidRPr="00116FFC" w:rsidRDefault="00DF08C0" w:rsidP="00DF08C0">
      <w:pPr>
        <w:spacing w:line="240" w:lineRule="auto"/>
        <w:jc w:val="both"/>
        <w:rPr>
          <w:rFonts w:asciiTheme="minorHAnsi" w:hAnsiTheme="minorHAnsi" w:cstheme="minorHAnsi"/>
          <w:sz w:val="22"/>
          <w:szCs w:val="22"/>
        </w:rPr>
      </w:pPr>
      <w:r w:rsidRPr="0024690B">
        <w:rPr>
          <w:rFonts w:asciiTheme="minorHAnsi" w:hAnsiTheme="minorHAnsi" w:cstheme="minorHAnsi"/>
          <w:b/>
          <w:bCs/>
          <w:sz w:val="22"/>
          <w:szCs w:val="22"/>
        </w:rPr>
        <w:t>Storage</w:t>
      </w:r>
      <w:r>
        <w:rPr>
          <w:rFonts w:asciiTheme="minorHAnsi" w:hAnsiTheme="minorHAnsi" w:cstheme="minorHAnsi"/>
          <w:sz w:val="22"/>
          <w:szCs w:val="22"/>
        </w:rPr>
        <w:t xml:space="preserve">: </w:t>
      </w:r>
      <w:r w:rsidRPr="00116FFC">
        <w:rPr>
          <w:rFonts w:asciiTheme="minorHAnsi" w:hAnsiTheme="minorHAnsi" w:cstheme="minorHAnsi"/>
          <w:sz w:val="22"/>
          <w:szCs w:val="22"/>
        </w:rPr>
        <w:t xml:space="preserve">We used the Equivalent Annual Cost (EAC) to cost the space that </w:t>
      </w:r>
      <w:r>
        <w:rPr>
          <w:rFonts w:asciiTheme="minorHAnsi" w:hAnsiTheme="minorHAnsi" w:cstheme="minorHAnsi"/>
          <w:sz w:val="22"/>
          <w:szCs w:val="22"/>
        </w:rPr>
        <w:t>was</w:t>
      </w:r>
      <w:r w:rsidRPr="00116FFC">
        <w:rPr>
          <w:rFonts w:asciiTheme="minorHAnsi" w:hAnsiTheme="minorHAnsi" w:cstheme="minorHAnsi"/>
          <w:sz w:val="22"/>
          <w:szCs w:val="22"/>
        </w:rPr>
        <w:t xml:space="preserve"> used to store and administer vaccines</w:t>
      </w:r>
      <w:r>
        <w:rPr>
          <w:rFonts w:asciiTheme="minorHAnsi" w:hAnsiTheme="minorHAnsi" w:cstheme="minorHAnsi"/>
          <w:sz w:val="22"/>
          <w:szCs w:val="22"/>
        </w:rPr>
        <w:t xml:space="preserve">. Based on the proportion of space utilized by the influenza vaccine </w:t>
      </w:r>
      <w:r w:rsidRPr="00116FFC">
        <w:rPr>
          <w:rFonts w:asciiTheme="minorHAnsi" w:hAnsiTheme="minorHAnsi" w:cstheme="minorHAnsi"/>
          <w:sz w:val="22"/>
          <w:szCs w:val="22"/>
        </w:rPr>
        <w:t>we then applied th</w:t>
      </w:r>
      <w:r>
        <w:rPr>
          <w:rFonts w:asciiTheme="minorHAnsi" w:hAnsiTheme="minorHAnsi" w:cstheme="minorHAnsi"/>
          <w:sz w:val="22"/>
          <w:szCs w:val="22"/>
        </w:rPr>
        <w:t>is</w:t>
      </w:r>
      <w:r w:rsidRPr="00116FFC">
        <w:rPr>
          <w:rFonts w:asciiTheme="minorHAnsi" w:hAnsiTheme="minorHAnsi" w:cstheme="minorHAnsi"/>
          <w:sz w:val="22"/>
          <w:szCs w:val="22"/>
        </w:rPr>
        <w:t xml:space="preserve"> proportion to obtain </w:t>
      </w:r>
      <w:r>
        <w:rPr>
          <w:rFonts w:asciiTheme="minorHAnsi" w:hAnsiTheme="minorHAnsi" w:cstheme="minorHAnsi"/>
          <w:sz w:val="22"/>
          <w:szCs w:val="22"/>
        </w:rPr>
        <w:t xml:space="preserve">the cost </w:t>
      </w:r>
      <w:r w:rsidRPr="00116FFC">
        <w:rPr>
          <w:rFonts w:asciiTheme="minorHAnsi" w:hAnsiTheme="minorHAnsi" w:cstheme="minorHAnsi"/>
          <w:sz w:val="22"/>
          <w:szCs w:val="22"/>
        </w:rPr>
        <w:t>allocated to influenza vaccine</w:t>
      </w:r>
      <w:r>
        <w:rPr>
          <w:rFonts w:asciiTheme="minorHAnsi" w:hAnsiTheme="minorHAnsi" w:cstheme="minorHAnsi"/>
          <w:sz w:val="22"/>
          <w:szCs w:val="22"/>
        </w:rPr>
        <w:t xml:space="preserve">. </w:t>
      </w:r>
    </w:p>
    <w:p w14:paraId="00AD19E2" w14:textId="77777777" w:rsidR="00DF08C0" w:rsidRPr="00116FFC" w:rsidRDefault="00DF08C0" w:rsidP="00DF08C0">
      <w:pPr>
        <w:spacing w:line="240" w:lineRule="auto"/>
        <w:ind w:left="360"/>
        <w:jc w:val="both"/>
        <w:rPr>
          <w:rFonts w:asciiTheme="minorHAnsi" w:hAnsiTheme="minorHAnsi" w:cstheme="minorHAnsi"/>
          <w:sz w:val="22"/>
          <w:szCs w:val="22"/>
        </w:rPr>
      </w:pPr>
    </w:p>
    <w:p w14:paraId="0BC6A60E" w14:textId="77777777" w:rsidR="00DF08C0" w:rsidRPr="00116FFC" w:rsidRDefault="00DF08C0" w:rsidP="00DF08C0">
      <w:pPr>
        <w:spacing w:line="240" w:lineRule="auto"/>
        <w:rPr>
          <w:rFonts w:asciiTheme="minorHAnsi" w:hAnsiTheme="minorHAnsi" w:cstheme="minorHAnsi"/>
          <w:sz w:val="22"/>
          <w:szCs w:val="22"/>
        </w:rPr>
      </w:pPr>
    </w:p>
    <w:p w14:paraId="5EDD2E58" w14:textId="77777777" w:rsidR="00DF08C0" w:rsidRPr="00116FFC" w:rsidRDefault="00DF08C0" w:rsidP="00DF08C0">
      <w:pPr>
        <w:spacing w:line="240" w:lineRule="auto"/>
        <w:jc w:val="both"/>
        <w:rPr>
          <w:rFonts w:asciiTheme="minorHAnsi" w:hAnsiTheme="minorHAnsi" w:cstheme="minorHAnsi"/>
          <w:b/>
          <w:sz w:val="22"/>
          <w:szCs w:val="22"/>
        </w:rPr>
      </w:pPr>
      <m:oMathPara>
        <m:oMath>
          <m:r>
            <m:rPr>
              <m:sty m:val="bi"/>
            </m:rPr>
            <w:rPr>
              <w:rFonts w:ascii="Cambria Math" w:hAnsi="Cambria Math" w:cstheme="minorHAnsi"/>
              <w:sz w:val="22"/>
              <w:szCs w:val="22"/>
            </w:rPr>
            <m:t xml:space="preserve">Year round strategy </m:t>
          </m:r>
          <m:sSub>
            <m:sSubPr>
              <m:ctrlPr>
                <w:rPr>
                  <w:rFonts w:ascii="Cambria Math" w:hAnsi="Cambria Math" w:cstheme="minorHAnsi"/>
                  <w:b/>
                  <w:i/>
                  <w:sz w:val="22"/>
                  <w:szCs w:val="22"/>
                </w:rPr>
              </m:ctrlPr>
            </m:sSubPr>
            <m:e>
              <m:r>
                <m:rPr>
                  <m:sty m:val="bi"/>
                </m:rPr>
                <w:rPr>
                  <w:rFonts w:ascii="Cambria Math" w:hAnsi="Cambria Math" w:cstheme="minorHAnsi"/>
                  <w:sz w:val="22"/>
                  <w:szCs w:val="22"/>
                </w:rPr>
                <m:t>EAC</m:t>
              </m:r>
            </m:e>
            <m:sub>
              <m:r>
                <m:rPr>
                  <m:sty m:val="bi"/>
                </m:rPr>
                <w:rPr>
                  <w:rFonts w:ascii="Cambria Math" w:hAnsi="Cambria Math" w:cstheme="minorHAnsi"/>
                  <w:sz w:val="22"/>
                  <w:szCs w:val="22"/>
                </w:rPr>
                <m:t>i</m:t>
              </m:r>
            </m:sub>
          </m:sSub>
          <m:r>
            <m:rPr>
              <m:sty m:val="bi"/>
            </m:rPr>
            <w:rPr>
              <w:rFonts w:ascii="Cambria Math" w:hAnsi="Cambria Math" w:cstheme="minorHAnsi"/>
              <w:sz w:val="22"/>
              <w:szCs w:val="22"/>
            </w:rPr>
            <m:t>=</m:t>
          </m:r>
          <m:f>
            <m:fPr>
              <m:ctrlPr>
                <w:rPr>
                  <w:rFonts w:ascii="Cambria Math" w:hAnsi="Cambria Math" w:cstheme="minorHAnsi"/>
                  <w:b/>
                  <w:i/>
                  <w:sz w:val="22"/>
                  <w:szCs w:val="22"/>
                </w:rPr>
              </m:ctrlPr>
            </m:fPr>
            <m:num>
              <m:r>
                <m:rPr>
                  <m:sty m:val="bi"/>
                </m:rPr>
                <w:rPr>
                  <w:rFonts w:ascii="Cambria Math" w:hAnsi="Cambria Math" w:cstheme="minorHAnsi"/>
                  <w:sz w:val="22"/>
                  <w:szCs w:val="22"/>
                </w:rPr>
                <m:t>Cost of space*discount rate</m:t>
              </m:r>
            </m:num>
            <m:den>
              <m:d>
                <m:dPr>
                  <m:begChr m:val="["/>
                  <m:endChr m:val="]"/>
                  <m:ctrlPr>
                    <w:rPr>
                      <w:rFonts w:ascii="Cambria Math" w:hAnsi="Cambria Math" w:cstheme="minorHAnsi"/>
                      <w:b/>
                      <w:i/>
                      <w:sz w:val="22"/>
                      <w:szCs w:val="22"/>
                    </w:rPr>
                  </m:ctrlPr>
                </m:dPr>
                <m:e>
                  <m:r>
                    <m:rPr>
                      <m:sty m:val="bi"/>
                    </m:rPr>
                    <w:rPr>
                      <w:rFonts w:ascii="Cambria Math" w:hAnsi="Cambria Math" w:cstheme="minorHAnsi"/>
                      <w:sz w:val="22"/>
                      <w:szCs w:val="22"/>
                    </w:rPr>
                    <m:t>1-</m:t>
                  </m:r>
                  <m:d>
                    <m:dPr>
                      <m:ctrlPr>
                        <w:rPr>
                          <w:rFonts w:ascii="Cambria Math" w:hAnsi="Cambria Math" w:cstheme="minorHAnsi"/>
                          <w:b/>
                          <w:i/>
                          <w:sz w:val="22"/>
                          <w:szCs w:val="22"/>
                        </w:rPr>
                      </m:ctrlPr>
                    </m:dPr>
                    <m:e>
                      <m:r>
                        <m:rPr>
                          <m:sty m:val="bi"/>
                        </m:rPr>
                        <w:rPr>
                          <w:rFonts w:ascii="Cambria Math" w:hAnsi="Cambria Math" w:cstheme="minorHAnsi"/>
                          <w:sz w:val="22"/>
                          <w:szCs w:val="22"/>
                        </w:rPr>
                        <m:t>1+discount rate</m:t>
                      </m:r>
                    </m:e>
                  </m:d>
                  <m:r>
                    <m:rPr>
                      <m:sty m:val="b"/>
                    </m:rPr>
                    <w:rPr>
                      <w:rFonts w:ascii="Cambria Math" w:hAnsi="Cambria Math" w:cstheme="minorHAnsi"/>
                      <w:sz w:val="22"/>
                      <w:szCs w:val="22"/>
                    </w:rPr>
                    <m:t>^-n</m:t>
                  </m:r>
                </m:e>
              </m:d>
            </m:den>
          </m:f>
        </m:oMath>
      </m:oMathPara>
    </w:p>
    <w:p w14:paraId="6647C157" w14:textId="77777777" w:rsidR="00DF08C0" w:rsidRPr="00116FFC" w:rsidRDefault="00DF08C0" w:rsidP="00DF08C0">
      <w:pPr>
        <w:spacing w:line="240" w:lineRule="auto"/>
        <w:jc w:val="both"/>
        <w:rPr>
          <w:rFonts w:asciiTheme="minorHAnsi" w:hAnsiTheme="minorHAnsi" w:cstheme="minorHAnsi"/>
          <w:sz w:val="22"/>
          <w:szCs w:val="22"/>
        </w:rPr>
      </w:pPr>
    </w:p>
    <w:p w14:paraId="69D1272E" w14:textId="77777777" w:rsidR="00DF08C0" w:rsidRPr="00116FFC" w:rsidRDefault="00DF08C0" w:rsidP="00DF08C0">
      <w:pPr>
        <w:spacing w:line="240" w:lineRule="auto"/>
        <w:jc w:val="both"/>
        <w:rPr>
          <w:rFonts w:asciiTheme="minorHAnsi" w:hAnsiTheme="minorHAnsi" w:cstheme="minorHAnsi"/>
          <w:sz w:val="22"/>
          <w:szCs w:val="22"/>
        </w:rPr>
      </w:pPr>
    </w:p>
    <w:p w14:paraId="17D9043A" w14:textId="77777777" w:rsidR="00DF08C0" w:rsidRPr="00116FFC" w:rsidRDefault="006C144C" w:rsidP="00DF08C0">
      <w:pPr>
        <w:spacing w:line="240" w:lineRule="auto"/>
        <w:jc w:val="both"/>
        <w:rPr>
          <w:rFonts w:asciiTheme="minorHAnsi" w:hAnsiTheme="minorHAnsi" w:cstheme="minorHAnsi"/>
          <w:b/>
          <w:sz w:val="22"/>
          <w:szCs w:val="22"/>
        </w:rPr>
      </w:pPr>
      <m:oMathPara>
        <m:oMath>
          <m:sSub>
            <m:sSubPr>
              <m:ctrlPr>
                <w:rPr>
                  <w:rFonts w:ascii="Cambria Math" w:hAnsi="Cambria Math" w:cstheme="minorHAnsi"/>
                  <w:b/>
                  <w:i/>
                  <w:sz w:val="22"/>
                  <w:szCs w:val="22"/>
                </w:rPr>
              </m:ctrlPr>
            </m:sSubPr>
            <m:e>
              <m:r>
                <m:rPr>
                  <m:sty m:val="bi"/>
                </m:rPr>
                <w:rPr>
                  <w:rFonts w:ascii="Cambria Math" w:hAnsi="Cambria Math" w:cstheme="minorHAnsi"/>
                  <w:sz w:val="22"/>
                  <w:szCs w:val="22"/>
                </w:rPr>
                <m:t>Campaign</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startegy</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EAC</m:t>
              </m:r>
            </m:e>
            <m:sub>
              <m:r>
                <m:rPr>
                  <m:sty m:val="bi"/>
                </m:rPr>
                <w:rPr>
                  <w:rFonts w:ascii="Cambria Math" w:hAnsi="Cambria Math" w:cstheme="minorHAnsi"/>
                  <w:sz w:val="22"/>
                  <w:szCs w:val="22"/>
                </w:rPr>
                <m:t>i</m:t>
              </m:r>
            </m:sub>
          </m:sSub>
          <m:r>
            <m:rPr>
              <m:sty m:val="bi"/>
            </m:rPr>
            <w:rPr>
              <w:rFonts w:ascii="Cambria Math" w:hAnsi="Cambria Math" w:cstheme="minorHAnsi"/>
              <w:sz w:val="22"/>
              <w:szCs w:val="22"/>
            </w:rPr>
            <m:t>=</m:t>
          </m:r>
          <m:d>
            <m:dPr>
              <m:begChr m:val="{"/>
              <m:endChr m:val="}"/>
              <m:ctrlPr>
                <w:rPr>
                  <w:rFonts w:ascii="Cambria Math" w:hAnsi="Cambria Math" w:cstheme="minorHAnsi"/>
                  <w:b/>
                  <w:i/>
                  <w:sz w:val="22"/>
                  <w:szCs w:val="22"/>
                </w:rPr>
              </m:ctrlPr>
            </m:dPr>
            <m:e>
              <m:f>
                <m:fPr>
                  <m:ctrlPr>
                    <w:rPr>
                      <w:rFonts w:ascii="Cambria Math" w:hAnsi="Cambria Math" w:cstheme="minorHAnsi"/>
                      <w:b/>
                      <w:i/>
                      <w:sz w:val="22"/>
                      <w:szCs w:val="22"/>
                    </w:rPr>
                  </m:ctrlPr>
                </m:fPr>
                <m:num>
                  <m:r>
                    <m:rPr>
                      <m:sty m:val="bi"/>
                    </m:rPr>
                    <w:rPr>
                      <w:rFonts w:ascii="Cambria Math" w:hAnsi="Cambria Math" w:cstheme="minorHAnsi"/>
                      <w:sz w:val="22"/>
                      <w:szCs w:val="22"/>
                    </w:rPr>
                    <m:t>Cost</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of</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space</m:t>
                  </m:r>
                  <m:r>
                    <m:rPr>
                      <m:sty m:val="bi"/>
                    </m:rPr>
                    <w:rPr>
                      <w:rFonts w:ascii="Cambria Math" w:hAnsi="Cambria Math" w:cstheme="minorHAnsi"/>
                      <w:sz w:val="22"/>
                      <w:szCs w:val="22"/>
                    </w:rPr>
                    <m:t>*</m:t>
                  </m:r>
                  <m:r>
                    <m:rPr>
                      <m:sty m:val="bi"/>
                    </m:rPr>
                    <w:rPr>
                      <w:rFonts w:ascii="Cambria Math" w:hAnsi="Cambria Math" w:cstheme="minorHAnsi"/>
                      <w:sz w:val="22"/>
                      <w:szCs w:val="22"/>
                    </w:rPr>
                    <m:t>discount</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rate</m:t>
                  </m:r>
                </m:num>
                <m:den>
                  <m:d>
                    <m:dPr>
                      <m:begChr m:val="["/>
                      <m:endChr m:val="]"/>
                      <m:ctrlPr>
                        <w:rPr>
                          <w:rFonts w:ascii="Cambria Math" w:hAnsi="Cambria Math" w:cstheme="minorHAnsi"/>
                          <w:b/>
                          <w:i/>
                          <w:sz w:val="22"/>
                          <w:szCs w:val="22"/>
                        </w:rPr>
                      </m:ctrlPr>
                    </m:dPr>
                    <m:e>
                      <m:r>
                        <m:rPr>
                          <m:sty m:val="bi"/>
                        </m:rPr>
                        <w:rPr>
                          <w:rFonts w:ascii="Cambria Math" w:hAnsi="Cambria Math" w:cstheme="minorHAnsi"/>
                          <w:sz w:val="22"/>
                          <w:szCs w:val="22"/>
                        </w:rPr>
                        <m:t>1</m:t>
                      </m:r>
                      <m:r>
                        <m:rPr>
                          <m:sty m:val="bi"/>
                        </m:rPr>
                        <w:rPr>
                          <w:rFonts w:ascii="Cambria Math" w:hAnsi="Cambria Math" w:cstheme="minorHAnsi"/>
                          <w:sz w:val="22"/>
                          <w:szCs w:val="22"/>
                        </w:rPr>
                        <m:t>-</m:t>
                      </m:r>
                      <m:d>
                        <m:dPr>
                          <m:ctrlPr>
                            <w:rPr>
                              <w:rFonts w:ascii="Cambria Math" w:hAnsi="Cambria Math" w:cstheme="minorHAnsi"/>
                              <w:b/>
                              <w:i/>
                              <w:sz w:val="22"/>
                              <w:szCs w:val="22"/>
                            </w:rPr>
                          </m:ctrlPr>
                        </m:dPr>
                        <m:e>
                          <m:r>
                            <m:rPr>
                              <m:sty m:val="bi"/>
                            </m:rPr>
                            <w:rPr>
                              <w:rFonts w:ascii="Cambria Math" w:hAnsi="Cambria Math" w:cstheme="minorHAnsi"/>
                              <w:sz w:val="22"/>
                              <w:szCs w:val="22"/>
                            </w:rPr>
                            <m:t>1</m:t>
                          </m:r>
                          <m:r>
                            <m:rPr>
                              <m:sty m:val="bi"/>
                            </m:rPr>
                            <w:rPr>
                              <w:rFonts w:ascii="Cambria Math" w:hAnsi="Cambria Math" w:cstheme="minorHAnsi"/>
                              <w:sz w:val="22"/>
                              <w:szCs w:val="22"/>
                            </w:rPr>
                            <m:t>+</m:t>
                          </m:r>
                          <m:r>
                            <m:rPr>
                              <m:sty m:val="bi"/>
                            </m:rPr>
                            <w:rPr>
                              <w:rFonts w:ascii="Cambria Math" w:hAnsi="Cambria Math" w:cstheme="minorHAnsi"/>
                              <w:sz w:val="22"/>
                              <w:szCs w:val="22"/>
                            </w:rPr>
                            <m:t>discount</m:t>
                          </m:r>
                          <m:r>
                            <m:rPr>
                              <m:sty m:val="bi"/>
                            </m:rPr>
                            <w:rPr>
                              <w:rFonts w:ascii="Cambria Math" w:hAnsi="Cambria Math" w:cstheme="minorHAnsi"/>
                              <w:sz w:val="22"/>
                              <w:szCs w:val="22"/>
                            </w:rPr>
                            <m:t xml:space="preserve"> </m:t>
                          </m:r>
                          <m:r>
                            <m:rPr>
                              <m:sty m:val="bi"/>
                            </m:rPr>
                            <w:rPr>
                              <w:rFonts w:ascii="Cambria Math" w:hAnsi="Cambria Math" w:cstheme="minorHAnsi"/>
                              <w:sz w:val="22"/>
                              <w:szCs w:val="22"/>
                            </w:rPr>
                            <m:t>r</m:t>
                          </m:r>
                          <m:r>
                            <m:rPr>
                              <m:sty m:val="bi"/>
                            </m:rPr>
                            <w:rPr>
                              <w:rFonts w:ascii="Cambria Math" w:hAnsi="Cambria Math" w:cstheme="minorHAnsi"/>
                              <w:sz w:val="22"/>
                              <w:szCs w:val="22"/>
                            </w:rPr>
                            <m:t>ate</m:t>
                          </m:r>
                        </m:e>
                      </m:d>
                      <m:r>
                        <m:rPr>
                          <m:sty m:val="b"/>
                        </m:rPr>
                        <w:rPr>
                          <w:rFonts w:ascii="Cambria Math" w:hAnsi="Cambria Math" w:cstheme="minorHAnsi"/>
                          <w:sz w:val="22"/>
                          <w:szCs w:val="22"/>
                        </w:rPr>
                        <m:t>^-</m:t>
                      </m:r>
                      <m:r>
                        <m:rPr>
                          <m:sty m:val="b"/>
                        </m:rPr>
                        <w:rPr>
                          <w:rFonts w:ascii="Cambria Math" w:hAnsi="Cambria Math" w:cstheme="minorHAnsi"/>
                          <w:sz w:val="22"/>
                          <w:szCs w:val="22"/>
                        </w:rPr>
                        <m:t>n</m:t>
                      </m:r>
                    </m:e>
                  </m:d>
                </m:den>
              </m:f>
            </m:e>
          </m:d>
          <m:r>
            <m:rPr>
              <m:sty m:val="bi"/>
            </m:rPr>
            <w:rPr>
              <w:rFonts w:ascii="Cambria Math" w:hAnsi="Cambria Math" w:cstheme="minorHAnsi"/>
              <w:sz w:val="22"/>
              <w:szCs w:val="22"/>
            </w:rPr>
            <m:t>/</m:t>
          </m:r>
          <m:r>
            <m:rPr>
              <m:sty m:val="bi"/>
            </m:rPr>
            <w:rPr>
              <w:rFonts w:ascii="Cambria Math" w:hAnsi="Cambria Math" w:cstheme="minorHAnsi"/>
              <w:sz w:val="22"/>
              <w:szCs w:val="22"/>
            </w:rPr>
            <m:t>3</m:t>
          </m:r>
        </m:oMath>
      </m:oMathPara>
    </w:p>
    <w:p w14:paraId="7B83E9DA" w14:textId="77777777" w:rsidR="00DF08C0" w:rsidRDefault="00DF08C0" w:rsidP="00DF08C0">
      <w:pPr>
        <w:spacing w:line="240" w:lineRule="auto"/>
        <w:jc w:val="both"/>
        <w:rPr>
          <w:rFonts w:asciiTheme="minorHAnsi" w:hAnsiTheme="minorHAnsi" w:cstheme="minorHAnsi"/>
          <w:sz w:val="22"/>
          <w:szCs w:val="22"/>
        </w:rPr>
      </w:pPr>
    </w:p>
    <w:p w14:paraId="0EAF46A9" w14:textId="77777777" w:rsidR="00DF08C0" w:rsidRDefault="00DF08C0" w:rsidP="00DF08C0">
      <w:pPr>
        <w:spacing w:line="240" w:lineRule="auto"/>
        <w:jc w:val="both"/>
        <w:rPr>
          <w:rFonts w:asciiTheme="minorHAnsi" w:hAnsiTheme="minorHAnsi" w:cstheme="minorHAnsi"/>
          <w:sz w:val="22"/>
          <w:szCs w:val="22"/>
        </w:rPr>
      </w:pPr>
      <w:r>
        <w:rPr>
          <w:rFonts w:asciiTheme="minorHAnsi" w:hAnsiTheme="minorHAnsi" w:cstheme="minorHAnsi"/>
          <w:sz w:val="22"/>
          <w:szCs w:val="22"/>
        </w:rPr>
        <w:t>Where:</w:t>
      </w:r>
    </w:p>
    <w:p w14:paraId="75367B9C" w14:textId="77777777" w:rsidR="00DF08C0" w:rsidRPr="00116FFC" w:rsidRDefault="00DF08C0" w:rsidP="00DF08C0">
      <w:pPr>
        <w:spacing w:line="240" w:lineRule="auto"/>
        <w:ind w:firstLine="720"/>
        <w:jc w:val="both"/>
        <w:rPr>
          <w:rFonts w:asciiTheme="minorHAnsi" w:hAnsiTheme="minorHAnsi" w:cstheme="minorHAnsi"/>
          <w:sz w:val="22"/>
          <w:szCs w:val="22"/>
        </w:rPr>
      </w:pPr>
      <w:r>
        <w:rPr>
          <w:rFonts w:asciiTheme="minorHAnsi" w:hAnsiTheme="minorHAnsi" w:cstheme="minorHAnsi"/>
          <w:sz w:val="22"/>
          <w:szCs w:val="22"/>
        </w:rPr>
        <w:t>d</w:t>
      </w:r>
      <w:r w:rsidRPr="00116FFC">
        <w:rPr>
          <w:rFonts w:asciiTheme="minorHAnsi" w:hAnsiTheme="minorHAnsi" w:cstheme="minorHAnsi"/>
          <w:sz w:val="22"/>
          <w:szCs w:val="22"/>
        </w:rPr>
        <w:t xml:space="preserve">iscount rate = 7% </w:t>
      </w:r>
    </w:p>
    <w:p w14:paraId="4631150B" w14:textId="77777777" w:rsidR="00DF08C0" w:rsidRPr="00116FFC" w:rsidRDefault="00DF08C0" w:rsidP="00DF08C0">
      <w:pPr>
        <w:spacing w:line="240" w:lineRule="auto"/>
        <w:ind w:firstLine="720"/>
        <w:jc w:val="both"/>
        <w:rPr>
          <w:rFonts w:asciiTheme="minorHAnsi" w:hAnsiTheme="minorHAnsi" w:cstheme="minorHAnsi"/>
          <w:sz w:val="22"/>
          <w:szCs w:val="22"/>
        </w:rPr>
      </w:pPr>
      <w:r w:rsidRPr="00116FFC">
        <w:rPr>
          <w:rFonts w:asciiTheme="minorHAnsi" w:hAnsiTheme="minorHAnsi" w:cstheme="minorHAnsi"/>
          <w:sz w:val="22"/>
          <w:szCs w:val="22"/>
        </w:rPr>
        <w:t xml:space="preserve">n = </w:t>
      </w:r>
      <w:r>
        <w:rPr>
          <w:rFonts w:asciiTheme="minorHAnsi" w:hAnsiTheme="minorHAnsi" w:cstheme="minorHAnsi"/>
          <w:sz w:val="22"/>
          <w:szCs w:val="22"/>
        </w:rPr>
        <w:t>n</w:t>
      </w:r>
      <w:r w:rsidRPr="00116FFC">
        <w:rPr>
          <w:rFonts w:asciiTheme="minorHAnsi" w:hAnsiTheme="minorHAnsi" w:cstheme="minorHAnsi"/>
          <w:sz w:val="22"/>
          <w:szCs w:val="22"/>
        </w:rPr>
        <w:t>umber of years of useful life = 30 years</w:t>
      </w:r>
    </w:p>
    <w:p w14:paraId="64012D1F" w14:textId="77777777" w:rsidR="00DF08C0" w:rsidRPr="00116FFC" w:rsidRDefault="00DF08C0" w:rsidP="00DF08C0">
      <w:pPr>
        <w:spacing w:line="240" w:lineRule="auto"/>
        <w:jc w:val="both"/>
        <w:rPr>
          <w:rFonts w:asciiTheme="minorHAnsi" w:hAnsiTheme="minorHAnsi" w:cstheme="minorHAnsi"/>
          <w:sz w:val="22"/>
          <w:szCs w:val="22"/>
        </w:rPr>
      </w:pPr>
    </w:p>
    <w:p w14:paraId="1C2CEE35" w14:textId="77777777" w:rsidR="00DF08C0" w:rsidRPr="0024690B" w:rsidRDefault="00DF08C0" w:rsidP="00DF08C0">
      <w:pPr>
        <w:spacing w:line="240" w:lineRule="auto"/>
        <w:jc w:val="both"/>
        <w:rPr>
          <w:rFonts w:asciiTheme="minorHAnsi" w:hAnsiTheme="minorHAnsi" w:cstheme="minorHAnsi"/>
          <w:bCs/>
          <w:sz w:val="22"/>
          <w:szCs w:val="22"/>
        </w:rPr>
      </w:pPr>
      <w:r w:rsidRPr="0024690B">
        <w:rPr>
          <w:rFonts w:asciiTheme="minorHAnsi" w:hAnsiTheme="minorHAnsi" w:cstheme="minorHAnsi"/>
          <w:b/>
          <w:sz w:val="22"/>
          <w:szCs w:val="22"/>
        </w:rPr>
        <w:t>Waste disposal costs</w:t>
      </w:r>
      <w:r w:rsidRPr="0024690B">
        <w:rPr>
          <w:rFonts w:asciiTheme="minorHAnsi" w:hAnsiTheme="minorHAnsi" w:cstheme="minorHAnsi"/>
          <w:bCs/>
          <w:sz w:val="22"/>
          <w:szCs w:val="22"/>
        </w:rPr>
        <w:t xml:space="preserve">: This cost was only calculated at the health facility level. The annual cost of the burning chamber was calculated by applying a proportion based on its use assigned to the influenza vaccination project to the cost of the burning chamber divided by the number of useful years of the </w:t>
      </w:r>
      <w:r w:rsidRPr="0024690B">
        <w:rPr>
          <w:rFonts w:asciiTheme="minorHAnsi" w:hAnsiTheme="minorHAnsi" w:cstheme="minorHAnsi"/>
          <w:bCs/>
          <w:sz w:val="22"/>
          <w:szCs w:val="22"/>
        </w:rPr>
        <w:lastRenderedPageBreak/>
        <w:t xml:space="preserve">burning chamber. The monthly cost of running the burning chamber was multiplied by 12 to get the annual costs. </w:t>
      </w:r>
    </w:p>
    <w:p w14:paraId="02BB28F8" w14:textId="77777777" w:rsidR="00DF08C0" w:rsidRPr="00116FFC" w:rsidRDefault="00DF08C0" w:rsidP="00DF08C0">
      <w:pPr>
        <w:spacing w:line="240" w:lineRule="auto"/>
        <w:jc w:val="both"/>
        <w:rPr>
          <w:rFonts w:asciiTheme="minorHAnsi" w:hAnsiTheme="minorHAnsi" w:cstheme="minorHAnsi"/>
          <w:sz w:val="22"/>
          <w:szCs w:val="22"/>
        </w:rPr>
      </w:pPr>
    </w:p>
    <w:p w14:paraId="611F7108" w14:textId="663FA5E1" w:rsidR="00DF08C0" w:rsidRPr="006000F4" w:rsidRDefault="00DF08C0" w:rsidP="00DF08C0">
      <w:pPr>
        <w:spacing w:line="240" w:lineRule="auto"/>
        <w:jc w:val="both"/>
        <w:rPr>
          <w:rFonts w:asciiTheme="minorHAnsi" w:eastAsia="Times New Roman" w:hAnsiTheme="minorHAnsi" w:cstheme="minorHAnsi"/>
          <w:sz w:val="22"/>
          <w:szCs w:val="22"/>
          <w:lang w:val="en-GB"/>
        </w:rPr>
      </w:pPr>
      <w:r w:rsidRPr="00116FFC">
        <w:rPr>
          <w:rFonts w:asciiTheme="minorHAnsi" w:hAnsiTheme="minorHAnsi" w:cstheme="minorHAnsi"/>
          <w:b/>
          <w:sz w:val="22"/>
          <w:szCs w:val="22"/>
        </w:rPr>
        <w:t>Cold chain equipment</w:t>
      </w:r>
      <w:r>
        <w:rPr>
          <w:rFonts w:asciiTheme="minorHAnsi" w:hAnsiTheme="minorHAnsi" w:cstheme="minorHAnsi"/>
          <w:b/>
          <w:sz w:val="22"/>
          <w:szCs w:val="22"/>
        </w:rPr>
        <w:t xml:space="preserve"> and supplies: </w:t>
      </w:r>
      <w:r w:rsidRPr="00116FFC">
        <w:rPr>
          <w:rFonts w:asciiTheme="minorHAnsi" w:hAnsiTheme="minorHAnsi" w:cstheme="minorHAnsi"/>
          <w:b/>
          <w:sz w:val="22"/>
          <w:szCs w:val="22"/>
        </w:rPr>
        <w:t xml:space="preserve"> </w:t>
      </w:r>
      <w:r w:rsidRPr="00116FFC">
        <w:rPr>
          <w:rFonts w:asciiTheme="minorHAnsi" w:hAnsiTheme="minorHAnsi" w:cstheme="minorHAnsi"/>
          <w:sz w:val="22"/>
          <w:szCs w:val="22"/>
        </w:rPr>
        <w:t xml:space="preserve">The prices of cold rooms, freezers and fridges were obtained from </w:t>
      </w:r>
      <w:r>
        <w:rPr>
          <w:rFonts w:asciiTheme="minorHAnsi" w:hAnsiTheme="minorHAnsi" w:cstheme="minorHAnsi"/>
          <w:sz w:val="22"/>
          <w:szCs w:val="22"/>
        </w:rPr>
        <w:t xml:space="preserve">the </w:t>
      </w:r>
      <w:r w:rsidRPr="00116FFC">
        <w:rPr>
          <w:rFonts w:asciiTheme="minorHAnsi" w:hAnsiTheme="minorHAnsi" w:cstheme="minorHAnsi"/>
          <w:sz w:val="22"/>
          <w:szCs w:val="22"/>
        </w:rPr>
        <w:t>National Vaccines and Immunization Program (NVIP) price list</w:t>
      </w:r>
      <w:r>
        <w:rPr>
          <w:rFonts w:asciiTheme="minorHAnsi" w:hAnsiTheme="minorHAnsi" w:cstheme="minorHAnsi"/>
          <w:sz w:val="22"/>
          <w:szCs w:val="22"/>
        </w:rPr>
        <w:t>,</w:t>
      </w:r>
      <w:r w:rsidRPr="00116FFC">
        <w:rPr>
          <w:rFonts w:asciiTheme="minorHAnsi" w:hAnsiTheme="minorHAnsi" w:cstheme="minorHAnsi"/>
          <w:sz w:val="22"/>
          <w:szCs w:val="22"/>
        </w:rPr>
        <w:t xml:space="preserve"> World Health Organization (WHO) prequalified list and </w:t>
      </w:r>
      <w:r>
        <w:rPr>
          <w:rFonts w:asciiTheme="minorHAnsi" w:hAnsiTheme="minorHAnsi" w:cstheme="minorHAnsi"/>
          <w:sz w:val="22"/>
          <w:szCs w:val="22"/>
        </w:rPr>
        <w:t>UNICEF</w:t>
      </w:r>
      <w:r w:rsidRPr="00116FFC">
        <w:rPr>
          <w:rFonts w:asciiTheme="minorHAnsi" w:hAnsiTheme="minorHAnsi" w:cstheme="minorHAnsi"/>
          <w:sz w:val="22"/>
          <w:szCs w:val="22"/>
        </w:rPr>
        <w:t xml:space="preserve"> website</w:t>
      </w:r>
      <w:r>
        <w:rPr>
          <w:rFonts w:asciiTheme="minorHAnsi" w:hAnsiTheme="minorHAnsi" w:cstheme="minorHAnsi"/>
          <w:sz w:val="22"/>
          <w:szCs w:val="22"/>
        </w:rPr>
        <w:t xml:space="preserve"> </w:t>
      </w:r>
      <w:r w:rsidR="006C144C">
        <w:rPr>
          <w:rFonts w:asciiTheme="minorHAnsi" w:hAnsiTheme="minorHAnsi" w:cstheme="minorHAnsi"/>
          <w:noProof/>
          <w:sz w:val="22"/>
          <w:szCs w:val="22"/>
        </w:rPr>
        <w:t>[2, 3]</w:t>
      </w:r>
      <w:r w:rsidRPr="00116FFC">
        <w:rPr>
          <w:rFonts w:asciiTheme="minorHAnsi" w:hAnsiTheme="minorHAnsi" w:cstheme="minorHAnsi"/>
          <w:sz w:val="22"/>
          <w:szCs w:val="22"/>
        </w:rPr>
        <w:t xml:space="preserve">. For the items that were not in any of these lists, other supplier’s websites were accessed </w:t>
      </w:r>
      <w:r>
        <w:rPr>
          <w:rFonts w:asciiTheme="minorHAnsi" w:hAnsiTheme="minorHAnsi" w:cstheme="minorHAnsi"/>
          <w:sz w:val="22"/>
          <w:szCs w:val="22"/>
        </w:rPr>
        <w:t>to estimate their prices, and if these were not available, we estimated the price of these brands based on the cost of similar items in the WHO list. To calculate the equivalent annualized cost of the walk-in cold room, the number of years of useful life was estimated to be 15 years</w:t>
      </w:r>
      <w:r>
        <w:rPr>
          <w:rFonts w:asciiTheme="minorHAnsi" w:hAnsiTheme="minorHAnsi" w:cstheme="minorHAnsi"/>
          <w:sz w:val="22"/>
          <w:szCs w:val="22"/>
          <w:lang w:val="en-GB"/>
        </w:rPr>
        <w:t xml:space="preserve"> </w:t>
      </w:r>
      <w:r w:rsidR="006C144C">
        <w:rPr>
          <w:rFonts w:asciiTheme="minorHAnsi" w:hAnsiTheme="minorHAnsi" w:cstheme="minorHAnsi"/>
          <w:noProof/>
          <w:sz w:val="22"/>
          <w:szCs w:val="22"/>
          <w:lang w:val="en-GB"/>
        </w:rPr>
        <w:t>[4]</w:t>
      </w:r>
      <w:r>
        <w:rPr>
          <w:rFonts w:asciiTheme="minorHAnsi" w:eastAsia="Times New Roman" w:hAnsiTheme="minorHAnsi" w:cstheme="minorHAnsi"/>
          <w:sz w:val="22"/>
          <w:szCs w:val="22"/>
          <w:lang w:val="en-GB"/>
        </w:rPr>
        <w:t xml:space="preserve">. Other cold chain equipment and supplies were estimated to have 10 years of useful life. </w:t>
      </w:r>
    </w:p>
    <w:p w14:paraId="0E402FEE" w14:textId="77777777" w:rsidR="00DF08C0" w:rsidRPr="006000F4" w:rsidRDefault="00DF08C0" w:rsidP="00DF08C0">
      <w:pPr>
        <w:spacing w:line="240" w:lineRule="auto"/>
        <w:jc w:val="both"/>
        <w:rPr>
          <w:rFonts w:asciiTheme="minorHAnsi" w:hAnsiTheme="minorHAnsi" w:cstheme="minorHAnsi"/>
          <w:sz w:val="22"/>
          <w:szCs w:val="22"/>
          <w:lang w:val="en-GB"/>
        </w:rPr>
      </w:pPr>
    </w:p>
    <w:p w14:paraId="4F7B76C8" w14:textId="77777777" w:rsidR="00DF08C0" w:rsidRDefault="00DF08C0" w:rsidP="00DF08C0">
      <w:pPr>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To determine the cost of maintaining cold chain equipment and supplies at the national level we obtained the budget allocation for maintenance that year. At the regional level we included the costs of daily subsistence allowances for technicians, the budget allocation for spare parts and costs of fuel associated with undertaking repairs. At the sub-county and facility level we used the </w:t>
      </w:r>
      <w:r w:rsidRPr="00116FFC">
        <w:rPr>
          <w:rFonts w:asciiTheme="minorHAnsi" w:hAnsiTheme="minorHAnsi" w:cstheme="minorHAnsi"/>
          <w:sz w:val="22"/>
          <w:szCs w:val="22"/>
        </w:rPr>
        <w:t>quarterly budget allocation to the facilities and sub</w:t>
      </w:r>
      <w:r>
        <w:rPr>
          <w:rFonts w:asciiTheme="minorHAnsi" w:hAnsiTheme="minorHAnsi" w:cstheme="minorHAnsi"/>
          <w:sz w:val="22"/>
          <w:szCs w:val="22"/>
        </w:rPr>
        <w:t>-</w:t>
      </w:r>
      <w:r w:rsidRPr="00116FFC">
        <w:rPr>
          <w:rFonts w:asciiTheme="minorHAnsi" w:hAnsiTheme="minorHAnsi" w:cstheme="minorHAnsi"/>
          <w:sz w:val="22"/>
          <w:szCs w:val="22"/>
        </w:rPr>
        <w:t>counties as a proxy for the costs</w:t>
      </w:r>
      <w:r>
        <w:rPr>
          <w:rFonts w:asciiTheme="minorHAnsi" w:hAnsiTheme="minorHAnsi" w:cstheme="minorHAnsi"/>
          <w:sz w:val="22"/>
          <w:szCs w:val="22"/>
        </w:rPr>
        <w:t xml:space="preserve"> for maintaining immunization cold chain equipment</w:t>
      </w:r>
      <w:r w:rsidRPr="00116FFC">
        <w:rPr>
          <w:rFonts w:asciiTheme="minorHAnsi" w:hAnsiTheme="minorHAnsi" w:cstheme="minorHAnsi"/>
          <w:sz w:val="22"/>
          <w:szCs w:val="22"/>
        </w:rPr>
        <w:t xml:space="preserve">. </w:t>
      </w:r>
      <w:r>
        <w:rPr>
          <w:rFonts w:asciiTheme="minorHAnsi" w:hAnsiTheme="minorHAnsi" w:cstheme="minorHAnsi"/>
          <w:sz w:val="22"/>
          <w:szCs w:val="22"/>
        </w:rPr>
        <w:t xml:space="preserve">There are no cold chain equipment costs incurred at the county level. </w:t>
      </w:r>
    </w:p>
    <w:p w14:paraId="4E88AEC5" w14:textId="77777777" w:rsidR="00DF08C0" w:rsidRPr="00116FFC" w:rsidRDefault="00DF08C0" w:rsidP="00DF08C0">
      <w:pPr>
        <w:spacing w:line="240" w:lineRule="auto"/>
        <w:jc w:val="both"/>
        <w:rPr>
          <w:rFonts w:asciiTheme="minorHAnsi" w:hAnsiTheme="minorHAnsi" w:cstheme="minorHAnsi"/>
          <w:sz w:val="22"/>
          <w:szCs w:val="22"/>
        </w:rPr>
      </w:pPr>
    </w:p>
    <w:p w14:paraId="6CA5ACC8" w14:textId="6F0137F9" w:rsidR="00DF08C0" w:rsidRPr="00116FFC" w:rsidRDefault="00DF08C0" w:rsidP="00DF08C0">
      <w:pPr>
        <w:spacing w:line="240" w:lineRule="auto"/>
        <w:jc w:val="both"/>
        <w:rPr>
          <w:rFonts w:asciiTheme="minorHAnsi" w:hAnsiTheme="minorHAnsi" w:cstheme="minorHAnsi"/>
          <w:sz w:val="22"/>
          <w:szCs w:val="22"/>
        </w:rPr>
      </w:pPr>
      <w:r w:rsidRPr="003563BA">
        <w:rPr>
          <w:rFonts w:asciiTheme="minorHAnsi" w:hAnsiTheme="minorHAnsi" w:cstheme="minorHAnsi"/>
          <w:b/>
          <w:bCs/>
          <w:sz w:val="22"/>
          <w:szCs w:val="22"/>
        </w:rPr>
        <w:t>Service delivery</w:t>
      </w:r>
      <w:r>
        <w:rPr>
          <w:rFonts w:asciiTheme="minorHAnsi" w:hAnsiTheme="minorHAnsi" w:cstheme="minorHAnsi"/>
          <w:b/>
          <w:bCs/>
          <w:sz w:val="22"/>
          <w:szCs w:val="22"/>
        </w:rPr>
        <w:t xml:space="preserve">: </w:t>
      </w:r>
      <w:r>
        <w:rPr>
          <w:rFonts w:asciiTheme="minorHAnsi" w:hAnsiTheme="minorHAnsi" w:cstheme="minorHAnsi"/>
          <w:sz w:val="22"/>
          <w:szCs w:val="22"/>
        </w:rPr>
        <w:t xml:space="preserve">To estimate the cost of paid labor we estimated the amount of time spent on influenza vaccine related activities and applied this proportion to the average salary for a particular job group based on the </w:t>
      </w:r>
      <w:r w:rsidRPr="00116FFC">
        <w:rPr>
          <w:rFonts w:asciiTheme="minorHAnsi" w:hAnsiTheme="minorHAnsi" w:cstheme="minorHAnsi"/>
          <w:sz w:val="22"/>
          <w:szCs w:val="22"/>
        </w:rPr>
        <w:t>Salaries and Remuneration Commission</w:t>
      </w:r>
      <w:r>
        <w:rPr>
          <w:rFonts w:asciiTheme="minorHAnsi" w:hAnsiTheme="minorHAnsi" w:cstheme="minorHAnsi"/>
          <w:sz w:val="22"/>
          <w:szCs w:val="22"/>
        </w:rPr>
        <w:t xml:space="preserve"> </w:t>
      </w:r>
      <w:r w:rsidR="006C144C">
        <w:rPr>
          <w:rFonts w:asciiTheme="minorHAnsi" w:hAnsiTheme="minorHAnsi" w:cstheme="minorHAnsi"/>
          <w:noProof/>
          <w:sz w:val="22"/>
          <w:szCs w:val="22"/>
        </w:rPr>
        <w:t>[1]</w:t>
      </w:r>
      <w:r w:rsidRPr="00116FFC">
        <w:rPr>
          <w:rFonts w:asciiTheme="minorHAnsi" w:hAnsiTheme="minorHAnsi" w:cstheme="minorHAnsi"/>
          <w:sz w:val="22"/>
          <w:szCs w:val="22"/>
        </w:rPr>
        <w:t>.</w:t>
      </w:r>
      <w:r>
        <w:rPr>
          <w:rFonts w:asciiTheme="minorHAnsi" w:hAnsiTheme="minorHAnsi" w:cstheme="minorHAnsi"/>
          <w:sz w:val="22"/>
          <w:szCs w:val="22"/>
        </w:rPr>
        <w:t xml:space="preserve"> </w:t>
      </w:r>
      <w:r w:rsidRPr="00116FFC">
        <w:rPr>
          <w:rFonts w:asciiTheme="minorHAnsi" w:hAnsiTheme="minorHAnsi" w:cstheme="minorHAnsi"/>
          <w:sz w:val="22"/>
          <w:szCs w:val="22"/>
        </w:rPr>
        <w:t xml:space="preserve">Voluntary labor was not included in this analysis. </w:t>
      </w:r>
    </w:p>
    <w:p w14:paraId="2AE2601B" w14:textId="77777777" w:rsidR="00DF08C0" w:rsidRDefault="00DF08C0" w:rsidP="00DF08C0">
      <w:pPr>
        <w:spacing w:line="240" w:lineRule="auto"/>
        <w:jc w:val="both"/>
        <w:rPr>
          <w:rFonts w:asciiTheme="minorHAnsi" w:hAnsiTheme="minorHAnsi" w:cstheme="minorHAnsi"/>
          <w:sz w:val="22"/>
          <w:szCs w:val="22"/>
        </w:rPr>
      </w:pPr>
    </w:p>
    <w:p w14:paraId="498DB191" w14:textId="2E34C34C" w:rsidR="00DF08C0" w:rsidRPr="00116FFC" w:rsidRDefault="00DF08C0" w:rsidP="00DF08C0">
      <w:pPr>
        <w:spacing w:line="240" w:lineRule="auto"/>
        <w:jc w:val="both"/>
        <w:rPr>
          <w:rFonts w:asciiTheme="minorHAnsi" w:hAnsiTheme="minorHAnsi" w:cstheme="minorHAnsi"/>
          <w:b/>
          <w:sz w:val="22"/>
          <w:szCs w:val="22"/>
        </w:rPr>
      </w:pPr>
      <w:r w:rsidRPr="006B3297">
        <w:rPr>
          <w:rFonts w:asciiTheme="minorHAnsi" w:hAnsiTheme="minorHAnsi" w:cstheme="minorHAnsi"/>
          <w:b/>
          <w:bCs/>
          <w:sz w:val="22"/>
          <w:szCs w:val="22"/>
        </w:rPr>
        <w:t xml:space="preserve">Monitoring: </w:t>
      </w:r>
      <w:r w:rsidRPr="00116FFC">
        <w:rPr>
          <w:rFonts w:asciiTheme="minorHAnsi" w:hAnsiTheme="minorHAnsi" w:cstheme="minorHAnsi"/>
          <w:sz w:val="22"/>
          <w:szCs w:val="22"/>
        </w:rPr>
        <w:t xml:space="preserve">We estimated the time spent on influenza monitoring activities at each level </w:t>
      </w:r>
      <w:r>
        <w:rPr>
          <w:rFonts w:asciiTheme="minorHAnsi" w:hAnsiTheme="minorHAnsi" w:cstheme="minorHAnsi"/>
          <w:sz w:val="22"/>
          <w:szCs w:val="22"/>
        </w:rPr>
        <w:t xml:space="preserve">and </w:t>
      </w:r>
      <w:r w:rsidRPr="00116FFC">
        <w:rPr>
          <w:rFonts w:asciiTheme="minorHAnsi" w:hAnsiTheme="minorHAnsi" w:cstheme="minorHAnsi"/>
          <w:sz w:val="22"/>
          <w:szCs w:val="22"/>
        </w:rPr>
        <w:t>adjusted the salary obtained from Salaries and Remuneration Commission</w:t>
      </w:r>
      <w:r>
        <w:rPr>
          <w:rFonts w:asciiTheme="minorHAnsi" w:hAnsiTheme="minorHAnsi" w:cstheme="minorHAnsi"/>
          <w:sz w:val="22"/>
          <w:szCs w:val="22"/>
        </w:rPr>
        <w:t xml:space="preserve"> </w:t>
      </w:r>
      <w:r w:rsidR="006C144C">
        <w:rPr>
          <w:rFonts w:asciiTheme="minorHAnsi" w:hAnsiTheme="minorHAnsi" w:cstheme="minorHAnsi"/>
          <w:noProof/>
          <w:sz w:val="22"/>
          <w:szCs w:val="22"/>
        </w:rPr>
        <w:t>[1]</w:t>
      </w:r>
      <w:r w:rsidRPr="00116FFC">
        <w:rPr>
          <w:rFonts w:asciiTheme="minorHAnsi" w:hAnsiTheme="minorHAnsi" w:cstheme="minorHAnsi"/>
          <w:sz w:val="22"/>
          <w:szCs w:val="22"/>
        </w:rPr>
        <w:t xml:space="preserve"> </w:t>
      </w:r>
      <w:r>
        <w:rPr>
          <w:rFonts w:asciiTheme="minorHAnsi" w:hAnsiTheme="minorHAnsi" w:cstheme="minorHAnsi"/>
          <w:sz w:val="22"/>
          <w:szCs w:val="22"/>
        </w:rPr>
        <w:t xml:space="preserve">to reflect the </w:t>
      </w:r>
      <w:r w:rsidRPr="00116FFC">
        <w:rPr>
          <w:rFonts w:asciiTheme="minorHAnsi" w:hAnsiTheme="minorHAnsi" w:cstheme="minorHAnsi"/>
          <w:sz w:val="22"/>
          <w:szCs w:val="22"/>
        </w:rPr>
        <w:t xml:space="preserve">proportion of </w:t>
      </w:r>
      <w:r>
        <w:rPr>
          <w:rFonts w:asciiTheme="minorHAnsi" w:hAnsiTheme="minorHAnsi" w:cstheme="minorHAnsi"/>
          <w:sz w:val="22"/>
          <w:szCs w:val="22"/>
        </w:rPr>
        <w:t xml:space="preserve">time spent influenza monitoring activities. These costs were estimated at all levels except for the health facility level to </w:t>
      </w:r>
      <w:r w:rsidRPr="00116FFC">
        <w:rPr>
          <w:rFonts w:asciiTheme="minorHAnsi" w:hAnsiTheme="minorHAnsi" w:cstheme="minorHAnsi"/>
          <w:sz w:val="22"/>
          <w:szCs w:val="22"/>
        </w:rPr>
        <w:t>avoid double counting</w:t>
      </w:r>
      <w:r>
        <w:rPr>
          <w:rFonts w:asciiTheme="minorHAnsi" w:hAnsiTheme="minorHAnsi" w:cstheme="minorHAnsi"/>
          <w:sz w:val="22"/>
          <w:szCs w:val="22"/>
        </w:rPr>
        <w:t xml:space="preserve"> as this cost was captured under </w:t>
      </w:r>
      <w:r w:rsidRPr="00116FFC">
        <w:rPr>
          <w:rFonts w:asciiTheme="minorHAnsi" w:hAnsiTheme="minorHAnsi" w:cstheme="minorHAnsi"/>
          <w:sz w:val="22"/>
          <w:szCs w:val="22"/>
        </w:rPr>
        <w:t>service delivery</w:t>
      </w:r>
      <w:r>
        <w:rPr>
          <w:rFonts w:asciiTheme="minorHAnsi" w:hAnsiTheme="minorHAnsi" w:cstheme="minorHAnsi"/>
          <w:sz w:val="22"/>
          <w:szCs w:val="22"/>
        </w:rPr>
        <w:t xml:space="preserve"> at the health facility level</w:t>
      </w:r>
      <w:r w:rsidRPr="00116FFC">
        <w:rPr>
          <w:rFonts w:asciiTheme="minorHAnsi" w:hAnsiTheme="minorHAnsi" w:cstheme="minorHAnsi"/>
          <w:sz w:val="22"/>
          <w:szCs w:val="22"/>
        </w:rPr>
        <w:t xml:space="preserve">. </w:t>
      </w:r>
    </w:p>
    <w:p w14:paraId="5BE1E5A2" w14:textId="77777777" w:rsidR="00DF08C0" w:rsidRPr="00116FFC" w:rsidRDefault="00DF08C0" w:rsidP="00DF08C0">
      <w:pPr>
        <w:spacing w:line="240" w:lineRule="auto"/>
        <w:jc w:val="both"/>
        <w:rPr>
          <w:rFonts w:asciiTheme="minorHAnsi" w:hAnsiTheme="minorHAnsi" w:cstheme="minorHAnsi"/>
          <w:b/>
          <w:sz w:val="22"/>
          <w:szCs w:val="22"/>
        </w:rPr>
      </w:pPr>
    </w:p>
    <w:p w14:paraId="04336F84" w14:textId="77777777" w:rsidR="00DF08C0" w:rsidRDefault="00DF08C0" w:rsidP="00DF08C0">
      <w:pPr>
        <w:spacing w:line="240" w:lineRule="auto"/>
        <w:jc w:val="both"/>
        <w:rPr>
          <w:rFonts w:asciiTheme="minorHAnsi" w:hAnsiTheme="minorHAnsi" w:cstheme="minorHAnsi"/>
          <w:sz w:val="22"/>
          <w:szCs w:val="22"/>
        </w:rPr>
      </w:pPr>
      <w:r w:rsidRPr="006B3297">
        <w:rPr>
          <w:rFonts w:asciiTheme="minorHAnsi" w:hAnsiTheme="minorHAnsi" w:cstheme="minorHAnsi"/>
          <w:b/>
          <w:sz w:val="22"/>
          <w:szCs w:val="22"/>
        </w:rPr>
        <w:t>Supervision</w:t>
      </w:r>
      <w:r>
        <w:rPr>
          <w:rFonts w:asciiTheme="minorHAnsi" w:hAnsiTheme="minorHAnsi" w:cstheme="minorHAnsi"/>
          <w:b/>
          <w:sz w:val="22"/>
          <w:szCs w:val="22"/>
        </w:rPr>
        <w:t xml:space="preserve">: </w:t>
      </w:r>
      <w:r w:rsidRPr="00116FFC">
        <w:rPr>
          <w:rFonts w:asciiTheme="minorHAnsi" w:hAnsiTheme="minorHAnsi" w:cstheme="minorHAnsi"/>
          <w:sz w:val="22"/>
          <w:szCs w:val="22"/>
        </w:rPr>
        <w:t>Costs of supervision w</w:t>
      </w:r>
      <w:r>
        <w:rPr>
          <w:rFonts w:asciiTheme="minorHAnsi" w:hAnsiTheme="minorHAnsi" w:cstheme="minorHAnsi"/>
          <w:sz w:val="22"/>
          <w:szCs w:val="22"/>
        </w:rPr>
        <w:t xml:space="preserve">ere </w:t>
      </w:r>
      <w:r w:rsidRPr="00116FFC">
        <w:rPr>
          <w:rFonts w:asciiTheme="minorHAnsi" w:hAnsiTheme="minorHAnsi" w:cstheme="minorHAnsi"/>
          <w:sz w:val="22"/>
          <w:szCs w:val="22"/>
        </w:rPr>
        <w:t xml:space="preserve">estimated </w:t>
      </w:r>
      <w:r>
        <w:rPr>
          <w:rFonts w:asciiTheme="minorHAnsi" w:hAnsiTheme="minorHAnsi" w:cstheme="minorHAnsi"/>
          <w:sz w:val="22"/>
          <w:szCs w:val="22"/>
        </w:rPr>
        <w:t>at</w:t>
      </w:r>
      <w:r w:rsidRPr="00116FFC">
        <w:rPr>
          <w:rFonts w:asciiTheme="minorHAnsi" w:hAnsiTheme="minorHAnsi" w:cstheme="minorHAnsi"/>
          <w:sz w:val="22"/>
          <w:szCs w:val="22"/>
        </w:rPr>
        <w:t xml:space="preserve"> the facility level</w:t>
      </w:r>
      <w:r>
        <w:rPr>
          <w:rFonts w:asciiTheme="minorHAnsi" w:hAnsiTheme="minorHAnsi" w:cstheme="minorHAnsi"/>
          <w:sz w:val="22"/>
          <w:szCs w:val="22"/>
        </w:rPr>
        <w:t>. Costs of supervision included costs incurred to supervise faith-based and private health facilities in addition to public health facilities. This is because the government is also expected to supervise activities of non-public owned facilities.</w:t>
      </w:r>
    </w:p>
    <w:p w14:paraId="04ABB342" w14:textId="58D530FF" w:rsidR="00330620" w:rsidRDefault="00330620"/>
    <w:tbl>
      <w:tblPr>
        <w:tblStyle w:val="TableGrid"/>
        <w:tblW w:w="0" w:type="auto"/>
        <w:tblLook w:val="04A0" w:firstRow="1" w:lastRow="0" w:firstColumn="1" w:lastColumn="0" w:noHBand="0" w:noVBand="1"/>
      </w:tblPr>
      <w:tblGrid>
        <w:gridCol w:w="3116"/>
        <w:gridCol w:w="3117"/>
        <w:gridCol w:w="3117"/>
      </w:tblGrid>
      <w:tr w:rsidR="00475C2E" w14:paraId="6C5A8AC9" w14:textId="77777777" w:rsidTr="00475C2E">
        <w:tc>
          <w:tcPr>
            <w:tcW w:w="3116" w:type="dxa"/>
          </w:tcPr>
          <w:p w14:paraId="2A279E08" w14:textId="4717C313" w:rsidR="00475C2E" w:rsidRDefault="00475C2E" w:rsidP="00475C2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Cost input</w:t>
            </w:r>
          </w:p>
        </w:tc>
        <w:tc>
          <w:tcPr>
            <w:tcW w:w="3117" w:type="dxa"/>
          </w:tcPr>
          <w:p w14:paraId="4CE66722" w14:textId="76F25CDC" w:rsidR="00475C2E" w:rsidRDefault="00475C2E" w:rsidP="00475C2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Value</w:t>
            </w:r>
          </w:p>
        </w:tc>
        <w:tc>
          <w:tcPr>
            <w:tcW w:w="3117" w:type="dxa"/>
          </w:tcPr>
          <w:p w14:paraId="3E0F4F1B" w14:textId="1B6CCC47" w:rsidR="00475C2E" w:rsidRDefault="00475C2E" w:rsidP="00475C2E">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Source</w:t>
            </w:r>
          </w:p>
        </w:tc>
      </w:tr>
      <w:tr w:rsidR="00475C2E" w14:paraId="25807EDA" w14:textId="77777777" w:rsidTr="00475C2E">
        <w:tc>
          <w:tcPr>
            <w:tcW w:w="3116" w:type="dxa"/>
          </w:tcPr>
          <w:p w14:paraId="688B21E6" w14:textId="37E58F4B" w:rsidR="00475C2E" w:rsidRDefault="00475C2E" w:rsidP="00475C2E">
            <w:pPr>
              <w:spacing w:after="160" w:line="259" w:lineRule="auto"/>
              <w:rPr>
                <w:rFonts w:asciiTheme="minorHAnsi" w:hAnsiTheme="minorHAnsi" w:cstheme="minorHAnsi"/>
                <w:b/>
                <w:bCs/>
                <w:sz w:val="22"/>
                <w:szCs w:val="22"/>
              </w:rPr>
            </w:pPr>
            <w:r w:rsidRPr="007B6CD5">
              <w:rPr>
                <w:rFonts w:asciiTheme="minorHAnsi" w:hAnsiTheme="minorHAnsi" w:cstheme="minorHAnsi"/>
                <w:sz w:val="22"/>
                <w:szCs w:val="22"/>
              </w:rPr>
              <w:t>Personnel salaries (</w:t>
            </w:r>
            <w:r>
              <w:rPr>
                <w:rFonts w:asciiTheme="minorHAnsi" w:hAnsiTheme="minorHAnsi" w:cstheme="minorHAnsi"/>
                <w:sz w:val="22"/>
                <w:szCs w:val="22"/>
              </w:rPr>
              <w:t>per year</w:t>
            </w:r>
            <w:r w:rsidRPr="007B6CD5">
              <w:rPr>
                <w:rFonts w:asciiTheme="minorHAnsi" w:hAnsiTheme="minorHAnsi" w:cstheme="minorHAnsi"/>
                <w:sz w:val="22"/>
                <w:szCs w:val="22"/>
              </w:rPr>
              <w:t>)</w:t>
            </w:r>
          </w:p>
        </w:tc>
        <w:tc>
          <w:tcPr>
            <w:tcW w:w="3117" w:type="dxa"/>
          </w:tcPr>
          <w:p w14:paraId="3CA06F83" w14:textId="6CE2736E" w:rsidR="00475C2E" w:rsidRDefault="00475C2E" w:rsidP="00475C2E">
            <w:pPr>
              <w:spacing w:after="160" w:line="259" w:lineRule="auto"/>
              <w:rPr>
                <w:rFonts w:asciiTheme="minorHAnsi" w:hAnsiTheme="minorHAnsi" w:cstheme="minorHAnsi"/>
                <w:b/>
                <w:bCs/>
                <w:sz w:val="22"/>
                <w:szCs w:val="22"/>
              </w:rPr>
            </w:pPr>
            <w:r>
              <w:rPr>
                <w:rFonts w:asciiTheme="minorHAnsi" w:hAnsiTheme="minorHAnsi" w:cstheme="minorHAnsi"/>
                <w:sz w:val="22"/>
                <w:szCs w:val="22"/>
              </w:rPr>
              <w:t xml:space="preserve">Ranged from </w:t>
            </w:r>
            <w:r w:rsidR="00ED2392">
              <w:rPr>
                <w:rFonts w:asciiTheme="minorHAnsi" w:hAnsiTheme="minorHAnsi" w:cstheme="minorHAnsi"/>
                <w:sz w:val="22"/>
                <w:szCs w:val="22"/>
              </w:rPr>
              <w:t>$435.28</w:t>
            </w:r>
            <w:r>
              <w:rPr>
                <w:rFonts w:asciiTheme="minorHAnsi" w:hAnsiTheme="minorHAnsi" w:cstheme="minorHAnsi"/>
                <w:sz w:val="22"/>
                <w:szCs w:val="22"/>
              </w:rPr>
              <w:t>–1</w:t>
            </w:r>
            <w:r w:rsidR="00497F7F">
              <w:rPr>
                <w:rFonts w:asciiTheme="minorHAnsi" w:hAnsiTheme="minorHAnsi" w:cstheme="minorHAnsi"/>
                <w:sz w:val="22"/>
                <w:szCs w:val="22"/>
              </w:rPr>
              <w:t>203.04</w:t>
            </w:r>
            <w:r>
              <w:rPr>
                <w:rFonts w:asciiTheme="minorHAnsi" w:hAnsiTheme="minorHAnsi" w:cstheme="minorHAnsi"/>
                <w:sz w:val="22"/>
                <w:szCs w:val="22"/>
              </w:rPr>
              <w:t xml:space="preserve">, </w:t>
            </w:r>
            <w:r w:rsidR="00497F7F">
              <w:rPr>
                <w:rFonts w:asciiTheme="minorHAnsi" w:hAnsiTheme="minorHAnsi" w:cstheme="minorHAnsi"/>
                <w:sz w:val="22"/>
                <w:szCs w:val="22"/>
              </w:rPr>
              <w:t>depending</w:t>
            </w:r>
            <w:r>
              <w:rPr>
                <w:rFonts w:asciiTheme="minorHAnsi" w:hAnsiTheme="minorHAnsi" w:cstheme="minorHAnsi"/>
                <w:sz w:val="22"/>
                <w:szCs w:val="22"/>
              </w:rPr>
              <w:t xml:space="preserve"> on job level</w:t>
            </w:r>
          </w:p>
        </w:tc>
        <w:tc>
          <w:tcPr>
            <w:tcW w:w="3117" w:type="dxa"/>
          </w:tcPr>
          <w:p w14:paraId="71E2D133" w14:textId="136FB229" w:rsidR="00475C2E" w:rsidRDefault="00475C2E" w:rsidP="00475C2E">
            <w:pPr>
              <w:spacing w:after="160" w:line="259" w:lineRule="auto"/>
              <w:rPr>
                <w:rFonts w:asciiTheme="minorHAnsi" w:hAnsiTheme="minorHAnsi" w:cstheme="minorHAnsi"/>
                <w:b/>
                <w:bCs/>
                <w:sz w:val="22"/>
                <w:szCs w:val="22"/>
              </w:rPr>
            </w:pPr>
            <w:r>
              <w:rPr>
                <w:rFonts w:asciiTheme="minorHAnsi" w:hAnsiTheme="minorHAnsi" w:cstheme="minorHAnsi"/>
                <w:sz w:val="22"/>
                <w:szCs w:val="22"/>
              </w:rPr>
              <w:t xml:space="preserve">Kenya </w:t>
            </w:r>
            <w:r w:rsidRPr="00781268">
              <w:rPr>
                <w:rFonts w:asciiTheme="minorHAnsi" w:hAnsiTheme="minorHAnsi" w:cstheme="minorHAnsi"/>
                <w:sz w:val="22"/>
                <w:szCs w:val="22"/>
              </w:rPr>
              <w:t>Salaries and Remuneration Commission [1]</w:t>
            </w:r>
          </w:p>
        </w:tc>
      </w:tr>
      <w:tr w:rsidR="00475C2E" w14:paraId="12C5D496" w14:textId="77777777" w:rsidTr="00475C2E">
        <w:tc>
          <w:tcPr>
            <w:tcW w:w="3116" w:type="dxa"/>
          </w:tcPr>
          <w:p w14:paraId="4D8F2545" w14:textId="3F128FDC" w:rsidR="00475C2E" w:rsidRDefault="00475C2E" w:rsidP="00475C2E">
            <w:pPr>
              <w:spacing w:after="160" w:line="259" w:lineRule="auto"/>
              <w:rPr>
                <w:rFonts w:asciiTheme="minorHAnsi" w:hAnsiTheme="minorHAnsi" w:cstheme="minorHAnsi"/>
                <w:b/>
                <w:bCs/>
                <w:sz w:val="22"/>
                <w:szCs w:val="22"/>
              </w:rPr>
            </w:pPr>
            <w:r w:rsidRPr="007B6CD5">
              <w:rPr>
                <w:rFonts w:asciiTheme="minorHAnsi" w:hAnsiTheme="minorHAnsi" w:cstheme="minorHAnsi"/>
                <w:sz w:val="22"/>
                <w:szCs w:val="22"/>
              </w:rPr>
              <w:t>Vaccine wastage</w:t>
            </w:r>
            <w:r>
              <w:rPr>
                <w:rFonts w:asciiTheme="minorHAnsi" w:hAnsiTheme="minorHAnsi" w:cstheme="minorHAnsi"/>
                <w:sz w:val="22"/>
                <w:szCs w:val="22"/>
              </w:rPr>
              <w:t xml:space="preserve"> factor</w:t>
            </w:r>
          </w:p>
        </w:tc>
        <w:tc>
          <w:tcPr>
            <w:tcW w:w="3117" w:type="dxa"/>
          </w:tcPr>
          <w:p w14:paraId="0795AB20" w14:textId="4625B0E8" w:rsidR="00475C2E" w:rsidRDefault="00475C2E" w:rsidP="00475C2E">
            <w:pPr>
              <w:spacing w:after="160" w:line="259" w:lineRule="auto"/>
              <w:rPr>
                <w:rFonts w:asciiTheme="minorHAnsi" w:hAnsiTheme="minorHAnsi" w:cstheme="minorHAnsi"/>
                <w:b/>
                <w:bCs/>
                <w:sz w:val="22"/>
                <w:szCs w:val="22"/>
              </w:rPr>
            </w:pPr>
            <w:r w:rsidRPr="00254311">
              <w:rPr>
                <w:rFonts w:asciiTheme="minorHAnsi" w:hAnsiTheme="minorHAnsi" w:cstheme="minorHAnsi"/>
                <w:sz w:val="22"/>
                <w:szCs w:val="22"/>
              </w:rPr>
              <w:t>1.006</w:t>
            </w:r>
          </w:p>
        </w:tc>
        <w:tc>
          <w:tcPr>
            <w:tcW w:w="3117" w:type="dxa"/>
          </w:tcPr>
          <w:p w14:paraId="13D2A30D" w14:textId="7ACAE492" w:rsidR="00475C2E" w:rsidRDefault="00475C2E" w:rsidP="00475C2E">
            <w:pPr>
              <w:spacing w:after="160" w:line="259" w:lineRule="auto"/>
              <w:rPr>
                <w:rFonts w:asciiTheme="minorHAnsi" w:hAnsiTheme="minorHAnsi" w:cstheme="minorHAnsi"/>
                <w:b/>
                <w:bCs/>
                <w:sz w:val="22"/>
                <w:szCs w:val="22"/>
              </w:rPr>
            </w:pPr>
            <w:r w:rsidRPr="00254311">
              <w:rPr>
                <w:rFonts w:asciiTheme="minorHAnsi" w:hAnsiTheme="minorHAnsi" w:cstheme="minorHAnsi"/>
                <w:sz w:val="22"/>
                <w:szCs w:val="22"/>
              </w:rPr>
              <w:t>Pediatric demonstration project</w:t>
            </w:r>
          </w:p>
        </w:tc>
      </w:tr>
      <w:tr w:rsidR="00F75167" w14:paraId="39DABC64" w14:textId="77777777" w:rsidTr="00475C2E">
        <w:tc>
          <w:tcPr>
            <w:tcW w:w="3116" w:type="dxa"/>
          </w:tcPr>
          <w:p w14:paraId="259B5CA3" w14:textId="524632A3" w:rsidR="00F75167" w:rsidRPr="007B6CD5" w:rsidRDefault="00A02F49"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Storage: </w:t>
            </w:r>
            <w:r w:rsidR="00142D1F">
              <w:rPr>
                <w:rFonts w:asciiTheme="minorHAnsi" w:hAnsiTheme="minorHAnsi" w:cstheme="minorHAnsi"/>
                <w:sz w:val="22"/>
                <w:szCs w:val="22"/>
              </w:rPr>
              <w:t>cost of a building (per square meters)</w:t>
            </w:r>
          </w:p>
        </w:tc>
        <w:tc>
          <w:tcPr>
            <w:tcW w:w="3117" w:type="dxa"/>
          </w:tcPr>
          <w:p w14:paraId="543DA86A" w14:textId="7DA56799" w:rsidR="00F75167" w:rsidRPr="00254311" w:rsidRDefault="00D92DD5"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$185.44</w:t>
            </w:r>
          </w:p>
        </w:tc>
        <w:tc>
          <w:tcPr>
            <w:tcW w:w="3117" w:type="dxa"/>
          </w:tcPr>
          <w:p w14:paraId="5C72C41F" w14:textId="77D1BF95" w:rsidR="00F75167" w:rsidRPr="00254311" w:rsidRDefault="008A15D8"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Interview, Ministry of public works</w:t>
            </w:r>
          </w:p>
        </w:tc>
      </w:tr>
      <w:tr w:rsidR="008A15D8" w14:paraId="1CFF0287" w14:textId="77777777" w:rsidTr="00475C2E">
        <w:tc>
          <w:tcPr>
            <w:tcW w:w="3116" w:type="dxa"/>
          </w:tcPr>
          <w:p w14:paraId="0F47E2C4" w14:textId="20264651" w:rsidR="008A15D8" w:rsidRDefault="008A15D8"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Storage: useful life of a building </w:t>
            </w:r>
          </w:p>
        </w:tc>
        <w:tc>
          <w:tcPr>
            <w:tcW w:w="3117" w:type="dxa"/>
          </w:tcPr>
          <w:p w14:paraId="53D332D2" w14:textId="0EDDFDD5" w:rsidR="008A15D8" w:rsidRDefault="00FD6C34"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30 years</w:t>
            </w:r>
          </w:p>
        </w:tc>
        <w:tc>
          <w:tcPr>
            <w:tcW w:w="3117" w:type="dxa"/>
          </w:tcPr>
          <w:p w14:paraId="68519647" w14:textId="082E1D29" w:rsidR="008A15D8" w:rsidRDefault="00FD6C34"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Assumption</w:t>
            </w:r>
          </w:p>
        </w:tc>
      </w:tr>
      <w:tr w:rsidR="00475C2E" w14:paraId="1D7CAAE7" w14:textId="77777777" w:rsidTr="00475C2E">
        <w:tc>
          <w:tcPr>
            <w:tcW w:w="3116" w:type="dxa"/>
          </w:tcPr>
          <w:p w14:paraId="4A792E12" w14:textId="3577CB2C" w:rsidR="00475C2E" w:rsidRDefault="002E55EE" w:rsidP="00475C2E">
            <w:pPr>
              <w:spacing w:after="160" w:line="259" w:lineRule="auto"/>
              <w:rPr>
                <w:rFonts w:asciiTheme="minorHAnsi" w:hAnsiTheme="minorHAnsi" w:cstheme="minorHAnsi"/>
                <w:b/>
                <w:bCs/>
                <w:sz w:val="22"/>
                <w:szCs w:val="22"/>
              </w:rPr>
            </w:pPr>
            <w:r>
              <w:rPr>
                <w:rFonts w:asciiTheme="minorHAnsi" w:hAnsiTheme="minorHAnsi" w:cstheme="minorHAnsi"/>
                <w:sz w:val="22"/>
                <w:szCs w:val="22"/>
              </w:rPr>
              <w:t xml:space="preserve">Transport: </w:t>
            </w:r>
            <w:r w:rsidR="00475C2E" w:rsidRPr="007B6CD5">
              <w:rPr>
                <w:rFonts w:asciiTheme="minorHAnsi" w:hAnsiTheme="minorHAnsi" w:cstheme="minorHAnsi"/>
                <w:sz w:val="22"/>
                <w:szCs w:val="22"/>
              </w:rPr>
              <w:t>Cost per km travelled</w:t>
            </w:r>
            <w:r w:rsidR="00FE128E">
              <w:rPr>
                <w:rFonts w:asciiTheme="minorHAnsi" w:hAnsiTheme="minorHAnsi" w:cstheme="minorHAnsi"/>
                <w:sz w:val="22"/>
                <w:szCs w:val="22"/>
              </w:rPr>
              <w:t xml:space="preserve"> (vehicles)</w:t>
            </w:r>
          </w:p>
        </w:tc>
        <w:tc>
          <w:tcPr>
            <w:tcW w:w="3117" w:type="dxa"/>
          </w:tcPr>
          <w:p w14:paraId="25E94F7E" w14:textId="45B04BBF" w:rsidR="00475C2E" w:rsidRDefault="00D92DD5" w:rsidP="00475C2E">
            <w:pPr>
              <w:spacing w:after="160" w:line="259" w:lineRule="auto"/>
              <w:rPr>
                <w:rFonts w:asciiTheme="minorHAnsi" w:hAnsiTheme="minorHAnsi" w:cstheme="minorHAnsi"/>
                <w:b/>
                <w:bCs/>
                <w:sz w:val="22"/>
                <w:szCs w:val="22"/>
              </w:rPr>
            </w:pPr>
            <w:r>
              <w:rPr>
                <w:rFonts w:asciiTheme="minorHAnsi" w:hAnsiTheme="minorHAnsi" w:cstheme="minorHAnsi"/>
                <w:sz w:val="22"/>
                <w:szCs w:val="22"/>
              </w:rPr>
              <w:t>$0.09</w:t>
            </w:r>
          </w:p>
        </w:tc>
        <w:tc>
          <w:tcPr>
            <w:tcW w:w="3117" w:type="dxa"/>
          </w:tcPr>
          <w:p w14:paraId="029B5E48" w14:textId="7CB5761C" w:rsidR="00475C2E" w:rsidRDefault="00475C2E" w:rsidP="00475C2E">
            <w:pPr>
              <w:spacing w:after="160" w:line="259" w:lineRule="auto"/>
              <w:rPr>
                <w:rFonts w:asciiTheme="minorHAnsi" w:hAnsiTheme="minorHAnsi" w:cstheme="minorHAnsi"/>
                <w:b/>
                <w:bCs/>
                <w:sz w:val="22"/>
                <w:szCs w:val="22"/>
              </w:rPr>
            </w:pPr>
            <w:r w:rsidRPr="00C43581">
              <w:rPr>
                <w:rFonts w:asciiTheme="minorHAnsi" w:hAnsiTheme="minorHAnsi" w:cstheme="minorHAnsi"/>
                <w:sz w:val="22"/>
                <w:szCs w:val="22"/>
              </w:rPr>
              <w:t>Estimate as of April 2021</w:t>
            </w:r>
          </w:p>
        </w:tc>
      </w:tr>
      <w:tr w:rsidR="002E55EE" w14:paraId="355C94B5" w14:textId="77777777" w:rsidTr="00475C2E">
        <w:tc>
          <w:tcPr>
            <w:tcW w:w="3116" w:type="dxa"/>
          </w:tcPr>
          <w:p w14:paraId="10F7C045" w14:textId="355FFB48" w:rsidR="002E55EE" w:rsidRDefault="002E55EE"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lastRenderedPageBreak/>
              <w:t xml:space="preserve">Transport: </w:t>
            </w:r>
            <w:r w:rsidR="00FE128E">
              <w:rPr>
                <w:rFonts w:asciiTheme="minorHAnsi" w:hAnsiTheme="minorHAnsi" w:cstheme="minorHAnsi"/>
                <w:sz w:val="22"/>
                <w:szCs w:val="22"/>
              </w:rPr>
              <w:t>Standard cost of airfare</w:t>
            </w:r>
          </w:p>
        </w:tc>
        <w:tc>
          <w:tcPr>
            <w:tcW w:w="3117" w:type="dxa"/>
          </w:tcPr>
          <w:p w14:paraId="0B97D9D5" w14:textId="5F839972" w:rsidR="002E55EE" w:rsidRPr="00C43581" w:rsidRDefault="005513B5"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$129.81</w:t>
            </w:r>
          </w:p>
        </w:tc>
        <w:tc>
          <w:tcPr>
            <w:tcW w:w="3117" w:type="dxa"/>
          </w:tcPr>
          <w:p w14:paraId="5B8C6DC9" w14:textId="18B8449B" w:rsidR="002E55EE" w:rsidRPr="00C43581" w:rsidRDefault="00FE128E"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Cost of airfare from Nairobi to Mombasa</w:t>
            </w:r>
            <w:r w:rsidR="00812422">
              <w:rPr>
                <w:rFonts w:asciiTheme="minorHAnsi" w:hAnsiTheme="minorHAnsi" w:cstheme="minorHAnsi"/>
                <w:sz w:val="22"/>
                <w:szCs w:val="22"/>
              </w:rPr>
              <w:t xml:space="preserve"> (Kenya Airways)</w:t>
            </w:r>
          </w:p>
        </w:tc>
      </w:tr>
      <w:tr w:rsidR="00CD03A9" w14:paraId="152435AB" w14:textId="77777777" w:rsidTr="00475C2E">
        <w:tc>
          <w:tcPr>
            <w:tcW w:w="3116" w:type="dxa"/>
          </w:tcPr>
          <w:p w14:paraId="53434484" w14:textId="4FF85F6D" w:rsidR="00CD03A9" w:rsidRPr="007B6CD5" w:rsidRDefault="00CD03A9"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Cold chain: </w:t>
            </w:r>
            <w:r w:rsidR="0098711B" w:rsidRPr="0098711B">
              <w:rPr>
                <w:rFonts w:asciiTheme="minorHAnsi" w:hAnsiTheme="minorHAnsi" w:cstheme="minorHAnsi"/>
                <w:sz w:val="22"/>
                <w:szCs w:val="22"/>
              </w:rPr>
              <w:t>years of useful life</w:t>
            </w:r>
            <w:r w:rsidR="0098711B">
              <w:rPr>
                <w:rFonts w:asciiTheme="minorHAnsi" w:hAnsiTheme="minorHAnsi" w:cstheme="minorHAnsi"/>
                <w:sz w:val="22"/>
                <w:szCs w:val="22"/>
              </w:rPr>
              <w:t xml:space="preserve"> for cold rooms</w:t>
            </w:r>
          </w:p>
        </w:tc>
        <w:tc>
          <w:tcPr>
            <w:tcW w:w="3117" w:type="dxa"/>
          </w:tcPr>
          <w:p w14:paraId="56A84F59" w14:textId="59C76584" w:rsidR="00CD03A9" w:rsidRPr="00F873D9" w:rsidRDefault="0098711B"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15 years</w:t>
            </w:r>
          </w:p>
        </w:tc>
        <w:tc>
          <w:tcPr>
            <w:tcW w:w="3117" w:type="dxa"/>
          </w:tcPr>
          <w:p w14:paraId="11F8E98B" w14:textId="54AFBA1C" w:rsidR="00CD03A9" w:rsidRDefault="0098711B"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Prior Kenya</w:t>
            </w:r>
            <w:r w:rsidR="0086322B">
              <w:rPr>
                <w:rFonts w:asciiTheme="minorHAnsi" w:hAnsiTheme="minorHAnsi" w:cstheme="minorHAnsi"/>
                <w:sz w:val="22"/>
                <w:szCs w:val="22"/>
              </w:rPr>
              <w:t>n</w:t>
            </w:r>
            <w:r>
              <w:rPr>
                <w:rFonts w:asciiTheme="minorHAnsi" w:hAnsiTheme="minorHAnsi" w:cstheme="minorHAnsi"/>
                <w:sz w:val="22"/>
                <w:szCs w:val="22"/>
              </w:rPr>
              <w:t xml:space="preserve"> costing study </w:t>
            </w:r>
            <w:r w:rsidRPr="002E542F">
              <w:rPr>
                <w:rFonts w:asciiTheme="minorHAnsi" w:hAnsiTheme="minorHAnsi" w:cstheme="minorHAnsi"/>
                <w:noProof/>
                <w:sz w:val="22"/>
                <w:szCs w:val="22"/>
              </w:rPr>
              <w:t>[3]</w:t>
            </w:r>
          </w:p>
        </w:tc>
      </w:tr>
      <w:tr w:rsidR="00CD03A9" w14:paraId="20630FEA" w14:textId="77777777" w:rsidTr="00475C2E">
        <w:tc>
          <w:tcPr>
            <w:tcW w:w="3116" w:type="dxa"/>
          </w:tcPr>
          <w:p w14:paraId="6576CBC9" w14:textId="555DB1D2" w:rsidR="00CD03A9" w:rsidRPr="007B6CD5" w:rsidRDefault="0098711B"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Cold chain: years of useful life for re</w:t>
            </w:r>
            <w:r w:rsidR="00E221C7">
              <w:rPr>
                <w:rFonts w:asciiTheme="minorHAnsi" w:hAnsiTheme="minorHAnsi" w:cstheme="minorHAnsi"/>
                <w:sz w:val="22"/>
                <w:szCs w:val="22"/>
              </w:rPr>
              <w:t>frigerators, freezers, and incinerators</w:t>
            </w:r>
          </w:p>
        </w:tc>
        <w:tc>
          <w:tcPr>
            <w:tcW w:w="3117" w:type="dxa"/>
          </w:tcPr>
          <w:p w14:paraId="1974C4AD" w14:textId="3D5BBF1C" w:rsidR="00CD03A9" w:rsidRPr="00F873D9" w:rsidRDefault="00E221C7"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10 years</w:t>
            </w:r>
          </w:p>
        </w:tc>
        <w:tc>
          <w:tcPr>
            <w:tcW w:w="3117" w:type="dxa"/>
          </w:tcPr>
          <w:p w14:paraId="2FA9CE7B" w14:textId="2AAFB344" w:rsidR="00CD03A9" w:rsidRDefault="009E633E"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Standard WHO Seasonal Influenza Immunization Costing Tool input </w:t>
            </w:r>
            <w:r w:rsidR="006C144C">
              <w:rPr>
                <w:rFonts w:asciiTheme="minorHAnsi" w:hAnsiTheme="minorHAnsi" w:cstheme="minorHAnsi"/>
                <w:noProof/>
                <w:sz w:val="22"/>
                <w:szCs w:val="22"/>
              </w:rPr>
              <w:t>[5]</w:t>
            </w:r>
          </w:p>
        </w:tc>
      </w:tr>
      <w:tr w:rsidR="009913E6" w14:paraId="607DE26E" w14:textId="77777777" w:rsidTr="00475C2E">
        <w:tc>
          <w:tcPr>
            <w:tcW w:w="3116" w:type="dxa"/>
          </w:tcPr>
          <w:p w14:paraId="3FEA7AA5" w14:textId="62C27E4E" w:rsidR="009913E6" w:rsidRDefault="009913E6"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Cold chain: cost of equipment maintenance</w:t>
            </w:r>
          </w:p>
        </w:tc>
        <w:tc>
          <w:tcPr>
            <w:tcW w:w="3117" w:type="dxa"/>
          </w:tcPr>
          <w:p w14:paraId="216FDB25" w14:textId="2FD27B4F" w:rsidR="009913E6" w:rsidRDefault="000A65C6"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National: </w:t>
            </w:r>
            <w:r w:rsidR="005513B5">
              <w:rPr>
                <w:rFonts w:asciiTheme="minorHAnsi" w:hAnsiTheme="minorHAnsi" w:cstheme="minorHAnsi"/>
                <w:sz w:val="22"/>
                <w:szCs w:val="22"/>
              </w:rPr>
              <w:t>$4636.07</w:t>
            </w:r>
            <w:r>
              <w:rPr>
                <w:rFonts w:asciiTheme="minorHAnsi" w:hAnsiTheme="minorHAnsi" w:cstheme="minorHAnsi"/>
                <w:sz w:val="22"/>
                <w:szCs w:val="22"/>
              </w:rPr>
              <w:br/>
              <w:t xml:space="preserve">Regional: </w:t>
            </w:r>
            <w:r w:rsidR="005513B5">
              <w:rPr>
                <w:rFonts w:asciiTheme="minorHAnsi" w:hAnsiTheme="minorHAnsi" w:cstheme="minorHAnsi"/>
                <w:sz w:val="22"/>
                <w:szCs w:val="22"/>
              </w:rPr>
              <w:t>$4636.07</w:t>
            </w:r>
            <w:r>
              <w:rPr>
                <w:rFonts w:asciiTheme="minorHAnsi" w:hAnsiTheme="minorHAnsi" w:cstheme="minorHAnsi"/>
                <w:sz w:val="22"/>
                <w:szCs w:val="22"/>
              </w:rPr>
              <w:br/>
            </w:r>
            <w:proofErr w:type="gramStart"/>
            <w:r>
              <w:rPr>
                <w:rFonts w:asciiTheme="minorHAnsi" w:hAnsiTheme="minorHAnsi" w:cstheme="minorHAnsi"/>
                <w:sz w:val="22"/>
                <w:szCs w:val="22"/>
              </w:rPr>
              <w:t>Sub-county</w:t>
            </w:r>
            <w:proofErr w:type="gramEnd"/>
            <w:r>
              <w:rPr>
                <w:rFonts w:asciiTheme="minorHAnsi" w:hAnsiTheme="minorHAnsi" w:cstheme="minorHAnsi"/>
                <w:sz w:val="22"/>
                <w:szCs w:val="22"/>
              </w:rPr>
              <w:t xml:space="preserve">: </w:t>
            </w:r>
            <w:r w:rsidR="00DD5F2C">
              <w:rPr>
                <w:rFonts w:asciiTheme="minorHAnsi" w:hAnsiTheme="minorHAnsi" w:cstheme="minorHAnsi"/>
                <w:sz w:val="22"/>
                <w:szCs w:val="22"/>
              </w:rPr>
              <w:t>$772.68</w:t>
            </w:r>
            <w:r w:rsidR="0038275F">
              <w:rPr>
                <w:rFonts w:asciiTheme="minorHAnsi" w:hAnsiTheme="minorHAnsi" w:cstheme="minorHAnsi"/>
                <w:sz w:val="22"/>
                <w:szCs w:val="22"/>
              </w:rPr>
              <w:t xml:space="preserve"> (Nakuru); </w:t>
            </w:r>
            <w:r w:rsidR="00F61538">
              <w:rPr>
                <w:rFonts w:asciiTheme="minorHAnsi" w:hAnsiTheme="minorHAnsi" w:cstheme="minorHAnsi"/>
                <w:sz w:val="22"/>
                <w:szCs w:val="22"/>
              </w:rPr>
              <w:t>$421.46</w:t>
            </w:r>
            <w:r w:rsidR="0038275F">
              <w:rPr>
                <w:rFonts w:asciiTheme="minorHAnsi" w:hAnsiTheme="minorHAnsi" w:cstheme="minorHAnsi"/>
                <w:sz w:val="22"/>
                <w:szCs w:val="22"/>
              </w:rPr>
              <w:t xml:space="preserve"> (Mombasa)</w:t>
            </w:r>
            <w:r>
              <w:rPr>
                <w:rFonts w:asciiTheme="minorHAnsi" w:hAnsiTheme="minorHAnsi" w:cstheme="minorHAnsi"/>
                <w:sz w:val="22"/>
                <w:szCs w:val="22"/>
              </w:rPr>
              <w:br/>
            </w:r>
            <w:r w:rsidR="0038275F">
              <w:rPr>
                <w:rFonts w:asciiTheme="minorHAnsi" w:hAnsiTheme="minorHAnsi" w:cstheme="minorHAnsi"/>
                <w:sz w:val="22"/>
                <w:szCs w:val="22"/>
              </w:rPr>
              <w:t>Facility</w:t>
            </w:r>
            <w:r>
              <w:rPr>
                <w:rFonts w:asciiTheme="minorHAnsi" w:hAnsiTheme="minorHAnsi" w:cstheme="minorHAnsi"/>
                <w:sz w:val="22"/>
                <w:szCs w:val="22"/>
              </w:rPr>
              <w:t xml:space="preserve">: </w:t>
            </w:r>
            <w:r w:rsidR="00DD5F2C">
              <w:rPr>
                <w:rFonts w:asciiTheme="minorHAnsi" w:hAnsiTheme="minorHAnsi" w:cstheme="minorHAnsi"/>
                <w:sz w:val="22"/>
                <w:szCs w:val="22"/>
              </w:rPr>
              <w:t>$2225.31</w:t>
            </w:r>
          </w:p>
        </w:tc>
        <w:tc>
          <w:tcPr>
            <w:tcW w:w="3117" w:type="dxa"/>
          </w:tcPr>
          <w:p w14:paraId="5B36CDB1" w14:textId="452E506F" w:rsidR="009913E6" w:rsidRDefault="009913E6" w:rsidP="00475C2E">
            <w:p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Kenya </w:t>
            </w:r>
            <w:r w:rsidRPr="00665F0D">
              <w:rPr>
                <w:rFonts w:asciiTheme="minorHAnsi" w:hAnsiTheme="minorHAnsi" w:cstheme="minorHAnsi"/>
                <w:sz w:val="22"/>
                <w:szCs w:val="22"/>
              </w:rPr>
              <w:t>National Vaccines Immunization Program</w:t>
            </w:r>
          </w:p>
        </w:tc>
      </w:tr>
    </w:tbl>
    <w:p w14:paraId="06087F7F" w14:textId="1C65E61C" w:rsidR="006C144C" w:rsidRDefault="007875D3" w:rsidP="006C144C">
      <w:pPr>
        <w:spacing w:after="160" w:line="259" w:lineRule="auto"/>
        <w:rPr>
          <w:rFonts w:asciiTheme="minorHAnsi" w:hAnsiTheme="minorHAnsi" w:cstheme="minorHAnsi"/>
          <w:sz w:val="22"/>
          <w:szCs w:val="22"/>
        </w:rPr>
      </w:pPr>
      <w:r w:rsidRPr="0080363D">
        <w:rPr>
          <w:rFonts w:asciiTheme="minorHAnsi" w:hAnsiTheme="minorHAnsi" w:cstheme="minorHAnsi"/>
          <w:sz w:val="22"/>
          <w:szCs w:val="22"/>
        </w:rPr>
        <w:t>All costs presented in U.S. Dollars; 1 US$ = 10</w:t>
      </w:r>
      <w:r>
        <w:rPr>
          <w:rFonts w:asciiTheme="minorHAnsi" w:hAnsiTheme="minorHAnsi" w:cstheme="minorHAnsi"/>
          <w:sz w:val="22"/>
          <w:szCs w:val="22"/>
        </w:rPr>
        <w:t xml:space="preserve">7.85 </w:t>
      </w:r>
      <w:r w:rsidRPr="0080363D">
        <w:rPr>
          <w:rFonts w:asciiTheme="minorHAnsi" w:hAnsiTheme="minorHAnsi" w:cstheme="minorHAnsi"/>
          <w:sz w:val="22"/>
          <w:szCs w:val="22"/>
        </w:rPr>
        <w:t>Kenya</w:t>
      </w:r>
      <w:r>
        <w:rPr>
          <w:rFonts w:asciiTheme="minorHAnsi" w:hAnsiTheme="minorHAnsi" w:cstheme="minorHAnsi"/>
          <w:sz w:val="22"/>
          <w:szCs w:val="22"/>
        </w:rPr>
        <w:t>n</w:t>
      </w:r>
      <w:r w:rsidRPr="0080363D">
        <w:rPr>
          <w:rFonts w:asciiTheme="minorHAnsi" w:hAnsiTheme="minorHAnsi" w:cstheme="minorHAnsi"/>
          <w:sz w:val="22"/>
          <w:szCs w:val="22"/>
        </w:rPr>
        <w:t xml:space="preserve"> </w:t>
      </w:r>
      <w:r>
        <w:rPr>
          <w:rFonts w:asciiTheme="minorHAnsi" w:hAnsiTheme="minorHAnsi" w:cstheme="minorHAnsi"/>
          <w:sz w:val="22"/>
          <w:szCs w:val="22"/>
        </w:rPr>
        <w:t>s</w:t>
      </w:r>
      <w:r w:rsidRPr="0080363D">
        <w:rPr>
          <w:rFonts w:asciiTheme="minorHAnsi" w:hAnsiTheme="minorHAnsi" w:cstheme="minorHAnsi"/>
          <w:sz w:val="22"/>
          <w:szCs w:val="22"/>
        </w:rPr>
        <w:t>hillings (2021</w:t>
      </w:r>
      <w:r>
        <w:rPr>
          <w:rFonts w:asciiTheme="minorHAnsi" w:hAnsiTheme="minorHAnsi" w:cstheme="minorHAnsi"/>
          <w:sz w:val="22"/>
          <w:szCs w:val="22"/>
        </w:rPr>
        <w:t xml:space="preserve"> </w:t>
      </w:r>
      <w:r w:rsidR="00B3067D" w:rsidRPr="007875D3">
        <w:rPr>
          <w:rFonts w:asciiTheme="minorHAnsi" w:hAnsiTheme="minorHAnsi" w:cstheme="minorHAnsi"/>
          <w:sz w:val="22"/>
          <w:szCs w:val="22"/>
        </w:rPr>
        <w:t>mid-year rate based on Central Bank of Kenya foreign exchange rates</w:t>
      </w:r>
      <w:r w:rsidR="002E542F" w:rsidRPr="007875D3">
        <w:rPr>
          <w:rFonts w:asciiTheme="minorHAnsi" w:hAnsiTheme="minorHAnsi" w:cstheme="minorHAnsi"/>
          <w:sz w:val="22"/>
          <w:szCs w:val="22"/>
        </w:rPr>
        <w:t xml:space="preserve"> </w:t>
      </w:r>
      <w:r w:rsidR="006C144C" w:rsidRPr="007875D3">
        <w:rPr>
          <w:rFonts w:asciiTheme="minorHAnsi" w:hAnsiTheme="minorHAnsi" w:cstheme="minorHAnsi"/>
          <w:noProof/>
          <w:sz w:val="22"/>
          <w:szCs w:val="22"/>
        </w:rPr>
        <w:t>[6]</w:t>
      </w:r>
      <w:r w:rsidR="00B3067D" w:rsidRPr="007875D3">
        <w:rPr>
          <w:rFonts w:asciiTheme="minorHAnsi" w:hAnsiTheme="minorHAnsi" w:cstheme="minorHAnsi"/>
          <w:sz w:val="22"/>
          <w:szCs w:val="22"/>
        </w:rPr>
        <w:t>).</w:t>
      </w:r>
    </w:p>
    <w:p w14:paraId="6CED94F3" w14:textId="77777777" w:rsidR="006C144C" w:rsidRDefault="006C144C" w:rsidP="006C144C">
      <w:pPr>
        <w:spacing w:after="160" w:line="259" w:lineRule="auto"/>
        <w:rPr>
          <w:rFonts w:asciiTheme="minorHAnsi" w:hAnsiTheme="minorHAnsi" w:cstheme="minorHAnsi"/>
          <w:sz w:val="22"/>
          <w:szCs w:val="22"/>
        </w:rPr>
      </w:pPr>
    </w:p>
    <w:p w14:paraId="278859DE" w14:textId="77777777" w:rsidR="006C144C" w:rsidRDefault="006C144C" w:rsidP="006C144C">
      <w:pPr>
        <w:spacing w:after="160" w:line="259" w:lineRule="auto"/>
        <w:rPr>
          <w:rFonts w:asciiTheme="minorHAnsi" w:hAnsiTheme="minorHAnsi" w:cstheme="minorHAnsi"/>
          <w:sz w:val="22"/>
          <w:szCs w:val="22"/>
        </w:rPr>
      </w:pPr>
    </w:p>
    <w:p w14:paraId="76D2E4A9" w14:textId="717819F2" w:rsidR="005614A0" w:rsidRDefault="005614A0" w:rsidP="006C144C">
      <w:pPr>
        <w:spacing w:after="160" w:line="259" w:lineRule="auto"/>
        <w:rPr>
          <w:rFonts w:asciiTheme="minorHAnsi" w:hAnsiTheme="minorHAnsi" w:cstheme="minorHAnsi"/>
          <w:b/>
          <w:sz w:val="22"/>
          <w:szCs w:val="22"/>
        </w:rPr>
      </w:pPr>
      <w:r w:rsidRPr="005614A0">
        <w:rPr>
          <w:rFonts w:asciiTheme="minorHAnsi" w:hAnsiTheme="minorHAnsi" w:cstheme="minorHAnsi"/>
          <w:b/>
          <w:sz w:val="22"/>
          <w:szCs w:val="22"/>
        </w:rPr>
        <w:t>References</w:t>
      </w:r>
      <w:r>
        <w:rPr>
          <w:rFonts w:asciiTheme="minorHAnsi" w:hAnsiTheme="minorHAnsi" w:cstheme="minorHAnsi"/>
          <w:b/>
          <w:sz w:val="22"/>
          <w:szCs w:val="22"/>
        </w:rPr>
        <w:t>:</w:t>
      </w:r>
    </w:p>
    <w:p w14:paraId="15056BC6" w14:textId="16A2D01D"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[1] Salaries &amp; Renumeration Commission. Review of Rates and Cluster Classification for Purposes of Payment of Daily Subsistence Allowance (DSA) - Local Travel. Nairobi, Kenya2017.</w:t>
      </w:r>
    </w:p>
    <w:p w14:paraId="6EA44B29" w14:textId="77777777"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[2] World Health Organization. WHO Catalogue of Prequalified Immunization Devices. 2023.</w:t>
      </w:r>
    </w:p>
    <w:p w14:paraId="67AA4735" w14:textId="77777777"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[3] UNICEF. UNICEF Price Data Overview. 2023.</w:t>
      </w:r>
    </w:p>
    <w:p w14:paraId="07C01A1A" w14:textId="77777777"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[4] Mvundura M, Lorenson K, Chweya A, Kigadye R, Bartholomew K, Makame M, et al. Estimating the costs of the vaccine supply chain and service delivery for selected districts in Kenya and Tanzania. Vaccine. 2015;33:2697-703.</w:t>
      </w:r>
    </w:p>
    <w:p w14:paraId="34E7DBC1" w14:textId="77777777"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[5] World Health Organization. Flutool plus: WHO seasonal influenza immunization costing tool (‎SIICT)‎, Pilot version 1.0. 2020.</w:t>
      </w:r>
    </w:p>
    <w:p w14:paraId="45F481BB" w14:textId="77777777" w:rsidR="009E633E" w:rsidRPr="009E633E" w:rsidRDefault="009E633E" w:rsidP="009E633E">
      <w:pPr>
        <w:pStyle w:val="EndNoteBibliography"/>
        <w:rPr>
          <w:rFonts w:asciiTheme="minorHAnsi" w:hAnsiTheme="minorHAnsi" w:cstheme="minorHAnsi"/>
          <w:sz w:val="22"/>
          <w:szCs w:val="22"/>
        </w:rPr>
      </w:pPr>
      <w:r w:rsidRPr="009E633E">
        <w:rPr>
          <w:rFonts w:asciiTheme="minorHAnsi" w:hAnsiTheme="minorHAnsi" w:cstheme="minorHAnsi"/>
          <w:sz w:val="22"/>
          <w:szCs w:val="22"/>
        </w:rPr>
        <w:t>[6] Central Bank of Kenya. Foreign Exchange Rates. 2023.</w:t>
      </w:r>
    </w:p>
    <w:p w14:paraId="2497769C" w14:textId="0C398B54" w:rsidR="005614A0" w:rsidRPr="005614A0" w:rsidRDefault="005614A0" w:rsidP="005614A0">
      <w:pPr>
        <w:spacing w:line="240" w:lineRule="auto"/>
        <w:jc w:val="both"/>
        <w:rPr>
          <w:rFonts w:asciiTheme="minorHAnsi" w:hAnsiTheme="minorHAnsi" w:cstheme="minorHAnsi"/>
          <w:b/>
          <w:sz w:val="22"/>
          <w:szCs w:val="22"/>
        </w:rPr>
      </w:pPr>
    </w:p>
    <w:sectPr w:rsidR="005614A0" w:rsidRPr="005614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FCCD" w14:textId="77777777" w:rsidR="00926C63" w:rsidRDefault="00926C63">
      <w:pPr>
        <w:spacing w:line="240" w:lineRule="auto"/>
      </w:pPr>
      <w:r>
        <w:separator/>
      </w:r>
    </w:p>
  </w:endnote>
  <w:endnote w:type="continuationSeparator" w:id="0">
    <w:p w14:paraId="0AB1A96F" w14:textId="77777777" w:rsidR="00926C63" w:rsidRDefault="00926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96A1" w14:textId="77777777" w:rsidR="0013464F" w:rsidRDefault="00134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088205"/>
      <w:docPartObj>
        <w:docPartGallery w:val="Page Numbers (Bottom of Page)"/>
        <w:docPartUnique/>
      </w:docPartObj>
    </w:sdtPr>
    <w:sdtEndPr>
      <w:rPr>
        <w:rFonts w:asciiTheme="minorHAnsi" w:hAnsiTheme="minorHAnsi" w:cstheme="minorHAnsi"/>
        <w:noProof/>
        <w:sz w:val="22"/>
        <w:szCs w:val="22"/>
      </w:rPr>
    </w:sdtEndPr>
    <w:sdtContent>
      <w:p w14:paraId="3F237D74" w14:textId="7CD38ECE" w:rsidR="006C144C" w:rsidRPr="006C144C" w:rsidRDefault="006C144C">
        <w:pPr>
          <w:pStyle w:val="Footer"/>
          <w:jc w:val="right"/>
          <w:rPr>
            <w:rFonts w:asciiTheme="minorHAnsi" w:hAnsiTheme="minorHAnsi" w:cstheme="minorHAnsi"/>
            <w:sz w:val="22"/>
            <w:szCs w:val="22"/>
          </w:rPr>
        </w:pPr>
        <w:r w:rsidRPr="006C144C">
          <w:rPr>
            <w:rFonts w:asciiTheme="minorHAnsi" w:hAnsiTheme="minorHAnsi" w:cstheme="minorHAnsi"/>
            <w:sz w:val="22"/>
            <w:szCs w:val="22"/>
          </w:rPr>
          <w:fldChar w:fldCharType="begin"/>
        </w:r>
        <w:r w:rsidRPr="006C144C">
          <w:rPr>
            <w:rFonts w:asciiTheme="minorHAnsi" w:hAnsiTheme="minorHAnsi" w:cstheme="minorHAnsi"/>
            <w:sz w:val="22"/>
            <w:szCs w:val="22"/>
          </w:rPr>
          <w:instrText xml:space="preserve"> PAGE   \* MERGEFORMAT </w:instrText>
        </w:r>
        <w:r w:rsidRPr="006C144C">
          <w:rPr>
            <w:rFonts w:asciiTheme="minorHAnsi" w:hAnsiTheme="minorHAnsi" w:cstheme="minorHAnsi"/>
            <w:sz w:val="22"/>
            <w:szCs w:val="22"/>
          </w:rPr>
          <w:fldChar w:fldCharType="separate"/>
        </w:r>
        <w:r w:rsidRPr="006C144C">
          <w:rPr>
            <w:rFonts w:asciiTheme="minorHAnsi" w:hAnsiTheme="minorHAnsi" w:cstheme="minorHAnsi"/>
            <w:noProof/>
            <w:sz w:val="22"/>
            <w:szCs w:val="22"/>
          </w:rPr>
          <w:t>2</w:t>
        </w:r>
        <w:r w:rsidRPr="006C144C">
          <w:rPr>
            <w:rFonts w:asciiTheme="minorHAnsi" w:hAnsiTheme="minorHAnsi" w:cstheme="minorHAnsi"/>
            <w:noProof/>
            <w:sz w:val="22"/>
            <w:szCs w:val="22"/>
          </w:rPr>
          <w:fldChar w:fldCharType="end"/>
        </w:r>
      </w:p>
    </w:sdtContent>
  </w:sdt>
  <w:p w14:paraId="6C3A5765" w14:textId="77777777" w:rsidR="0013464F" w:rsidRDefault="00134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4C5B" w14:textId="77777777" w:rsidR="0013464F" w:rsidRDefault="00134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B0D4" w14:textId="77777777" w:rsidR="00926C63" w:rsidRDefault="00926C63">
      <w:pPr>
        <w:spacing w:line="240" w:lineRule="auto"/>
      </w:pPr>
      <w:r>
        <w:separator/>
      </w:r>
    </w:p>
  </w:footnote>
  <w:footnote w:type="continuationSeparator" w:id="0">
    <w:p w14:paraId="6B5D2BDA" w14:textId="77777777" w:rsidR="00926C63" w:rsidRDefault="00926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D180" w14:textId="77777777" w:rsidR="0013464F" w:rsidRDefault="00134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CCC2" w14:textId="77777777" w:rsidR="0013464F" w:rsidRDefault="00134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9F5C" w14:textId="77777777" w:rsidR="0013464F" w:rsidRDefault="00134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c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5et9wt4dxtw3efvzh5vtvj0apxd95sfsef&quot;&gt;Kenya costing paper&lt;record-ids&gt;&lt;item&gt;63&lt;/item&gt;&lt;item&gt;65&lt;/item&gt;&lt;item&gt;66&lt;/item&gt;&lt;item&gt;67&lt;/item&gt;&lt;item&gt;69&lt;/item&gt;&lt;item&gt;70&lt;/item&gt;&lt;/record-ids&gt;&lt;/item&gt;&lt;/Libraries&gt;"/>
  </w:docVars>
  <w:rsids>
    <w:rsidRoot w:val="00DF08C0"/>
    <w:rsid w:val="00021209"/>
    <w:rsid w:val="00044ABC"/>
    <w:rsid w:val="000A65C6"/>
    <w:rsid w:val="000F0DF4"/>
    <w:rsid w:val="0013464F"/>
    <w:rsid w:val="001417BD"/>
    <w:rsid w:val="00142D1F"/>
    <w:rsid w:val="00162A42"/>
    <w:rsid w:val="00187EBD"/>
    <w:rsid w:val="001B1A0B"/>
    <w:rsid w:val="001F7E3B"/>
    <w:rsid w:val="00211AFF"/>
    <w:rsid w:val="00254311"/>
    <w:rsid w:val="00274B47"/>
    <w:rsid w:val="002B0FB5"/>
    <w:rsid w:val="002D4963"/>
    <w:rsid w:val="002E542F"/>
    <w:rsid w:val="002E55EE"/>
    <w:rsid w:val="00314349"/>
    <w:rsid w:val="00330620"/>
    <w:rsid w:val="003416EC"/>
    <w:rsid w:val="00342F37"/>
    <w:rsid w:val="0038275F"/>
    <w:rsid w:val="00384A05"/>
    <w:rsid w:val="003C5357"/>
    <w:rsid w:val="003D08B4"/>
    <w:rsid w:val="004133DD"/>
    <w:rsid w:val="00475C2E"/>
    <w:rsid w:val="00477C6D"/>
    <w:rsid w:val="00497F7F"/>
    <w:rsid w:val="004D348D"/>
    <w:rsid w:val="004D7BBD"/>
    <w:rsid w:val="004F139A"/>
    <w:rsid w:val="00516AC6"/>
    <w:rsid w:val="005360F4"/>
    <w:rsid w:val="005513B5"/>
    <w:rsid w:val="005614A0"/>
    <w:rsid w:val="00587761"/>
    <w:rsid w:val="005E20CF"/>
    <w:rsid w:val="005E55ED"/>
    <w:rsid w:val="00623B20"/>
    <w:rsid w:val="00665F0D"/>
    <w:rsid w:val="006A7C11"/>
    <w:rsid w:val="006C144C"/>
    <w:rsid w:val="006D01B7"/>
    <w:rsid w:val="006D5414"/>
    <w:rsid w:val="006F04B4"/>
    <w:rsid w:val="00781268"/>
    <w:rsid w:val="007875D3"/>
    <w:rsid w:val="007B1B4F"/>
    <w:rsid w:val="007B6CD5"/>
    <w:rsid w:val="00812422"/>
    <w:rsid w:val="0082161C"/>
    <w:rsid w:val="0084112D"/>
    <w:rsid w:val="0086322B"/>
    <w:rsid w:val="008A15D8"/>
    <w:rsid w:val="008B6B6C"/>
    <w:rsid w:val="008C40BC"/>
    <w:rsid w:val="008F5B8F"/>
    <w:rsid w:val="00926C63"/>
    <w:rsid w:val="0098711B"/>
    <w:rsid w:val="009913E6"/>
    <w:rsid w:val="0099633B"/>
    <w:rsid w:val="009A352B"/>
    <w:rsid w:val="009A4F55"/>
    <w:rsid w:val="009B264C"/>
    <w:rsid w:val="009E633E"/>
    <w:rsid w:val="00A02F49"/>
    <w:rsid w:val="00A067C5"/>
    <w:rsid w:val="00A2747B"/>
    <w:rsid w:val="00A53C99"/>
    <w:rsid w:val="00A7756C"/>
    <w:rsid w:val="00A90CDB"/>
    <w:rsid w:val="00AB1552"/>
    <w:rsid w:val="00AC260E"/>
    <w:rsid w:val="00AE30B6"/>
    <w:rsid w:val="00AF50B8"/>
    <w:rsid w:val="00B06428"/>
    <w:rsid w:val="00B3067D"/>
    <w:rsid w:val="00B64382"/>
    <w:rsid w:val="00B719FB"/>
    <w:rsid w:val="00BA2900"/>
    <w:rsid w:val="00BE0871"/>
    <w:rsid w:val="00C00A1C"/>
    <w:rsid w:val="00C12642"/>
    <w:rsid w:val="00C14114"/>
    <w:rsid w:val="00C43581"/>
    <w:rsid w:val="00C566CE"/>
    <w:rsid w:val="00C64A46"/>
    <w:rsid w:val="00C766B1"/>
    <w:rsid w:val="00C92420"/>
    <w:rsid w:val="00CB7696"/>
    <w:rsid w:val="00CD03A9"/>
    <w:rsid w:val="00D23DFB"/>
    <w:rsid w:val="00D4049A"/>
    <w:rsid w:val="00D50B74"/>
    <w:rsid w:val="00D5149B"/>
    <w:rsid w:val="00D54533"/>
    <w:rsid w:val="00D92DD5"/>
    <w:rsid w:val="00DB1B4E"/>
    <w:rsid w:val="00DD5F2C"/>
    <w:rsid w:val="00DF08C0"/>
    <w:rsid w:val="00E221C7"/>
    <w:rsid w:val="00E4437C"/>
    <w:rsid w:val="00E4653C"/>
    <w:rsid w:val="00E544BD"/>
    <w:rsid w:val="00E73003"/>
    <w:rsid w:val="00E87A05"/>
    <w:rsid w:val="00E91C3D"/>
    <w:rsid w:val="00EC4E7A"/>
    <w:rsid w:val="00ED2392"/>
    <w:rsid w:val="00ED5095"/>
    <w:rsid w:val="00EF01E9"/>
    <w:rsid w:val="00F178C4"/>
    <w:rsid w:val="00F24B84"/>
    <w:rsid w:val="00F40EBB"/>
    <w:rsid w:val="00F61538"/>
    <w:rsid w:val="00F75167"/>
    <w:rsid w:val="00F825BD"/>
    <w:rsid w:val="00F82A90"/>
    <w:rsid w:val="00F873D9"/>
    <w:rsid w:val="00FB2854"/>
    <w:rsid w:val="00FC6449"/>
    <w:rsid w:val="00FD6C34"/>
    <w:rsid w:val="00FE11B4"/>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FB4B"/>
  <w15:chartTrackingRefBased/>
  <w15:docId w15:val="{4DB71E8D-5CEC-4E86-A5C5-E282C50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C0"/>
    <w:pPr>
      <w:spacing w:after="0" w:line="48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DF08C0"/>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08C0"/>
    <w:pPr>
      <w:tabs>
        <w:tab w:val="center" w:pos="4680"/>
        <w:tab w:val="right" w:pos="9360"/>
      </w:tabs>
      <w:spacing w:line="240" w:lineRule="auto"/>
    </w:pPr>
  </w:style>
  <w:style w:type="character" w:customStyle="1" w:styleId="HeaderChar">
    <w:name w:val="Header Char"/>
    <w:basedOn w:val="DefaultParagraphFont"/>
    <w:link w:val="Header"/>
    <w:uiPriority w:val="99"/>
    <w:rsid w:val="00DF08C0"/>
    <w:rPr>
      <w:rFonts w:ascii="Times New Roman" w:eastAsia="Calibri" w:hAnsi="Times New Roman" w:cs="Times New Roman"/>
      <w:sz w:val="24"/>
      <w:szCs w:val="24"/>
    </w:rPr>
  </w:style>
  <w:style w:type="paragraph" w:styleId="Footer">
    <w:name w:val="footer"/>
    <w:basedOn w:val="Normal"/>
    <w:link w:val="FooterChar"/>
    <w:uiPriority w:val="99"/>
    <w:unhideWhenUsed/>
    <w:rsid w:val="00DF08C0"/>
    <w:pPr>
      <w:tabs>
        <w:tab w:val="center" w:pos="4680"/>
        <w:tab w:val="right" w:pos="9360"/>
      </w:tabs>
      <w:spacing w:line="240" w:lineRule="auto"/>
    </w:pPr>
  </w:style>
  <w:style w:type="character" w:customStyle="1" w:styleId="FooterChar">
    <w:name w:val="Footer Char"/>
    <w:basedOn w:val="DefaultParagraphFont"/>
    <w:link w:val="Footer"/>
    <w:uiPriority w:val="99"/>
    <w:rsid w:val="00DF08C0"/>
    <w:rPr>
      <w:rFonts w:ascii="Times New Roman" w:eastAsia="Calibri" w:hAnsi="Times New Roman" w:cs="Times New Roman"/>
      <w:sz w:val="24"/>
      <w:szCs w:val="24"/>
    </w:rPr>
  </w:style>
  <w:style w:type="paragraph" w:styleId="Caption">
    <w:name w:val="caption"/>
    <w:basedOn w:val="Normal"/>
    <w:next w:val="Normal"/>
    <w:uiPriority w:val="35"/>
    <w:unhideWhenUsed/>
    <w:qFormat/>
    <w:rsid w:val="00DF08C0"/>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5614A0"/>
    <w:pPr>
      <w:jc w:val="center"/>
    </w:pPr>
    <w:rPr>
      <w:noProof/>
    </w:rPr>
  </w:style>
  <w:style w:type="character" w:customStyle="1" w:styleId="EndNoteBibliographyTitleChar">
    <w:name w:val="EndNote Bibliography Title Char"/>
    <w:basedOn w:val="DefaultParagraphFont"/>
    <w:link w:val="EndNoteBibliographyTitle"/>
    <w:rsid w:val="005614A0"/>
    <w:rPr>
      <w:rFonts w:ascii="Times New Roman" w:eastAsia="Calibri" w:hAnsi="Times New Roman" w:cs="Times New Roman"/>
      <w:noProof/>
      <w:sz w:val="24"/>
      <w:szCs w:val="24"/>
    </w:rPr>
  </w:style>
  <w:style w:type="paragraph" w:customStyle="1" w:styleId="EndNoteBibliography">
    <w:name w:val="EndNote Bibliography"/>
    <w:basedOn w:val="Normal"/>
    <w:link w:val="EndNoteBibliographyChar"/>
    <w:rsid w:val="005614A0"/>
    <w:pPr>
      <w:spacing w:line="240" w:lineRule="auto"/>
      <w:jc w:val="both"/>
    </w:pPr>
    <w:rPr>
      <w:noProof/>
    </w:rPr>
  </w:style>
  <w:style w:type="character" w:customStyle="1" w:styleId="EndNoteBibliographyChar">
    <w:name w:val="EndNote Bibliography Char"/>
    <w:basedOn w:val="DefaultParagraphFont"/>
    <w:link w:val="EndNoteBibliography"/>
    <w:rsid w:val="005614A0"/>
    <w:rPr>
      <w:rFonts w:ascii="Times New Roman" w:eastAsia="Calibri" w:hAnsi="Times New Roman" w:cs="Times New Roman"/>
      <w:noProof/>
      <w:sz w:val="24"/>
      <w:szCs w:val="24"/>
    </w:rPr>
  </w:style>
  <w:style w:type="table" w:styleId="TableGrid">
    <w:name w:val="Table Grid"/>
    <w:basedOn w:val="TableNormal"/>
    <w:uiPriority w:val="39"/>
    <w:rsid w:val="00FE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1AFF"/>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Gharpure, Radhika (CDC/DDID/NCIRD/ID)</dc:creator>
  <cp:keywords/>
  <dc:description/>
  <cp:lastModifiedBy>Gharpure, Radhika (CDC/NCIRD/ID)</cp:lastModifiedBy>
  <cp:revision>24</cp:revision>
  <dcterms:created xsi:type="dcterms:W3CDTF">2023-11-07T14:21:00Z</dcterms:created>
  <dcterms:modified xsi:type="dcterms:W3CDTF">2023-12-04T16:58:00Z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2023-08-28T19:46:39Z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ba2694ee-8ffa-4592-aa07-42494f105ad1</vt:lpwstr>
  </property>
  <property fmtid="{D5CDD505-2E9C-101B-9397-08002B2CF9AE}" pid="8" name="MSIP_Label_7b94a7b8-f06c-4dfe-bdcc-9b548fd58c31_ContentBits">
    <vt:lpwstr>0</vt:lpwstr>
  </property>
</Properties>
</file>