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77FC" w14:textId="5C26B7DA" w:rsidR="00FC70C6" w:rsidRPr="00FA2487" w:rsidRDefault="00DB1D89" w:rsidP="00F431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="00C738F0"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 Online Content</w:t>
      </w:r>
    </w:p>
    <w:p w14:paraId="2C96EFBF" w14:textId="75890CCB" w:rsidR="00884D48" w:rsidRPr="00FA2487" w:rsidRDefault="000A67D9" w:rsidP="00F431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Method </w:t>
      </w:r>
      <w:r w:rsidR="00135BDE"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used </w:t>
      </w:r>
      <w:r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to calculate </w:t>
      </w:r>
      <w:r w:rsidR="001A7D63" w:rsidRPr="00FA248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A2487">
        <w:rPr>
          <w:rFonts w:ascii="Times New Roman" w:hAnsi="Times New Roman" w:cs="Times New Roman"/>
          <w:b/>
          <w:bCs/>
          <w:sz w:val="24"/>
          <w:szCs w:val="24"/>
        </w:rPr>
        <w:t>regnancy-</w:t>
      </w:r>
      <w:r w:rsidR="001A7D63" w:rsidRPr="00FA248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elated </w:t>
      </w:r>
      <w:r w:rsidR="00787C02" w:rsidRPr="00FA248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ortality </w:t>
      </w:r>
      <w:r w:rsidR="001A7D63" w:rsidRPr="00FA248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atio </w:t>
      </w:r>
      <w:r w:rsidR="001A7D63" w:rsidRPr="00FA248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2487">
        <w:rPr>
          <w:rFonts w:ascii="Times New Roman" w:hAnsi="Times New Roman" w:cs="Times New Roman"/>
          <w:b/>
          <w:bCs/>
          <w:sz w:val="24"/>
          <w:szCs w:val="24"/>
        </w:rPr>
        <w:t>enominator (live births)</w:t>
      </w:r>
    </w:p>
    <w:p w14:paraId="3A74EFE1" w14:textId="33DEDECF" w:rsidR="00A576C2" w:rsidRPr="00FA2487" w:rsidRDefault="00A576C2" w:rsidP="00DB1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t xml:space="preserve">To generate </w:t>
      </w:r>
      <w:r w:rsidR="005B4B72" w:rsidRPr="00FA2487">
        <w:rPr>
          <w:rFonts w:ascii="Times New Roman" w:hAnsi="Times New Roman" w:cs="Times New Roman"/>
          <w:sz w:val="24"/>
          <w:szCs w:val="24"/>
        </w:rPr>
        <w:t xml:space="preserve">approximate counts of </w:t>
      </w:r>
      <w:r w:rsidRPr="00FA2487">
        <w:rPr>
          <w:rFonts w:ascii="Times New Roman" w:hAnsi="Times New Roman" w:cs="Times New Roman"/>
          <w:sz w:val="24"/>
          <w:szCs w:val="24"/>
        </w:rPr>
        <w:t>county-level births, including counties where</w:t>
      </w:r>
      <w:r w:rsidR="00DB1D89">
        <w:rPr>
          <w:rFonts w:ascii="Times New Roman" w:hAnsi="Times New Roman" w:cs="Times New Roman"/>
          <w:sz w:val="24"/>
          <w:szCs w:val="24"/>
        </w:rPr>
        <w:t xml:space="preserve"> </w:t>
      </w:r>
      <w:r w:rsidR="00DB1D89" w:rsidRPr="00DB1D89">
        <w:rPr>
          <w:rFonts w:ascii="Times New Roman" w:hAnsi="Times New Roman" w:cs="Times New Roman"/>
          <w:sz w:val="24"/>
          <w:szCs w:val="24"/>
        </w:rPr>
        <w:t>Centers for Disease Control and</w:t>
      </w:r>
      <w:r w:rsidR="00DB1D89">
        <w:rPr>
          <w:rFonts w:ascii="Times New Roman" w:hAnsi="Times New Roman" w:cs="Times New Roman"/>
          <w:sz w:val="24"/>
          <w:szCs w:val="24"/>
        </w:rPr>
        <w:t xml:space="preserve"> </w:t>
      </w:r>
      <w:r w:rsidR="00DB1D89" w:rsidRPr="00DB1D89">
        <w:rPr>
          <w:rFonts w:ascii="Times New Roman" w:hAnsi="Times New Roman" w:cs="Times New Roman"/>
          <w:sz w:val="24"/>
          <w:szCs w:val="24"/>
        </w:rPr>
        <w:t>Prevention, Wide-ranging Online Data</w:t>
      </w:r>
      <w:r w:rsidR="00DB1D89">
        <w:rPr>
          <w:rFonts w:ascii="Times New Roman" w:hAnsi="Times New Roman" w:cs="Times New Roman"/>
          <w:sz w:val="24"/>
          <w:szCs w:val="24"/>
        </w:rPr>
        <w:t xml:space="preserve"> </w:t>
      </w:r>
      <w:r w:rsidR="00DB1D89" w:rsidRPr="00DB1D89">
        <w:rPr>
          <w:rFonts w:ascii="Times New Roman" w:hAnsi="Times New Roman" w:cs="Times New Roman"/>
          <w:sz w:val="24"/>
          <w:szCs w:val="24"/>
        </w:rPr>
        <w:t>for Epidemiologic Research</w:t>
      </w:r>
      <w:r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DB1D89">
        <w:rPr>
          <w:rFonts w:ascii="Times New Roman" w:hAnsi="Times New Roman" w:cs="Times New Roman"/>
          <w:sz w:val="24"/>
          <w:szCs w:val="24"/>
        </w:rPr>
        <w:t>(</w:t>
      </w:r>
      <w:r w:rsidRPr="00FA2487">
        <w:rPr>
          <w:rFonts w:ascii="Times New Roman" w:hAnsi="Times New Roman" w:cs="Times New Roman"/>
          <w:sz w:val="24"/>
          <w:szCs w:val="24"/>
        </w:rPr>
        <w:t>CDC WONDER</w:t>
      </w:r>
      <w:r w:rsidR="00DB1D89">
        <w:rPr>
          <w:rFonts w:ascii="Times New Roman" w:hAnsi="Times New Roman" w:cs="Times New Roman"/>
          <w:sz w:val="24"/>
          <w:szCs w:val="24"/>
        </w:rPr>
        <w:t>)</w:t>
      </w:r>
      <w:r w:rsidRPr="00FA2487">
        <w:rPr>
          <w:rFonts w:ascii="Times New Roman" w:hAnsi="Times New Roman" w:cs="Times New Roman"/>
          <w:sz w:val="24"/>
          <w:szCs w:val="24"/>
        </w:rPr>
        <w:t xml:space="preserve"> suppresses data (</w:t>
      </w:r>
      <w:r w:rsidR="0019009E" w:rsidRPr="00FA2487">
        <w:rPr>
          <w:rFonts w:ascii="Times New Roman" w:hAnsi="Times New Roman" w:cs="Times New Roman"/>
          <w:sz w:val="24"/>
          <w:szCs w:val="24"/>
        </w:rPr>
        <w:t xml:space="preserve">all sub-national data </w:t>
      </w:r>
      <w:r w:rsidRPr="00FA2487">
        <w:rPr>
          <w:rFonts w:ascii="Times New Roman" w:hAnsi="Times New Roman" w:cs="Times New Roman"/>
          <w:sz w:val="24"/>
          <w:szCs w:val="24"/>
        </w:rPr>
        <w:t>with fewer than 10 births)</w:t>
      </w:r>
      <w:r w:rsidR="00FD667F" w:rsidRPr="00FA2487">
        <w:rPr>
          <w:rFonts w:ascii="Times New Roman" w:hAnsi="Times New Roman" w:cs="Times New Roman"/>
          <w:sz w:val="24"/>
          <w:szCs w:val="24"/>
        </w:rPr>
        <w:t xml:space="preserve"> from the National Vital Statistics System</w:t>
      </w:r>
      <w:r w:rsidR="00B20B0D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FD667F" w:rsidRPr="00FA2487">
        <w:rPr>
          <w:rFonts w:ascii="Times New Roman" w:hAnsi="Times New Roman" w:cs="Times New Roman"/>
          <w:sz w:val="24"/>
          <w:szCs w:val="24"/>
        </w:rPr>
        <w:t>(NVSS)</w:t>
      </w:r>
      <w:r w:rsidRPr="00FA2487">
        <w:rPr>
          <w:rFonts w:ascii="Times New Roman" w:hAnsi="Times New Roman" w:cs="Times New Roman"/>
          <w:sz w:val="24"/>
          <w:szCs w:val="24"/>
        </w:rPr>
        <w:t>,</w:t>
      </w:r>
      <w:r w:rsidR="008E265A" w:rsidRPr="00FA2487">
        <w:rPr>
          <w:rFonts w:ascii="Times New Roman" w:hAnsi="Times New Roman" w:cs="Times New Roman"/>
          <w:sz w:val="24"/>
          <w:szCs w:val="24"/>
        </w:rPr>
        <w:fldChar w:fldCharType="begin"/>
      </w:r>
      <w:r w:rsidR="00C814F1" w:rsidRPr="00FA248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&lt;EndNote&gt;&lt;Cite&gt;&lt;Author&gt;Centers for Disease Control and Prevention&lt;/Author&gt;&lt;RecNum&gt;274&lt;/RecNum&gt;&lt;DisplayText&gt;&lt;style face="superscript"&gt;1&lt;/style&gt;&lt;/DisplayText&gt;&lt;record&gt;&lt;rec-number&gt;274&lt;/rec-number&gt;&lt;foreign-keys&gt;&lt;key app="EN" db-id="9f0t0ra9sxawzqea0t8xf9xze22zepfwa9ex" timestamp="1585083178" guid="aab0ec20-6cf3-43ab-9714-5dcdc51db4fe"&gt;274&lt;/key&gt;&lt;/foreign-keys&gt;&lt;ref-type name="Web Page"&gt;12&lt;/ref-type&gt;&lt;contributors&gt;&lt;authors&gt;&lt;author&gt;Centers for Disease Control and Prevention,&lt;/author&gt;&lt;/authors&gt;&lt;/contributors&gt;&lt;titles&gt;&lt;title&gt;Data use restrictions&lt;/title&gt;&lt;/titles&gt;&lt;dates&gt;&lt;/dates&gt;&lt;urls&gt;&lt;related-urls&gt;&lt;url&gt;https://wonder.cdc.gov/datause.html&lt;/url&gt;&lt;/related-urls&gt;&lt;/urls&gt;&lt;/record&gt;&lt;/Cite&gt;&lt;/EndNote&gt;</w:instrText>
      </w:r>
      <w:r w:rsidR="008E265A" w:rsidRPr="00FA2487">
        <w:rPr>
          <w:rFonts w:ascii="Times New Roman" w:hAnsi="Times New Roman" w:cs="Times New Roman"/>
          <w:sz w:val="24"/>
          <w:szCs w:val="24"/>
        </w:rPr>
        <w:fldChar w:fldCharType="separate"/>
      </w:r>
      <w:r w:rsidR="00C814F1" w:rsidRPr="00FA2487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8E265A" w:rsidRPr="00FA2487">
        <w:rPr>
          <w:rFonts w:ascii="Times New Roman" w:hAnsi="Times New Roman" w:cs="Times New Roman"/>
          <w:sz w:val="24"/>
          <w:szCs w:val="24"/>
        </w:rPr>
        <w:fldChar w:fldCharType="end"/>
      </w:r>
      <w:r w:rsidRPr="00FA2487">
        <w:rPr>
          <w:rFonts w:ascii="Times New Roman" w:hAnsi="Times New Roman" w:cs="Times New Roman"/>
          <w:sz w:val="24"/>
          <w:szCs w:val="24"/>
        </w:rPr>
        <w:t xml:space="preserve"> we used the following method</w:t>
      </w:r>
      <w:r w:rsidR="00135BDE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3A3F54" w:rsidRPr="00FA2487">
        <w:rPr>
          <w:rFonts w:ascii="Times New Roman" w:hAnsi="Times New Roman" w:cs="Times New Roman"/>
          <w:sz w:val="24"/>
          <w:szCs w:val="24"/>
        </w:rPr>
        <w:t>to estimate bir</w:t>
      </w:r>
      <w:r w:rsidR="00FC35DD" w:rsidRPr="00FA2487">
        <w:rPr>
          <w:rFonts w:ascii="Times New Roman" w:hAnsi="Times New Roman" w:cs="Times New Roman"/>
          <w:sz w:val="24"/>
          <w:szCs w:val="24"/>
        </w:rPr>
        <w:t>ths per county</w:t>
      </w:r>
      <w:r w:rsidR="004448CB" w:rsidRPr="00FA2487">
        <w:rPr>
          <w:rFonts w:ascii="Times New Roman" w:hAnsi="Times New Roman" w:cs="Times New Roman"/>
          <w:sz w:val="24"/>
          <w:szCs w:val="24"/>
        </w:rPr>
        <w:t xml:space="preserve"> for each year from </w:t>
      </w:r>
      <w:r w:rsidR="00FC35DD" w:rsidRPr="00FA2487">
        <w:rPr>
          <w:rFonts w:ascii="Times New Roman" w:hAnsi="Times New Roman" w:cs="Times New Roman"/>
          <w:sz w:val="24"/>
          <w:szCs w:val="24"/>
        </w:rPr>
        <w:t>2011</w:t>
      </w:r>
      <w:r w:rsidR="004448CB" w:rsidRPr="00FA2487">
        <w:rPr>
          <w:rFonts w:ascii="Times New Roman" w:hAnsi="Times New Roman" w:cs="Times New Roman"/>
          <w:sz w:val="24"/>
          <w:szCs w:val="24"/>
        </w:rPr>
        <w:t xml:space="preserve"> through </w:t>
      </w:r>
      <w:r w:rsidR="00FC35DD" w:rsidRPr="00FA2487">
        <w:rPr>
          <w:rFonts w:ascii="Times New Roman" w:hAnsi="Times New Roman" w:cs="Times New Roman"/>
          <w:sz w:val="24"/>
          <w:szCs w:val="24"/>
        </w:rPr>
        <w:t>2016</w:t>
      </w:r>
      <w:r w:rsidR="00B92114" w:rsidRPr="00FA2487">
        <w:rPr>
          <w:rFonts w:ascii="Times New Roman" w:hAnsi="Times New Roman" w:cs="Times New Roman"/>
          <w:sz w:val="24"/>
          <w:szCs w:val="24"/>
        </w:rPr>
        <w:t xml:space="preserve"> and </w:t>
      </w:r>
      <w:r w:rsidR="00F6763D" w:rsidRPr="00FA2487">
        <w:rPr>
          <w:rFonts w:ascii="Times New Roman" w:hAnsi="Times New Roman" w:cs="Times New Roman"/>
          <w:sz w:val="24"/>
          <w:szCs w:val="24"/>
        </w:rPr>
        <w:t xml:space="preserve">for </w:t>
      </w:r>
      <w:r w:rsidR="00B92114" w:rsidRPr="00FA2487">
        <w:rPr>
          <w:rFonts w:ascii="Times New Roman" w:hAnsi="Times New Roman" w:cs="Times New Roman"/>
          <w:sz w:val="24"/>
          <w:szCs w:val="24"/>
        </w:rPr>
        <w:t xml:space="preserve">each </w:t>
      </w:r>
      <w:r w:rsidR="00945AEE" w:rsidRPr="00FA2487">
        <w:rPr>
          <w:rFonts w:ascii="Times New Roman" w:hAnsi="Times New Roman" w:cs="Times New Roman"/>
          <w:sz w:val="24"/>
          <w:szCs w:val="24"/>
        </w:rPr>
        <w:t xml:space="preserve">included </w:t>
      </w:r>
      <w:r w:rsidR="00B92114" w:rsidRPr="00FA2487">
        <w:rPr>
          <w:rFonts w:ascii="Times New Roman" w:hAnsi="Times New Roman" w:cs="Times New Roman"/>
          <w:sz w:val="24"/>
          <w:szCs w:val="24"/>
        </w:rPr>
        <w:t>race</w:t>
      </w:r>
      <w:r w:rsidR="00DB1D89">
        <w:rPr>
          <w:rFonts w:ascii="Times New Roman" w:hAnsi="Times New Roman" w:cs="Times New Roman"/>
          <w:sz w:val="24"/>
          <w:szCs w:val="24"/>
        </w:rPr>
        <w:t xml:space="preserve"> and </w:t>
      </w:r>
      <w:r w:rsidR="00B92114" w:rsidRPr="00FA2487">
        <w:rPr>
          <w:rFonts w:ascii="Times New Roman" w:hAnsi="Times New Roman" w:cs="Times New Roman"/>
          <w:sz w:val="24"/>
          <w:szCs w:val="24"/>
        </w:rPr>
        <w:t xml:space="preserve">ethnicity </w:t>
      </w:r>
      <w:r w:rsidR="00F5193D" w:rsidRPr="00FA2487">
        <w:rPr>
          <w:rFonts w:ascii="Times New Roman" w:hAnsi="Times New Roman" w:cs="Times New Roman"/>
          <w:sz w:val="24"/>
          <w:szCs w:val="24"/>
        </w:rPr>
        <w:t>(Hispanic births and non-Hispanic</w:t>
      </w:r>
      <w:r w:rsidR="008367CB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7012C7">
        <w:rPr>
          <w:rFonts w:ascii="Times New Roman" w:hAnsi="Times New Roman" w:cs="Times New Roman"/>
          <w:sz w:val="24"/>
          <w:szCs w:val="24"/>
        </w:rPr>
        <w:t>W</w:t>
      </w:r>
      <w:r w:rsidR="008367CB" w:rsidRPr="00FA2487">
        <w:rPr>
          <w:rFonts w:ascii="Times New Roman" w:hAnsi="Times New Roman" w:cs="Times New Roman"/>
          <w:sz w:val="24"/>
          <w:szCs w:val="24"/>
        </w:rPr>
        <w:t xml:space="preserve">hite, </w:t>
      </w:r>
      <w:r w:rsidR="007012C7">
        <w:rPr>
          <w:rFonts w:ascii="Times New Roman" w:hAnsi="Times New Roman" w:cs="Times New Roman"/>
          <w:sz w:val="24"/>
          <w:szCs w:val="24"/>
        </w:rPr>
        <w:t>B</w:t>
      </w:r>
      <w:r w:rsidR="008367CB" w:rsidRPr="00FA2487">
        <w:rPr>
          <w:rFonts w:ascii="Times New Roman" w:hAnsi="Times New Roman" w:cs="Times New Roman"/>
          <w:sz w:val="24"/>
          <w:szCs w:val="24"/>
        </w:rPr>
        <w:t>lack or African American, American Indian</w:t>
      </w:r>
      <w:r w:rsidR="006F2A11">
        <w:rPr>
          <w:rFonts w:ascii="Times New Roman" w:hAnsi="Times New Roman" w:cs="Times New Roman"/>
          <w:sz w:val="24"/>
          <w:szCs w:val="24"/>
        </w:rPr>
        <w:t xml:space="preserve"> or </w:t>
      </w:r>
      <w:r w:rsidR="008367CB" w:rsidRPr="00FA2487">
        <w:rPr>
          <w:rFonts w:ascii="Times New Roman" w:hAnsi="Times New Roman" w:cs="Times New Roman"/>
          <w:sz w:val="24"/>
          <w:szCs w:val="24"/>
        </w:rPr>
        <w:t>Alaska Native, and Asian</w:t>
      </w:r>
      <w:r w:rsidR="006F2A11">
        <w:rPr>
          <w:rFonts w:ascii="Times New Roman" w:hAnsi="Times New Roman" w:cs="Times New Roman"/>
          <w:sz w:val="24"/>
          <w:szCs w:val="24"/>
        </w:rPr>
        <w:t xml:space="preserve"> or </w:t>
      </w:r>
      <w:r w:rsidR="008367CB" w:rsidRPr="00FA2487">
        <w:rPr>
          <w:rFonts w:ascii="Times New Roman" w:hAnsi="Times New Roman" w:cs="Times New Roman"/>
          <w:sz w:val="24"/>
          <w:szCs w:val="24"/>
        </w:rPr>
        <w:t>Pacific Islander births)</w:t>
      </w:r>
      <w:r w:rsidRPr="00FA2487">
        <w:rPr>
          <w:rFonts w:ascii="Times New Roman" w:hAnsi="Times New Roman" w:cs="Times New Roman"/>
          <w:sz w:val="24"/>
          <w:szCs w:val="24"/>
        </w:rPr>
        <w:t>:</w:t>
      </w:r>
    </w:p>
    <w:p w14:paraId="33234BE4" w14:textId="0F82BF07" w:rsidR="00A576C2" w:rsidRPr="00FA2487" w:rsidRDefault="00B72B2F" w:rsidP="00F4314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t>State fertility rates:</w:t>
      </w:r>
      <w:r w:rsidR="001A7D63" w:rsidRPr="00FA2487">
        <w:rPr>
          <w:rFonts w:ascii="Times New Roman" w:hAnsi="Times New Roman" w:cs="Times New Roman"/>
          <w:sz w:val="24"/>
          <w:szCs w:val="24"/>
        </w:rPr>
        <w:t xml:space="preserve"> we a</w:t>
      </w:r>
      <w:r w:rsidR="00A576C2" w:rsidRPr="00FA2487">
        <w:rPr>
          <w:rFonts w:ascii="Times New Roman" w:hAnsi="Times New Roman" w:cs="Times New Roman"/>
          <w:sz w:val="24"/>
          <w:szCs w:val="24"/>
        </w:rPr>
        <w:t>cquired fertility rates (</w:t>
      </w:r>
      <w:r w:rsidR="00135BDE" w:rsidRPr="00FA2487">
        <w:rPr>
          <w:rFonts w:ascii="Times New Roman" w:hAnsi="Times New Roman" w:cs="Times New Roman"/>
          <w:sz w:val="24"/>
          <w:szCs w:val="24"/>
        </w:rPr>
        <w:t>number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of births / </w:t>
      </w:r>
      <w:r w:rsidR="00135BDE" w:rsidRPr="00FA2487">
        <w:rPr>
          <w:rFonts w:ascii="Times New Roman" w:hAnsi="Times New Roman" w:cs="Times New Roman"/>
          <w:sz w:val="24"/>
          <w:szCs w:val="24"/>
        </w:rPr>
        <w:t>number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women </w:t>
      </w:r>
      <w:r w:rsidR="001302B6" w:rsidRPr="00FA2487">
        <w:rPr>
          <w:rFonts w:ascii="Times New Roman" w:hAnsi="Times New Roman" w:cs="Times New Roman"/>
          <w:sz w:val="24"/>
          <w:szCs w:val="24"/>
        </w:rPr>
        <w:t>age</w:t>
      </w:r>
      <w:r w:rsidR="00757C50">
        <w:rPr>
          <w:rFonts w:ascii="Times New Roman" w:hAnsi="Times New Roman" w:cs="Times New Roman"/>
          <w:sz w:val="24"/>
          <w:szCs w:val="24"/>
        </w:rPr>
        <w:t>d</w:t>
      </w:r>
      <w:r w:rsidR="001302B6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A576C2" w:rsidRPr="00FA2487">
        <w:rPr>
          <w:rFonts w:ascii="Times New Roman" w:hAnsi="Times New Roman" w:cs="Times New Roman"/>
          <w:sz w:val="24"/>
          <w:szCs w:val="24"/>
        </w:rPr>
        <w:t>15</w:t>
      </w:r>
      <w:r w:rsidR="006F2A11">
        <w:rPr>
          <w:rFonts w:ascii="Times New Roman" w:hAnsi="Times New Roman" w:cs="Times New Roman"/>
          <w:sz w:val="24"/>
          <w:szCs w:val="24"/>
        </w:rPr>
        <w:t xml:space="preserve"> to </w:t>
      </w:r>
      <w:r w:rsidR="00A576C2" w:rsidRPr="00FA2487">
        <w:rPr>
          <w:rFonts w:ascii="Times New Roman" w:hAnsi="Times New Roman" w:cs="Times New Roman"/>
          <w:sz w:val="24"/>
          <w:szCs w:val="24"/>
        </w:rPr>
        <w:t>44</w:t>
      </w:r>
      <w:r w:rsidR="001302B6" w:rsidRPr="00FA2487">
        <w:rPr>
          <w:rFonts w:ascii="Times New Roman" w:hAnsi="Times New Roman" w:cs="Times New Roman"/>
          <w:sz w:val="24"/>
          <w:szCs w:val="24"/>
        </w:rPr>
        <w:t xml:space="preserve"> years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in specified population) from </w:t>
      </w:r>
      <w:r w:rsidR="00FD667F" w:rsidRPr="00FA2487">
        <w:rPr>
          <w:rFonts w:ascii="Times New Roman" w:hAnsi="Times New Roman" w:cs="Times New Roman"/>
          <w:sz w:val="24"/>
          <w:szCs w:val="24"/>
        </w:rPr>
        <w:t>the NVSS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135BDE" w:rsidRPr="00FA2487">
        <w:rPr>
          <w:rFonts w:ascii="Times New Roman" w:hAnsi="Times New Roman" w:cs="Times New Roman"/>
          <w:sz w:val="24"/>
          <w:szCs w:val="24"/>
        </w:rPr>
        <w:t xml:space="preserve">and </w:t>
      </w:r>
      <w:r w:rsidR="00A576C2" w:rsidRPr="00FA2487">
        <w:rPr>
          <w:rFonts w:ascii="Times New Roman" w:hAnsi="Times New Roman" w:cs="Times New Roman"/>
          <w:sz w:val="24"/>
          <w:szCs w:val="24"/>
        </w:rPr>
        <w:t>stratified by year, state, and race/ethnicity</w:t>
      </w:r>
      <w:r w:rsidR="00135BDE" w:rsidRPr="00FA2487">
        <w:rPr>
          <w:rFonts w:ascii="Times New Roman" w:hAnsi="Times New Roman" w:cs="Times New Roman"/>
          <w:sz w:val="24"/>
          <w:szCs w:val="24"/>
        </w:rPr>
        <w:t>. This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include</w:t>
      </w:r>
      <w:r w:rsidR="00135BDE" w:rsidRPr="00FA2487">
        <w:rPr>
          <w:rFonts w:ascii="Times New Roman" w:hAnsi="Times New Roman" w:cs="Times New Roman"/>
          <w:sz w:val="24"/>
          <w:szCs w:val="24"/>
        </w:rPr>
        <w:t>d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all women identified as Hispanic, and all non-Hispanic women in bridged-race categories of </w:t>
      </w:r>
      <w:r w:rsidR="007012C7">
        <w:rPr>
          <w:rFonts w:ascii="Times New Roman" w:hAnsi="Times New Roman" w:cs="Times New Roman"/>
          <w:sz w:val="24"/>
          <w:szCs w:val="24"/>
        </w:rPr>
        <w:t>W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hite, </w:t>
      </w:r>
      <w:proofErr w:type="gramStart"/>
      <w:r w:rsidR="007012C7">
        <w:rPr>
          <w:rFonts w:ascii="Times New Roman" w:hAnsi="Times New Roman" w:cs="Times New Roman"/>
          <w:sz w:val="24"/>
          <w:szCs w:val="24"/>
        </w:rPr>
        <w:t>B</w:t>
      </w:r>
      <w:r w:rsidR="00A576C2" w:rsidRPr="00FA2487">
        <w:rPr>
          <w:rFonts w:ascii="Times New Roman" w:hAnsi="Times New Roman" w:cs="Times New Roman"/>
          <w:sz w:val="24"/>
          <w:szCs w:val="24"/>
        </w:rPr>
        <w:t>lack</w:t>
      </w:r>
      <w:proofErr w:type="gramEnd"/>
      <w:r w:rsidR="00A576C2" w:rsidRPr="00FA2487">
        <w:rPr>
          <w:rFonts w:ascii="Times New Roman" w:hAnsi="Times New Roman" w:cs="Times New Roman"/>
          <w:sz w:val="24"/>
          <w:szCs w:val="24"/>
        </w:rPr>
        <w:t xml:space="preserve"> or African American, American Indian</w:t>
      </w:r>
      <w:r w:rsidR="006F2A11">
        <w:rPr>
          <w:rFonts w:ascii="Times New Roman" w:hAnsi="Times New Roman" w:cs="Times New Roman"/>
          <w:sz w:val="24"/>
          <w:szCs w:val="24"/>
        </w:rPr>
        <w:t xml:space="preserve"> or 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Alaska Native, </w:t>
      </w:r>
      <w:r w:rsidR="001A7D63" w:rsidRPr="00FA2487">
        <w:rPr>
          <w:rFonts w:ascii="Times New Roman" w:hAnsi="Times New Roman" w:cs="Times New Roman"/>
          <w:sz w:val="24"/>
          <w:szCs w:val="24"/>
        </w:rPr>
        <w:t xml:space="preserve">and </w:t>
      </w:r>
      <w:r w:rsidR="00A576C2" w:rsidRPr="00FA2487">
        <w:rPr>
          <w:rFonts w:ascii="Times New Roman" w:hAnsi="Times New Roman" w:cs="Times New Roman"/>
          <w:sz w:val="24"/>
          <w:szCs w:val="24"/>
        </w:rPr>
        <w:t>Asian</w:t>
      </w:r>
      <w:r w:rsidR="006F2A11">
        <w:rPr>
          <w:rFonts w:ascii="Times New Roman" w:hAnsi="Times New Roman" w:cs="Times New Roman"/>
          <w:sz w:val="24"/>
          <w:szCs w:val="24"/>
        </w:rPr>
        <w:t xml:space="preserve"> or 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Pacific Islander. </w:t>
      </w:r>
    </w:p>
    <w:p w14:paraId="6C232E03" w14:textId="32A6E0EA" w:rsidR="00A576C2" w:rsidRPr="00FA2487" w:rsidRDefault="00B72B2F" w:rsidP="00F4314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t>County population size:</w:t>
      </w:r>
      <w:r w:rsidR="001A7D63" w:rsidRPr="00FA2487">
        <w:rPr>
          <w:rFonts w:ascii="Times New Roman" w:hAnsi="Times New Roman" w:cs="Times New Roman"/>
          <w:sz w:val="24"/>
          <w:szCs w:val="24"/>
        </w:rPr>
        <w:t xml:space="preserve"> we a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cquired estimates of </w:t>
      </w:r>
      <w:r w:rsidR="00135BDE" w:rsidRPr="00FA2487">
        <w:rPr>
          <w:rFonts w:ascii="Times New Roman" w:hAnsi="Times New Roman" w:cs="Times New Roman"/>
          <w:sz w:val="24"/>
          <w:szCs w:val="24"/>
        </w:rPr>
        <w:t>the number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of women age</w:t>
      </w:r>
      <w:r w:rsidR="00757C50">
        <w:rPr>
          <w:rFonts w:ascii="Times New Roman" w:hAnsi="Times New Roman" w:cs="Times New Roman"/>
          <w:sz w:val="24"/>
          <w:szCs w:val="24"/>
        </w:rPr>
        <w:t>d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15</w:t>
      </w:r>
      <w:r w:rsidR="006F2A11">
        <w:rPr>
          <w:rFonts w:ascii="Times New Roman" w:hAnsi="Times New Roman" w:cs="Times New Roman"/>
          <w:sz w:val="24"/>
          <w:szCs w:val="24"/>
        </w:rPr>
        <w:t xml:space="preserve"> to 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44 years from </w:t>
      </w:r>
      <w:r w:rsidR="000103CF">
        <w:rPr>
          <w:rFonts w:ascii="Times New Roman" w:hAnsi="Times New Roman" w:cs="Times New Roman"/>
          <w:sz w:val="24"/>
          <w:szCs w:val="24"/>
        </w:rPr>
        <w:t>U.S. Census Bureau population data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stratified by year, county, and race</w:t>
      </w:r>
      <w:r w:rsidR="006F2A11">
        <w:rPr>
          <w:rFonts w:ascii="Times New Roman" w:hAnsi="Times New Roman" w:cs="Times New Roman"/>
          <w:sz w:val="24"/>
          <w:szCs w:val="24"/>
        </w:rPr>
        <w:t xml:space="preserve"> and </w:t>
      </w:r>
      <w:r w:rsidR="00A576C2" w:rsidRPr="00FA2487">
        <w:rPr>
          <w:rFonts w:ascii="Times New Roman" w:hAnsi="Times New Roman" w:cs="Times New Roman"/>
          <w:sz w:val="24"/>
          <w:szCs w:val="24"/>
        </w:rPr>
        <w:t>ethnicity</w:t>
      </w:r>
      <w:r w:rsidR="00135BDE" w:rsidRPr="00FA2487">
        <w:rPr>
          <w:rFonts w:ascii="Times New Roman" w:hAnsi="Times New Roman" w:cs="Times New Roman"/>
          <w:sz w:val="24"/>
          <w:szCs w:val="24"/>
        </w:rPr>
        <w:t xml:space="preserve">. </w:t>
      </w:r>
      <w:r w:rsidR="00555D6A" w:rsidRPr="00FA2487">
        <w:rPr>
          <w:rFonts w:ascii="Times New Roman" w:hAnsi="Times New Roman" w:cs="Times New Roman"/>
          <w:sz w:val="24"/>
          <w:szCs w:val="24"/>
        </w:rPr>
        <w:t>Race</w:t>
      </w:r>
      <w:r w:rsidR="006F2A11">
        <w:rPr>
          <w:rFonts w:ascii="Times New Roman" w:hAnsi="Times New Roman" w:cs="Times New Roman"/>
          <w:sz w:val="24"/>
          <w:szCs w:val="24"/>
        </w:rPr>
        <w:t xml:space="preserve"> and </w:t>
      </w:r>
      <w:r w:rsidR="00555D6A" w:rsidRPr="00FA2487">
        <w:rPr>
          <w:rFonts w:ascii="Times New Roman" w:hAnsi="Times New Roman" w:cs="Times New Roman"/>
          <w:sz w:val="24"/>
          <w:szCs w:val="24"/>
        </w:rPr>
        <w:t>ethnicity groups were the same as those used in acquiring state fertility rates.</w:t>
      </w:r>
    </w:p>
    <w:p w14:paraId="1CA90E2C" w14:textId="2B7C8F56" w:rsidR="00A576C2" w:rsidRPr="00FA2487" w:rsidRDefault="00B72B2F" w:rsidP="00F4314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t>County-level births:</w:t>
      </w:r>
      <w:r w:rsidR="001A7D63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440A4C" w:rsidRPr="00FA2487">
        <w:rPr>
          <w:rFonts w:ascii="Times New Roman" w:hAnsi="Times New Roman" w:cs="Times New Roman"/>
          <w:sz w:val="24"/>
          <w:szCs w:val="24"/>
        </w:rPr>
        <w:t>for each year and race</w:t>
      </w:r>
      <w:r w:rsidR="00757C50">
        <w:rPr>
          <w:rFonts w:ascii="Times New Roman" w:hAnsi="Times New Roman" w:cs="Times New Roman"/>
          <w:sz w:val="24"/>
          <w:szCs w:val="24"/>
        </w:rPr>
        <w:t xml:space="preserve"> and </w:t>
      </w:r>
      <w:r w:rsidR="00440A4C" w:rsidRPr="00FA2487">
        <w:rPr>
          <w:rFonts w:ascii="Times New Roman" w:hAnsi="Times New Roman" w:cs="Times New Roman"/>
          <w:sz w:val="24"/>
          <w:szCs w:val="24"/>
        </w:rPr>
        <w:t xml:space="preserve">ethnicity </w:t>
      </w:r>
      <w:r w:rsidR="00BB504A" w:rsidRPr="00FA2487">
        <w:rPr>
          <w:rFonts w:ascii="Times New Roman" w:hAnsi="Times New Roman" w:cs="Times New Roman"/>
          <w:sz w:val="24"/>
          <w:szCs w:val="24"/>
        </w:rPr>
        <w:t>sub</w:t>
      </w:r>
      <w:r w:rsidR="00440A4C" w:rsidRPr="00FA2487">
        <w:rPr>
          <w:rFonts w:ascii="Times New Roman" w:hAnsi="Times New Roman" w:cs="Times New Roman"/>
          <w:sz w:val="24"/>
          <w:szCs w:val="24"/>
        </w:rPr>
        <w:t xml:space="preserve">group, </w:t>
      </w:r>
      <w:r w:rsidR="001A7D63" w:rsidRPr="00FA2487">
        <w:rPr>
          <w:rFonts w:ascii="Times New Roman" w:hAnsi="Times New Roman" w:cs="Times New Roman"/>
          <w:sz w:val="24"/>
          <w:szCs w:val="24"/>
        </w:rPr>
        <w:t>we m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ultiplied </w:t>
      </w:r>
      <w:r w:rsidR="00A576C2" w:rsidRPr="00FA2487">
        <w:rPr>
          <w:rFonts w:ascii="Times New Roman" w:hAnsi="Times New Roman" w:cs="Times New Roman"/>
          <w:i/>
          <w:iCs/>
          <w:sz w:val="24"/>
          <w:szCs w:val="24"/>
        </w:rPr>
        <w:t>state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fertility rates by </w:t>
      </w:r>
      <w:r w:rsidR="00E36052" w:rsidRPr="00FA2487">
        <w:rPr>
          <w:rFonts w:ascii="Times New Roman" w:hAnsi="Times New Roman" w:cs="Times New Roman"/>
          <w:sz w:val="24"/>
          <w:szCs w:val="24"/>
        </w:rPr>
        <w:t xml:space="preserve">estimated </w:t>
      </w:r>
      <w:r w:rsidR="00A576C2" w:rsidRPr="00FA2487">
        <w:rPr>
          <w:rFonts w:ascii="Times New Roman" w:hAnsi="Times New Roman" w:cs="Times New Roman"/>
          <w:sz w:val="24"/>
          <w:szCs w:val="24"/>
        </w:rPr>
        <w:t>county population count</w:t>
      </w:r>
      <w:r w:rsidR="00A00720" w:rsidRPr="00FA2487">
        <w:rPr>
          <w:rFonts w:ascii="Times New Roman" w:hAnsi="Times New Roman" w:cs="Times New Roman"/>
          <w:sz w:val="24"/>
          <w:szCs w:val="24"/>
        </w:rPr>
        <w:t>s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of women age</w:t>
      </w:r>
      <w:r w:rsidR="00757C50">
        <w:rPr>
          <w:rFonts w:ascii="Times New Roman" w:hAnsi="Times New Roman" w:cs="Times New Roman"/>
          <w:sz w:val="24"/>
          <w:szCs w:val="24"/>
        </w:rPr>
        <w:t>d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 15</w:t>
      </w:r>
      <w:r w:rsidR="006F2A11">
        <w:rPr>
          <w:rFonts w:ascii="Times New Roman" w:hAnsi="Times New Roman" w:cs="Times New Roman"/>
          <w:sz w:val="24"/>
          <w:szCs w:val="24"/>
        </w:rPr>
        <w:t xml:space="preserve"> to 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44 years to </w:t>
      </w:r>
      <w:r w:rsidR="00E36052" w:rsidRPr="00FA2487">
        <w:rPr>
          <w:rFonts w:ascii="Times New Roman" w:hAnsi="Times New Roman" w:cs="Times New Roman"/>
          <w:sz w:val="24"/>
          <w:szCs w:val="24"/>
        </w:rPr>
        <w:t xml:space="preserve">calculate </w:t>
      </w:r>
      <w:r w:rsidR="00A576C2" w:rsidRPr="00FA2487">
        <w:rPr>
          <w:rFonts w:ascii="Times New Roman" w:hAnsi="Times New Roman" w:cs="Times New Roman"/>
          <w:sz w:val="24"/>
          <w:szCs w:val="24"/>
        </w:rPr>
        <w:t>county-specific counts of births.</w:t>
      </w:r>
    </w:p>
    <w:p w14:paraId="770ABEB3" w14:textId="77777777" w:rsidR="00A246CA" w:rsidRPr="00FA2487" w:rsidRDefault="00A246CA" w:rsidP="00F431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487">
        <w:rPr>
          <w:rFonts w:ascii="Times New Roman" w:hAnsi="Times New Roman" w:cs="Times New Roman"/>
          <w:b/>
          <w:bCs/>
          <w:sz w:val="24"/>
          <w:szCs w:val="24"/>
        </w:rPr>
        <w:t>Validating estimated counts</w:t>
      </w:r>
    </w:p>
    <w:p w14:paraId="7242C7FE" w14:textId="4344AF9F" w:rsidR="00A576C2" w:rsidRPr="00FA2487" w:rsidRDefault="00A246CA" w:rsidP="00F431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t>Births by race</w:t>
      </w:r>
      <w:r w:rsidR="006F2A11">
        <w:rPr>
          <w:rFonts w:ascii="Times New Roman" w:hAnsi="Times New Roman" w:cs="Times New Roman"/>
          <w:sz w:val="24"/>
          <w:szCs w:val="24"/>
        </w:rPr>
        <w:t xml:space="preserve"> and </w:t>
      </w:r>
      <w:r w:rsidRPr="00FA2487">
        <w:rPr>
          <w:rFonts w:ascii="Times New Roman" w:hAnsi="Times New Roman" w:cs="Times New Roman"/>
          <w:sz w:val="24"/>
          <w:szCs w:val="24"/>
        </w:rPr>
        <w:t xml:space="preserve">ethnicity and year were calculated for each county. </w:t>
      </w:r>
      <w:r w:rsidR="00ED29BF" w:rsidRPr="00FA2487">
        <w:rPr>
          <w:rFonts w:ascii="Times New Roman" w:hAnsi="Times New Roman" w:cs="Times New Roman"/>
          <w:sz w:val="24"/>
          <w:szCs w:val="24"/>
        </w:rPr>
        <w:t xml:space="preserve">We assumed that this method would yield estimated births that were comparable to </w:t>
      </w:r>
      <w:r w:rsidR="001A3C0F" w:rsidRPr="00FA2487">
        <w:rPr>
          <w:rFonts w:ascii="Times New Roman" w:hAnsi="Times New Roman" w:cs="Times New Roman"/>
          <w:sz w:val="24"/>
          <w:szCs w:val="24"/>
        </w:rPr>
        <w:t>actual</w:t>
      </w:r>
      <w:r w:rsidR="00ED29BF" w:rsidRPr="00FA2487">
        <w:rPr>
          <w:rFonts w:ascii="Times New Roman" w:hAnsi="Times New Roman" w:cs="Times New Roman"/>
          <w:sz w:val="24"/>
          <w:szCs w:val="24"/>
        </w:rPr>
        <w:t xml:space="preserve"> births by county, year (2011-2016), and race</w:t>
      </w:r>
      <w:r w:rsidR="00EA2903">
        <w:rPr>
          <w:rFonts w:ascii="Times New Roman" w:hAnsi="Times New Roman" w:cs="Times New Roman"/>
          <w:sz w:val="24"/>
          <w:szCs w:val="24"/>
        </w:rPr>
        <w:t xml:space="preserve"> and </w:t>
      </w:r>
      <w:r w:rsidR="00ED29BF" w:rsidRPr="00FA2487">
        <w:rPr>
          <w:rFonts w:ascii="Times New Roman" w:hAnsi="Times New Roman" w:cs="Times New Roman"/>
          <w:sz w:val="24"/>
          <w:szCs w:val="24"/>
        </w:rPr>
        <w:t xml:space="preserve">ethnicity (identified as Hispanic births and all non-Hispanic births for bridged-race categories of </w:t>
      </w:r>
      <w:r w:rsidR="007012C7">
        <w:rPr>
          <w:rFonts w:ascii="Times New Roman" w:hAnsi="Times New Roman" w:cs="Times New Roman"/>
          <w:sz w:val="24"/>
          <w:szCs w:val="24"/>
        </w:rPr>
        <w:t>W</w:t>
      </w:r>
      <w:r w:rsidR="00ED29BF" w:rsidRPr="00FA2487">
        <w:rPr>
          <w:rFonts w:ascii="Times New Roman" w:hAnsi="Times New Roman" w:cs="Times New Roman"/>
          <w:sz w:val="24"/>
          <w:szCs w:val="24"/>
        </w:rPr>
        <w:t xml:space="preserve">hite, </w:t>
      </w:r>
      <w:proofErr w:type="gramStart"/>
      <w:r w:rsidR="007012C7">
        <w:rPr>
          <w:rFonts w:ascii="Times New Roman" w:hAnsi="Times New Roman" w:cs="Times New Roman"/>
          <w:sz w:val="24"/>
          <w:szCs w:val="24"/>
        </w:rPr>
        <w:t>B</w:t>
      </w:r>
      <w:r w:rsidR="00ED29BF" w:rsidRPr="00FA2487">
        <w:rPr>
          <w:rFonts w:ascii="Times New Roman" w:hAnsi="Times New Roman" w:cs="Times New Roman"/>
          <w:sz w:val="24"/>
          <w:szCs w:val="24"/>
        </w:rPr>
        <w:t>lack</w:t>
      </w:r>
      <w:proofErr w:type="gramEnd"/>
      <w:r w:rsidR="00ED29BF" w:rsidRPr="00FA2487">
        <w:rPr>
          <w:rFonts w:ascii="Times New Roman" w:hAnsi="Times New Roman" w:cs="Times New Roman"/>
          <w:sz w:val="24"/>
          <w:szCs w:val="24"/>
        </w:rPr>
        <w:t xml:space="preserve"> or African American, American Indian</w:t>
      </w:r>
      <w:r w:rsidR="006F2A11">
        <w:rPr>
          <w:rFonts w:ascii="Times New Roman" w:hAnsi="Times New Roman" w:cs="Times New Roman"/>
          <w:sz w:val="24"/>
          <w:szCs w:val="24"/>
        </w:rPr>
        <w:t xml:space="preserve"> or </w:t>
      </w:r>
      <w:r w:rsidR="00ED29BF" w:rsidRPr="00FA2487">
        <w:rPr>
          <w:rFonts w:ascii="Times New Roman" w:hAnsi="Times New Roman" w:cs="Times New Roman"/>
          <w:sz w:val="24"/>
          <w:szCs w:val="24"/>
        </w:rPr>
        <w:t>Alaska Native, and Asian</w:t>
      </w:r>
      <w:r w:rsidR="006F2A11">
        <w:rPr>
          <w:rFonts w:ascii="Times New Roman" w:hAnsi="Times New Roman" w:cs="Times New Roman"/>
          <w:sz w:val="24"/>
          <w:szCs w:val="24"/>
        </w:rPr>
        <w:t xml:space="preserve"> or </w:t>
      </w:r>
      <w:r w:rsidR="00ED29BF" w:rsidRPr="00FA2487">
        <w:rPr>
          <w:rFonts w:ascii="Times New Roman" w:hAnsi="Times New Roman" w:cs="Times New Roman"/>
          <w:sz w:val="24"/>
          <w:szCs w:val="24"/>
        </w:rPr>
        <w:t>Pacific Islander</w:t>
      </w:r>
      <w:r w:rsidR="0086402E" w:rsidRPr="00FA2487">
        <w:rPr>
          <w:rFonts w:ascii="Times New Roman" w:hAnsi="Times New Roman" w:cs="Times New Roman"/>
          <w:sz w:val="24"/>
          <w:szCs w:val="24"/>
        </w:rPr>
        <w:t>)</w:t>
      </w:r>
      <w:r w:rsidR="00ED29BF" w:rsidRPr="00FA2487">
        <w:rPr>
          <w:rFonts w:ascii="Times New Roman" w:hAnsi="Times New Roman" w:cs="Times New Roman"/>
          <w:sz w:val="24"/>
          <w:szCs w:val="24"/>
        </w:rPr>
        <w:t>.</w:t>
      </w:r>
      <w:r w:rsidR="00AA05A7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A576C2" w:rsidRPr="00FA2487">
        <w:rPr>
          <w:rFonts w:ascii="Times New Roman" w:hAnsi="Times New Roman" w:cs="Times New Roman"/>
          <w:sz w:val="24"/>
          <w:szCs w:val="24"/>
        </w:rPr>
        <w:t>To</w:t>
      </w:r>
      <w:r w:rsidR="00AA05A7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validate </w:t>
      </w:r>
      <w:r w:rsidR="006A184B" w:rsidRPr="00FA2487">
        <w:rPr>
          <w:rFonts w:ascii="Times New Roman" w:hAnsi="Times New Roman" w:cs="Times New Roman"/>
          <w:sz w:val="24"/>
          <w:szCs w:val="24"/>
        </w:rPr>
        <w:t>this assumption</w:t>
      </w:r>
      <w:r w:rsidR="00A576C2" w:rsidRPr="00FA2487">
        <w:rPr>
          <w:rFonts w:ascii="Times New Roman" w:hAnsi="Times New Roman" w:cs="Times New Roman"/>
          <w:sz w:val="24"/>
          <w:szCs w:val="24"/>
        </w:rPr>
        <w:t xml:space="preserve">, we considered </w:t>
      </w:r>
      <w:r w:rsidR="004F7DBA" w:rsidRPr="00FA2487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E235AB">
        <w:rPr>
          <w:rFonts w:ascii="Times New Roman" w:hAnsi="Times New Roman" w:cs="Times New Roman"/>
          <w:sz w:val="24"/>
          <w:szCs w:val="24"/>
        </w:rPr>
        <w:t>3</w:t>
      </w:r>
      <w:r w:rsidR="00A569C1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4F7DBA" w:rsidRPr="00FA2487">
        <w:rPr>
          <w:rFonts w:ascii="Times New Roman" w:hAnsi="Times New Roman" w:cs="Times New Roman"/>
          <w:sz w:val="24"/>
          <w:szCs w:val="24"/>
        </w:rPr>
        <w:t>questions</w:t>
      </w:r>
      <w:r w:rsidR="00A576C2" w:rsidRPr="00FA2487">
        <w:rPr>
          <w:rFonts w:ascii="Times New Roman" w:hAnsi="Times New Roman" w:cs="Times New Roman"/>
          <w:sz w:val="24"/>
          <w:szCs w:val="24"/>
        </w:rPr>
        <w:t>.</w:t>
      </w:r>
    </w:p>
    <w:p w14:paraId="06FF5BEE" w14:textId="77777777" w:rsidR="00A576C2" w:rsidRPr="00FA2487" w:rsidRDefault="00A576C2" w:rsidP="00F431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76684B" w14:textId="1F20233F" w:rsidR="00A576C2" w:rsidRPr="00FA2487" w:rsidRDefault="00A576C2" w:rsidP="00F4314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Do estimated county births sum to </w:t>
      </w:r>
      <w:r w:rsidR="00383BF6"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true </w:t>
      </w:r>
      <w:r w:rsidRPr="00FA2487">
        <w:rPr>
          <w:rFonts w:ascii="Times New Roman" w:hAnsi="Times New Roman" w:cs="Times New Roman"/>
          <w:b/>
          <w:bCs/>
          <w:sz w:val="24"/>
          <w:szCs w:val="24"/>
        </w:rPr>
        <w:t>births</w:t>
      </w:r>
      <w:r w:rsidR="00E271A2"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23B6" w:rsidRPr="00FA2487">
        <w:rPr>
          <w:rFonts w:ascii="Times New Roman" w:hAnsi="Times New Roman" w:cs="Times New Roman"/>
          <w:b/>
          <w:bCs/>
          <w:sz w:val="24"/>
          <w:szCs w:val="24"/>
        </w:rPr>
        <w:t>when aggregated to N</w:t>
      </w:r>
      <w:r w:rsidR="008A7EBA" w:rsidRPr="00FA2487">
        <w:rPr>
          <w:rFonts w:ascii="Times New Roman" w:hAnsi="Times New Roman" w:cs="Times New Roman"/>
          <w:b/>
          <w:bCs/>
          <w:sz w:val="24"/>
          <w:szCs w:val="24"/>
        </w:rPr>
        <w:t>ational Center for Health Statistics (N</w:t>
      </w:r>
      <w:r w:rsidR="00D623B6" w:rsidRPr="00FA2487">
        <w:rPr>
          <w:rFonts w:ascii="Times New Roman" w:hAnsi="Times New Roman" w:cs="Times New Roman"/>
          <w:b/>
          <w:bCs/>
          <w:sz w:val="24"/>
          <w:szCs w:val="24"/>
        </w:rPr>
        <w:t>CHS</w:t>
      </w:r>
      <w:r w:rsidR="008A7EBA" w:rsidRPr="00FA248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623B6"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 urban-rural classification scheme</w:t>
      </w:r>
      <w:r w:rsidRPr="00FA248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A794BDD" w14:textId="707EB296" w:rsidR="009E2112" w:rsidRPr="00FA2487" w:rsidRDefault="000A67D9" w:rsidP="00DB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t xml:space="preserve">In </w:t>
      </w:r>
      <w:r w:rsidR="00E235AB">
        <w:rPr>
          <w:rFonts w:ascii="Times New Roman" w:hAnsi="Times New Roman" w:cs="Times New Roman"/>
          <w:sz w:val="24"/>
          <w:szCs w:val="24"/>
        </w:rPr>
        <w:t>Supplemental Figure</w:t>
      </w:r>
      <w:r w:rsidR="00394B70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165F86" w:rsidRPr="00FA2487">
        <w:rPr>
          <w:rFonts w:ascii="Times New Roman" w:hAnsi="Times New Roman" w:cs="Times New Roman"/>
          <w:sz w:val="24"/>
          <w:szCs w:val="24"/>
        </w:rPr>
        <w:t>1</w:t>
      </w:r>
      <w:r w:rsidR="00135BDE" w:rsidRPr="00FA2487">
        <w:rPr>
          <w:rFonts w:ascii="Times New Roman" w:hAnsi="Times New Roman" w:cs="Times New Roman"/>
          <w:sz w:val="24"/>
          <w:szCs w:val="24"/>
        </w:rPr>
        <w:t>,</w:t>
      </w:r>
      <w:r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754AFE" w:rsidRPr="00FA2487">
        <w:rPr>
          <w:rFonts w:ascii="Times New Roman" w:hAnsi="Times New Roman" w:cs="Times New Roman"/>
          <w:sz w:val="24"/>
          <w:szCs w:val="24"/>
        </w:rPr>
        <w:t>we compare</w:t>
      </w:r>
      <w:r w:rsidR="00CB70FA" w:rsidRPr="00FA2487">
        <w:rPr>
          <w:rFonts w:ascii="Times New Roman" w:hAnsi="Times New Roman" w:cs="Times New Roman"/>
          <w:sz w:val="24"/>
          <w:szCs w:val="24"/>
        </w:rPr>
        <w:t>d</w:t>
      </w:r>
      <w:r w:rsidR="00754AFE" w:rsidRPr="00FA2487">
        <w:rPr>
          <w:rFonts w:ascii="Times New Roman" w:hAnsi="Times New Roman" w:cs="Times New Roman"/>
          <w:sz w:val="24"/>
          <w:szCs w:val="24"/>
        </w:rPr>
        <w:t xml:space="preserve"> the sum of county-specific estimated birth counts from 20</w:t>
      </w:r>
      <w:r w:rsidR="00C0108E" w:rsidRPr="00FA2487">
        <w:rPr>
          <w:rFonts w:ascii="Times New Roman" w:hAnsi="Times New Roman" w:cs="Times New Roman"/>
          <w:sz w:val="24"/>
          <w:szCs w:val="24"/>
        </w:rPr>
        <w:t>11</w:t>
      </w:r>
      <w:r w:rsidR="00754AFE" w:rsidRPr="00FA2487">
        <w:rPr>
          <w:rFonts w:ascii="Times New Roman" w:hAnsi="Times New Roman" w:cs="Times New Roman"/>
          <w:sz w:val="24"/>
          <w:szCs w:val="24"/>
        </w:rPr>
        <w:t>-201</w:t>
      </w:r>
      <w:r w:rsidR="00C0108E" w:rsidRPr="00FA2487">
        <w:rPr>
          <w:rFonts w:ascii="Times New Roman" w:hAnsi="Times New Roman" w:cs="Times New Roman"/>
          <w:sz w:val="24"/>
          <w:szCs w:val="24"/>
        </w:rPr>
        <w:t>6</w:t>
      </w:r>
      <w:r w:rsidR="00754AFE" w:rsidRPr="00FA2487">
        <w:rPr>
          <w:rFonts w:ascii="Times New Roman" w:hAnsi="Times New Roman" w:cs="Times New Roman"/>
          <w:sz w:val="24"/>
          <w:szCs w:val="24"/>
        </w:rPr>
        <w:t xml:space="preserve"> to see how closely they match the counts of</w:t>
      </w:r>
      <w:r w:rsidR="00490ABB" w:rsidRPr="00FA2487">
        <w:rPr>
          <w:rFonts w:ascii="Times New Roman" w:hAnsi="Times New Roman" w:cs="Times New Roman"/>
          <w:sz w:val="24"/>
          <w:szCs w:val="24"/>
        </w:rPr>
        <w:t xml:space="preserve"> “</w:t>
      </w:r>
      <w:r w:rsidR="00383BF6" w:rsidRPr="00FA2487">
        <w:rPr>
          <w:rFonts w:ascii="Times New Roman" w:hAnsi="Times New Roman" w:cs="Times New Roman"/>
          <w:sz w:val="24"/>
          <w:szCs w:val="24"/>
        </w:rPr>
        <w:t>true</w:t>
      </w:r>
      <w:r w:rsidR="00490ABB" w:rsidRPr="00FA2487">
        <w:rPr>
          <w:rFonts w:ascii="Times New Roman" w:hAnsi="Times New Roman" w:cs="Times New Roman"/>
          <w:sz w:val="24"/>
          <w:szCs w:val="24"/>
        </w:rPr>
        <w:t>”</w:t>
      </w:r>
      <w:r w:rsidR="00754AFE" w:rsidRPr="00FA2487">
        <w:rPr>
          <w:rFonts w:ascii="Times New Roman" w:hAnsi="Times New Roman" w:cs="Times New Roman"/>
          <w:sz w:val="24"/>
          <w:szCs w:val="24"/>
        </w:rPr>
        <w:t xml:space="preserve"> births obtained from</w:t>
      </w:r>
      <w:r w:rsidR="00270811" w:rsidRPr="00FA2487">
        <w:rPr>
          <w:rFonts w:ascii="Times New Roman" w:hAnsi="Times New Roman" w:cs="Times New Roman"/>
          <w:sz w:val="24"/>
          <w:szCs w:val="24"/>
        </w:rPr>
        <w:t xml:space="preserve"> the NVSS via</w:t>
      </w:r>
      <w:r w:rsidR="00754AFE" w:rsidRPr="00FA2487">
        <w:rPr>
          <w:rFonts w:ascii="Times New Roman" w:hAnsi="Times New Roman" w:cs="Times New Roman"/>
          <w:sz w:val="24"/>
          <w:szCs w:val="24"/>
        </w:rPr>
        <w:t xml:space="preserve"> CDC WONDER</w:t>
      </w:r>
      <w:r w:rsidR="008929AB" w:rsidRPr="00FA2487">
        <w:rPr>
          <w:rFonts w:ascii="Times New Roman" w:hAnsi="Times New Roman" w:cs="Times New Roman"/>
          <w:sz w:val="24"/>
          <w:szCs w:val="24"/>
        </w:rPr>
        <w:t xml:space="preserve"> (</w:t>
      </w:r>
      <w:r w:rsidR="00554B28" w:rsidRPr="00FA2487">
        <w:rPr>
          <w:rFonts w:ascii="Times New Roman" w:hAnsi="Times New Roman" w:cs="Times New Roman"/>
          <w:sz w:val="24"/>
          <w:szCs w:val="24"/>
        </w:rPr>
        <w:t>race</w:t>
      </w:r>
      <w:r w:rsidR="00EA2903">
        <w:rPr>
          <w:rFonts w:ascii="Times New Roman" w:hAnsi="Times New Roman" w:cs="Times New Roman"/>
          <w:sz w:val="24"/>
          <w:szCs w:val="24"/>
        </w:rPr>
        <w:t xml:space="preserve"> and </w:t>
      </w:r>
      <w:r w:rsidR="00554B28" w:rsidRPr="00FA2487">
        <w:rPr>
          <w:rFonts w:ascii="Times New Roman" w:hAnsi="Times New Roman" w:cs="Times New Roman"/>
          <w:sz w:val="24"/>
          <w:szCs w:val="24"/>
        </w:rPr>
        <w:t>ethnicity groups</w:t>
      </w:r>
      <w:r w:rsidR="00811F30" w:rsidRPr="00FA2487">
        <w:rPr>
          <w:rFonts w:ascii="Times New Roman" w:hAnsi="Times New Roman" w:cs="Times New Roman"/>
          <w:sz w:val="24"/>
          <w:szCs w:val="24"/>
        </w:rPr>
        <w:t xml:space="preserve"> included Hispanic</w:t>
      </w:r>
      <w:r w:rsidR="00450571" w:rsidRPr="00FA2487">
        <w:rPr>
          <w:rFonts w:ascii="Times New Roman" w:hAnsi="Times New Roman" w:cs="Times New Roman"/>
          <w:sz w:val="24"/>
          <w:szCs w:val="24"/>
        </w:rPr>
        <w:t xml:space="preserve"> births and births by bridged-race categories of </w:t>
      </w:r>
      <w:r w:rsidR="007012C7">
        <w:rPr>
          <w:rFonts w:ascii="Times New Roman" w:hAnsi="Times New Roman" w:cs="Times New Roman"/>
          <w:sz w:val="24"/>
          <w:szCs w:val="24"/>
        </w:rPr>
        <w:t>W</w:t>
      </w:r>
      <w:r w:rsidR="00450571" w:rsidRPr="00FA2487">
        <w:rPr>
          <w:rFonts w:ascii="Times New Roman" w:hAnsi="Times New Roman" w:cs="Times New Roman"/>
          <w:sz w:val="24"/>
          <w:szCs w:val="24"/>
        </w:rPr>
        <w:t xml:space="preserve">hite, </w:t>
      </w:r>
      <w:r w:rsidR="007012C7">
        <w:rPr>
          <w:rFonts w:ascii="Times New Roman" w:hAnsi="Times New Roman" w:cs="Times New Roman"/>
          <w:sz w:val="24"/>
          <w:szCs w:val="24"/>
        </w:rPr>
        <w:t>B</w:t>
      </w:r>
      <w:r w:rsidR="00450571" w:rsidRPr="00FA2487">
        <w:rPr>
          <w:rFonts w:ascii="Times New Roman" w:hAnsi="Times New Roman" w:cs="Times New Roman"/>
          <w:sz w:val="24"/>
          <w:szCs w:val="24"/>
        </w:rPr>
        <w:t>lack or African American, American Indian</w:t>
      </w:r>
      <w:r w:rsidR="00EA2903">
        <w:rPr>
          <w:rFonts w:ascii="Times New Roman" w:hAnsi="Times New Roman" w:cs="Times New Roman"/>
          <w:sz w:val="24"/>
          <w:szCs w:val="24"/>
        </w:rPr>
        <w:t xml:space="preserve"> or </w:t>
      </w:r>
      <w:r w:rsidR="00450571" w:rsidRPr="00FA2487">
        <w:rPr>
          <w:rFonts w:ascii="Times New Roman" w:hAnsi="Times New Roman" w:cs="Times New Roman"/>
          <w:sz w:val="24"/>
          <w:szCs w:val="24"/>
        </w:rPr>
        <w:t>Alaska Native, and Asian</w:t>
      </w:r>
      <w:r w:rsidR="00EA2903">
        <w:rPr>
          <w:rFonts w:ascii="Times New Roman" w:hAnsi="Times New Roman" w:cs="Times New Roman"/>
          <w:sz w:val="24"/>
          <w:szCs w:val="24"/>
        </w:rPr>
        <w:t xml:space="preserve"> or </w:t>
      </w:r>
      <w:r w:rsidR="00450571" w:rsidRPr="00FA2487">
        <w:rPr>
          <w:rFonts w:ascii="Times New Roman" w:hAnsi="Times New Roman" w:cs="Times New Roman"/>
          <w:sz w:val="24"/>
          <w:szCs w:val="24"/>
        </w:rPr>
        <w:t>Pacific Islander</w:t>
      </w:r>
      <w:r w:rsidR="00490ABB" w:rsidRPr="00FA2487">
        <w:rPr>
          <w:rFonts w:ascii="Times New Roman" w:hAnsi="Times New Roman" w:cs="Times New Roman"/>
          <w:sz w:val="24"/>
          <w:szCs w:val="24"/>
        </w:rPr>
        <w:t>)</w:t>
      </w:r>
      <w:r w:rsidR="001F06CF" w:rsidRPr="00FA2487">
        <w:rPr>
          <w:rFonts w:ascii="Times New Roman" w:hAnsi="Times New Roman" w:cs="Times New Roman"/>
          <w:sz w:val="24"/>
          <w:szCs w:val="24"/>
        </w:rPr>
        <w:t xml:space="preserve">, aggregated to the 2013 </w:t>
      </w:r>
      <w:r w:rsidR="00DB1D89" w:rsidRPr="00DB1D89">
        <w:rPr>
          <w:rFonts w:ascii="Times New Roman" w:hAnsi="Times New Roman" w:cs="Times New Roman"/>
          <w:sz w:val="24"/>
          <w:szCs w:val="24"/>
        </w:rPr>
        <w:t>National Center for Health</w:t>
      </w:r>
      <w:r w:rsidR="00DB1D89">
        <w:rPr>
          <w:rFonts w:ascii="Times New Roman" w:hAnsi="Times New Roman" w:cs="Times New Roman"/>
          <w:sz w:val="24"/>
          <w:szCs w:val="24"/>
        </w:rPr>
        <w:t xml:space="preserve"> </w:t>
      </w:r>
      <w:r w:rsidR="00DB1D89" w:rsidRPr="00DB1D89">
        <w:rPr>
          <w:rFonts w:ascii="Times New Roman" w:hAnsi="Times New Roman" w:cs="Times New Roman"/>
          <w:sz w:val="24"/>
          <w:szCs w:val="24"/>
        </w:rPr>
        <w:t>Statistics-Urban-Rural</w:t>
      </w:r>
      <w:r w:rsidR="00DB1D89">
        <w:rPr>
          <w:rFonts w:ascii="Times New Roman" w:hAnsi="Times New Roman" w:cs="Times New Roman"/>
          <w:sz w:val="24"/>
          <w:szCs w:val="24"/>
        </w:rPr>
        <w:t xml:space="preserve"> </w:t>
      </w:r>
      <w:r w:rsidR="001F06CF" w:rsidRPr="00FA2487">
        <w:rPr>
          <w:rFonts w:ascii="Times New Roman" w:hAnsi="Times New Roman" w:cs="Times New Roman"/>
          <w:sz w:val="24"/>
          <w:szCs w:val="24"/>
        </w:rPr>
        <w:t>Classification Scheme</w:t>
      </w:r>
      <w:r w:rsidR="00754AFE" w:rsidRPr="00FA2487">
        <w:rPr>
          <w:rFonts w:ascii="Times New Roman" w:hAnsi="Times New Roman" w:cs="Times New Roman"/>
          <w:sz w:val="24"/>
          <w:szCs w:val="24"/>
        </w:rPr>
        <w:t>.</w:t>
      </w:r>
      <w:r w:rsidR="001F06CF" w:rsidRPr="00FA2487">
        <w:rPr>
          <w:rFonts w:ascii="Times New Roman" w:hAnsi="Times New Roman" w:cs="Times New Roman"/>
          <w:sz w:val="24"/>
          <w:szCs w:val="24"/>
        </w:rPr>
        <w:fldChar w:fldCharType="begin"/>
      </w:r>
      <w:r w:rsidR="00B20B0D" w:rsidRPr="00FA248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&lt;EndNote&gt;&lt;Cite&gt;&lt;Author&gt;Ingram&lt;/Author&gt;&lt;Year&gt;2014&lt;/Year&gt;&lt;RecNum&gt;244&lt;/RecNum&gt;&lt;DisplayText&gt;&lt;style face="superscript"&gt;2&lt;/style&gt;&lt;/DisplayText&gt;&lt;record&gt;&lt;rec-number&gt;244&lt;/rec-number&gt;&lt;foreign-keys&gt;&lt;key app="EN" db-id="9f0t0ra9sxawzqea0t8xf9xze22zepfwa9ex" timestamp="1572365045" guid="8050a88b-b5bd-4c3f-9db5-6c88eb8c1a63"&gt;244&lt;/key&gt;&lt;key app="ENWeb" db-id=""&gt;0&lt;/key&gt;&lt;/foreign-keys&gt;&lt;ref-type name="Electronic Article"&gt;43&lt;/ref-type&gt;&lt;contributors&gt;&lt;authors&gt;&lt;author&gt;Ingram, DD&lt;/author&gt;&lt;author&gt;Franco, SJ&lt;/author&gt;&lt;/authors&gt;&lt;/contributors&gt;&lt;titles&gt;&lt;title&gt;2013 NCHS urban–rural classification scheme for counties.&lt;/title&gt;&lt;secondary-title&gt;National Center for Health Statistics.&lt;/secondary-title&gt;&lt;/titles&gt;&lt;periodical&gt;&lt;full-title&gt;National Center for Health Statistics.&lt;/full-title&gt;&lt;/periodical&gt;&lt;volume&gt;Vital Health Stat 2&lt;/volume&gt;&lt;number&gt;166&lt;/number&gt;&lt;dates&gt;&lt;year&gt;2014&lt;/year&gt;&lt;pub-dates&gt;&lt;date&gt;February 6, 2020&lt;/date&gt;&lt;/pub-dates&gt;&lt;/dates&gt;&lt;urls&gt;&lt;related-urls&gt;&lt;url&gt;https://www.cdc.gov/nchs/data/series/sr_02/sr02_166.pdf&lt;/url&gt;&lt;/related-urls&gt;&lt;/urls&gt;&lt;/record&gt;&lt;/Cite&gt;&lt;/EndNote&gt;</w:instrText>
      </w:r>
      <w:r w:rsidR="001F06CF" w:rsidRPr="00FA2487">
        <w:rPr>
          <w:rFonts w:ascii="Times New Roman" w:hAnsi="Times New Roman" w:cs="Times New Roman"/>
          <w:sz w:val="24"/>
          <w:szCs w:val="24"/>
        </w:rPr>
        <w:fldChar w:fldCharType="separate"/>
      </w:r>
      <w:r w:rsidR="00B20B0D" w:rsidRPr="00FA2487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1F06CF" w:rsidRPr="00FA2487">
        <w:rPr>
          <w:rFonts w:ascii="Times New Roman" w:hAnsi="Times New Roman" w:cs="Times New Roman"/>
          <w:sz w:val="24"/>
          <w:szCs w:val="24"/>
        </w:rPr>
        <w:fldChar w:fldCharType="end"/>
      </w:r>
      <w:r w:rsidR="00754AFE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EA38BB" w:rsidRPr="00FA2487">
        <w:rPr>
          <w:rFonts w:ascii="Times New Roman" w:hAnsi="Times New Roman" w:cs="Times New Roman"/>
          <w:sz w:val="24"/>
          <w:szCs w:val="24"/>
        </w:rPr>
        <w:t xml:space="preserve">We log-transformed the </w:t>
      </w:r>
      <w:r w:rsidR="00664AEF" w:rsidRPr="00FA2487">
        <w:rPr>
          <w:rFonts w:ascii="Times New Roman" w:hAnsi="Times New Roman" w:cs="Times New Roman"/>
          <w:sz w:val="24"/>
          <w:szCs w:val="24"/>
        </w:rPr>
        <w:t xml:space="preserve">axes of </w:t>
      </w:r>
      <w:r w:rsidR="00E235AB">
        <w:rPr>
          <w:rFonts w:ascii="Times New Roman" w:hAnsi="Times New Roman" w:cs="Times New Roman"/>
          <w:sz w:val="24"/>
          <w:szCs w:val="24"/>
        </w:rPr>
        <w:t>Supplemental Figure</w:t>
      </w:r>
      <w:r w:rsidR="00E235AB" w:rsidRPr="00FA2487">
        <w:rPr>
          <w:rFonts w:ascii="Times New Roman" w:hAnsi="Times New Roman" w:cs="Times New Roman"/>
          <w:sz w:val="24"/>
          <w:szCs w:val="24"/>
        </w:rPr>
        <w:t xml:space="preserve"> 1</w:t>
      </w:r>
      <w:r w:rsidR="001C0C03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EE597E" w:rsidRPr="00FA2487">
        <w:rPr>
          <w:rFonts w:ascii="Times New Roman" w:hAnsi="Times New Roman" w:cs="Times New Roman"/>
          <w:sz w:val="24"/>
          <w:szCs w:val="24"/>
        </w:rPr>
        <w:t xml:space="preserve">to permit closer attention to small-count regions. </w:t>
      </w:r>
      <w:r w:rsidR="00FA585B" w:rsidRPr="00FA2487">
        <w:rPr>
          <w:rFonts w:ascii="Times New Roman" w:hAnsi="Times New Roman" w:cs="Times New Roman"/>
          <w:sz w:val="24"/>
          <w:szCs w:val="24"/>
        </w:rPr>
        <w:t>The red</w:t>
      </w:r>
      <w:r w:rsidR="00AC14C3" w:rsidRPr="00FA2487">
        <w:rPr>
          <w:rFonts w:ascii="Times New Roman" w:hAnsi="Times New Roman" w:cs="Times New Roman"/>
          <w:sz w:val="24"/>
          <w:szCs w:val="24"/>
        </w:rPr>
        <w:t xml:space="preserve"> diagonal</w:t>
      </w:r>
      <w:r w:rsidR="00FA585B" w:rsidRPr="00FA2487">
        <w:rPr>
          <w:rFonts w:ascii="Times New Roman" w:hAnsi="Times New Roman" w:cs="Times New Roman"/>
          <w:sz w:val="24"/>
          <w:szCs w:val="24"/>
        </w:rPr>
        <w:t xml:space="preserve"> line of equality </w:t>
      </w:r>
      <w:bookmarkStart w:id="0" w:name="_Hlk59115460"/>
      <w:r w:rsidR="00FA585B" w:rsidRPr="00FA2487">
        <w:rPr>
          <w:rFonts w:ascii="Times New Roman" w:hAnsi="Times New Roman" w:cs="Times New Roman"/>
          <w:sz w:val="24"/>
          <w:szCs w:val="24"/>
        </w:rPr>
        <w:t xml:space="preserve">shows close alignment between </w:t>
      </w:r>
      <w:r w:rsidR="002501AE" w:rsidRPr="00FA2487">
        <w:rPr>
          <w:rFonts w:ascii="Times New Roman" w:hAnsi="Times New Roman" w:cs="Times New Roman"/>
          <w:sz w:val="24"/>
          <w:szCs w:val="24"/>
        </w:rPr>
        <w:t>estimated births</w:t>
      </w:r>
      <w:r w:rsidR="00BE37CF" w:rsidRPr="00FA2487">
        <w:rPr>
          <w:rFonts w:ascii="Times New Roman" w:hAnsi="Times New Roman" w:cs="Times New Roman"/>
          <w:sz w:val="24"/>
          <w:szCs w:val="24"/>
        </w:rPr>
        <w:t xml:space="preserve"> (y-axis) and </w:t>
      </w:r>
      <w:r w:rsidR="00A738FC" w:rsidRPr="00FA2487">
        <w:rPr>
          <w:rFonts w:ascii="Times New Roman" w:hAnsi="Times New Roman" w:cs="Times New Roman"/>
          <w:sz w:val="24"/>
          <w:szCs w:val="24"/>
        </w:rPr>
        <w:t xml:space="preserve">true </w:t>
      </w:r>
      <w:r w:rsidR="00FA585B" w:rsidRPr="00FA2487">
        <w:rPr>
          <w:rFonts w:ascii="Times New Roman" w:hAnsi="Times New Roman" w:cs="Times New Roman"/>
          <w:sz w:val="24"/>
          <w:szCs w:val="24"/>
        </w:rPr>
        <w:t>births (</w:t>
      </w:r>
      <w:r w:rsidR="00335673" w:rsidRPr="00FA2487">
        <w:rPr>
          <w:rFonts w:ascii="Times New Roman" w:hAnsi="Times New Roman" w:cs="Times New Roman"/>
          <w:sz w:val="24"/>
          <w:szCs w:val="24"/>
        </w:rPr>
        <w:t>x</w:t>
      </w:r>
      <w:r w:rsidR="00FA585B" w:rsidRPr="00FA2487">
        <w:rPr>
          <w:rFonts w:ascii="Times New Roman" w:hAnsi="Times New Roman" w:cs="Times New Roman"/>
          <w:sz w:val="24"/>
          <w:szCs w:val="24"/>
        </w:rPr>
        <w:t xml:space="preserve">-axis) </w:t>
      </w:r>
      <w:r w:rsidR="00335673" w:rsidRPr="00FA2487">
        <w:rPr>
          <w:rFonts w:ascii="Times New Roman" w:hAnsi="Times New Roman" w:cs="Times New Roman"/>
          <w:sz w:val="24"/>
          <w:szCs w:val="24"/>
        </w:rPr>
        <w:t>in each urban-rural category</w:t>
      </w:r>
      <w:r w:rsidR="00220BE4" w:rsidRPr="00FA2487">
        <w:rPr>
          <w:rFonts w:ascii="Times New Roman" w:hAnsi="Times New Roman" w:cs="Times New Roman"/>
          <w:sz w:val="24"/>
          <w:szCs w:val="24"/>
        </w:rPr>
        <w:t>, year, and race</w:t>
      </w:r>
      <w:r w:rsidR="00EA2903">
        <w:rPr>
          <w:rFonts w:ascii="Times New Roman" w:hAnsi="Times New Roman" w:cs="Times New Roman"/>
          <w:sz w:val="24"/>
          <w:szCs w:val="24"/>
        </w:rPr>
        <w:t xml:space="preserve"> and </w:t>
      </w:r>
      <w:r w:rsidR="00220BE4" w:rsidRPr="00FA2487">
        <w:rPr>
          <w:rFonts w:ascii="Times New Roman" w:hAnsi="Times New Roman" w:cs="Times New Roman"/>
          <w:sz w:val="24"/>
          <w:szCs w:val="24"/>
        </w:rPr>
        <w:t>ethnicity</w:t>
      </w:r>
      <w:r w:rsidR="001A0518" w:rsidRPr="00FA2487">
        <w:rPr>
          <w:rFonts w:ascii="Times New Roman" w:hAnsi="Times New Roman" w:cs="Times New Roman"/>
          <w:sz w:val="24"/>
          <w:szCs w:val="24"/>
        </w:rPr>
        <w:t xml:space="preserve"> group</w:t>
      </w:r>
      <w:r w:rsidR="00FA585B" w:rsidRPr="00FA2487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EE597E" w:rsidRPr="00FA2487">
        <w:rPr>
          <w:rFonts w:ascii="Times New Roman" w:hAnsi="Times New Roman" w:cs="Times New Roman"/>
          <w:sz w:val="24"/>
          <w:szCs w:val="24"/>
        </w:rPr>
        <w:t xml:space="preserve"> This is evident in large and small count </w:t>
      </w:r>
      <w:r w:rsidR="00363157" w:rsidRPr="00FA2487">
        <w:rPr>
          <w:rFonts w:ascii="Times New Roman" w:hAnsi="Times New Roman" w:cs="Times New Roman"/>
          <w:sz w:val="24"/>
          <w:szCs w:val="24"/>
        </w:rPr>
        <w:t>urban-rural categories</w:t>
      </w:r>
      <w:r w:rsidR="00EE597E" w:rsidRPr="00FA2487">
        <w:rPr>
          <w:rFonts w:ascii="Times New Roman" w:hAnsi="Times New Roman" w:cs="Times New Roman"/>
          <w:sz w:val="24"/>
          <w:szCs w:val="24"/>
        </w:rPr>
        <w:t>.</w:t>
      </w:r>
      <w:r w:rsidR="00231E35" w:rsidRPr="00FA24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29380" w14:textId="77777777" w:rsidR="00215A18" w:rsidRPr="00FA2487" w:rsidRDefault="00215A18" w:rsidP="00492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A6370" w14:textId="285220B7" w:rsidR="00DA375F" w:rsidRPr="00FA2487" w:rsidRDefault="00461DC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2487">
        <w:rPr>
          <w:rFonts w:ascii="Times New Roman" w:hAnsi="Times New Roman" w:cs="Times New Roman"/>
          <w:b/>
          <w:bCs/>
          <w:sz w:val="24"/>
          <w:szCs w:val="24"/>
        </w:rPr>
        <w:t>Do estimated county births correlate with</w:t>
      </w:r>
      <w:r w:rsidR="00C31CBC"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0BCB"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true </w:t>
      </w:r>
      <w:r w:rsidR="00473F8F"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state </w:t>
      </w:r>
      <w:r w:rsidR="00DF2FE3" w:rsidRPr="00FA2487">
        <w:rPr>
          <w:rFonts w:ascii="Times New Roman" w:hAnsi="Times New Roman" w:cs="Times New Roman"/>
          <w:b/>
          <w:bCs/>
          <w:sz w:val="24"/>
          <w:szCs w:val="24"/>
        </w:rPr>
        <w:t>births</w:t>
      </w:r>
      <w:r w:rsidRPr="00FA248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582B927" w14:textId="7FEBE224" w:rsidR="00D31326" w:rsidRPr="00FA2487" w:rsidRDefault="006C6E2B" w:rsidP="00492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38883739"/>
      <w:r w:rsidRPr="00FA2487">
        <w:rPr>
          <w:rFonts w:ascii="Times New Roman" w:hAnsi="Times New Roman" w:cs="Times New Roman"/>
          <w:sz w:val="24"/>
          <w:szCs w:val="24"/>
        </w:rPr>
        <w:t xml:space="preserve">In </w:t>
      </w:r>
      <w:r w:rsidR="00E235AB">
        <w:rPr>
          <w:rFonts w:ascii="Times New Roman" w:hAnsi="Times New Roman" w:cs="Times New Roman"/>
          <w:sz w:val="24"/>
          <w:szCs w:val="24"/>
        </w:rPr>
        <w:t>Supplemental Figure</w:t>
      </w:r>
      <w:r w:rsidR="00E235AB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394B70" w:rsidRPr="00FA2487">
        <w:rPr>
          <w:rFonts w:ascii="Times New Roman" w:hAnsi="Times New Roman" w:cs="Times New Roman"/>
          <w:sz w:val="24"/>
          <w:szCs w:val="24"/>
        </w:rPr>
        <w:t>2</w:t>
      </w:r>
      <w:r w:rsidR="00C668FE" w:rsidRPr="00FA2487">
        <w:rPr>
          <w:rFonts w:ascii="Times New Roman" w:hAnsi="Times New Roman" w:cs="Times New Roman"/>
          <w:sz w:val="24"/>
          <w:szCs w:val="24"/>
        </w:rPr>
        <w:t xml:space="preserve"> we </w:t>
      </w:r>
      <w:r w:rsidRPr="00FA2487">
        <w:rPr>
          <w:rFonts w:ascii="Times New Roman" w:hAnsi="Times New Roman" w:cs="Times New Roman"/>
          <w:sz w:val="24"/>
          <w:szCs w:val="24"/>
        </w:rPr>
        <w:t>compare</w:t>
      </w:r>
      <w:r w:rsidR="004F37C2" w:rsidRPr="00FA2487">
        <w:rPr>
          <w:rFonts w:ascii="Times New Roman" w:hAnsi="Times New Roman" w:cs="Times New Roman"/>
          <w:sz w:val="24"/>
          <w:szCs w:val="24"/>
        </w:rPr>
        <w:t>d</w:t>
      </w:r>
      <w:r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690BCB" w:rsidRPr="00FA2487">
        <w:rPr>
          <w:rFonts w:ascii="Times New Roman" w:hAnsi="Times New Roman" w:cs="Times New Roman"/>
          <w:sz w:val="24"/>
          <w:szCs w:val="24"/>
        </w:rPr>
        <w:t xml:space="preserve">true </w:t>
      </w:r>
      <w:r w:rsidR="00B520B8" w:rsidRPr="00FA2487">
        <w:rPr>
          <w:rFonts w:ascii="Times New Roman" w:hAnsi="Times New Roman" w:cs="Times New Roman"/>
          <w:sz w:val="24"/>
          <w:szCs w:val="24"/>
        </w:rPr>
        <w:t xml:space="preserve">state </w:t>
      </w:r>
      <w:r w:rsidRPr="00FA2487">
        <w:rPr>
          <w:rFonts w:ascii="Times New Roman" w:hAnsi="Times New Roman" w:cs="Times New Roman"/>
          <w:sz w:val="24"/>
          <w:szCs w:val="24"/>
        </w:rPr>
        <w:t>births by race/ethnicity</w:t>
      </w:r>
      <w:r w:rsidR="00D339DC" w:rsidRPr="00FA2487">
        <w:rPr>
          <w:rFonts w:ascii="Times New Roman" w:hAnsi="Times New Roman" w:cs="Times New Roman"/>
          <w:sz w:val="24"/>
          <w:szCs w:val="24"/>
        </w:rPr>
        <w:t xml:space="preserve"> (</w:t>
      </w:r>
      <w:r w:rsidR="00DF2FE3" w:rsidRPr="00FA2487">
        <w:rPr>
          <w:rFonts w:ascii="Times New Roman" w:hAnsi="Times New Roman" w:cs="Times New Roman"/>
          <w:sz w:val="24"/>
          <w:szCs w:val="24"/>
        </w:rPr>
        <w:t xml:space="preserve">limited </w:t>
      </w:r>
      <w:r w:rsidR="00D339DC" w:rsidRPr="00FA2487">
        <w:rPr>
          <w:rFonts w:ascii="Times New Roman" w:hAnsi="Times New Roman" w:cs="Times New Roman"/>
          <w:sz w:val="24"/>
          <w:szCs w:val="24"/>
        </w:rPr>
        <w:t xml:space="preserve">to </w:t>
      </w:r>
      <w:r w:rsidR="000A1CF2" w:rsidRPr="00FA2487">
        <w:rPr>
          <w:rFonts w:ascii="Times New Roman" w:hAnsi="Times New Roman" w:cs="Times New Roman"/>
          <w:sz w:val="24"/>
          <w:szCs w:val="24"/>
        </w:rPr>
        <w:t>four</w:t>
      </w:r>
      <w:r w:rsidR="00D339DC" w:rsidRPr="00FA2487">
        <w:rPr>
          <w:rFonts w:ascii="Times New Roman" w:hAnsi="Times New Roman" w:cs="Times New Roman"/>
          <w:sz w:val="24"/>
          <w:szCs w:val="24"/>
        </w:rPr>
        <w:t xml:space="preserve"> largest groups</w:t>
      </w:r>
      <w:r w:rsidR="0086259D" w:rsidRPr="00FA2487">
        <w:rPr>
          <w:rFonts w:ascii="Times New Roman" w:hAnsi="Times New Roman" w:cs="Times New Roman"/>
          <w:sz w:val="24"/>
          <w:szCs w:val="24"/>
        </w:rPr>
        <w:t xml:space="preserve"> for which data </w:t>
      </w:r>
      <w:r w:rsidR="004E25E8" w:rsidRPr="00FA2487">
        <w:rPr>
          <w:rFonts w:ascii="Times New Roman" w:hAnsi="Times New Roman" w:cs="Times New Roman"/>
          <w:sz w:val="24"/>
          <w:szCs w:val="24"/>
        </w:rPr>
        <w:t xml:space="preserve">were </w:t>
      </w:r>
      <w:r w:rsidR="0086259D" w:rsidRPr="00FA2487">
        <w:rPr>
          <w:rFonts w:ascii="Times New Roman" w:hAnsi="Times New Roman" w:cs="Times New Roman"/>
          <w:sz w:val="24"/>
          <w:szCs w:val="24"/>
        </w:rPr>
        <w:t>not suppressed in CDC WONDER</w:t>
      </w:r>
      <w:r w:rsidR="00D339DC" w:rsidRPr="00FA2487">
        <w:rPr>
          <w:rFonts w:ascii="Times New Roman" w:hAnsi="Times New Roman" w:cs="Times New Roman"/>
          <w:sz w:val="24"/>
          <w:szCs w:val="24"/>
        </w:rPr>
        <w:t xml:space="preserve">: non-Hispanic </w:t>
      </w:r>
      <w:r w:rsidR="007012C7">
        <w:rPr>
          <w:rFonts w:ascii="Times New Roman" w:hAnsi="Times New Roman" w:cs="Times New Roman"/>
          <w:sz w:val="24"/>
          <w:szCs w:val="24"/>
        </w:rPr>
        <w:t>W</w:t>
      </w:r>
      <w:r w:rsidR="00D339DC" w:rsidRPr="00FA2487">
        <w:rPr>
          <w:rFonts w:ascii="Times New Roman" w:hAnsi="Times New Roman" w:cs="Times New Roman"/>
          <w:sz w:val="24"/>
          <w:szCs w:val="24"/>
        </w:rPr>
        <w:t xml:space="preserve">hite, non-Hispanic </w:t>
      </w:r>
      <w:r w:rsidR="007012C7">
        <w:rPr>
          <w:rFonts w:ascii="Times New Roman" w:hAnsi="Times New Roman" w:cs="Times New Roman"/>
          <w:sz w:val="24"/>
          <w:szCs w:val="24"/>
        </w:rPr>
        <w:t>B</w:t>
      </w:r>
      <w:r w:rsidR="00D339DC" w:rsidRPr="00FA2487">
        <w:rPr>
          <w:rFonts w:ascii="Times New Roman" w:hAnsi="Times New Roman" w:cs="Times New Roman"/>
          <w:sz w:val="24"/>
          <w:szCs w:val="24"/>
        </w:rPr>
        <w:t>lack,</w:t>
      </w:r>
      <w:r w:rsidR="00DE37D5" w:rsidRPr="00FA2487">
        <w:rPr>
          <w:rFonts w:ascii="Times New Roman" w:hAnsi="Times New Roman" w:cs="Times New Roman"/>
          <w:sz w:val="24"/>
          <w:szCs w:val="24"/>
        </w:rPr>
        <w:t xml:space="preserve"> non-Hispanic Asian</w:t>
      </w:r>
      <w:r w:rsidR="00EA2903">
        <w:rPr>
          <w:rFonts w:ascii="Times New Roman" w:hAnsi="Times New Roman" w:cs="Times New Roman"/>
          <w:sz w:val="24"/>
          <w:szCs w:val="24"/>
        </w:rPr>
        <w:t xml:space="preserve"> or </w:t>
      </w:r>
      <w:r w:rsidR="00DE37D5" w:rsidRPr="00FA2487">
        <w:rPr>
          <w:rFonts w:ascii="Times New Roman" w:hAnsi="Times New Roman" w:cs="Times New Roman"/>
          <w:sz w:val="24"/>
          <w:szCs w:val="24"/>
        </w:rPr>
        <w:t>Pacific Islander,</w:t>
      </w:r>
      <w:r w:rsidR="00D339DC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813BCF" w:rsidRPr="00FA2487">
        <w:rPr>
          <w:rFonts w:ascii="Times New Roman" w:hAnsi="Times New Roman" w:cs="Times New Roman"/>
          <w:sz w:val="24"/>
          <w:szCs w:val="24"/>
        </w:rPr>
        <w:t xml:space="preserve">and </w:t>
      </w:r>
      <w:r w:rsidR="00D339DC" w:rsidRPr="00FA2487">
        <w:rPr>
          <w:rFonts w:ascii="Times New Roman" w:hAnsi="Times New Roman" w:cs="Times New Roman"/>
          <w:sz w:val="24"/>
          <w:szCs w:val="24"/>
        </w:rPr>
        <w:t>Hispanic)</w:t>
      </w:r>
      <w:r w:rsidRPr="00FA2487">
        <w:rPr>
          <w:rFonts w:ascii="Times New Roman" w:hAnsi="Times New Roman" w:cs="Times New Roman"/>
          <w:sz w:val="24"/>
          <w:szCs w:val="24"/>
        </w:rPr>
        <w:t xml:space="preserve"> and year</w:t>
      </w:r>
      <w:r w:rsidR="00D339DC" w:rsidRPr="00FA2487">
        <w:rPr>
          <w:rFonts w:ascii="Times New Roman" w:hAnsi="Times New Roman" w:cs="Times New Roman"/>
          <w:sz w:val="24"/>
          <w:szCs w:val="24"/>
        </w:rPr>
        <w:t xml:space="preserve"> (20</w:t>
      </w:r>
      <w:r w:rsidR="0063042A" w:rsidRPr="00FA2487">
        <w:rPr>
          <w:rFonts w:ascii="Times New Roman" w:hAnsi="Times New Roman" w:cs="Times New Roman"/>
          <w:sz w:val="24"/>
          <w:szCs w:val="24"/>
        </w:rPr>
        <w:t>11</w:t>
      </w:r>
      <w:r w:rsidR="00D339DC" w:rsidRPr="00FA2487">
        <w:rPr>
          <w:rFonts w:ascii="Times New Roman" w:hAnsi="Times New Roman" w:cs="Times New Roman"/>
          <w:sz w:val="24"/>
          <w:szCs w:val="24"/>
        </w:rPr>
        <w:t>-201</w:t>
      </w:r>
      <w:r w:rsidR="0063042A" w:rsidRPr="00FA2487">
        <w:rPr>
          <w:rFonts w:ascii="Times New Roman" w:hAnsi="Times New Roman" w:cs="Times New Roman"/>
          <w:sz w:val="24"/>
          <w:szCs w:val="24"/>
        </w:rPr>
        <w:t>6</w:t>
      </w:r>
      <w:r w:rsidR="00D339DC" w:rsidRPr="00FA2487">
        <w:rPr>
          <w:rFonts w:ascii="Times New Roman" w:hAnsi="Times New Roman" w:cs="Times New Roman"/>
          <w:sz w:val="24"/>
          <w:szCs w:val="24"/>
        </w:rPr>
        <w:t>)</w:t>
      </w:r>
      <w:r w:rsidRPr="00FA2487">
        <w:rPr>
          <w:rFonts w:ascii="Times New Roman" w:hAnsi="Times New Roman" w:cs="Times New Roman"/>
          <w:sz w:val="24"/>
          <w:szCs w:val="24"/>
        </w:rPr>
        <w:t xml:space="preserve"> to </w:t>
      </w:r>
      <w:r w:rsidR="0063042A" w:rsidRPr="00FA2487">
        <w:rPr>
          <w:rFonts w:ascii="Times New Roman" w:hAnsi="Times New Roman" w:cs="Times New Roman"/>
          <w:sz w:val="24"/>
          <w:szCs w:val="24"/>
        </w:rPr>
        <w:t>estimated county births by race</w:t>
      </w:r>
      <w:r w:rsidR="00EA2903">
        <w:rPr>
          <w:rFonts w:ascii="Times New Roman" w:hAnsi="Times New Roman" w:cs="Times New Roman"/>
          <w:sz w:val="24"/>
          <w:szCs w:val="24"/>
        </w:rPr>
        <w:t xml:space="preserve"> and </w:t>
      </w:r>
      <w:r w:rsidR="0063042A" w:rsidRPr="00FA2487">
        <w:rPr>
          <w:rFonts w:ascii="Times New Roman" w:hAnsi="Times New Roman" w:cs="Times New Roman"/>
          <w:sz w:val="24"/>
          <w:szCs w:val="24"/>
        </w:rPr>
        <w:t>ethnicity</w:t>
      </w:r>
      <w:r w:rsidR="00760104" w:rsidRPr="00FA2487">
        <w:rPr>
          <w:rFonts w:ascii="Times New Roman" w:hAnsi="Times New Roman" w:cs="Times New Roman"/>
          <w:sz w:val="24"/>
          <w:szCs w:val="24"/>
        </w:rPr>
        <w:t xml:space="preserve"> groups</w:t>
      </w:r>
      <w:r w:rsidR="0063042A" w:rsidRPr="00FA2487">
        <w:rPr>
          <w:rFonts w:ascii="Times New Roman" w:hAnsi="Times New Roman" w:cs="Times New Roman"/>
          <w:sz w:val="24"/>
          <w:szCs w:val="24"/>
        </w:rPr>
        <w:t xml:space="preserve"> and years</w:t>
      </w:r>
      <w:r w:rsidRPr="00FA2487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225F84" w:rsidRPr="00FA2487">
        <w:rPr>
          <w:rFonts w:ascii="Times New Roman" w:hAnsi="Times New Roman" w:cs="Times New Roman"/>
          <w:sz w:val="24"/>
          <w:szCs w:val="24"/>
        </w:rPr>
        <w:t>W</w:t>
      </w:r>
      <w:r w:rsidR="00CA471D" w:rsidRPr="00FA2487">
        <w:rPr>
          <w:rFonts w:ascii="Times New Roman" w:hAnsi="Times New Roman" w:cs="Times New Roman"/>
          <w:sz w:val="24"/>
          <w:szCs w:val="24"/>
        </w:rPr>
        <w:t>e</w:t>
      </w:r>
      <w:r w:rsidRPr="00FA2487">
        <w:rPr>
          <w:rFonts w:ascii="Times New Roman" w:hAnsi="Times New Roman" w:cs="Times New Roman"/>
          <w:sz w:val="24"/>
          <w:szCs w:val="24"/>
        </w:rPr>
        <w:t xml:space="preserve"> log-transformed </w:t>
      </w:r>
      <w:r w:rsidR="00760104" w:rsidRPr="00FA2487">
        <w:rPr>
          <w:rFonts w:ascii="Times New Roman" w:hAnsi="Times New Roman" w:cs="Times New Roman"/>
          <w:sz w:val="24"/>
          <w:szCs w:val="24"/>
        </w:rPr>
        <w:t>the axes</w:t>
      </w:r>
      <w:r w:rsidR="00CA471D" w:rsidRPr="00FA2487">
        <w:rPr>
          <w:rFonts w:ascii="Times New Roman" w:hAnsi="Times New Roman" w:cs="Times New Roman"/>
          <w:sz w:val="24"/>
          <w:szCs w:val="24"/>
        </w:rPr>
        <w:t xml:space="preserve"> to allow for clo</w:t>
      </w:r>
      <w:r w:rsidR="00B67F8A" w:rsidRPr="00FA2487">
        <w:rPr>
          <w:rFonts w:ascii="Times New Roman" w:hAnsi="Times New Roman" w:cs="Times New Roman"/>
          <w:sz w:val="24"/>
          <w:szCs w:val="24"/>
        </w:rPr>
        <w:t>ser comparison of low birth count</w:t>
      </w:r>
      <w:r w:rsidR="00760104" w:rsidRPr="00FA2487">
        <w:rPr>
          <w:rFonts w:ascii="Times New Roman" w:hAnsi="Times New Roman" w:cs="Times New Roman"/>
          <w:sz w:val="24"/>
          <w:szCs w:val="24"/>
        </w:rPr>
        <w:t>s</w:t>
      </w:r>
      <w:r w:rsidRPr="00FA2487">
        <w:rPr>
          <w:rFonts w:ascii="Times New Roman" w:hAnsi="Times New Roman" w:cs="Times New Roman"/>
          <w:sz w:val="24"/>
          <w:szCs w:val="24"/>
        </w:rPr>
        <w:t>.</w:t>
      </w:r>
      <w:r w:rsidR="00A246CA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D31326" w:rsidRPr="00FA2487">
        <w:rPr>
          <w:rFonts w:ascii="Times New Roman" w:hAnsi="Times New Roman" w:cs="Times New Roman"/>
          <w:sz w:val="24"/>
          <w:szCs w:val="24"/>
        </w:rPr>
        <w:t>The red line of equality shows close alignment between the log</w:t>
      </w:r>
      <w:r w:rsidR="00225F84" w:rsidRPr="00FA2487">
        <w:rPr>
          <w:rFonts w:ascii="Times New Roman" w:hAnsi="Times New Roman" w:cs="Times New Roman"/>
          <w:sz w:val="24"/>
          <w:szCs w:val="24"/>
        </w:rPr>
        <w:t>s</w:t>
      </w:r>
      <w:r w:rsidR="00D31326" w:rsidRPr="00FA2487">
        <w:rPr>
          <w:rFonts w:ascii="Times New Roman" w:hAnsi="Times New Roman" w:cs="Times New Roman"/>
          <w:sz w:val="24"/>
          <w:szCs w:val="24"/>
        </w:rPr>
        <w:t xml:space="preserve"> of </w:t>
      </w:r>
      <w:r w:rsidR="00CE7C93" w:rsidRPr="00FA2487">
        <w:rPr>
          <w:rFonts w:ascii="Times New Roman" w:hAnsi="Times New Roman" w:cs="Times New Roman"/>
          <w:sz w:val="24"/>
          <w:szCs w:val="24"/>
        </w:rPr>
        <w:t>estimated</w:t>
      </w:r>
      <w:r w:rsidR="00D31326" w:rsidRPr="00FA2487">
        <w:rPr>
          <w:rFonts w:ascii="Times New Roman" w:hAnsi="Times New Roman" w:cs="Times New Roman"/>
          <w:sz w:val="24"/>
          <w:szCs w:val="24"/>
        </w:rPr>
        <w:t xml:space="preserve"> (</w:t>
      </w:r>
      <w:r w:rsidR="00CE7C93" w:rsidRPr="00FA2487">
        <w:rPr>
          <w:rFonts w:ascii="Times New Roman" w:hAnsi="Times New Roman" w:cs="Times New Roman"/>
          <w:sz w:val="24"/>
          <w:szCs w:val="24"/>
        </w:rPr>
        <w:t>y</w:t>
      </w:r>
      <w:r w:rsidR="00D31326" w:rsidRPr="00FA2487">
        <w:rPr>
          <w:rFonts w:ascii="Times New Roman" w:hAnsi="Times New Roman" w:cs="Times New Roman"/>
          <w:sz w:val="24"/>
          <w:szCs w:val="24"/>
        </w:rPr>
        <w:t xml:space="preserve">-axis) and </w:t>
      </w:r>
      <w:r w:rsidR="00690BCB" w:rsidRPr="00FA2487">
        <w:rPr>
          <w:rFonts w:ascii="Times New Roman" w:hAnsi="Times New Roman" w:cs="Times New Roman"/>
          <w:sz w:val="24"/>
          <w:szCs w:val="24"/>
        </w:rPr>
        <w:t xml:space="preserve">true </w:t>
      </w:r>
      <w:r w:rsidR="00225F84" w:rsidRPr="00FA2487">
        <w:rPr>
          <w:rFonts w:ascii="Times New Roman" w:hAnsi="Times New Roman" w:cs="Times New Roman"/>
          <w:sz w:val="24"/>
          <w:szCs w:val="24"/>
        </w:rPr>
        <w:t>births</w:t>
      </w:r>
      <w:r w:rsidR="00D31326" w:rsidRPr="00FA2487">
        <w:rPr>
          <w:rFonts w:ascii="Times New Roman" w:hAnsi="Times New Roman" w:cs="Times New Roman"/>
          <w:sz w:val="24"/>
          <w:szCs w:val="24"/>
        </w:rPr>
        <w:t xml:space="preserve"> (</w:t>
      </w:r>
      <w:r w:rsidR="007032BF" w:rsidRPr="00FA2487">
        <w:rPr>
          <w:rFonts w:ascii="Times New Roman" w:hAnsi="Times New Roman" w:cs="Times New Roman"/>
          <w:sz w:val="24"/>
          <w:szCs w:val="24"/>
        </w:rPr>
        <w:t>x</w:t>
      </w:r>
      <w:r w:rsidR="00D31326" w:rsidRPr="00FA2487">
        <w:rPr>
          <w:rFonts w:ascii="Times New Roman" w:hAnsi="Times New Roman" w:cs="Times New Roman"/>
          <w:sz w:val="24"/>
          <w:szCs w:val="24"/>
        </w:rPr>
        <w:t xml:space="preserve">-axis) summed to each state. This is evident in large and small count states. </w:t>
      </w:r>
    </w:p>
    <w:p w14:paraId="6E6D601F" w14:textId="77777777" w:rsidR="00215A18" w:rsidRDefault="00215A18" w:rsidP="004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4E53D" w14:textId="38C81228" w:rsidR="004F7DBA" w:rsidRPr="00FA2487" w:rsidRDefault="004F7DBA" w:rsidP="004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Is there agreement between </w:t>
      </w:r>
      <w:r w:rsidR="00690BCB"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true </w:t>
      </w:r>
      <w:r w:rsidR="00DF2FE3" w:rsidRPr="00FA2487">
        <w:rPr>
          <w:rFonts w:ascii="Times New Roman" w:hAnsi="Times New Roman" w:cs="Times New Roman"/>
          <w:b/>
          <w:bCs/>
          <w:sz w:val="24"/>
          <w:szCs w:val="24"/>
        </w:rPr>
        <w:t>births</w:t>
      </w:r>
      <w:r w:rsidRPr="00FA2487">
        <w:rPr>
          <w:rFonts w:ascii="Times New Roman" w:hAnsi="Times New Roman" w:cs="Times New Roman"/>
          <w:b/>
          <w:bCs/>
          <w:sz w:val="24"/>
          <w:szCs w:val="24"/>
        </w:rPr>
        <w:t xml:space="preserve"> and estimated births?</w:t>
      </w:r>
    </w:p>
    <w:p w14:paraId="7DA57D63" w14:textId="3247BD73" w:rsidR="00B20B0D" w:rsidRPr="00FA2487" w:rsidRDefault="004F7DBA" w:rsidP="00492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lastRenderedPageBreak/>
        <w:t xml:space="preserve">One approach to quantifying the agreement between two sets of continuously measured values </w:t>
      </w:r>
      <w:r w:rsidR="00BE3271" w:rsidRPr="00FA2487">
        <w:rPr>
          <w:rFonts w:ascii="Times New Roman" w:hAnsi="Times New Roman" w:cs="Times New Roman"/>
          <w:sz w:val="24"/>
          <w:szCs w:val="24"/>
        </w:rPr>
        <w:t xml:space="preserve">based </w:t>
      </w:r>
      <w:r w:rsidRPr="00FA2487">
        <w:rPr>
          <w:rFonts w:ascii="Times New Roman" w:hAnsi="Times New Roman" w:cs="Times New Roman"/>
          <w:sz w:val="24"/>
          <w:szCs w:val="24"/>
        </w:rPr>
        <w:t>on the same unit is the Concordance Correlation Coefficient (CCC</w:t>
      </w:r>
      <w:r w:rsidR="00587B63" w:rsidRPr="00FA2487">
        <w:rPr>
          <w:rFonts w:ascii="Times New Roman" w:hAnsi="Times New Roman" w:cs="Times New Roman"/>
          <w:sz w:val="24"/>
          <w:szCs w:val="24"/>
        </w:rPr>
        <w:t>)</w:t>
      </w:r>
      <w:r w:rsidRPr="00FA2487">
        <w:rPr>
          <w:rFonts w:ascii="Times New Roman" w:hAnsi="Times New Roman" w:cs="Times New Roman"/>
          <w:sz w:val="24"/>
          <w:szCs w:val="24"/>
        </w:rPr>
        <w:t>.</w:t>
      </w:r>
      <w:r w:rsidR="00EE5498" w:rsidRPr="00FA2487">
        <w:rPr>
          <w:rFonts w:ascii="Times New Roman" w:hAnsi="Times New Roman" w:cs="Times New Roman"/>
          <w:sz w:val="24"/>
          <w:szCs w:val="24"/>
        </w:rPr>
        <w:fldChar w:fldCharType="begin"/>
      </w:r>
      <w:r w:rsidR="00B20B0D" w:rsidRPr="00FA248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&lt;EndNote&gt;&lt;Cite&gt;&lt;Author&gt;Lin&lt;/Author&gt;&lt;Year&gt;1989&lt;/Year&gt;&lt;RecNum&gt;257&lt;/RecNum&gt;&lt;DisplayText&gt;&lt;style face="superscript"&gt;3&lt;/style&gt;&lt;/DisplayText&gt;&lt;record&gt;&lt;rec-number&gt;257&lt;/rec-number&gt;&lt;foreign-keys&gt;&lt;key app="EN" db-id="9f0t0ra9sxawzqea0t8xf9xze22zepfwa9ex" timestamp="1581705408" guid="9c6a4da5-4bf7-4020-9fee-7c747d9fec5e"&gt;257&lt;/key&gt;&lt;key app="ENWeb" db-id=""&gt;0&lt;/key&gt;&lt;/foreign-keys&gt;&lt;ref-type name="Journal Article"&gt;17&lt;/ref-type&gt;&lt;contributors&gt;&lt;authors&gt;&lt;author&gt;Lin, L I.&lt;/author&gt;&lt;/authors&gt;&lt;/contributors&gt;&lt;titles&gt;&lt;title&gt;A concordance correlation coefficient to evaluate reproducibility&lt;/title&gt;&lt;secondary-title&gt;Biometrics&lt;/secondary-title&gt;&lt;/titles&gt;&lt;periodical&gt;&lt;full-title&gt;Biometrics&lt;/full-title&gt;&lt;/periodical&gt;&lt;pages&gt;255-268&lt;/pages&gt;&lt;volume&gt;45&lt;/volume&gt;&lt;number&gt;1&lt;/number&gt;&lt;dates&gt;&lt;year&gt;1989&lt;/year&gt;&lt;pub-dates&gt;&lt;date&gt;March 1989&lt;/date&gt;&lt;/pub-dates&gt;&lt;/dates&gt;&lt;urls&gt;&lt;/urls&gt;&lt;/record&gt;&lt;/Cite&gt;&lt;/EndNote&gt;</w:instrText>
      </w:r>
      <w:r w:rsidR="00EE5498" w:rsidRPr="00FA2487">
        <w:rPr>
          <w:rFonts w:ascii="Times New Roman" w:hAnsi="Times New Roman" w:cs="Times New Roman"/>
          <w:sz w:val="24"/>
          <w:szCs w:val="24"/>
        </w:rPr>
        <w:fldChar w:fldCharType="separate"/>
      </w:r>
      <w:r w:rsidR="00B20B0D" w:rsidRPr="00FA2487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EE5498" w:rsidRPr="00FA2487">
        <w:rPr>
          <w:rFonts w:ascii="Times New Roman" w:hAnsi="Times New Roman" w:cs="Times New Roman"/>
          <w:sz w:val="24"/>
          <w:szCs w:val="24"/>
        </w:rPr>
        <w:fldChar w:fldCharType="end"/>
      </w:r>
      <w:r w:rsidRPr="00FA2487">
        <w:rPr>
          <w:rFonts w:ascii="Times New Roman" w:hAnsi="Times New Roman" w:cs="Times New Roman"/>
          <w:sz w:val="24"/>
          <w:szCs w:val="24"/>
        </w:rPr>
        <w:t xml:space="preserve"> The CCC evaluate</w:t>
      </w:r>
      <w:r w:rsidR="008F1438" w:rsidRPr="00FA2487">
        <w:rPr>
          <w:rFonts w:ascii="Times New Roman" w:hAnsi="Times New Roman" w:cs="Times New Roman"/>
          <w:sz w:val="24"/>
          <w:szCs w:val="24"/>
        </w:rPr>
        <w:t>s</w:t>
      </w:r>
      <w:r w:rsidRPr="00FA2487">
        <w:rPr>
          <w:rFonts w:ascii="Times New Roman" w:hAnsi="Times New Roman" w:cs="Times New Roman"/>
          <w:sz w:val="24"/>
          <w:szCs w:val="24"/>
        </w:rPr>
        <w:t xml:space="preserve"> inter-rate agreement. Values </w:t>
      </w:r>
      <w:r w:rsidR="008F1438" w:rsidRPr="00FA2487">
        <w:rPr>
          <w:rFonts w:ascii="Times New Roman" w:hAnsi="Times New Roman" w:cs="Times New Roman"/>
          <w:sz w:val="24"/>
          <w:szCs w:val="24"/>
        </w:rPr>
        <w:t xml:space="preserve">of the CCC </w:t>
      </w:r>
      <w:r w:rsidRPr="00FA2487">
        <w:rPr>
          <w:rFonts w:ascii="Times New Roman" w:hAnsi="Times New Roman" w:cs="Times New Roman"/>
          <w:sz w:val="24"/>
          <w:szCs w:val="24"/>
        </w:rPr>
        <w:t xml:space="preserve">range from 0 to 1, with 1 </w:t>
      </w:r>
      <w:r w:rsidR="008F1438" w:rsidRPr="00FA2487">
        <w:rPr>
          <w:rFonts w:ascii="Times New Roman" w:hAnsi="Times New Roman" w:cs="Times New Roman"/>
          <w:sz w:val="24"/>
          <w:szCs w:val="24"/>
        </w:rPr>
        <w:t>indicating</w:t>
      </w:r>
      <w:r w:rsidRPr="00FA2487">
        <w:rPr>
          <w:rFonts w:ascii="Times New Roman" w:hAnsi="Times New Roman" w:cs="Times New Roman"/>
          <w:sz w:val="24"/>
          <w:szCs w:val="24"/>
        </w:rPr>
        <w:t xml:space="preserve"> perfect agreement.</w:t>
      </w:r>
      <w:r w:rsidR="00D45A36" w:rsidRPr="00FA2487">
        <w:rPr>
          <w:rFonts w:ascii="Times New Roman" w:hAnsi="Times New Roman" w:cs="Times New Roman"/>
          <w:sz w:val="24"/>
          <w:szCs w:val="24"/>
        </w:rPr>
        <w:t xml:space="preserve"> W</w:t>
      </w:r>
      <w:r w:rsidR="008D7096" w:rsidRPr="00FA2487">
        <w:rPr>
          <w:rFonts w:ascii="Times New Roman" w:hAnsi="Times New Roman" w:cs="Times New Roman"/>
          <w:sz w:val="24"/>
          <w:szCs w:val="24"/>
        </w:rPr>
        <w:t>e</w:t>
      </w:r>
      <w:r w:rsidR="00706147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Pr="00FA2487">
        <w:rPr>
          <w:rFonts w:ascii="Times New Roman" w:hAnsi="Times New Roman" w:cs="Times New Roman"/>
          <w:sz w:val="24"/>
          <w:szCs w:val="24"/>
        </w:rPr>
        <w:t>estimate</w:t>
      </w:r>
      <w:r w:rsidR="00706147" w:rsidRPr="00FA2487">
        <w:rPr>
          <w:rFonts w:ascii="Times New Roman" w:hAnsi="Times New Roman" w:cs="Times New Roman"/>
          <w:sz w:val="24"/>
          <w:szCs w:val="24"/>
        </w:rPr>
        <w:t>d</w:t>
      </w:r>
      <w:r w:rsidRPr="00FA2487">
        <w:rPr>
          <w:rFonts w:ascii="Times New Roman" w:hAnsi="Times New Roman" w:cs="Times New Roman"/>
          <w:sz w:val="24"/>
          <w:szCs w:val="24"/>
        </w:rPr>
        <w:t xml:space="preserve"> the CCC </w:t>
      </w:r>
      <w:r w:rsidR="00425BDB" w:rsidRPr="00FA2487">
        <w:rPr>
          <w:rFonts w:ascii="Times New Roman" w:hAnsi="Times New Roman" w:cs="Times New Roman"/>
          <w:sz w:val="24"/>
          <w:szCs w:val="24"/>
        </w:rPr>
        <w:t xml:space="preserve">of log-transformed </w:t>
      </w:r>
      <w:r w:rsidR="00326EAC" w:rsidRPr="00FA2487">
        <w:rPr>
          <w:rFonts w:ascii="Times New Roman" w:hAnsi="Times New Roman" w:cs="Times New Roman"/>
          <w:sz w:val="24"/>
          <w:szCs w:val="24"/>
        </w:rPr>
        <w:t xml:space="preserve">estimated </w:t>
      </w:r>
      <w:r w:rsidR="00425BDB" w:rsidRPr="00FA2487">
        <w:rPr>
          <w:rFonts w:ascii="Times New Roman" w:hAnsi="Times New Roman" w:cs="Times New Roman"/>
          <w:sz w:val="24"/>
          <w:szCs w:val="24"/>
        </w:rPr>
        <w:t xml:space="preserve">vs. </w:t>
      </w:r>
      <w:r w:rsidR="00FA651D" w:rsidRPr="00FA2487">
        <w:rPr>
          <w:rFonts w:ascii="Times New Roman" w:hAnsi="Times New Roman" w:cs="Times New Roman"/>
          <w:sz w:val="24"/>
          <w:szCs w:val="24"/>
        </w:rPr>
        <w:t xml:space="preserve">true </w:t>
      </w:r>
      <w:r w:rsidR="00425BDB" w:rsidRPr="00FA2487">
        <w:rPr>
          <w:rFonts w:ascii="Times New Roman" w:hAnsi="Times New Roman" w:cs="Times New Roman"/>
          <w:sz w:val="24"/>
          <w:szCs w:val="24"/>
        </w:rPr>
        <w:t>birth counts</w:t>
      </w:r>
      <w:r w:rsidRPr="00FA2487">
        <w:rPr>
          <w:rFonts w:ascii="Times New Roman" w:hAnsi="Times New Roman" w:cs="Times New Roman"/>
          <w:sz w:val="24"/>
          <w:szCs w:val="24"/>
        </w:rPr>
        <w:t xml:space="preserve"> for each year</w:t>
      </w:r>
      <w:r w:rsidR="00D339DC" w:rsidRPr="00FA2487">
        <w:rPr>
          <w:rFonts w:ascii="Times New Roman" w:hAnsi="Times New Roman" w:cs="Times New Roman"/>
          <w:sz w:val="24"/>
          <w:szCs w:val="24"/>
        </w:rPr>
        <w:t xml:space="preserve"> (20</w:t>
      </w:r>
      <w:r w:rsidR="008D7096" w:rsidRPr="00FA2487">
        <w:rPr>
          <w:rFonts w:ascii="Times New Roman" w:hAnsi="Times New Roman" w:cs="Times New Roman"/>
          <w:sz w:val="24"/>
          <w:szCs w:val="24"/>
        </w:rPr>
        <w:t>11</w:t>
      </w:r>
      <w:r w:rsidR="00D339DC" w:rsidRPr="00FA2487">
        <w:rPr>
          <w:rFonts w:ascii="Times New Roman" w:hAnsi="Times New Roman" w:cs="Times New Roman"/>
          <w:sz w:val="24"/>
          <w:szCs w:val="24"/>
        </w:rPr>
        <w:t>-201</w:t>
      </w:r>
      <w:r w:rsidR="008D7096" w:rsidRPr="00FA2487">
        <w:rPr>
          <w:rFonts w:ascii="Times New Roman" w:hAnsi="Times New Roman" w:cs="Times New Roman"/>
          <w:sz w:val="24"/>
          <w:szCs w:val="24"/>
        </w:rPr>
        <w:t>6</w:t>
      </w:r>
      <w:r w:rsidR="00D339DC" w:rsidRPr="00FA2487">
        <w:rPr>
          <w:rFonts w:ascii="Times New Roman" w:hAnsi="Times New Roman" w:cs="Times New Roman"/>
          <w:sz w:val="24"/>
          <w:szCs w:val="24"/>
        </w:rPr>
        <w:t>)</w:t>
      </w:r>
      <w:r w:rsidRPr="00FA2487">
        <w:rPr>
          <w:rFonts w:ascii="Times New Roman" w:hAnsi="Times New Roman" w:cs="Times New Roman"/>
          <w:sz w:val="24"/>
          <w:szCs w:val="24"/>
        </w:rPr>
        <w:t xml:space="preserve"> and race</w:t>
      </w:r>
      <w:r w:rsidR="00EA2903">
        <w:rPr>
          <w:rFonts w:ascii="Times New Roman" w:hAnsi="Times New Roman" w:cs="Times New Roman"/>
          <w:sz w:val="24"/>
          <w:szCs w:val="24"/>
        </w:rPr>
        <w:t xml:space="preserve"> and </w:t>
      </w:r>
      <w:r w:rsidRPr="00FA2487">
        <w:rPr>
          <w:rFonts w:ascii="Times New Roman" w:hAnsi="Times New Roman" w:cs="Times New Roman"/>
          <w:sz w:val="24"/>
          <w:szCs w:val="24"/>
        </w:rPr>
        <w:t>ethnic group (</w:t>
      </w:r>
      <w:r w:rsidR="000622FA" w:rsidRPr="00FA2487">
        <w:rPr>
          <w:rFonts w:ascii="Times New Roman" w:hAnsi="Times New Roman" w:cs="Times New Roman"/>
          <w:sz w:val="24"/>
          <w:szCs w:val="24"/>
        </w:rPr>
        <w:t xml:space="preserve">limited to </w:t>
      </w:r>
      <w:r w:rsidR="000A1CF2" w:rsidRPr="00FA2487">
        <w:rPr>
          <w:rFonts w:ascii="Times New Roman" w:hAnsi="Times New Roman" w:cs="Times New Roman"/>
          <w:sz w:val="24"/>
          <w:szCs w:val="24"/>
        </w:rPr>
        <w:t>four</w:t>
      </w:r>
      <w:r w:rsidR="000622FA" w:rsidRPr="00FA2487">
        <w:rPr>
          <w:rFonts w:ascii="Times New Roman" w:hAnsi="Times New Roman" w:cs="Times New Roman"/>
          <w:sz w:val="24"/>
          <w:szCs w:val="24"/>
        </w:rPr>
        <w:t xml:space="preserve"> largest groups for which data </w:t>
      </w:r>
      <w:r w:rsidR="004E25E8" w:rsidRPr="00FA2487">
        <w:rPr>
          <w:rFonts w:ascii="Times New Roman" w:hAnsi="Times New Roman" w:cs="Times New Roman"/>
          <w:sz w:val="24"/>
          <w:szCs w:val="24"/>
        </w:rPr>
        <w:t>were</w:t>
      </w:r>
      <w:r w:rsidR="000622FA" w:rsidRPr="00FA2487">
        <w:rPr>
          <w:rFonts w:ascii="Times New Roman" w:hAnsi="Times New Roman" w:cs="Times New Roman"/>
          <w:sz w:val="24"/>
          <w:szCs w:val="24"/>
        </w:rPr>
        <w:t xml:space="preserve"> not suppressed </w:t>
      </w:r>
      <w:r w:rsidR="00FA651D" w:rsidRPr="00FA2487">
        <w:rPr>
          <w:rFonts w:ascii="Times New Roman" w:hAnsi="Times New Roman" w:cs="Times New Roman"/>
          <w:sz w:val="24"/>
          <w:szCs w:val="24"/>
        </w:rPr>
        <w:t>via</w:t>
      </w:r>
      <w:r w:rsidR="000622FA" w:rsidRPr="00FA2487">
        <w:rPr>
          <w:rFonts w:ascii="Times New Roman" w:hAnsi="Times New Roman" w:cs="Times New Roman"/>
          <w:sz w:val="24"/>
          <w:szCs w:val="24"/>
        </w:rPr>
        <w:t xml:space="preserve"> CDC WONDER:</w:t>
      </w:r>
      <w:r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EE5498" w:rsidRPr="00FA2487">
        <w:rPr>
          <w:rFonts w:ascii="Times New Roman" w:hAnsi="Times New Roman" w:cs="Times New Roman"/>
          <w:sz w:val="24"/>
          <w:szCs w:val="24"/>
        </w:rPr>
        <w:t>non-Hispanic</w:t>
      </w:r>
      <w:r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7012C7">
        <w:rPr>
          <w:rFonts w:ascii="Times New Roman" w:hAnsi="Times New Roman" w:cs="Times New Roman"/>
          <w:sz w:val="24"/>
          <w:szCs w:val="24"/>
        </w:rPr>
        <w:t>W</w:t>
      </w:r>
      <w:r w:rsidRPr="00FA2487">
        <w:rPr>
          <w:rFonts w:ascii="Times New Roman" w:hAnsi="Times New Roman" w:cs="Times New Roman"/>
          <w:sz w:val="24"/>
          <w:szCs w:val="24"/>
        </w:rPr>
        <w:t xml:space="preserve">hite, </w:t>
      </w:r>
      <w:r w:rsidR="00EE5498" w:rsidRPr="00FA2487">
        <w:rPr>
          <w:rFonts w:ascii="Times New Roman" w:hAnsi="Times New Roman" w:cs="Times New Roman"/>
          <w:sz w:val="24"/>
          <w:szCs w:val="24"/>
        </w:rPr>
        <w:t>non-Hispanic</w:t>
      </w:r>
      <w:r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7012C7">
        <w:rPr>
          <w:rFonts w:ascii="Times New Roman" w:hAnsi="Times New Roman" w:cs="Times New Roman"/>
          <w:sz w:val="24"/>
          <w:szCs w:val="24"/>
        </w:rPr>
        <w:t>B</w:t>
      </w:r>
      <w:r w:rsidRPr="00FA2487">
        <w:rPr>
          <w:rFonts w:ascii="Times New Roman" w:hAnsi="Times New Roman" w:cs="Times New Roman"/>
          <w:sz w:val="24"/>
          <w:szCs w:val="24"/>
        </w:rPr>
        <w:t>lack,</w:t>
      </w:r>
      <w:r w:rsidR="006E1694" w:rsidRPr="00FA2487">
        <w:rPr>
          <w:rFonts w:ascii="Times New Roman" w:hAnsi="Times New Roman" w:cs="Times New Roman"/>
          <w:sz w:val="24"/>
          <w:szCs w:val="24"/>
        </w:rPr>
        <w:t xml:space="preserve"> non-Hispanic Asian</w:t>
      </w:r>
      <w:r w:rsidR="00EA2903">
        <w:rPr>
          <w:rFonts w:ascii="Times New Roman" w:hAnsi="Times New Roman" w:cs="Times New Roman"/>
          <w:sz w:val="24"/>
          <w:szCs w:val="24"/>
        </w:rPr>
        <w:t xml:space="preserve"> or </w:t>
      </w:r>
      <w:r w:rsidR="006E1694" w:rsidRPr="00FA2487">
        <w:rPr>
          <w:rFonts w:ascii="Times New Roman" w:hAnsi="Times New Roman" w:cs="Times New Roman"/>
          <w:sz w:val="24"/>
          <w:szCs w:val="24"/>
        </w:rPr>
        <w:t>Pacific Islander,</w:t>
      </w:r>
      <w:r w:rsidR="000A1CF2" w:rsidRPr="00FA2487">
        <w:rPr>
          <w:rFonts w:ascii="Times New Roman" w:hAnsi="Times New Roman" w:cs="Times New Roman"/>
          <w:sz w:val="24"/>
          <w:szCs w:val="24"/>
        </w:rPr>
        <w:t xml:space="preserve"> and</w:t>
      </w:r>
      <w:r w:rsidRPr="00FA2487">
        <w:rPr>
          <w:rFonts w:ascii="Times New Roman" w:hAnsi="Times New Roman" w:cs="Times New Roman"/>
          <w:sz w:val="24"/>
          <w:szCs w:val="24"/>
        </w:rPr>
        <w:t xml:space="preserve"> Hispanic)</w:t>
      </w:r>
      <w:r w:rsidR="00943E8C" w:rsidRPr="00FA2487">
        <w:rPr>
          <w:rFonts w:ascii="Times New Roman" w:hAnsi="Times New Roman" w:cs="Times New Roman"/>
          <w:sz w:val="24"/>
          <w:szCs w:val="24"/>
        </w:rPr>
        <w:t xml:space="preserve"> and </w:t>
      </w:r>
      <w:r w:rsidR="00BA5FE8" w:rsidRPr="00FA2487">
        <w:rPr>
          <w:rFonts w:ascii="Times New Roman" w:hAnsi="Times New Roman" w:cs="Times New Roman"/>
          <w:sz w:val="24"/>
          <w:szCs w:val="24"/>
        </w:rPr>
        <w:t>found</w:t>
      </w:r>
      <w:r w:rsidR="00EE5498" w:rsidRPr="00FA2487">
        <w:rPr>
          <w:rFonts w:ascii="Times New Roman" w:hAnsi="Times New Roman" w:cs="Times New Roman"/>
          <w:sz w:val="24"/>
          <w:szCs w:val="24"/>
        </w:rPr>
        <w:t xml:space="preserve"> </w:t>
      </w:r>
      <w:r w:rsidR="008F1438" w:rsidRPr="00FA2487">
        <w:rPr>
          <w:rFonts w:ascii="Times New Roman" w:hAnsi="Times New Roman" w:cs="Times New Roman"/>
          <w:sz w:val="24"/>
          <w:szCs w:val="24"/>
        </w:rPr>
        <w:t>agreement of at least 0.9</w:t>
      </w:r>
      <w:r w:rsidR="00D51A6C" w:rsidRPr="00FA2487">
        <w:rPr>
          <w:rFonts w:ascii="Times New Roman" w:hAnsi="Times New Roman" w:cs="Times New Roman"/>
          <w:sz w:val="24"/>
          <w:szCs w:val="24"/>
        </w:rPr>
        <w:t>9</w:t>
      </w:r>
      <w:r w:rsidR="008F1438" w:rsidRPr="00FA2487">
        <w:rPr>
          <w:rFonts w:ascii="Times New Roman" w:hAnsi="Times New Roman" w:cs="Times New Roman"/>
          <w:sz w:val="24"/>
          <w:szCs w:val="24"/>
        </w:rPr>
        <w:t xml:space="preserve"> for all categories</w:t>
      </w:r>
      <w:r w:rsidR="003E1FD1" w:rsidRPr="00FA2487">
        <w:rPr>
          <w:rFonts w:ascii="Times New Roman" w:hAnsi="Times New Roman" w:cs="Times New Roman"/>
          <w:sz w:val="24"/>
          <w:szCs w:val="24"/>
        </w:rPr>
        <w:t xml:space="preserve"> in each year</w:t>
      </w:r>
      <w:r w:rsidR="008F1438" w:rsidRPr="00FA24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762A2B" w14:textId="77777777" w:rsidR="00D03BDD" w:rsidRDefault="00D03B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8BA530" w14:textId="4E73B764" w:rsidR="00D03BDD" w:rsidRPr="00FA2487" w:rsidRDefault="001B382E" w:rsidP="00D03B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="00D03BDD" w:rsidRPr="00FA248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CB06B2F" w14:textId="7DC7F091" w:rsidR="001F2F0A" w:rsidRPr="001F2F0A" w:rsidRDefault="00D03BDD" w:rsidP="001F2F0A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fldChar w:fldCharType="begin"/>
      </w:r>
      <w:r w:rsidRPr="00FA248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FA2487">
        <w:rPr>
          <w:rFonts w:ascii="Times New Roman" w:hAnsi="Times New Roman" w:cs="Times New Roman"/>
          <w:sz w:val="24"/>
          <w:szCs w:val="24"/>
        </w:rPr>
        <w:fldChar w:fldCharType="separate"/>
      </w:r>
      <w:r w:rsidRPr="00FA2487">
        <w:rPr>
          <w:rFonts w:ascii="Times New Roman" w:hAnsi="Times New Roman" w:cs="Times New Roman"/>
          <w:sz w:val="24"/>
          <w:szCs w:val="24"/>
        </w:rPr>
        <w:t>1.</w:t>
      </w:r>
      <w:r w:rsidRPr="00FA2487">
        <w:rPr>
          <w:rFonts w:ascii="Times New Roman" w:hAnsi="Times New Roman" w:cs="Times New Roman"/>
          <w:sz w:val="24"/>
          <w:szCs w:val="24"/>
        </w:rPr>
        <w:tab/>
        <w:t>Centers for Disease Control and Prevention. Data use restrictions.</w:t>
      </w:r>
      <w:r w:rsidR="001F2F0A" w:rsidRPr="001F2F0A">
        <w:t xml:space="preserve"> </w:t>
      </w:r>
      <w:r w:rsidR="001F2F0A" w:rsidRPr="001F2F0A">
        <w:rPr>
          <w:rFonts w:ascii="Times New Roman" w:hAnsi="Times New Roman" w:cs="Times New Roman"/>
          <w:sz w:val="24"/>
          <w:szCs w:val="24"/>
        </w:rPr>
        <w:t>Available at: https://wonder.</w:t>
      </w:r>
    </w:p>
    <w:p w14:paraId="334CED84" w14:textId="3867CA12" w:rsidR="00D03BDD" w:rsidRPr="00FA2487" w:rsidRDefault="001F2F0A" w:rsidP="001F2F0A">
      <w:pPr>
        <w:pStyle w:val="EndNoteBibliography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F2F0A">
        <w:rPr>
          <w:rFonts w:ascii="Times New Roman" w:hAnsi="Times New Roman" w:cs="Times New Roman"/>
          <w:sz w:val="24"/>
          <w:szCs w:val="24"/>
        </w:rPr>
        <w:t>cdc.gov/datause.html. Accessed April 8, 2020.</w:t>
      </w:r>
    </w:p>
    <w:p w14:paraId="45195822" w14:textId="1306D1EA" w:rsidR="001F2F0A" w:rsidRPr="001F2F0A" w:rsidRDefault="00D03BDD" w:rsidP="001F2F0A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t>2.</w:t>
      </w:r>
      <w:r w:rsidRPr="00FA2487">
        <w:rPr>
          <w:rFonts w:ascii="Times New Roman" w:hAnsi="Times New Roman" w:cs="Times New Roman"/>
          <w:sz w:val="24"/>
          <w:szCs w:val="24"/>
        </w:rPr>
        <w:tab/>
      </w:r>
      <w:r w:rsidR="001F2F0A" w:rsidRPr="001F2F0A">
        <w:rPr>
          <w:rFonts w:ascii="Times New Roman" w:hAnsi="Times New Roman" w:cs="Times New Roman"/>
          <w:sz w:val="24"/>
          <w:szCs w:val="24"/>
        </w:rPr>
        <w:t>Ingram DD, Franco SJ. 2013 NCHS urban</w:t>
      </w:r>
      <w:r w:rsidR="001F2F0A">
        <w:rPr>
          <w:rFonts w:ascii="Times New Roman" w:hAnsi="Times New Roman" w:cs="Times New Roman"/>
          <w:sz w:val="24"/>
          <w:szCs w:val="24"/>
        </w:rPr>
        <w:t>-</w:t>
      </w:r>
      <w:r w:rsidR="001F2F0A" w:rsidRPr="001F2F0A">
        <w:rPr>
          <w:rFonts w:ascii="Times New Roman" w:hAnsi="Times New Roman" w:cs="Times New Roman"/>
          <w:sz w:val="24"/>
          <w:szCs w:val="24"/>
        </w:rPr>
        <w:t>rural</w:t>
      </w:r>
      <w:r w:rsidR="001F2F0A">
        <w:rPr>
          <w:rFonts w:ascii="Times New Roman" w:hAnsi="Times New Roman" w:cs="Times New Roman"/>
          <w:sz w:val="24"/>
          <w:szCs w:val="24"/>
        </w:rPr>
        <w:t xml:space="preserve"> </w:t>
      </w:r>
      <w:r w:rsidR="001F2F0A" w:rsidRPr="001F2F0A">
        <w:rPr>
          <w:rFonts w:ascii="Times New Roman" w:hAnsi="Times New Roman" w:cs="Times New Roman"/>
          <w:sz w:val="24"/>
          <w:szCs w:val="24"/>
        </w:rPr>
        <w:t>classification scheme for counties. Vital</w:t>
      </w:r>
    </w:p>
    <w:p w14:paraId="2940BAF2" w14:textId="7BF35FCD" w:rsidR="00D03BDD" w:rsidRPr="00FA2487" w:rsidRDefault="001F2F0A" w:rsidP="001F2F0A">
      <w:pPr>
        <w:pStyle w:val="EndNoteBibliography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F2F0A">
        <w:rPr>
          <w:rFonts w:ascii="Times New Roman" w:hAnsi="Times New Roman" w:cs="Times New Roman"/>
          <w:sz w:val="24"/>
          <w:szCs w:val="24"/>
        </w:rPr>
        <w:t>Health Stat 2 2014:1–73.</w:t>
      </w:r>
      <w:r w:rsidR="00D03BDD" w:rsidRPr="00FA24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08F29" w14:textId="20A56AA7" w:rsidR="00D03BDD" w:rsidRPr="00FA2487" w:rsidRDefault="00D03BDD" w:rsidP="001F2F0A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t>3.</w:t>
      </w:r>
      <w:r w:rsidRPr="00FA2487">
        <w:rPr>
          <w:rFonts w:ascii="Times New Roman" w:hAnsi="Times New Roman" w:cs="Times New Roman"/>
          <w:sz w:val="24"/>
          <w:szCs w:val="24"/>
        </w:rPr>
        <w:tab/>
      </w:r>
      <w:r w:rsidR="001F2F0A" w:rsidRPr="001F2F0A">
        <w:rPr>
          <w:rFonts w:ascii="Times New Roman" w:hAnsi="Times New Roman" w:cs="Times New Roman"/>
          <w:sz w:val="24"/>
          <w:szCs w:val="24"/>
        </w:rPr>
        <w:t>Lin LI. A concordance correlation coefficient</w:t>
      </w:r>
      <w:r w:rsidR="001F2F0A">
        <w:rPr>
          <w:rFonts w:ascii="Times New Roman" w:hAnsi="Times New Roman" w:cs="Times New Roman"/>
          <w:sz w:val="24"/>
          <w:szCs w:val="24"/>
        </w:rPr>
        <w:t xml:space="preserve"> </w:t>
      </w:r>
      <w:r w:rsidR="001F2F0A" w:rsidRPr="001F2F0A">
        <w:rPr>
          <w:rFonts w:ascii="Times New Roman" w:hAnsi="Times New Roman" w:cs="Times New Roman"/>
          <w:sz w:val="24"/>
          <w:szCs w:val="24"/>
        </w:rPr>
        <w:t>to evaluate reproducibility. Biometrics 1989;45:</w:t>
      </w:r>
      <w:r w:rsidR="001F2F0A">
        <w:rPr>
          <w:rFonts w:ascii="Times New Roman" w:hAnsi="Times New Roman" w:cs="Times New Roman"/>
          <w:sz w:val="24"/>
          <w:szCs w:val="24"/>
        </w:rPr>
        <w:t xml:space="preserve"> </w:t>
      </w:r>
      <w:r w:rsidR="001F2F0A" w:rsidRPr="001F2F0A">
        <w:rPr>
          <w:rFonts w:ascii="Times New Roman" w:hAnsi="Times New Roman" w:cs="Times New Roman"/>
          <w:sz w:val="24"/>
          <w:szCs w:val="24"/>
        </w:rPr>
        <w:t>255–68.</w:t>
      </w:r>
    </w:p>
    <w:p w14:paraId="5D823BDA" w14:textId="123AD757" w:rsidR="001B382E" w:rsidRDefault="00D03BDD" w:rsidP="001B38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487">
        <w:rPr>
          <w:rFonts w:ascii="Times New Roman" w:hAnsi="Times New Roman" w:cs="Times New Roman"/>
          <w:sz w:val="24"/>
          <w:szCs w:val="24"/>
        </w:rPr>
        <w:fldChar w:fldCharType="end"/>
      </w:r>
      <w:r w:rsidR="001B382E">
        <w:rPr>
          <w:rFonts w:ascii="Times New Roman" w:hAnsi="Times New Roman" w:cs="Times New Roman"/>
          <w:sz w:val="24"/>
          <w:szCs w:val="24"/>
        </w:rPr>
        <w:br w:type="page"/>
      </w:r>
      <w:r w:rsidR="001B382E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 FIGURE 1</w:t>
      </w:r>
    </w:p>
    <w:p w14:paraId="683F153A" w14:textId="77777777" w:rsidR="001B382E" w:rsidRDefault="001B382E" w:rsidP="001B38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773C">
        <w:rPr>
          <w:rFonts w:ascii="Times New Roman" w:hAnsi="Times New Roman" w:cs="Times New Roman"/>
          <w:b/>
          <w:bCs/>
          <w:sz w:val="24"/>
          <w:szCs w:val="24"/>
        </w:rPr>
        <w:t>True births compared to estimated births summed to National Center for Health Statistics urban-rural classification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773C">
        <w:rPr>
          <w:rFonts w:ascii="Times New Roman" w:hAnsi="Times New Roman" w:cs="Times New Roman"/>
          <w:b/>
          <w:bCs/>
          <w:sz w:val="24"/>
          <w:szCs w:val="24"/>
        </w:rPr>
        <w:t>(United States, 2011–2016)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71E35A6" w14:textId="77777777" w:rsidR="001B382E" w:rsidRDefault="001B382E" w:rsidP="001B3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935D23" wp14:editId="4868FB67">
            <wp:extent cx="6400800" cy="48520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5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D0A81" w14:textId="77777777" w:rsidR="001B382E" w:rsidRPr="00F9087F" w:rsidRDefault="001B382E" w:rsidP="001B3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87F">
        <w:rPr>
          <w:rFonts w:ascii="Times New Roman" w:hAnsi="Times New Roman" w:cs="Times New Roman"/>
          <w:sz w:val="24"/>
          <w:szCs w:val="24"/>
        </w:rPr>
        <w:t>The figure shows a close alignment between estimated births (y-axis) and true births (x-axis) in each urban-rural category, year, and race and ethnicity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87F">
        <w:rPr>
          <w:rFonts w:ascii="Times New Roman" w:hAnsi="Times New Roman" w:cs="Times New Roman"/>
          <w:sz w:val="24"/>
          <w:szCs w:val="24"/>
        </w:rPr>
        <w:t>group.</w:t>
      </w:r>
    </w:p>
    <w:p w14:paraId="5288D19A" w14:textId="77777777" w:rsidR="001B382E" w:rsidRPr="00F9087F" w:rsidRDefault="001B382E" w:rsidP="001B38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87F">
        <w:rPr>
          <w:rFonts w:ascii="Times New Roman" w:hAnsi="Times New Roman" w:cs="Times New Roman"/>
          <w:i/>
          <w:iCs/>
          <w:sz w:val="24"/>
          <w:szCs w:val="24"/>
        </w:rPr>
        <w:t xml:space="preserve">Merkt et al. Urban-rural differences in pregnancy-related deaths. Am J </w:t>
      </w:r>
      <w:proofErr w:type="spellStart"/>
      <w:r w:rsidRPr="00F9087F">
        <w:rPr>
          <w:rFonts w:ascii="Times New Roman" w:hAnsi="Times New Roman" w:cs="Times New Roman"/>
          <w:i/>
          <w:iCs/>
          <w:sz w:val="24"/>
          <w:szCs w:val="24"/>
        </w:rPr>
        <w:t>Obstet</w:t>
      </w:r>
      <w:proofErr w:type="spellEnd"/>
      <w:r w:rsidRPr="00F908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087F">
        <w:rPr>
          <w:rFonts w:ascii="Times New Roman" w:hAnsi="Times New Roman" w:cs="Times New Roman"/>
          <w:i/>
          <w:iCs/>
          <w:sz w:val="24"/>
          <w:szCs w:val="24"/>
        </w:rPr>
        <w:t>Gynecol</w:t>
      </w:r>
      <w:proofErr w:type="spellEnd"/>
      <w:r w:rsidRPr="00F9087F">
        <w:rPr>
          <w:rFonts w:ascii="Times New Roman" w:hAnsi="Times New Roman" w:cs="Times New Roman"/>
          <w:i/>
          <w:iCs/>
          <w:sz w:val="24"/>
          <w:szCs w:val="24"/>
        </w:rPr>
        <w:t xml:space="preserve"> 2021.</w:t>
      </w:r>
      <w:r w:rsidRPr="00F9087F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65DDD982" w14:textId="77777777" w:rsidR="001B382E" w:rsidRPr="0080773C" w:rsidRDefault="001B382E" w:rsidP="001B38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773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 FIGURE 2</w:t>
      </w:r>
    </w:p>
    <w:p w14:paraId="0AEE44E5" w14:textId="77777777" w:rsidR="001B382E" w:rsidRDefault="001B382E" w:rsidP="001B38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773C">
        <w:rPr>
          <w:rFonts w:ascii="Times New Roman" w:hAnsi="Times New Roman" w:cs="Times New Roman"/>
          <w:b/>
          <w:bCs/>
          <w:sz w:val="24"/>
          <w:szCs w:val="24"/>
        </w:rPr>
        <w:t>True births compared to estimated births summed by US state, 2011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gramStart"/>
      <w:r w:rsidRPr="0080773C">
        <w:rPr>
          <w:rFonts w:ascii="Times New Roman" w:hAnsi="Times New Roman" w:cs="Times New Roman"/>
          <w:b/>
          <w:bCs/>
          <w:sz w:val="24"/>
          <w:szCs w:val="24"/>
        </w:rPr>
        <w:t>2016</w:t>
      </w:r>
      <w:proofErr w:type="gramEnd"/>
    </w:p>
    <w:p w14:paraId="71D5B18C" w14:textId="77777777" w:rsidR="001B382E" w:rsidRDefault="001B382E" w:rsidP="001B3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8189A3" wp14:editId="4A8A2FA5">
            <wp:extent cx="6400800" cy="62395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3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93615" w14:textId="77777777" w:rsidR="001B382E" w:rsidRPr="00F9087F" w:rsidRDefault="001B382E" w:rsidP="001B3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87F">
        <w:rPr>
          <w:rFonts w:ascii="Times New Roman" w:hAnsi="Times New Roman" w:cs="Times New Roman"/>
          <w:sz w:val="24"/>
          <w:szCs w:val="24"/>
        </w:rPr>
        <w:t>The figure shows a close alignment between the logs of estimated births (y-axis) and true births (x-axis) summed to each state.</w:t>
      </w:r>
    </w:p>
    <w:p w14:paraId="326C7E99" w14:textId="77777777" w:rsidR="001B382E" w:rsidRPr="00F9087F" w:rsidRDefault="001B382E" w:rsidP="001B38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87F">
        <w:rPr>
          <w:rFonts w:ascii="Times New Roman" w:hAnsi="Times New Roman" w:cs="Times New Roman"/>
          <w:i/>
          <w:iCs/>
          <w:sz w:val="24"/>
          <w:szCs w:val="24"/>
        </w:rPr>
        <w:t xml:space="preserve">Merkt et al. Urban-rural differences in pregnancy-related deaths. Am J </w:t>
      </w:r>
      <w:proofErr w:type="spellStart"/>
      <w:r w:rsidRPr="00F9087F">
        <w:rPr>
          <w:rFonts w:ascii="Times New Roman" w:hAnsi="Times New Roman" w:cs="Times New Roman"/>
          <w:i/>
          <w:iCs/>
          <w:sz w:val="24"/>
          <w:szCs w:val="24"/>
        </w:rPr>
        <w:t>Obstet</w:t>
      </w:r>
      <w:proofErr w:type="spellEnd"/>
      <w:r w:rsidRPr="00F908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087F">
        <w:rPr>
          <w:rFonts w:ascii="Times New Roman" w:hAnsi="Times New Roman" w:cs="Times New Roman"/>
          <w:i/>
          <w:iCs/>
          <w:sz w:val="24"/>
          <w:szCs w:val="24"/>
        </w:rPr>
        <w:t>Gynecol</w:t>
      </w:r>
      <w:proofErr w:type="spellEnd"/>
      <w:r w:rsidRPr="00F9087F">
        <w:rPr>
          <w:rFonts w:ascii="Times New Roman" w:hAnsi="Times New Roman" w:cs="Times New Roman"/>
          <w:i/>
          <w:iCs/>
          <w:sz w:val="24"/>
          <w:szCs w:val="24"/>
        </w:rPr>
        <w:t xml:space="preserve"> 2021.</w:t>
      </w:r>
    </w:p>
    <w:p w14:paraId="2D7A36DD" w14:textId="07418B8D" w:rsidR="001B382E" w:rsidRDefault="001B382E">
      <w:pPr>
        <w:rPr>
          <w:rFonts w:ascii="Times New Roman" w:hAnsi="Times New Roman" w:cs="Times New Roman"/>
          <w:sz w:val="24"/>
          <w:szCs w:val="24"/>
        </w:rPr>
      </w:pPr>
    </w:p>
    <w:p w14:paraId="283C93AD" w14:textId="77777777" w:rsidR="001B382E" w:rsidRDefault="001B382E">
      <w:pPr>
        <w:rPr>
          <w:rFonts w:ascii="Times New Roman" w:hAnsi="Times New Roman" w:cs="Times New Roman"/>
          <w:sz w:val="24"/>
          <w:szCs w:val="24"/>
        </w:rPr>
      </w:pPr>
    </w:p>
    <w:p w14:paraId="31AA04CF" w14:textId="77777777" w:rsidR="001B382E" w:rsidRDefault="001B382E">
      <w:pPr>
        <w:rPr>
          <w:rFonts w:ascii="Times New Roman" w:hAnsi="Times New Roman" w:cs="Times New Roman"/>
          <w:sz w:val="24"/>
          <w:szCs w:val="24"/>
        </w:rPr>
      </w:pPr>
    </w:p>
    <w:p w14:paraId="78ACA4CA" w14:textId="77777777" w:rsidR="001B382E" w:rsidRDefault="001B382E">
      <w:pPr>
        <w:rPr>
          <w:rFonts w:ascii="Times New Roman" w:hAnsi="Times New Roman" w:cs="Times New Roman"/>
          <w:sz w:val="24"/>
          <w:szCs w:val="24"/>
        </w:rPr>
      </w:pPr>
    </w:p>
    <w:p w14:paraId="5786CD0D" w14:textId="77777777" w:rsidR="0070362C" w:rsidRDefault="0070362C" w:rsidP="004925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431"/>
        <w:gridCol w:w="919"/>
        <w:gridCol w:w="299"/>
        <w:gridCol w:w="1411"/>
        <w:gridCol w:w="1868"/>
        <w:gridCol w:w="1516"/>
        <w:gridCol w:w="1563"/>
        <w:gridCol w:w="1418"/>
      </w:tblGrid>
      <w:tr w:rsidR="00655A56" w:rsidRPr="0070362C" w14:paraId="4A12339F" w14:textId="77777777" w:rsidTr="00DE44D3">
        <w:trPr>
          <w:trHeight w:val="288"/>
        </w:trPr>
        <w:tc>
          <w:tcPr>
            <w:tcW w:w="10770" w:type="dxa"/>
            <w:gridSpan w:val="9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13933" w14:textId="3F19A02C" w:rsidR="00655A56" w:rsidRPr="0070362C" w:rsidRDefault="001F2F0A" w:rsidP="00DE44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Supplemental Table 1</w:t>
            </w:r>
          </w:p>
          <w:p w14:paraId="75BC0B80" w14:textId="243C78DA" w:rsidR="00655A56" w:rsidRPr="0070362C" w:rsidRDefault="00655A56" w:rsidP="00DE44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Distribution of </w:t>
            </w:r>
            <w:r w:rsidR="001F2F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 w:rsidRPr="0070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ive </w:t>
            </w:r>
            <w:r w:rsidR="001F2F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70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irths by </w:t>
            </w:r>
            <w:r w:rsidR="001F2F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70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ounty </w:t>
            </w:r>
            <w:r w:rsidR="001F2F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Pr="0070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rban-</w:t>
            </w:r>
            <w:r w:rsidR="001F2F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0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ural </w:t>
            </w:r>
            <w:r w:rsidR="001F2F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70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ategory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</w:t>
            </w:r>
            <w:r w:rsidR="001F2F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ear,</w:t>
            </w:r>
            <w:r w:rsidRPr="0070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United States, 2011</w:t>
            </w:r>
            <w:r w:rsidRPr="007036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</w:tr>
      <w:tr w:rsidR="00655A56" w:rsidRPr="0070362C" w14:paraId="6C4A2134" w14:textId="77777777" w:rsidTr="00DE44D3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177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5339FF" w14:textId="77777777" w:rsidR="00655A56" w:rsidRPr="0070362C" w:rsidRDefault="00655A56" w:rsidP="00DE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E4C04F" w14:textId="77777777" w:rsidR="00655A56" w:rsidRPr="0070362C" w:rsidRDefault="00655A56" w:rsidP="00DE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6" w:type="dxa"/>
            <w:gridSpan w:val="5"/>
            <w:shd w:val="clear" w:color="auto" w:fill="auto"/>
            <w:noWrap/>
            <w:vAlign w:val="bottom"/>
            <w:hideMark/>
          </w:tcPr>
          <w:p w14:paraId="78B253EA" w14:textId="017D7787" w:rsidR="00655A56" w:rsidRPr="0070362C" w:rsidRDefault="00655A56" w:rsidP="00DE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 (</w:t>
            </w:r>
            <w:proofErr w:type="gramStart"/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%)</w:t>
            </w:r>
            <w:r w:rsidR="001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gramEnd"/>
          </w:p>
        </w:tc>
      </w:tr>
      <w:tr w:rsidR="00655A56" w:rsidRPr="0070362C" w14:paraId="48FF1D83" w14:textId="77777777" w:rsidTr="001F2F0A">
        <w:tblPrEx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134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E8C8FD" w14:textId="77777777" w:rsidR="00655A56" w:rsidRPr="0070362C" w:rsidRDefault="00655A56" w:rsidP="00DE4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7390E9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14:paraId="578B365A" w14:textId="097F8983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Large </w:t>
            </w:r>
            <w:r w:rsidR="00E82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etro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2B0F044" w14:textId="14C845F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Medium </w:t>
            </w:r>
            <w:r w:rsidR="00E82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etro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28FE24D1" w14:textId="068E5322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Small </w:t>
            </w:r>
            <w:r w:rsidR="00E82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etro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38D71DAC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Micropolitan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9A2EB8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Noncore</w:t>
            </w:r>
          </w:p>
        </w:tc>
      </w:tr>
      <w:tr w:rsidR="00655A56" w:rsidRPr="0070362C" w14:paraId="5128ECD6" w14:textId="77777777" w:rsidTr="001F2F0A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7E1C0E2B" w14:textId="77777777" w:rsidR="00655A56" w:rsidRPr="0070362C" w:rsidRDefault="00655A56" w:rsidP="00D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155870D3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3,919,509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14:paraId="7CED0306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2,231,805 (57) 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B99FC1C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818,038 (21) 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4D698C9F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354,626 (9) 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6544906B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314,104 (8)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653EDA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200,936 (5) </w:t>
            </w:r>
          </w:p>
        </w:tc>
      </w:tr>
      <w:tr w:rsidR="00655A56" w:rsidRPr="0070362C" w14:paraId="2D134C4D" w14:textId="77777777" w:rsidTr="001F2F0A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2A12BE10" w14:textId="77777777" w:rsidR="00655A56" w:rsidRPr="0070362C" w:rsidRDefault="00655A56" w:rsidP="00D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2C122A01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3,915,553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14:paraId="4FE2390F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2,233,816 (57) 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4B3E657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816,336 (21) 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7498750A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354,394 (9) 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17CEEDE2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312,245 (8)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88A448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198,762 (5) </w:t>
            </w:r>
          </w:p>
        </w:tc>
      </w:tr>
      <w:tr w:rsidR="00655A56" w:rsidRPr="0070362C" w14:paraId="377DC0DB" w14:textId="77777777" w:rsidTr="001F2F0A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58630069" w14:textId="77777777" w:rsidR="00655A56" w:rsidRPr="0070362C" w:rsidRDefault="00655A56" w:rsidP="00D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69139F33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3,900,280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14:paraId="30CF4650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2,225,360 (57) 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AC93C4A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814,339 (21) 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351A9277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353,155 (9) 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7719FD1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310,120 (8)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0D04CB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197,306 (5) </w:t>
            </w:r>
          </w:p>
        </w:tc>
      </w:tr>
      <w:tr w:rsidR="00655A56" w:rsidRPr="0070362C" w14:paraId="63D8A3F6" w14:textId="77777777" w:rsidTr="001F2F0A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6E5C549E" w14:textId="77777777" w:rsidR="00655A56" w:rsidRPr="0070362C" w:rsidRDefault="00655A56" w:rsidP="00D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2014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6727210A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3,940,369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14:paraId="632B6F59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2,253,114 (57) 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45B86B2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821,926 (21) 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164B1A95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356,534 (9) 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A477748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311,171 (8)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B7E4FE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197,624 (5) </w:t>
            </w:r>
          </w:p>
        </w:tc>
      </w:tr>
      <w:tr w:rsidR="00655A56" w:rsidRPr="0070362C" w14:paraId="1814F4A4" w14:textId="77777777" w:rsidTr="001F2F0A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0916FD59" w14:textId="77777777" w:rsidR="00655A56" w:rsidRPr="0070362C" w:rsidRDefault="00655A56" w:rsidP="00D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2015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5201F5CE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3,924,710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14:paraId="303FBBB3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2,245,436 (57) 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8109008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819,577 (21) 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4E7239C1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355,066 (9) 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0F1E7975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308,983 (8)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2636E7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195,648 (5) </w:t>
            </w:r>
          </w:p>
        </w:tc>
      </w:tr>
      <w:tr w:rsidR="00655A56" w:rsidRPr="0070362C" w14:paraId="2ABD7B12" w14:textId="77777777" w:rsidTr="001F2F0A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76F9FE4F" w14:textId="77777777" w:rsidR="00655A56" w:rsidRPr="0070362C" w:rsidRDefault="00655A56" w:rsidP="00D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6F9E0885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3,899,799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14:paraId="1CB9BED8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2,237,639 (57) 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CDB26EF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814,786 (21) 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1E7156B9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351,427 (9) 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7D18BE03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304,001 (8)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E6BE1" w14:textId="77777777" w:rsidR="00655A56" w:rsidRPr="0070362C" w:rsidRDefault="00655A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191,946 (5) </w:t>
            </w:r>
          </w:p>
        </w:tc>
      </w:tr>
      <w:tr w:rsidR="00655A56" w:rsidRPr="0070362C" w14:paraId="19BE8B30" w14:textId="77777777" w:rsidTr="00DE44D3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10770" w:type="dxa"/>
            <w:gridSpan w:val="9"/>
            <w:shd w:val="clear" w:color="auto" w:fill="auto"/>
            <w:noWrap/>
            <w:vAlign w:val="bottom"/>
            <w:hideMark/>
          </w:tcPr>
          <w:p w14:paraId="1FA5BA8B" w14:textId="53921A0C" w:rsidR="001F2F0A" w:rsidRPr="00BC41E4" w:rsidRDefault="001F2F0A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  <w:r w:rsidRPr="001F2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Births by year were estimated by multiplying county-level number of women, stratified by race and ethnicity (defined as Hispanic, regardless of race, and non-Hispanic White, Black, American </w:t>
            </w:r>
            <w:proofErr w:type="gramStart"/>
            <w:r w:rsidRPr="001F2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 Alaska Native, or Asian or Pacific Islander) and year, and state fertility rates. The definitions are as follows: large metro, an MSA with a population of at least 1 million; medium metro, an MSA with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population of 250,000 to 999,999; small metro, an MSA with a population of less than 250,000; micropolitan: urban cluster with a population of 10,000 to 49,999; and noncore, nonmetropolitan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counties that did not qualify as micropolitan (most rural areas).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33F227B0" w14:textId="30E16FFD" w:rsidR="001F2F0A" w:rsidRPr="00BC41E4" w:rsidRDefault="001F2F0A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  <w:r w:rsidRPr="001F2F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MSA</w:t>
            </w:r>
            <w:r w:rsidRPr="001F2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metropolitan statistical area.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6BE95676" w14:textId="71359D53" w:rsidR="001F2F0A" w:rsidRPr="00BC41E4" w:rsidRDefault="001F2F0A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  <w:r w:rsidRPr="001F2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1F2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Percentages may not add to 100 because of rounding.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338BEAE1" w14:textId="71A6F0AA" w:rsidR="00655A56" w:rsidRPr="001F2F0A" w:rsidRDefault="001F2F0A" w:rsidP="001F2F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1F2F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Merkt et al. Urban-rural differences in pregnancy-related deaths. Am J </w:t>
            </w:r>
            <w:proofErr w:type="spellStart"/>
            <w:r w:rsidRPr="001F2F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Obstet</w:t>
            </w:r>
            <w:proofErr w:type="spellEnd"/>
            <w:r w:rsidRPr="001F2F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2F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Gynecol</w:t>
            </w:r>
            <w:proofErr w:type="spellEnd"/>
            <w:r w:rsidRPr="001F2F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2021.</w:t>
            </w:r>
          </w:p>
        </w:tc>
      </w:tr>
    </w:tbl>
    <w:p w14:paraId="0A5412A3" w14:textId="565BA2F9" w:rsidR="00655A56" w:rsidRDefault="00655A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80942C" w14:textId="5BCAA6C8" w:rsidR="00655A56" w:rsidRPr="00FA2487" w:rsidRDefault="00655A56" w:rsidP="00492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61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1710"/>
        <w:gridCol w:w="1980"/>
        <w:gridCol w:w="1530"/>
        <w:gridCol w:w="1780"/>
        <w:gridCol w:w="1280"/>
      </w:tblGrid>
      <w:tr w:rsidR="00300948" w:rsidRPr="0070362C" w14:paraId="701CD2C4" w14:textId="77777777" w:rsidTr="001F2F0A">
        <w:trPr>
          <w:trHeight w:val="315"/>
        </w:trPr>
        <w:tc>
          <w:tcPr>
            <w:tcW w:w="106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485B" w14:textId="390B28A7" w:rsidR="00300948" w:rsidRPr="0070362C" w:rsidRDefault="001F2F0A" w:rsidP="006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Supplemental Table 2</w:t>
            </w:r>
          </w:p>
          <w:p w14:paraId="350085E1" w14:textId="3511173D" w:rsidR="00300948" w:rsidRPr="0070362C" w:rsidRDefault="00300948" w:rsidP="006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Distribution of </w:t>
            </w:r>
            <w:r w:rsidR="001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regnancy-</w:t>
            </w:r>
            <w:r w:rsidR="001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elated </w:t>
            </w:r>
            <w:r w:rsidR="001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eaths by </w:t>
            </w:r>
            <w:r w:rsidR="001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ounty </w:t>
            </w:r>
            <w:r w:rsidR="001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rban-</w:t>
            </w:r>
            <w:r w:rsidR="001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ural </w:t>
            </w:r>
            <w:r w:rsidR="001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ategory</w:t>
            </w:r>
            <w:r w:rsidR="00925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925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and </w:t>
            </w:r>
            <w:r w:rsidR="001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="00925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ear,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United States, 2011-2016</w:t>
            </w:r>
          </w:p>
        </w:tc>
      </w:tr>
      <w:tr w:rsidR="00300948" w:rsidRPr="0070362C" w14:paraId="3B47BC8F" w14:textId="77777777" w:rsidTr="001F2F0A">
        <w:trPr>
          <w:trHeight w:val="303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CCE94BA" w14:textId="77777777" w:rsidR="00300948" w:rsidRPr="0070362C" w:rsidRDefault="00300948" w:rsidP="00C0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2C7039" w14:textId="77777777" w:rsidR="00300948" w:rsidRPr="0070362C" w:rsidRDefault="00300948" w:rsidP="00C0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80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D95" w14:textId="23305432" w:rsidR="00300948" w:rsidRPr="0070362C" w:rsidRDefault="00300948" w:rsidP="00C0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 (</w:t>
            </w:r>
            <w:proofErr w:type="gramStart"/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%)</w:t>
            </w:r>
            <w:r w:rsidR="001F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gramEnd"/>
          </w:p>
        </w:tc>
      </w:tr>
      <w:tr w:rsidR="00300948" w:rsidRPr="0070362C" w14:paraId="57FB14B1" w14:textId="77777777" w:rsidTr="001F2F0A">
        <w:trPr>
          <w:trHeight w:val="303"/>
        </w:trPr>
        <w:tc>
          <w:tcPr>
            <w:tcW w:w="125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92F7" w14:textId="18F5BA93" w:rsidR="00300948" w:rsidRPr="0070362C" w:rsidRDefault="00C00056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27DF7A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EB52BAD" w14:textId="185189DB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Large </w:t>
            </w:r>
            <w:r w:rsidR="00E82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etro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597C50" w14:textId="3F67B6F5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Medium </w:t>
            </w:r>
            <w:r w:rsidR="00E82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etro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02FB8D" w14:textId="79C7F83E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Small </w:t>
            </w:r>
            <w:r w:rsidR="00E82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etro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0793F0A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Micropolitan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555A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Noncore</w:t>
            </w:r>
          </w:p>
        </w:tc>
      </w:tr>
      <w:tr w:rsidR="00300948" w:rsidRPr="0070362C" w14:paraId="655EE8B3" w14:textId="77777777" w:rsidTr="001F2F0A">
        <w:trPr>
          <w:trHeight w:val="303"/>
        </w:trPr>
        <w:tc>
          <w:tcPr>
            <w:tcW w:w="125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6C6E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EB7C26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4067C85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(55)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E3D56D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(18)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7FB202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(8)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CB06B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(11)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F3D4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(9)</w:t>
            </w:r>
          </w:p>
        </w:tc>
      </w:tr>
      <w:tr w:rsidR="00300948" w:rsidRPr="0070362C" w14:paraId="4C9A1758" w14:textId="77777777" w:rsidTr="001F2F0A">
        <w:trPr>
          <w:trHeight w:val="303"/>
        </w:trPr>
        <w:tc>
          <w:tcPr>
            <w:tcW w:w="125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0F52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E26CAC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96FB896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(49)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090B83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(25)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0B8331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(9)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0B4F080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(10)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4887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(7)</w:t>
            </w:r>
          </w:p>
        </w:tc>
      </w:tr>
      <w:tr w:rsidR="00300948" w:rsidRPr="0070362C" w14:paraId="07746FBD" w14:textId="77777777" w:rsidTr="001F2F0A">
        <w:trPr>
          <w:trHeight w:val="303"/>
        </w:trPr>
        <w:tc>
          <w:tcPr>
            <w:tcW w:w="125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5C91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B1F918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6AE066E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(53)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397556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(21)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575A1B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(9)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2288D02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(9)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F56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(9)</w:t>
            </w:r>
          </w:p>
        </w:tc>
      </w:tr>
      <w:tr w:rsidR="00300948" w:rsidRPr="0070362C" w14:paraId="46A9A7CF" w14:textId="77777777" w:rsidTr="001F2F0A">
        <w:trPr>
          <w:trHeight w:val="303"/>
        </w:trPr>
        <w:tc>
          <w:tcPr>
            <w:tcW w:w="125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521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0750B2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AAF8EDC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(52)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0871B9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(22)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FFC44F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(11)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11AFF82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(10)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2553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(6)</w:t>
            </w:r>
          </w:p>
        </w:tc>
      </w:tr>
      <w:tr w:rsidR="00300948" w:rsidRPr="0070362C" w14:paraId="445E24E7" w14:textId="77777777" w:rsidTr="001F2F0A">
        <w:trPr>
          <w:trHeight w:val="303"/>
        </w:trPr>
        <w:tc>
          <w:tcPr>
            <w:tcW w:w="125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950D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3E004B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C9E1EBB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(52)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0DAB79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(22)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781C00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(9)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6D6D3B5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(10)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14C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(6)</w:t>
            </w:r>
          </w:p>
        </w:tc>
      </w:tr>
      <w:tr w:rsidR="00300948" w:rsidRPr="0070362C" w14:paraId="0537F1A9" w14:textId="77777777" w:rsidTr="001F2F0A">
        <w:trPr>
          <w:trHeight w:val="303"/>
        </w:trPr>
        <w:tc>
          <w:tcPr>
            <w:tcW w:w="125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9904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8D2C43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9E7B8D8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(53)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AAFA48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(20)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505E64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(9)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942120B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(9)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299A" w14:textId="77777777" w:rsidR="00300948" w:rsidRPr="0070362C" w:rsidRDefault="00300948" w:rsidP="001F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(9)</w:t>
            </w:r>
          </w:p>
        </w:tc>
      </w:tr>
      <w:tr w:rsidR="00300948" w:rsidRPr="0070362C" w14:paraId="1C7D3007" w14:textId="77777777" w:rsidTr="001F2F0A">
        <w:trPr>
          <w:trHeight w:val="303"/>
        </w:trPr>
        <w:tc>
          <w:tcPr>
            <w:tcW w:w="1061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C397" w14:textId="76C96A31" w:rsidR="001F2F0A" w:rsidRPr="00BC41E4" w:rsidRDefault="001F2F0A" w:rsidP="001F2F0A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1F2F0A">
              <w:rPr>
                <w:rFonts w:ascii="Times New Roman" w:hAnsi="Times New Roman" w:cs="Times New Roman"/>
                <w:sz w:val="20"/>
                <w:szCs w:val="20"/>
              </w:rPr>
              <w:t>The definitions are as follows: large metro, an MSA with a population of at least 1 million; medium metro, an MSA with a population of 250,000 to 999,999; small metro, an MSA with a population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F0A">
              <w:rPr>
                <w:rFonts w:ascii="Times New Roman" w:hAnsi="Times New Roman" w:cs="Times New Roman"/>
                <w:sz w:val="20"/>
                <w:szCs w:val="20"/>
              </w:rPr>
              <w:t>less than 250,000; micropolitan, urban cluster with a population of 10,000 to 49,999; and noncore, nonmetropolitan counties that did not qualify as micropolitan (most rural areas).</w:t>
            </w:r>
            <w:r w:rsidRPr="001F2F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C436DDE" w14:textId="77F141F6" w:rsidR="001F2F0A" w:rsidRPr="00BC41E4" w:rsidRDefault="001F2F0A" w:rsidP="001F2F0A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1F2F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MSA</w:t>
            </w:r>
            <w:r w:rsidRPr="001F2F0A">
              <w:rPr>
                <w:rFonts w:ascii="Times New Roman" w:hAnsi="Times New Roman" w:cs="Times New Roman"/>
                <w:sz w:val="20"/>
                <w:szCs w:val="20"/>
              </w:rPr>
              <w:t>, metropolitan statistical area.</w:t>
            </w:r>
            <w:r w:rsidRPr="001F2F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1DABAC9" w14:textId="5F631A35" w:rsidR="001F2F0A" w:rsidRPr="00BC41E4" w:rsidRDefault="001F2F0A" w:rsidP="001F2F0A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1F2F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1F2F0A">
              <w:rPr>
                <w:rFonts w:ascii="Times New Roman" w:hAnsi="Times New Roman" w:cs="Times New Roman"/>
                <w:sz w:val="20"/>
                <w:szCs w:val="20"/>
              </w:rPr>
              <w:t xml:space="preserve"> Percentages may not add to 100 because of rounding.</w:t>
            </w:r>
            <w:r w:rsidRPr="001F2F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1B3DEF4" w14:textId="4F3C8264" w:rsidR="00300948" w:rsidRPr="001F2F0A" w:rsidRDefault="001F2F0A" w:rsidP="001F2F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2F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Merkt et al. Urban-rural differences in pregnancy-related deaths. Am J </w:t>
            </w:r>
            <w:proofErr w:type="spellStart"/>
            <w:r w:rsidRPr="001F2F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Obstet</w:t>
            </w:r>
            <w:proofErr w:type="spellEnd"/>
            <w:r w:rsidRPr="001F2F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2F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Gynecol</w:t>
            </w:r>
            <w:proofErr w:type="spellEnd"/>
            <w:r w:rsidRPr="001F2F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2021.</w:t>
            </w:r>
          </w:p>
        </w:tc>
      </w:tr>
    </w:tbl>
    <w:p w14:paraId="02146D17" w14:textId="088D58B4" w:rsidR="0070362C" w:rsidRDefault="0070362C" w:rsidP="00C00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90B02F" w14:textId="77777777" w:rsidR="0070362C" w:rsidRDefault="0070362C" w:rsidP="00C00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CB328F" w14:textId="0D5F42BD" w:rsidR="0070362C" w:rsidRDefault="0070362C" w:rsidP="00C00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pPr w:leftFromText="180" w:rightFromText="180" w:vertAnchor="page" w:horzAnchor="margin" w:tblpY="1213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710"/>
        <w:gridCol w:w="1710"/>
        <w:gridCol w:w="1710"/>
        <w:gridCol w:w="1710"/>
        <w:gridCol w:w="1710"/>
        <w:gridCol w:w="1710"/>
      </w:tblGrid>
      <w:tr w:rsidR="004B2AEB" w:rsidRPr="0070362C" w14:paraId="25F0ADEB" w14:textId="77777777" w:rsidTr="006F2A11">
        <w:trPr>
          <w:trHeight w:val="291"/>
        </w:trPr>
        <w:tc>
          <w:tcPr>
            <w:tcW w:w="11065" w:type="dxa"/>
            <w:gridSpan w:val="7"/>
            <w:shd w:val="clear" w:color="auto" w:fill="auto"/>
            <w:noWrap/>
            <w:vAlign w:val="bottom"/>
            <w:hideMark/>
          </w:tcPr>
          <w:p w14:paraId="330ABCB4" w14:textId="76054BD1" w:rsidR="004B2AEB" w:rsidRPr="0070362C" w:rsidRDefault="006F2A11" w:rsidP="00C0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Supplemental Table 3</w:t>
            </w:r>
          </w:p>
          <w:p w14:paraId="3DF61E2E" w14:textId="238B4644" w:rsidR="004B2AEB" w:rsidRPr="0070362C" w:rsidRDefault="004B2AEB" w:rsidP="00C0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_Hlk57798594"/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Pregnancy-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elated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ortality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atio by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ounty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rban-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ural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ategory and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ear, United States, 2011-2016</w:t>
            </w:r>
            <w:bookmarkEnd w:id="2"/>
          </w:p>
        </w:tc>
      </w:tr>
      <w:tr w:rsidR="004B2AEB" w:rsidRPr="0070362C" w14:paraId="6CE8C3B3" w14:textId="77777777" w:rsidTr="006F2A11">
        <w:trPr>
          <w:trHeight w:val="291"/>
        </w:trPr>
        <w:tc>
          <w:tcPr>
            <w:tcW w:w="80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4CD6BB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60" w:type="dxa"/>
            <w:gridSpan w:val="6"/>
            <w:shd w:val="clear" w:color="auto" w:fill="auto"/>
            <w:noWrap/>
            <w:vAlign w:val="bottom"/>
            <w:hideMark/>
          </w:tcPr>
          <w:p w14:paraId="27D68CEA" w14:textId="04137CB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Pregnancy-related mortality </w:t>
            </w:r>
            <w:proofErr w:type="spellStart"/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ratio</w:t>
            </w:r>
            <w:r w:rsidR="006F2A11"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(95% </w:t>
            </w:r>
            <w:r w:rsidR="006F2A11"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onfidence </w:t>
            </w:r>
            <w:r w:rsidR="006F2A11"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nterval)</w:t>
            </w:r>
          </w:p>
        </w:tc>
      </w:tr>
      <w:tr w:rsidR="004B2AEB" w:rsidRPr="0070362C" w14:paraId="3D6A4E77" w14:textId="77777777" w:rsidTr="006F2A11">
        <w:trPr>
          <w:trHeight w:val="291"/>
        </w:trPr>
        <w:tc>
          <w:tcPr>
            <w:tcW w:w="8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A889F0" w14:textId="08287A0B" w:rsidR="004B2AEB" w:rsidRPr="006F2A11" w:rsidRDefault="00C00056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82D9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D52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</w:pPr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Large Metro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9F5C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Medium Metro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6DD5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Small Metro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3CF2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Micropolitan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156F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Noncore</w:t>
            </w:r>
          </w:p>
        </w:tc>
      </w:tr>
      <w:tr w:rsidR="004B2AEB" w:rsidRPr="0070362C" w14:paraId="4E86A4CA" w14:textId="77777777" w:rsidTr="006F2A11">
        <w:trPr>
          <w:trHeight w:val="291"/>
        </w:trPr>
        <w:tc>
          <w:tcPr>
            <w:tcW w:w="805" w:type="dxa"/>
            <w:shd w:val="clear" w:color="auto" w:fill="auto"/>
            <w:noWrap/>
            <w:vAlign w:val="bottom"/>
          </w:tcPr>
          <w:p w14:paraId="6A215CD0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color w:val="000000"/>
              </w:rPr>
              <w:t xml:space="preserve">  2011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7DC4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17.3 (16.1–18.7)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98C1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16.6 (15.0–18.4)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1B4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15.3 (12.7–18.2)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9C12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15.2 (11.4–19.9)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24AD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22.9 (17.9–28.9)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4ED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28.9 (21.9–37.3)</w:t>
            </w:r>
          </w:p>
        </w:tc>
      </w:tr>
      <w:tr w:rsidR="004B2AEB" w:rsidRPr="0070362C" w14:paraId="7BB40D01" w14:textId="77777777" w:rsidTr="006F2A11">
        <w:trPr>
          <w:trHeight w:val="291"/>
        </w:trPr>
        <w:tc>
          <w:tcPr>
            <w:tcW w:w="805" w:type="dxa"/>
            <w:shd w:val="clear" w:color="auto" w:fill="auto"/>
            <w:noWrap/>
            <w:vAlign w:val="bottom"/>
          </w:tcPr>
          <w:p w14:paraId="1E6CB82B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color w:val="000000"/>
              </w:rPr>
              <w:t xml:space="preserve">  2012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BE21AD8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14.6 (13.4–15.8)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C2CA669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12.5 (11.1–14.1)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7F8F119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17.4 (14.7–20.5)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4461596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15.0 (11.2–19.6)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FB6FC99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17.9 (13.5–23.3)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A056302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19.6 (14.0–26.8)</w:t>
            </w:r>
          </w:p>
        </w:tc>
      </w:tr>
      <w:tr w:rsidR="004B2AEB" w:rsidRPr="0070362C" w14:paraId="7C8F1372" w14:textId="77777777" w:rsidTr="006F2A11">
        <w:trPr>
          <w:trHeight w:val="291"/>
        </w:trPr>
        <w:tc>
          <w:tcPr>
            <w:tcW w:w="805" w:type="dxa"/>
            <w:shd w:val="clear" w:color="auto" w:fill="auto"/>
            <w:noWrap/>
            <w:vAlign w:val="bottom"/>
          </w:tcPr>
          <w:p w14:paraId="4563D1EE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color w:val="000000"/>
              </w:rPr>
              <w:t xml:space="preserve">  2013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17966F6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16.5 (15.2–17.8)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96FBA7E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15.2 (13.6–16.9)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E52466B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16.2 (13.6–19.2)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5645E20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16.4 (12.5–21.2)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67BB0A4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18.7 (14.2–24.2)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2345434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28.9 (21.9–37.4)</w:t>
            </w:r>
          </w:p>
        </w:tc>
      </w:tr>
      <w:tr w:rsidR="004B2AEB" w:rsidRPr="0070362C" w14:paraId="4B8EBBC1" w14:textId="77777777" w:rsidTr="006F2A11">
        <w:trPr>
          <w:trHeight w:val="291"/>
        </w:trPr>
        <w:tc>
          <w:tcPr>
            <w:tcW w:w="805" w:type="dxa"/>
            <w:shd w:val="clear" w:color="auto" w:fill="auto"/>
            <w:noWrap/>
            <w:vAlign w:val="bottom"/>
          </w:tcPr>
          <w:p w14:paraId="17EA0456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color w:val="000000"/>
              </w:rPr>
              <w:t xml:space="preserve">  2014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7B51DE7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16.6 (15.3–17.9)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A48E568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15.0 (13.4–16.7)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995B35A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17.3 (14.6–20.4)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F0E651A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19.4 (15.1–24.5)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6497561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21.5 (16.7–27.3)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B28E965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19.2 (13.6–26.4)</w:t>
            </w:r>
          </w:p>
        </w:tc>
      </w:tr>
      <w:tr w:rsidR="004B2AEB" w:rsidRPr="0070362C" w14:paraId="3A534833" w14:textId="77777777" w:rsidTr="006F2A11">
        <w:trPr>
          <w:trHeight w:val="291"/>
        </w:trPr>
        <w:tc>
          <w:tcPr>
            <w:tcW w:w="805" w:type="dxa"/>
            <w:shd w:val="clear" w:color="auto" w:fill="auto"/>
            <w:noWrap/>
            <w:vAlign w:val="bottom"/>
          </w:tcPr>
          <w:p w14:paraId="3DC5C2D1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color w:val="000000"/>
              </w:rPr>
              <w:t xml:space="preserve">  2015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CF8E63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15.5 (14.3–16.7)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3964A3A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14.1 (12.6–15.8)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7AA59E0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16.6 (13.9–19.6)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D46D92A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15.5 (11.7–20.2)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060497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20.4 (15.7–26.1)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BEAD0A6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18.4 (12.9–25.5)</w:t>
            </w:r>
          </w:p>
        </w:tc>
      </w:tr>
      <w:tr w:rsidR="004B2AEB" w:rsidRPr="0070362C" w14:paraId="35D67DB7" w14:textId="77777777" w:rsidTr="006F2A11">
        <w:trPr>
          <w:trHeight w:val="291"/>
        </w:trPr>
        <w:tc>
          <w:tcPr>
            <w:tcW w:w="805" w:type="dxa"/>
            <w:shd w:val="clear" w:color="auto" w:fill="auto"/>
            <w:noWrap/>
            <w:vAlign w:val="bottom"/>
          </w:tcPr>
          <w:p w14:paraId="2805997B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eastAsia="Times New Roman" w:hAnsi="Times New Roman" w:cs="Times New Roman"/>
                <w:color w:val="000000"/>
              </w:rPr>
              <w:t xml:space="preserve">  2016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9DDCC10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15.2 (14.0–16.5)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EA6D7C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13.9 (12.4–15.6)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87708A2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14.7 (12.2–17.6)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9931FD7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15.7 (11.8–20.4)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397803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17.4 (13.1–22.8)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BDDD0F" w14:textId="77777777" w:rsidR="004B2AEB" w:rsidRPr="006F2A11" w:rsidRDefault="004B2AEB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A11">
              <w:rPr>
                <w:rFonts w:ascii="Times New Roman" w:hAnsi="Times New Roman" w:cs="Times New Roman"/>
                <w:color w:val="000000"/>
              </w:rPr>
              <w:t>27.6 (20.7–36.1)</w:t>
            </w:r>
          </w:p>
        </w:tc>
      </w:tr>
      <w:tr w:rsidR="004B2AEB" w:rsidRPr="0070362C" w14:paraId="413ABF7C" w14:textId="77777777" w:rsidTr="006F2A11">
        <w:trPr>
          <w:trHeight w:val="291"/>
        </w:trPr>
        <w:tc>
          <w:tcPr>
            <w:tcW w:w="11065" w:type="dxa"/>
            <w:gridSpan w:val="7"/>
            <w:shd w:val="clear" w:color="auto" w:fill="auto"/>
            <w:noWrap/>
            <w:vAlign w:val="bottom"/>
            <w:hideMark/>
          </w:tcPr>
          <w:p w14:paraId="50F43C49" w14:textId="55CF7560" w:rsidR="006F2A11" w:rsidRPr="00BC41E4" w:rsidRDefault="006F2A11" w:rsidP="006F2A11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The definitions are as follows: large metro, an MSA with a population of at least 1 million; medium metro, an MSA with a population of 250,000 to 999,999; small metro, an MSA with a population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less than 250,000; micropolitan, urban cluster with a population of 10,000 to 49,999; and noncore, nonmetropolitan counties that did not qualify as micropolitan (most rural areas).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4B9A50B" w14:textId="12D6B5C6" w:rsidR="006F2A11" w:rsidRPr="00BC41E4" w:rsidRDefault="006F2A11" w:rsidP="006F2A11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6F2A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MSA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, metropolitan statistical area.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81A99AE" w14:textId="0CD1B2AF" w:rsidR="006F2A11" w:rsidRPr="00BC41E4" w:rsidRDefault="006F2A11" w:rsidP="006F2A11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6F2A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 xml:space="preserve"> Pregnancy-related mortality ratio denominator (births) for year were estimated by multiplying county-level number of women, stratified by race and ethnicity (defined as Hispanic, regardless of race,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 xml:space="preserve">and non-Hispanic White, Black, American </w:t>
            </w:r>
            <w:proofErr w:type="gramStart"/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  <w:proofErr w:type="gramEnd"/>
            <w:r w:rsidRPr="006F2A11">
              <w:rPr>
                <w:rFonts w:ascii="Times New Roman" w:hAnsi="Times New Roman" w:cs="Times New Roman"/>
                <w:sz w:val="20"/>
                <w:szCs w:val="20"/>
              </w:rPr>
              <w:t xml:space="preserve"> or Alaska Native, or Asian or Pacific Islander) and year, and state fertility rates.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E1A47A1" w14:textId="6F867323" w:rsidR="004B2AEB" w:rsidRPr="006F2A11" w:rsidRDefault="006F2A11" w:rsidP="006F2A1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2A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Merkt et al. Urban-rural differences in pregnancy-related deaths. Am J </w:t>
            </w:r>
            <w:proofErr w:type="spellStart"/>
            <w:r w:rsidRPr="006F2A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Obstet</w:t>
            </w:r>
            <w:proofErr w:type="spellEnd"/>
            <w:r w:rsidRPr="006F2A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Gynecol 2021.</w:t>
            </w:r>
          </w:p>
        </w:tc>
      </w:tr>
    </w:tbl>
    <w:p w14:paraId="3AA04F30" w14:textId="77777777" w:rsidR="004B2AEB" w:rsidRPr="00FA2487" w:rsidRDefault="004B2AEB" w:rsidP="00C00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F94A8D" w14:textId="77777777" w:rsidR="00E8706B" w:rsidRDefault="00E8706B" w:rsidP="002B5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801ED" w14:textId="77777777" w:rsidR="00E8706B" w:rsidRDefault="00E8706B" w:rsidP="002B5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A08650" w14:textId="77777777" w:rsidR="00E8706B" w:rsidRDefault="00E8706B" w:rsidP="002B5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91E29" w14:textId="77777777" w:rsidR="00E8706B" w:rsidRDefault="00E8706B" w:rsidP="002B5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6F74A2" w14:textId="77777777" w:rsidR="00E8706B" w:rsidRDefault="00E8706B" w:rsidP="002B5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885CAD" w14:textId="77777777" w:rsidR="00E8706B" w:rsidRDefault="00E8706B" w:rsidP="002B5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FA5C89" w14:textId="77777777" w:rsidR="00E8706B" w:rsidRDefault="00E8706B" w:rsidP="002B5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EA733F" w14:textId="77777777" w:rsidR="00E8706B" w:rsidRDefault="00E8706B" w:rsidP="002B5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4EEFB" w14:textId="77777777" w:rsidR="00E8706B" w:rsidRDefault="00E8706B" w:rsidP="002B5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89905F" w14:textId="77777777" w:rsidR="00C702DD" w:rsidRDefault="00C702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0072AB" w14:textId="77777777" w:rsidR="00C702DD" w:rsidRDefault="00C702D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121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340"/>
        <w:gridCol w:w="1980"/>
        <w:gridCol w:w="2250"/>
      </w:tblGrid>
      <w:tr w:rsidR="003E0177" w:rsidRPr="0070362C" w14:paraId="1076445E" w14:textId="77777777" w:rsidTr="004A19A7">
        <w:trPr>
          <w:trHeight w:val="291"/>
        </w:trPr>
        <w:tc>
          <w:tcPr>
            <w:tcW w:w="1034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67E30BE" w14:textId="2AE8C1D3" w:rsidR="003E0177" w:rsidRPr="0070362C" w:rsidRDefault="006F2A11" w:rsidP="003E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Supplemental Table 4</w:t>
            </w:r>
          </w:p>
          <w:p w14:paraId="395A3D01" w14:textId="60F98248" w:rsidR="003E0177" w:rsidRPr="0070362C" w:rsidRDefault="003E0177" w:rsidP="00EA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Pregnancy-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elated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ortality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atio by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ounty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rban-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ural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ategory</w:t>
            </w:r>
            <w:r w:rsidR="0020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201507" w:rsidRPr="0020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and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201507" w:rsidRPr="0020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ociodemographic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201507" w:rsidRPr="0020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haracteristics</w:t>
            </w:r>
            <w:r w:rsidR="004F5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01507" w:rsidRPr="0020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States, 2011-2016</w:t>
            </w:r>
          </w:p>
        </w:tc>
      </w:tr>
      <w:tr w:rsidR="003E0177" w:rsidRPr="0070362C" w14:paraId="027E7646" w14:textId="77777777" w:rsidTr="001B382E">
        <w:trPr>
          <w:trHeight w:val="291"/>
        </w:trPr>
        <w:tc>
          <w:tcPr>
            <w:tcW w:w="37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B859E3" w14:textId="77777777" w:rsidR="003E0177" w:rsidRPr="0070362C" w:rsidRDefault="003E0177" w:rsidP="008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495E66" w14:textId="519DE5F4" w:rsidR="003E0177" w:rsidRPr="0070362C" w:rsidRDefault="003E0177" w:rsidP="00EA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Pregnancy-related mortality </w:t>
            </w:r>
            <w:proofErr w:type="spellStart"/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ratio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(95%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onfidence </w:t>
            </w:r>
            <w:r w:rsidR="006F2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nterval)</w:t>
            </w:r>
          </w:p>
        </w:tc>
      </w:tr>
      <w:tr w:rsidR="003E0177" w:rsidRPr="0070362C" w14:paraId="7A18A5A9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D5D2E4C" w14:textId="192E0A6E" w:rsidR="003E0177" w:rsidRDefault="00013BCA" w:rsidP="003E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Characteristics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C5C85D" w14:textId="41A1B85E" w:rsidR="003E0177" w:rsidRPr="0070362C" w:rsidRDefault="003E017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A47ED0" w14:textId="3DEF6610" w:rsidR="003E0177" w:rsidRPr="0070362C" w:rsidRDefault="00FB2D6A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Urban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A1C209" w14:textId="04498D03" w:rsidR="003E0177" w:rsidRPr="0070362C" w:rsidRDefault="00FB2D6A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Rural</w:t>
            </w:r>
          </w:p>
        </w:tc>
      </w:tr>
      <w:tr w:rsidR="00F42B27" w:rsidRPr="0070362C" w14:paraId="0575A476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D2FF78C" w14:textId="1D9D8FD7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Overall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3878ED" w14:textId="51F415F7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 (15.4–16.5)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83BF05" w14:textId="00787D94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 (14.6–15.7)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43C8A8" w14:textId="297654CF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 (19.8–23.1)</w:t>
            </w:r>
          </w:p>
        </w:tc>
      </w:tr>
      <w:tr w:rsidR="00F42B27" w:rsidRPr="0070362C" w14:paraId="1AFA0409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2D7DA1" w14:textId="11AE3BF7" w:rsidR="00F42B27" w:rsidRPr="007F2FB7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Race</w:t>
            </w:r>
            <w:r w:rsidR="00F9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ethnicity</w:t>
            </w:r>
            <w:r w:rsidR="006F2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398BF0" w14:textId="77777777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BA592B" w14:textId="77777777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FB9E70" w14:textId="77777777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2B27" w:rsidRPr="0070362C" w14:paraId="732FA6F8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48D87B" w14:textId="6E983282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White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A5CF96" w14:textId="1BFB78F4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 (11.4–12.6)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196C5C" w14:textId="3BA04BF6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10.8 (10.2–11.4)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5EC81B" w14:textId="0F8EFBA4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 (15.8–19.3)</w:t>
            </w:r>
          </w:p>
        </w:tc>
      </w:tr>
      <w:tr w:rsidR="00F42B27" w:rsidRPr="0070362C" w14:paraId="4FC5B25B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96E7F0" w14:textId="5FD68E6D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Black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4CDBA5" w14:textId="195BE26A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 (37.5–41.7)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933F42" w14:textId="7B588782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38.1 (36.0–40.1)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EE732F" w14:textId="0E538AA1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55.4 (47.2–64.6)</w:t>
            </w:r>
          </w:p>
        </w:tc>
      </w:tr>
      <w:tr w:rsidR="00F42B27" w:rsidRPr="0070362C" w14:paraId="532EA37B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9E92D3" w14:textId="703E5227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American Indian</w:t>
            </w:r>
            <w:r w:rsidR="006F2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 </w:t>
            </w: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Alaska Native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73821F" w14:textId="7509B1B4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28.8 (22.2–36.7)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53A518" w14:textId="35F9F477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24.1 (16.3–34.1)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F16EA6" w14:textId="512458FD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 (24.3–48.9)</w:t>
            </w:r>
          </w:p>
        </w:tc>
      </w:tr>
      <w:tr w:rsidR="00F42B27" w:rsidRPr="0070362C" w14:paraId="1AE2BD2E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07216A" w14:textId="43DE9FC1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Asian</w:t>
            </w:r>
            <w:r w:rsidR="006F2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 </w:t>
            </w: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Pacific Islander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99DAEB" w14:textId="0FF3453F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 (11.3–15.0)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702312" w14:textId="7A76C0FE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12.5 (10.8–14.4)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FE17C5" w14:textId="38D6BD5F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 (16.8–49.4)</w:t>
            </w:r>
          </w:p>
        </w:tc>
      </w:tr>
      <w:tr w:rsidR="00F42B27" w:rsidRPr="0070362C" w14:paraId="080A7F8C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6A2878" w14:textId="73C2387F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Hispanic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9F5ABD" w14:textId="02B4494C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 (9.6–11.3)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68C1A6" w14:textId="212BAAF9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10.3 (9.4–11.2)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D9F7F7" w14:textId="234AD48C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 (9.3–17.0)</w:t>
            </w:r>
          </w:p>
        </w:tc>
      </w:tr>
      <w:tr w:rsidR="00F42B27" w:rsidRPr="0070362C" w14:paraId="530D7438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6B8A707" w14:textId="7CFE5938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 group (y)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ECB7BF" w14:textId="77777777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51EC23" w14:textId="77777777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DCB4B5" w14:textId="77777777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2B27" w:rsidRPr="0070362C" w14:paraId="0E1CA1C0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65798EC" w14:textId="44B1A790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15</w:t>
            </w:r>
            <w:r w:rsidRPr="005A47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924649" w14:textId="596CA00E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 (9.4–12.8)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9F5356" w14:textId="08C8BA48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 (8.7–12.4)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4CC48A" w14:textId="179F1135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 (9.7–18.3)</w:t>
            </w:r>
          </w:p>
        </w:tc>
      </w:tr>
      <w:tr w:rsidR="00F42B27" w:rsidRPr="0070362C" w14:paraId="79DA01DB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F4E9B5" w14:textId="6E7620A4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</w:t>
            </w:r>
            <w:r w:rsidRPr="005A47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B685F2" w14:textId="374522D0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 (10.8–12.7)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3D496F" w14:textId="4C63E8CF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 (10.7–12.7)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373430" w14:textId="2FE71CC6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 (9.9–14.4)</w:t>
            </w:r>
          </w:p>
        </w:tc>
      </w:tr>
      <w:tr w:rsidR="00F42B27" w:rsidRPr="0070362C" w14:paraId="14DC083C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3EB7BC" w14:textId="44CF31E8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25</w:t>
            </w:r>
            <w:r w:rsidRPr="005A47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1B74EC" w14:textId="72555B5A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 (11.9–13.6)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616277" w14:textId="5047AE06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 (11.6–13.4)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0B5C2C" w14:textId="68EBEAB4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 (12.2–17.0)</w:t>
            </w:r>
          </w:p>
        </w:tc>
      </w:tr>
      <w:tr w:rsidR="00F42B27" w:rsidRPr="0070362C" w14:paraId="403A8654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4264477" w14:textId="5BBA74B6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30</w:t>
            </w:r>
            <w:r w:rsidRPr="005A47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1D6D30" w14:textId="4F9E8B13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 (13.5–15.4)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F289C2" w14:textId="3D97E304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 (12.9–14.9)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9B773F" w14:textId="06ECF250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 (16.0–22.8)</w:t>
            </w:r>
          </w:p>
        </w:tc>
      </w:tr>
      <w:tr w:rsidR="00F42B27" w:rsidRPr="0070362C" w14:paraId="3D750824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F58773" w14:textId="1B1C4562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35</w:t>
            </w:r>
            <w:r w:rsidRPr="005A47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5A0C76" w14:textId="104A29A7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 (25.3–29.1)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9CE1DB" w14:textId="4B18A314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 (22.2–25.9)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918A56" w14:textId="0B352311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61.2 (52.0–71.6)</w:t>
            </w:r>
          </w:p>
        </w:tc>
      </w:tr>
      <w:tr w:rsidR="00F42B27" w:rsidRPr="0070362C" w14:paraId="42EC2E61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71B557" w14:textId="269E7D38" w:rsidR="00F42B27" w:rsidRPr="005A470D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40</w:t>
            </w:r>
            <w:r w:rsidRPr="005A47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46A32C" w14:textId="082CA5AB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58.6 (52.9–64.8)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EE9D49" w14:textId="108EECC4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52.1 (46.5–58.2)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14CC3E" w14:textId="561DC769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134.5 (104.8–169.9)</w:t>
            </w:r>
          </w:p>
        </w:tc>
      </w:tr>
      <w:tr w:rsidR="00F42B27" w:rsidRPr="0070362C" w14:paraId="7D600428" w14:textId="77777777" w:rsidTr="001B382E">
        <w:trPr>
          <w:trHeight w:val="291"/>
        </w:trPr>
        <w:tc>
          <w:tcPr>
            <w:tcW w:w="377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F4AC244" w14:textId="77AA146D" w:rsidR="00F42B27" w:rsidRPr="001451FB" w:rsidRDefault="00013BCA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0B6A9F" w14:textId="77777777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0606EA" w14:textId="77777777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441ED8" w14:textId="77777777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2B27" w:rsidRPr="0070362C" w14:paraId="1C6533C7" w14:textId="77777777" w:rsidTr="001B382E">
        <w:trPr>
          <w:trHeight w:val="291"/>
        </w:trPr>
        <w:tc>
          <w:tcPr>
            <w:tcW w:w="3775" w:type="dxa"/>
            <w:shd w:val="clear" w:color="auto" w:fill="auto"/>
            <w:noWrap/>
            <w:vAlign w:val="bottom"/>
          </w:tcPr>
          <w:p w14:paraId="242974B6" w14:textId="77777777" w:rsidR="00F42B27" w:rsidRPr="0070362C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2011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6F242F" w14:textId="5F31BF10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 (16.1–18.7)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CC1682" w14:textId="4F77E76D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16.2 (14.8–17.6)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886798" w14:textId="45F62A19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25.2 (21.1–30.0)</w:t>
            </w:r>
          </w:p>
        </w:tc>
      </w:tr>
      <w:tr w:rsidR="00F42B27" w:rsidRPr="0070362C" w14:paraId="3E77B33F" w14:textId="77777777" w:rsidTr="001B382E">
        <w:trPr>
          <w:trHeight w:val="291"/>
        </w:trPr>
        <w:tc>
          <w:tcPr>
            <w:tcW w:w="3775" w:type="dxa"/>
            <w:shd w:val="clear" w:color="auto" w:fill="auto"/>
            <w:noWrap/>
            <w:vAlign w:val="bottom"/>
          </w:tcPr>
          <w:p w14:paraId="71801BAD" w14:textId="77777777" w:rsidR="00F42B27" w:rsidRPr="0070362C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5AB2B980" w14:textId="127BBFE0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 (13.4–15.8)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58354DF" w14:textId="0FB9D155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14.0 (12.7–15.3)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6A5B9BAB" w14:textId="66A071F5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18.6 (15.0–22.7)</w:t>
            </w:r>
          </w:p>
        </w:tc>
      </w:tr>
      <w:tr w:rsidR="00F42B27" w:rsidRPr="0070362C" w14:paraId="2EF1E4C9" w14:textId="77777777" w:rsidTr="001B382E">
        <w:trPr>
          <w:trHeight w:val="291"/>
        </w:trPr>
        <w:tc>
          <w:tcPr>
            <w:tcW w:w="3775" w:type="dxa"/>
            <w:shd w:val="clear" w:color="auto" w:fill="auto"/>
            <w:noWrap/>
            <w:vAlign w:val="bottom"/>
          </w:tcPr>
          <w:p w14:paraId="1124461D" w14:textId="77777777" w:rsidR="00F42B27" w:rsidRPr="0070362C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37A2924A" w14:textId="307CBFE7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 (15.2–17.8)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2D2ECDB" w14:textId="3440BA2B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15.6 (14.3–16.9)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20D594CE" w14:textId="3232C842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22.7 (18.7–27.2)</w:t>
            </w:r>
          </w:p>
        </w:tc>
      </w:tr>
      <w:tr w:rsidR="00F42B27" w:rsidRPr="0070362C" w14:paraId="33FEE6E2" w14:textId="77777777" w:rsidTr="001B382E">
        <w:trPr>
          <w:trHeight w:val="291"/>
        </w:trPr>
        <w:tc>
          <w:tcPr>
            <w:tcW w:w="3775" w:type="dxa"/>
            <w:shd w:val="clear" w:color="auto" w:fill="auto"/>
            <w:noWrap/>
            <w:vAlign w:val="bottom"/>
          </w:tcPr>
          <w:p w14:paraId="10E2CF42" w14:textId="77777777" w:rsidR="00F42B27" w:rsidRPr="0070362C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6835E174" w14:textId="3CDADE5B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 (15.3–17.9)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6170E1B" w14:textId="61394E23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16.0 (14.7–17.4)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6D852262" w14:textId="6E777D76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20.6 (16.9–25.0)</w:t>
            </w:r>
          </w:p>
        </w:tc>
      </w:tr>
      <w:tr w:rsidR="00F42B27" w:rsidRPr="0070362C" w14:paraId="3A3D73A3" w14:textId="77777777" w:rsidTr="001B382E">
        <w:trPr>
          <w:trHeight w:val="291"/>
        </w:trPr>
        <w:tc>
          <w:tcPr>
            <w:tcW w:w="3775" w:type="dxa"/>
            <w:shd w:val="clear" w:color="auto" w:fill="auto"/>
            <w:noWrap/>
            <w:vAlign w:val="bottom"/>
          </w:tcPr>
          <w:p w14:paraId="54EC4484" w14:textId="77777777" w:rsidR="00F42B27" w:rsidRPr="0070362C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070D62AF" w14:textId="33910FF1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 (14.3–16.7)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78F882D" w14:textId="79151585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14.9 (13.6–16.2)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867ED74" w14:textId="38E780AF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19.6 (15.9–23.9)</w:t>
            </w:r>
          </w:p>
        </w:tc>
      </w:tr>
      <w:tr w:rsidR="00F42B27" w:rsidRPr="0070362C" w14:paraId="32F79B03" w14:textId="77777777" w:rsidTr="001B382E">
        <w:trPr>
          <w:trHeight w:val="291"/>
        </w:trPr>
        <w:tc>
          <w:tcPr>
            <w:tcW w:w="3775" w:type="dxa"/>
            <w:shd w:val="clear" w:color="auto" w:fill="auto"/>
            <w:noWrap/>
            <w:vAlign w:val="bottom"/>
          </w:tcPr>
          <w:p w14:paraId="628A0AD5" w14:textId="77777777" w:rsidR="00F42B27" w:rsidRPr="0070362C" w:rsidRDefault="00F42B27" w:rsidP="00F4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64CE6651" w14:textId="5F1D63F2" w:rsidR="00F42B27" w:rsidRPr="00EE5E3A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 (14.0–16.5)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D382291" w14:textId="24408CAC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14.3 (13.1–15.6)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D92F927" w14:textId="5B6166D1" w:rsidR="00F42B27" w:rsidRPr="00AA420B" w:rsidRDefault="00F42B27" w:rsidP="006F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0B">
              <w:rPr>
                <w:rFonts w:ascii="Times New Roman" w:hAnsi="Times New Roman" w:cs="Times New Roman"/>
                <w:sz w:val="24"/>
                <w:szCs w:val="24"/>
              </w:rPr>
              <w:t>21.4 (17.5–25.9)</w:t>
            </w:r>
          </w:p>
        </w:tc>
      </w:tr>
      <w:tr w:rsidR="00F42B27" w:rsidRPr="0070362C" w14:paraId="449354A3" w14:textId="77777777" w:rsidTr="001451FB">
        <w:trPr>
          <w:trHeight w:val="291"/>
        </w:trPr>
        <w:tc>
          <w:tcPr>
            <w:tcW w:w="10345" w:type="dxa"/>
            <w:gridSpan w:val="4"/>
            <w:shd w:val="clear" w:color="auto" w:fill="auto"/>
            <w:noWrap/>
            <w:vAlign w:val="bottom"/>
          </w:tcPr>
          <w:p w14:paraId="78F8F22B" w14:textId="7CBFFD1B" w:rsidR="006F2A11" w:rsidRPr="00BC41E4" w:rsidRDefault="006F2A11" w:rsidP="006F2A11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Urban areas include large, medium, and small metropolitan counties. Rural areas include micropolitan and noncore counties. The definitions are as follows: large metro, an MSA with a population of 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least 1 million; medium metro, an MSA with a population of 250,000 to 999,999; small metro, an MSA with a population of less than 250,000; micropolitan, urban cluster with a population of 10,000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to 49,999; and noncore, nonmetropolitan counties that did not qualify as micropolitan (most rural areas).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16F44F9" w14:textId="77777777" w:rsidR="006F2A11" w:rsidRPr="006F2A11" w:rsidRDefault="006F2A11" w:rsidP="006F2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A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MSA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, metropolitan statistical area.</w:t>
            </w:r>
          </w:p>
          <w:p w14:paraId="75D07826" w14:textId="77777777" w:rsidR="00E24ED6" w:rsidRDefault="006F2A11" w:rsidP="006F2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1E4">
              <w:rPr>
                <w:rFonts w:ascii="Times New Roman" w:hAnsi="Times New Roman" w:cs="Times New Roman"/>
                <w:sz w:val="6"/>
                <w:szCs w:val="6"/>
              </w:rPr>
              <w:br/>
            </w:r>
            <w:r w:rsidRPr="006F2A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 xml:space="preserve"> Pregnancy-related mortality ratio denominator (births) for year were estimated by multiplying county-level number of women, stratified by race and ethnicity (defined as Hispanic, regardless of race,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 xml:space="preserve">and non-Hispanic White, Black, American Indian or Alaska Native, or Asian or Pacific Islander) and year, and state fertility </w:t>
            </w:r>
            <w:proofErr w:type="gramStart"/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rates;</w:t>
            </w:r>
            <w:proofErr w:type="gramEnd"/>
            <w:r w:rsidRPr="006F2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A13029" w14:textId="3BDBAEDF" w:rsidR="006F2A11" w:rsidRPr="00BC41E4" w:rsidRDefault="006F2A11" w:rsidP="006F2A11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 xml:space="preserve"> Women identified as White, Black, American </w:t>
            </w:r>
            <w:proofErr w:type="gramStart"/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  <w:proofErr w:type="gramEnd"/>
            <w:r w:rsidRPr="006F2A11">
              <w:rPr>
                <w:rFonts w:ascii="Times New Roman" w:hAnsi="Times New Roman" w:cs="Times New Roman"/>
                <w:sz w:val="20"/>
                <w:szCs w:val="20"/>
              </w:rPr>
              <w:t xml:space="preserve"> or Alaska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2A11">
              <w:rPr>
                <w:rFonts w:ascii="Times New Roman" w:hAnsi="Times New Roman" w:cs="Times New Roman"/>
                <w:sz w:val="20"/>
                <w:szCs w:val="20"/>
              </w:rPr>
              <w:t>Native, or Asian or Pacific Islander were not Hispanic. Hispanic women could be of any race.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2399DAE" w14:textId="68C17015" w:rsidR="00F42B27" w:rsidRPr="006F2A11" w:rsidRDefault="006F2A11" w:rsidP="006F2A1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F2A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Merkt et al. Urban-rural differences in pregnancy-related deaths. Am J </w:t>
            </w:r>
            <w:proofErr w:type="spellStart"/>
            <w:r w:rsidRPr="006F2A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Obstet</w:t>
            </w:r>
            <w:proofErr w:type="spellEnd"/>
            <w:r w:rsidRPr="006F2A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F2A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Gynecol</w:t>
            </w:r>
            <w:proofErr w:type="spellEnd"/>
            <w:r w:rsidRPr="006F2A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2021.</w:t>
            </w:r>
          </w:p>
        </w:tc>
      </w:tr>
    </w:tbl>
    <w:p w14:paraId="19998F4C" w14:textId="77777777" w:rsidR="00C702DD" w:rsidRDefault="00C702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E87541" w14:textId="77777777" w:rsidR="0015311F" w:rsidRDefault="0015311F" w:rsidP="004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AB2E1" w14:textId="77777777" w:rsidR="0080773C" w:rsidRDefault="0080773C" w:rsidP="004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D536E" w14:textId="77777777" w:rsidR="0080773C" w:rsidRDefault="0080773C" w:rsidP="004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56B81" w14:textId="77777777" w:rsidR="0080773C" w:rsidRDefault="0080773C" w:rsidP="004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ADC4A" w14:textId="77777777" w:rsidR="0080773C" w:rsidRDefault="0080773C" w:rsidP="004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E3199" w14:textId="77777777" w:rsidR="00BC41E4" w:rsidRDefault="00BC41E4" w:rsidP="004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88614" w14:textId="77777777" w:rsidR="0080773C" w:rsidRDefault="0080773C" w:rsidP="004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773C" w:rsidSect="00D269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6A63" w14:textId="77777777" w:rsidR="00EF08B3" w:rsidRDefault="00EF08B3" w:rsidP="00273920">
      <w:pPr>
        <w:spacing w:after="0" w:line="240" w:lineRule="auto"/>
      </w:pPr>
      <w:r>
        <w:separator/>
      </w:r>
    </w:p>
  </w:endnote>
  <w:endnote w:type="continuationSeparator" w:id="0">
    <w:p w14:paraId="19F30C66" w14:textId="77777777" w:rsidR="00EF08B3" w:rsidRDefault="00EF08B3" w:rsidP="0027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70D9" w14:textId="77777777" w:rsidR="00C55C04" w:rsidRDefault="00C55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65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7AC34" w14:textId="28346F46" w:rsidR="00FD7E73" w:rsidRDefault="00FD7E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9E3A2" w14:textId="77777777" w:rsidR="00FD7E73" w:rsidRDefault="00FD7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DF4E" w14:textId="77777777" w:rsidR="00C55C04" w:rsidRDefault="00C55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4C76" w14:textId="77777777" w:rsidR="00EF08B3" w:rsidRDefault="00EF08B3" w:rsidP="00273920">
      <w:pPr>
        <w:spacing w:after="0" w:line="240" w:lineRule="auto"/>
      </w:pPr>
      <w:r>
        <w:separator/>
      </w:r>
    </w:p>
  </w:footnote>
  <w:footnote w:type="continuationSeparator" w:id="0">
    <w:p w14:paraId="39E109C5" w14:textId="77777777" w:rsidR="00EF08B3" w:rsidRDefault="00EF08B3" w:rsidP="0027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F5D0" w14:textId="77777777" w:rsidR="00C55C04" w:rsidRDefault="00C55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30E6" w14:textId="77777777" w:rsidR="00C55C04" w:rsidRDefault="00C55C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478F" w14:textId="77777777" w:rsidR="00C55C04" w:rsidRDefault="00C55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44CA5"/>
    <w:multiLevelType w:val="hybridMultilevel"/>
    <w:tmpl w:val="3E801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42F0D"/>
    <w:multiLevelType w:val="hybridMultilevel"/>
    <w:tmpl w:val="7DE43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92497">
    <w:abstractNumId w:val="0"/>
  </w:num>
  <w:num w:numId="2" w16cid:durableId="51026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f0t0ra9sxawzqea0t8xf9xze22zepfwa9ex&quot;&gt;My EndNote Library&lt;record-ids&gt;&lt;item&gt;244&lt;/item&gt;&lt;item&gt;257&lt;/item&gt;&lt;item&gt;274&lt;/item&gt;&lt;/record-ids&gt;&lt;/item&gt;&lt;/Libraries&gt;"/>
  </w:docVars>
  <w:rsids>
    <w:rsidRoot w:val="00D10D6A"/>
    <w:rsid w:val="00004F7F"/>
    <w:rsid w:val="000071F4"/>
    <w:rsid w:val="000103CF"/>
    <w:rsid w:val="00013BCA"/>
    <w:rsid w:val="000237AB"/>
    <w:rsid w:val="0002454C"/>
    <w:rsid w:val="000247DE"/>
    <w:rsid w:val="00031C28"/>
    <w:rsid w:val="00031F0E"/>
    <w:rsid w:val="0003407D"/>
    <w:rsid w:val="000372A3"/>
    <w:rsid w:val="00040642"/>
    <w:rsid w:val="00041DE7"/>
    <w:rsid w:val="00042461"/>
    <w:rsid w:val="0004261D"/>
    <w:rsid w:val="00043767"/>
    <w:rsid w:val="00045453"/>
    <w:rsid w:val="000467AA"/>
    <w:rsid w:val="00051612"/>
    <w:rsid w:val="000622FA"/>
    <w:rsid w:val="00062C56"/>
    <w:rsid w:val="00073E3C"/>
    <w:rsid w:val="000754B1"/>
    <w:rsid w:val="00076737"/>
    <w:rsid w:val="000860FD"/>
    <w:rsid w:val="000956D0"/>
    <w:rsid w:val="00097FB8"/>
    <w:rsid w:val="000A0C37"/>
    <w:rsid w:val="000A1CF2"/>
    <w:rsid w:val="000A20FE"/>
    <w:rsid w:val="000A542F"/>
    <w:rsid w:val="000A59BB"/>
    <w:rsid w:val="000A67D9"/>
    <w:rsid w:val="000B580E"/>
    <w:rsid w:val="000C4744"/>
    <w:rsid w:val="000E1E83"/>
    <w:rsid w:val="000E3420"/>
    <w:rsid w:val="000F0FE3"/>
    <w:rsid w:val="001011EA"/>
    <w:rsid w:val="00101996"/>
    <w:rsid w:val="0011688D"/>
    <w:rsid w:val="001223D6"/>
    <w:rsid w:val="001302B6"/>
    <w:rsid w:val="00132019"/>
    <w:rsid w:val="00135BDE"/>
    <w:rsid w:val="001375E4"/>
    <w:rsid w:val="001433F5"/>
    <w:rsid w:val="00144FFE"/>
    <w:rsid w:val="001451FB"/>
    <w:rsid w:val="00145474"/>
    <w:rsid w:val="0015311F"/>
    <w:rsid w:val="001574C5"/>
    <w:rsid w:val="001614C4"/>
    <w:rsid w:val="0016268C"/>
    <w:rsid w:val="00163462"/>
    <w:rsid w:val="00165F86"/>
    <w:rsid w:val="00166DE1"/>
    <w:rsid w:val="00167245"/>
    <w:rsid w:val="00170B2C"/>
    <w:rsid w:val="001743DB"/>
    <w:rsid w:val="00176E2B"/>
    <w:rsid w:val="0019009E"/>
    <w:rsid w:val="00191426"/>
    <w:rsid w:val="001938AC"/>
    <w:rsid w:val="00197E7C"/>
    <w:rsid w:val="001A0518"/>
    <w:rsid w:val="001A3C0F"/>
    <w:rsid w:val="001A7D63"/>
    <w:rsid w:val="001B382E"/>
    <w:rsid w:val="001B39C9"/>
    <w:rsid w:val="001B3E49"/>
    <w:rsid w:val="001C0C03"/>
    <w:rsid w:val="001C5B65"/>
    <w:rsid w:val="001C5E0E"/>
    <w:rsid w:val="001D0595"/>
    <w:rsid w:val="001D34A0"/>
    <w:rsid w:val="001E5246"/>
    <w:rsid w:val="001F06CF"/>
    <w:rsid w:val="001F2F0A"/>
    <w:rsid w:val="001F7D9A"/>
    <w:rsid w:val="00201507"/>
    <w:rsid w:val="00207502"/>
    <w:rsid w:val="00215825"/>
    <w:rsid w:val="00215A18"/>
    <w:rsid w:val="00216034"/>
    <w:rsid w:val="00220BE4"/>
    <w:rsid w:val="00222A98"/>
    <w:rsid w:val="00222CDC"/>
    <w:rsid w:val="00225F84"/>
    <w:rsid w:val="00231E35"/>
    <w:rsid w:val="00236243"/>
    <w:rsid w:val="002370CA"/>
    <w:rsid w:val="002378EF"/>
    <w:rsid w:val="00240834"/>
    <w:rsid w:val="00245FD5"/>
    <w:rsid w:val="002501AE"/>
    <w:rsid w:val="002527DF"/>
    <w:rsid w:val="00252D04"/>
    <w:rsid w:val="00263D78"/>
    <w:rsid w:val="00264B5B"/>
    <w:rsid w:val="00265B10"/>
    <w:rsid w:val="0026715D"/>
    <w:rsid w:val="00270811"/>
    <w:rsid w:val="002729D8"/>
    <w:rsid w:val="00273920"/>
    <w:rsid w:val="00281ED6"/>
    <w:rsid w:val="002829A0"/>
    <w:rsid w:val="00284661"/>
    <w:rsid w:val="00291529"/>
    <w:rsid w:val="00291D2D"/>
    <w:rsid w:val="0029318B"/>
    <w:rsid w:val="00295A48"/>
    <w:rsid w:val="002A48C5"/>
    <w:rsid w:val="002A7681"/>
    <w:rsid w:val="002B4558"/>
    <w:rsid w:val="002B50A3"/>
    <w:rsid w:val="002C0530"/>
    <w:rsid w:val="002C2B15"/>
    <w:rsid w:val="002C44FD"/>
    <w:rsid w:val="00300948"/>
    <w:rsid w:val="0030529B"/>
    <w:rsid w:val="00306A9C"/>
    <w:rsid w:val="00313B7B"/>
    <w:rsid w:val="00317B19"/>
    <w:rsid w:val="00321ED6"/>
    <w:rsid w:val="00326EAC"/>
    <w:rsid w:val="00335673"/>
    <w:rsid w:val="00337573"/>
    <w:rsid w:val="00340C8C"/>
    <w:rsid w:val="0034471D"/>
    <w:rsid w:val="003532CA"/>
    <w:rsid w:val="003536AF"/>
    <w:rsid w:val="00353E77"/>
    <w:rsid w:val="00354AC6"/>
    <w:rsid w:val="003604F0"/>
    <w:rsid w:val="00363157"/>
    <w:rsid w:val="0037287B"/>
    <w:rsid w:val="0037609C"/>
    <w:rsid w:val="0038153C"/>
    <w:rsid w:val="003816AF"/>
    <w:rsid w:val="0038307B"/>
    <w:rsid w:val="00383BF6"/>
    <w:rsid w:val="0039177A"/>
    <w:rsid w:val="0039378E"/>
    <w:rsid w:val="00394B70"/>
    <w:rsid w:val="003A3F54"/>
    <w:rsid w:val="003A4909"/>
    <w:rsid w:val="003A6540"/>
    <w:rsid w:val="003B20A4"/>
    <w:rsid w:val="003B44DF"/>
    <w:rsid w:val="003B51EC"/>
    <w:rsid w:val="003B79D3"/>
    <w:rsid w:val="003C40D4"/>
    <w:rsid w:val="003D4E9E"/>
    <w:rsid w:val="003E0177"/>
    <w:rsid w:val="003E1FD1"/>
    <w:rsid w:val="003E5C97"/>
    <w:rsid w:val="003F08DF"/>
    <w:rsid w:val="00401533"/>
    <w:rsid w:val="00406362"/>
    <w:rsid w:val="0040717C"/>
    <w:rsid w:val="00413E6E"/>
    <w:rsid w:val="00417FE3"/>
    <w:rsid w:val="00422AE3"/>
    <w:rsid w:val="00425BD6"/>
    <w:rsid w:val="00425BDB"/>
    <w:rsid w:val="00430E75"/>
    <w:rsid w:val="004324EE"/>
    <w:rsid w:val="00440A4C"/>
    <w:rsid w:val="00441070"/>
    <w:rsid w:val="00443758"/>
    <w:rsid w:val="004448CB"/>
    <w:rsid w:val="00446E20"/>
    <w:rsid w:val="00450571"/>
    <w:rsid w:val="004516EC"/>
    <w:rsid w:val="00453606"/>
    <w:rsid w:val="004614D1"/>
    <w:rsid w:val="00461DCF"/>
    <w:rsid w:val="00462EEF"/>
    <w:rsid w:val="00464CA2"/>
    <w:rsid w:val="00473F8F"/>
    <w:rsid w:val="004753E1"/>
    <w:rsid w:val="00476A11"/>
    <w:rsid w:val="0048309A"/>
    <w:rsid w:val="00487F26"/>
    <w:rsid w:val="00490ABB"/>
    <w:rsid w:val="004925BC"/>
    <w:rsid w:val="004A0443"/>
    <w:rsid w:val="004A19A7"/>
    <w:rsid w:val="004A7D7B"/>
    <w:rsid w:val="004B2AEB"/>
    <w:rsid w:val="004C2553"/>
    <w:rsid w:val="004C4DE4"/>
    <w:rsid w:val="004C7DA3"/>
    <w:rsid w:val="004D3E2C"/>
    <w:rsid w:val="004E25E8"/>
    <w:rsid w:val="004E3AA5"/>
    <w:rsid w:val="004F0F47"/>
    <w:rsid w:val="004F37C2"/>
    <w:rsid w:val="004F5305"/>
    <w:rsid w:val="004F7DBA"/>
    <w:rsid w:val="005029E1"/>
    <w:rsid w:val="00512A33"/>
    <w:rsid w:val="00512C62"/>
    <w:rsid w:val="00523F1B"/>
    <w:rsid w:val="005259ED"/>
    <w:rsid w:val="0053635B"/>
    <w:rsid w:val="005378E7"/>
    <w:rsid w:val="00551C65"/>
    <w:rsid w:val="00553D8E"/>
    <w:rsid w:val="00554B28"/>
    <w:rsid w:val="0055504E"/>
    <w:rsid w:val="0055585C"/>
    <w:rsid w:val="00555D6A"/>
    <w:rsid w:val="00563182"/>
    <w:rsid w:val="00565048"/>
    <w:rsid w:val="005678E4"/>
    <w:rsid w:val="00572C0C"/>
    <w:rsid w:val="00574279"/>
    <w:rsid w:val="005777A8"/>
    <w:rsid w:val="00582969"/>
    <w:rsid w:val="0058302B"/>
    <w:rsid w:val="005848DE"/>
    <w:rsid w:val="00587B63"/>
    <w:rsid w:val="00596FE1"/>
    <w:rsid w:val="0059774E"/>
    <w:rsid w:val="005A470D"/>
    <w:rsid w:val="005B0850"/>
    <w:rsid w:val="005B1D38"/>
    <w:rsid w:val="005B4B72"/>
    <w:rsid w:val="005C0C4B"/>
    <w:rsid w:val="005C6CF5"/>
    <w:rsid w:val="005E27E1"/>
    <w:rsid w:val="00604290"/>
    <w:rsid w:val="00615A29"/>
    <w:rsid w:val="006170DE"/>
    <w:rsid w:val="00623E29"/>
    <w:rsid w:val="006278F9"/>
    <w:rsid w:val="0063042A"/>
    <w:rsid w:val="00637019"/>
    <w:rsid w:val="00640885"/>
    <w:rsid w:val="00647C87"/>
    <w:rsid w:val="00652FC1"/>
    <w:rsid w:val="00655A56"/>
    <w:rsid w:val="006607D5"/>
    <w:rsid w:val="00662497"/>
    <w:rsid w:val="00663B9A"/>
    <w:rsid w:val="00664AEF"/>
    <w:rsid w:val="00665DBA"/>
    <w:rsid w:val="00666409"/>
    <w:rsid w:val="00670457"/>
    <w:rsid w:val="00670604"/>
    <w:rsid w:val="0067143C"/>
    <w:rsid w:val="006839E4"/>
    <w:rsid w:val="00690BCB"/>
    <w:rsid w:val="00690C45"/>
    <w:rsid w:val="00694EA6"/>
    <w:rsid w:val="006A184B"/>
    <w:rsid w:val="006A2B00"/>
    <w:rsid w:val="006A68BB"/>
    <w:rsid w:val="006A72A1"/>
    <w:rsid w:val="006C1F8F"/>
    <w:rsid w:val="006C6E2B"/>
    <w:rsid w:val="006D7F32"/>
    <w:rsid w:val="006E1694"/>
    <w:rsid w:val="006E711B"/>
    <w:rsid w:val="006F2414"/>
    <w:rsid w:val="006F2A11"/>
    <w:rsid w:val="00700E9F"/>
    <w:rsid w:val="007012C7"/>
    <w:rsid w:val="00701962"/>
    <w:rsid w:val="007032BF"/>
    <w:rsid w:val="0070362C"/>
    <w:rsid w:val="00706147"/>
    <w:rsid w:val="00706F4E"/>
    <w:rsid w:val="00754AFE"/>
    <w:rsid w:val="00754CEE"/>
    <w:rsid w:val="00757C50"/>
    <w:rsid w:val="00760104"/>
    <w:rsid w:val="00764891"/>
    <w:rsid w:val="007655E6"/>
    <w:rsid w:val="007851C5"/>
    <w:rsid w:val="00787C02"/>
    <w:rsid w:val="007A42DA"/>
    <w:rsid w:val="007A6352"/>
    <w:rsid w:val="007C045B"/>
    <w:rsid w:val="007C04EF"/>
    <w:rsid w:val="007C3359"/>
    <w:rsid w:val="007C4E12"/>
    <w:rsid w:val="007E4CC3"/>
    <w:rsid w:val="007E66AE"/>
    <w:rsid w:val="007E7F8D"/>
    <w:rsid w:val="007F036B"/>
    <w:rsid w:val="007F2BC3"/>
    <w:rsid w:val="007F2FB7"/>
    <w:rsid w:val="007F35BA"/>
    <w:rsid w:val="007F5997"/>
    <w:rsid w:val="00800AD6"/>
    <w:rsid w:val="008014C4"/>
    <w:rsid w:val="00802A52"/>
    <w:rsid w:val="0080773C"/>
    <w:rsid w:val="00811F30"/>
    <w:rsid w:val="00813BCF"/>
    <w:rsid w:val="00821DBD"/>
    <w:rsid w:val="00822B8C"/>
    <w:rsid w:val="008233A5"/>
    <w:rsid w:val="00831A31"/>
    <w:rsid w:val="008367CB"/>
    <w:rsid w:val="0084186C"/>
    <w:rsid w:val="00844109"/>
    <w:rsid w:val="00844E53"/>
    <w:rsid w:val="00853273"/>
    <w:rsid w:val="00855F44"/>
    <w:rsid w:val="0086259D"/>
    <w:rsid w:val="0086402E"/>
    <w:rsid w:val="008750DA"/>
    <w:rsid w:val="00881971"/>
    <w:rsid w:val="00884D48"/>
    <w:rsid w:val="00884DD8"/>
    <w:rsid w:val="008929AB"/>
    <w:rsid w:val="0089609F"/>
    <w:rsid w:val="00896CF9"/>
    <w:rsid w:val="008A1142"/>
    <w:rsid w:val="008A510A"/>
    <w:rsid w:val="008A7B77"/>
    <w:rsid w:val="008A7EBA"/>
    <w:rsid w:val="008B1596"/>
    <w:rsid w:val="008B299A"/>
    <w:rsid w:val="008C6CFA"/>
    <w:rsid w:val="008D644E"/>
    <w:rsid w:val="008D7096"/>
    <w:rsid w:val="008E265A"/>
    <w:rsid w:val="008E2EF4"/>
    <w:rsid w:val="008F1438"/>
    <w:rsid w:val="008F6AE3"/>
    <w:rsid w:val="00913ABF"/>
    <w:rsid w:val="00920939"/>
    <w:rsid w:val="009224F3"/>
    <w:rsid w:val="009239C4"/>
    <w:rsid w:val="009253B9"/>
    <w:rsid w:val="009256F2"/>
    <w:rsid w:val="00931E1F"/>
    <w:rsid w:val="00943D79"/>
    <w:rsid w:val="00943E8C"/>
    <w:rsid w:val="00945AEE"/>
    <w:rsid w:val="00946A89"/>
    <w:rsid w:val="009475B4"/>
    <w:rsid w:val="00947D4B"/>
    <w:rsid w:val="0095089C"/>
    <w:rsid w:val="00950A62"/>
    <w:rsid w:val="00963308"/>
    <w:rsid w:val="00964925"/>
    <w:rsid w:val="009738D3"/>
    <w:rsid w:val="00974C3C"/>
    <w:rsid w:val="009822EE"/>
    <w:rsid w:val="00996849"/>
    <w:rsid w:val="009A05B6"/>
    <w:rsid w:val="009A7900"/>
    <w:rsid w:val="009C1924"/>
    <w:rsid w:val="009C7946"/>
    <w:rsid w:val="009C7E03"/>
    <w:rsid w:val="009D1165"/>
    <w:rsid w:val="009D154F"/>
    <w:rsid w:val="009D289D"/>
    <w:rsid w:val="009D451D"/>
    <w:rsid w:val="009E2112"/>
    <w:rsid w:val="009E75AC"/>
    <w:rsid w:val="009F487E"/>
    <w:rsid w:val="00A00720"/>
    <w:rsid w:val="00A1082F"/>
    <w:rsid w:val="00A11CAF"/>
    <w:rsid w:val="00A246CA"/>
    <w:rsid w:val="00A30891"/>
    <w:rsid w:val="00A3115E"/>
    <w:rsid w:val="00A4002A"/>
    <w:rsid w:val="00A403D1"/>
    <w:rsid w:val="00A4247A"/>
    <w:rsid w:val="00A502A3"/>
    <w:rsid w:val="00A569C1"/>
    <w:rsid w:val="00A576C2"/>
    <w:rsid w:val="00A61563"/>
    <w:rsid w:val="00A72F51"/>
    <w:rsid w:val="00A738FC"/>
    <w:rsid w:val="00A82923"/>
    <w:rsid w:val="00A87999"/>
    <w:rsid w:val="00A954A8"/>
    <w:rsid w:val="00A95CD5"/>
    <w:rsid w:val="00AA05A7"/>
    <w:rsid w:val="00AA420B"/>
    <w:rsid w:val="00AB09C2"/>
    <w:rsid w:val="00AC1499"/>
    <w:rsid w:val="00AC14C3"/>
    <w:rsid w:val="00AC30DD"/>
    <w:rsid w:val="00AC5CCC"/>
    <w:rsid w:val="00AD5244"/>
    <w:rsid w:val="00AD60D2"/>
    <w:rsid w:val="00AE06AB"/>
    <w:rsid w:val="00AE22D2"/>
    <w:rsid w:val="00AE25B4"/>
    <w:rsid w:val="00AE25D8"/>
    <w:rsid w:val="00AE4040"/>
    <w:rsid w:val="00B0018D"/>
    <w:rsid w:val="00B00974"/>
    <w:rsid w:val="00B00ADD"/>
    <w:rsid w:val="00B014B0"/>
    <w:rsid w:val="00B0412F"/>
    <w:rsid w:val="00B20B0D"/>
    <w:rsid w:val="00B22C06"/>
    <w:rsid w:val="00B3133C"/>
    <w:rsid w:val="00B359C2"/>
    <w:rsid w:val="00B37510"/>
    <w:rsid w:val="00B37740"/>
    <w:rsid w:val="00B37DB2"/>
    <w:rsid w:val="00B41A53"/>
    <w:rsid w:val="00B473D3"/>
    <w:rsid w:val="00B520B8"/>
    <w:rsid w:val="00B555EB"/>
    <w:rsid w:val="00B5745A"/>
    <w:rsid w:val="00B61945"/>
    <w:rsid w:val="00B67F8A"/>
    <w:rsid w:val="00B72B2F"/>
    <w:rsid w:val="00B839FB"/>
    <w:rsid w:val="00B92114"/>
    <w:rsid w:val="00BA27FD"/>
    <w:rsid w:val="00BA5932"/>
    <w:rsid w:val="00BA5FE8"/>
    <w:rsid w:val="00BB3F4B"/>
    <w:rsid w:val="00BB504A"/>
    <w:rsid w:val="00BB783D"/>
    <w:rsid w:val="00BC1818"/>
    <w:rsid w:val="00BC3A31"/>
    <w:rsid w:val="00BC41E4"/>
    <w:rsid w:val="00BD2B5E"/>
    <w:rsid w:val="00BE3271"/>
    <w:rsid w:val="00BE3713"/>
    <w:rsid w:val="00BE37CF"/>
    <w:rsid w:val="00BE5716"/>
    <w:rsid w:val="00BE71E6"/>
    <w:rsid w:val="00BF2475"/>
    <w:rsid w:val="00BF2730"/>
    <w:rsid w:val="00C00056"/>
    <w:rsid w:val="00C0108E"/>
    <w:rsid w:val="00C01769"/>
    <w:rsid w:val="00C05FB8"/>
    <w:rsid w:val="00C075F7"/>
    <w:rsid w:val="00C07A32"/>
    <w:rsid w:val="00C21414"/>
    <w:rsid w:val="00C3109E"/>
    <w:rsid w:val="00C31CBC"/>
    <w:rsid w:val="00C35648"/>
    <w:rsid w:val="00C35F53"/>
    <w:rsid w:val="00C55C04"/>
    <w:rsid w:val="00C6449E"/>
    <w:rsid w:val="00C64C56"/>
    <w:rsid w:val="00C668FE"/>
    <w:rsid w:val="00C702DD"/>
    <w:rsid w:val="00C738F0"/>
    <w:rsid w:val="00C759A1"/>
    <w:rsid w:val="00C814F1"/>
    <w:rsid w:val="00C92EE7"/>
    <w:rsid w:val="00C93427"/>
    <w:rsid w:val="00CA471D"/>
    <w:rsid w:val="00CB2F4C"/>
    <w:rsid w:val="00CB620D"/>
    <w:rsid w:val="00CB6519"/>
    <w:rsid w:val="00CB70FA"/>
    <w:rsid w:val="00CC15F8"/>
    <w:rsid w:val="00CC1FC0"/>
    <w:rsid w:val="00CD0697"/>
    <w:rsid w:val="00CD58BE"/>
    <w:rsid w:val="00CD5E20"/>
    <w:rsid w:val="00CE6656"/>
    <w:rsid w:val="00CE7C93"/>
    <w:rsid w:val="00CF26A2"/>
    <w:rsid w:val="00D03BDD"/>
    <w:rsid w:val="00D10D6A"/>
    <w:rsid w:val="00D12B27"/>
    <w:rsid w:val="00D13EC2"/>
    <w:rsid w:val="00D1439E"/>
    <w:rsid w:val="00D16307"/>
    <w:rsid w:val="00D241FD"/>
    <w:rsid w:val="00D26908"/>
    <w:rsid w:val="00D27835"/>
    <w:rsid w:val="00D278EE"/>
    <w:rsid w:val="00D30320"/>
    <w:rsid w:val="00D31207"/>
    <w:rsid w:val="00D31326"/>
    <w:rsid w:val="00D339DC"/>
    <w:rsid w:val="00D41F3A"/>
    <w:rsid w:val="00D45A36"/>
    <w:rsid w:val="00D508EB"/>
    <w:rsid w:val="00D51A6C"/>
    <w:rsid w:val="00D623B6"/>
    <w:rsid w:val="00D65B6C"/>
    <w:rsid w:val="00D6628E"/>
    <w:rsid w:val="00D70099"/>
    <w:rsid w:val="00D72000"/>
    <w:rsid w:val="00D76C9C"/>
    <w:rsid w:val="00D85BCE"/>
    <w:rsid w:val="00D87AE5"/>
    <w:rsid w:val="00D9085C"/>
    <w:rsid w:val="00D916A1"/>
    <w:rsid w:val="00DA375F"/>
    <w:rsid w:val="00DA6890"/>
    <w:rsid w:val="00DB1D89"/>
    <w:rsid w:val="00DB4D77"/>
    <w:rsid w:val="00DB5323"/>
    <w:rsid w:val="00DC6E64"/>
    <w:rsid w:val="00DC6EC1"/>
    <w:rsid w:val="00DE12C1"/>
    <w:rsid w:val="00DE37D5"/>
    <w:rsid w:val="00DE5D04"/>
    <w:rsid w:val="00DE6D33"/>
    <w:rsid w:val="00DF2FE3"/>
    <w:rsid w:val="00E12EA2"/>
    <w:rsid w:val="00E235AB"/>
    <w:rsid w:val="00E23934"/>
    <w:rsid w:val="00E24ED6"/>
    <w:rsid w:val="00E271A2"/>
    <w:rsid w:val="00E32783"/>
    <w:rsid w:val="00E36052"/>
    <w:rsid w:val="00E378CA"/>
    <w:rsid w:val="00E41426"/>
    <w:rsid w:val="00E43E11"/>
    <w:rsid w:val="00E443DB"/>
    <w:rsid w:val="00E44928"/>
    <w:rsid w:val="00E51303"/>
    <w:rsid w:val="00E52B58"/>
    <w:rsid w:val="00E55E2D"/>
    <w:rsid w:val="00E6158C"/>
    <w:rsid w:val="00E67A89"/>
    <w:rsid w:val="00E67AE8"/>
    <w:rsid w:val="00E80928"/>
    <w:rsid w:val="00E82410"/>
    <w:rsid w:val="00E8706B"/>
    <w:rsid w:val="00E91B30"/>
    <w:rsid w:val="00E9496B"/>
    <w:rsid w:val="00E96377"/>
    <w:rsid w:val="00EA1E5D"/>
    <w:rsid w:val="00EA21F6"/>
    <w:rsid w:val="00EA2903"/>
    <w:rsid w:val="00EA38BB"/>
    <w:rsid w:val="00EB06D4"/>
    <w:rsid w:val="00EB08C4"/>
    <w:rsid w:val="00EB35D0"/>
    <w:rsid w:val="00EB7C22"/>
    <w:rsid w:val="00EC4D00"/>
    <w:rsid w:val="00ED0492"/>
    <w:rsid w:val="00ED29BF"/>
    <w:rsid w:val="00ED32C3"/>
    <w:rsid w:val="00ED573A"/>
    <w:rsid w:val="00EE1DE3"/>
    <w:rsid w:val="00EE5498"/>
    <w:rsid w:val="00EE597E"/>
    <w:rsid w:val="00EE5E3A"/>
    <w:rsid w:val="00EE6D33"/>
    <w:rsid w:val="00EE775F"/>
    <w:rsid w:val="00EF08B3"/>
    <w:rsid w:val="00EF47CD"/>
    <w:rsid w:val="00F033C9"/>
    <w:rsid w:val="00F06D4B"/>
    <w:rsid w:val="00F15AE5"/>
    <w:rsid w:val="00F15E13"/>
    <w:rsid w:val="00F176BA"/>
    <w:rsid w:val="00F206F7"/>
    <w:rsid w:val="00F229AA"/>
    <w:rsid w:val="00F334ED"/>
    <w:rsid w:val="00F33714"/>
    <w:rsid w:val="00F33FD3"/>
    <w:rsid w:val="00F42A4E"/>
    <w:rsid w:val="00F42B27"/>
    <w:rsid w:val="00F4314B"/>
    <w:rsid w:val="00F5193D"/>
    <w:rsid w:val="00F54571"/>
    <w:rsid w:val="00F6763D"/>
    <w:rsid w:val="00F80998"/>
    <w:rsid w:val="00F8161C"/>
    <w:rsid w:val="00F838F3"/>
    <w:rsid w:val="00F9087F"/>
    <w:rsid w:val="00FA2487"/>
    <w:rsid w:val="00FA585B"/>
    <w:rsid w:val="00FA651D"/>
    <w:rsid w:val="00FB022E"/>
    <w:rsid w:val="00FB2D6A"/>
    <w:rsid w:val="00FC35DD"/>
    <w:rsid w:val="00FC603D"/>
    <w:rsid w:val="00FC70C6"/>
    <w:rsid w:val="00FD38AB"/>
    <w:rsid w:val="00FD667F"/>
    <w:rsid w:val="00FD6D45"/>
    <w:rsid w:val="00FD7E73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81859"/>
  <w15:chartTrackingRefBased/>
  <w15:docId w15:val="{03B75BFD-11C0-49CA-9CC5-4BCAF636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6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6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76C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7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6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57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6C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57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C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A05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EE549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E549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E549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E5498"/>
    <w:rPr>
      <w:rFonts w:ascii="Calibri" w:hAnsi="Calibri" w:cs="Calibri"/>
      <w:noProof/>
    </w:rPr>
  </w:style>
  <w:style w:type="character" w:styleId="PlaceholderText">
    <w:name w:val="Placeholder Text"/>
    <w:basedOn w:val="DefaultParagraphFont"/>
    <w:uiPriority w:val="99"/>
    <w:semiHidden/>
    <w:rsid w:val="00896CF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A246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46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B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3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920"/>
  </w:style>
  <w:style w:type="paragraph" w:styleId="Footer">
    <w:name w:val="footer"/>
    <w:basedOn w:val="Normal"/>
    <w:link w:val="FooterChar"/>
    <w:uiPriority w:val="99"/>
    <w:unhideWhenUsed/>
    <w:rsid w:val="00273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920"/>
  </w:style>
  <w:style w:type="character" w:styleId="Hyperlink">
    <w:name w:val="Hyperlink"/>
    <w:basedOn w:val="DefaultParagraphFont"/>
    <w:uiPriority w:val="99"/>
    <w:unhideWhenUsed/>
    <w:rsid w:val="008E2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6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5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6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8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4" ma:contentTypeDescription="Create a new document." ma:contentTypeScope="" ma:versionID="0726a2e8fae2a2b7d1302a23e632c596">
  <xsd:schema xmlns:xsd="http://www.w3.org/2001/XMLSchema" xmlns:xs="http://www.w3.org/2001/XMLSchema" xmlns:p="http://schemas.microsoft.com/office/2006/metadata/properties" xmlns:ns1="http://schemas.microsoft.com/sharepoint/v3" xmlns:ns3="ce0cc384-7d90-49d2-886c-ed1b3f79e86e" xmlns:ns4="b0563af3-add7-4ba1-9257-34f88286e773" targetNamespace="http://schemas.microsoft.com/office/2006/metadata/properties" ma:root="true" ma:fieldsID="2b746f4d05f3d95e833e416a354f21d0" ns1:_="" ns3:_="" ns4:_="">
    <xsd:import namespace="http://schemas.microsoft.com/sharepoint/v3"/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8CC72-7284-4A8B-BE06-682ED64CC3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092DA1-0EA1-46CD-86D4-A2BA23A59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064DC-24F0-4F96-A5B7-C60BC8E10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AFD37-7BA6-4213-9ADE-978D8CC5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Merkt, Toby (CDC/DDNID/NCCDPHP/DRH)</dc:creator>
  <cp:keywords/>
  <dc:description/>
  <cp:lastModifiedBy>Merkt, Toby (CDC/NCCDPHP/DRH)</cp:lastModifiedBy>
  <cp:revision>2</cp:revision>
  <dcterms:created xsi:type="dcterms:W3CDTF">2024-12-06T18:39:00Z</dcterms:created>
  <dcterms:modified xsi:type="dcterms:W3CDTF">2024-12-06T18:39:00Z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2020-11-25T22:53:12Z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70cef089-e6d4-4171-bd4a-3ffc40ca5ca8</vt:lpwstr>
  </property>
  <property fmtid="{D5CDD505-2E9C-101B-9397-08002B2CF9AE}" pid="9" name="MSIP_Label_7b94a7b8-f06c-4dfe-bdcc-9b548fd58c31_ContentBits">
    <vt:lpwstr>0</vt:lpwstr>
  </property>
</Properties>
</file>