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4B7C1" w14:textId="77777777" w:rsidR="001523E9" w:rsidRDefault="001523E9" w:rsidP="001523E9">
      <w:pPr>
        <w:pStyle w:val="Newparagraph"/>
        <w:ind w:firstLine="0"/>
        <w:jc w:val="center"/>
        <w:rPr>
          <w:rFonts w:eastAsiaTheme="minorEastAsia"/>
          <w:sz w:val="28"/>
          <w:szCs w:val="28"/>
        </w:rPr>
      </w:pPr>
      <w:r w:rsidRPr="00B16813">
        <w:rPr>
          <w:rFonts w:eastAsiaTheme="minorEastAsia"/>
          <w:sz w:val="28"/>
          <w:szCs w:val="28"/>
        </w:rPr>
        <w:t>Supporting Information for manuscript</w:t>
      </w:r>
    </w:p>
    <w:p w14:paraId="74FA10D8" w14:textId="77777777" w:rsidR="001523E9" w:rsidRPr="003C66B5" w:rsidRDefault="001523E9" w:rsidP="001523E9">
      <w:pPr>
        <w:pStyle w:val="Newparagraph"/>
        <w:ind w:firstLine="0"/>
        <w:jc w:val="center"/>
        <w:rPr>
          <w:rFonts w:eastAsiaTheme="minorEastAsia"/>
          <w:sz w:val="28"/>
          <w:szCs w:val="28"/>
        </w:rPr>
      </w:pPr>
    </w:p>
    <w:p w14:paraId="38653557" w14:textId="77777777" w:rsidR="001523E9" w:rsidRPr="008D0115" w:rsidRDefault="001523E9" w:rsidP="002A74CF">
      <w:pPr>
        <w:pStyle w:val="Heading1"/>
        <w:numPr>
          <w:ilvl w:val="0"/>
          <w:numId w:val="0"/>
        </w:numPr>
        <w:spacing w:before="0" w:line="480" w:lineRule="auto"/>
        <w:rPr>
          <w:rFonts w:ascii="Times New Roman" w:hAnsi="Times New Roman" w:cs="Times New Roman"/>
          <w:b/>
          <w:bCs/>
          <w:color w:val="auto"/>
          <w:sz w:val="28"/>
          <w:szCs w:val="28"/>
        </w:rPr>
      </w:pPr>
      <w:bookmarkStart w:id="0" w:name="_Hlk166830351"/>
      <w:r>
        <w:rPr>
          <w:rFonts w:ascii="Times New Roman" w:hAnsi="Times New Roman" w:cs="Times New Roman"/>
          <w:b/>
          <w:bCs/>
          <w:color w:val="auto"/>
          <w:sz w:val="28"/>
          <w:szCs w:val="28"/>
        </w:rPr>
        <w:t>A</w:t>
      </w:r>
      <w:r w:rsidRPr="008D0115">
        <w:rPr>
          <w:rFonts w:ascii="Times New Roman" w:hAnsi="Times New Roman" w:cs="Times New Roman"/>
          <w:b/>
          <w:bCs/>
          <w:color w:val="auto"/>
          <w:sz w:val="28"/>
          <w:szCs w:val="28"/>
        </w:rPr>
        <w:t xml:space="preserve"> High-throughput, </w:t>
      </w:r>
      <w:r>
        <w:rPr>
          <w:rFonts w:ascii="Times New Roman" w:hAnsi="Times New Roman" w:cs="Times New Roman"/>
          <w:b/>
          <w:bCs/>
          <w:color w:val="auto"/>
          <w:sz w:val="28"/>
          <w:szCs w:val="28"/>
        </w:rPr>
        <w:t>Turbulent-m</w:t>
      </w:r>
      <w:r w:rsidRPr="008D0115">
        <w:rPr>
          <w:rFonts w:ascii="Times New Roman" w:hAnsi="Times New Roman" w:cs="Times New Roman"/>
          <w:b/>
          <w:bCs/>
          <w:color w:val="auto"/>
          <w:sz w:val="28"/>
          <w:szCs w:val="28"/>
        </w:rPr>
        <w:t>ixing</w:t>
      </w:r>
      <w:r>
        <w:rPr>
          <w:rFonts w:ascii="Times New Roman" w:hAnsi="Times New Roman" w:cs="Times New Roman"/>
          <w:b/>
          <w:bCs/>
          <w:color w:val="auto"/>
          <w:sz w:val="28"/>
          <w:szCs w:val="28"/>
        </w:rPr>
        <w:t>,</w:t>
      </w:r>
      <w:r w:rsidRPr="008D0115">
        <w:rPr>
          <w:rFonts w:ascii="Times New Roman" w:hAnsi="Times New Roman" w:cs="Times New Roman"/>
          <w:b/>
          <w:bCs/>
          <w:color w:val="auto"/>
          <w:sz w:val="28"/>
          <w:szCs w:val="28"/>
        </w:rPr>
        <w:t xml:space="preserve"> Condensation Aerosol Co</w:t>
      </w:r>
      <w:r>
        <w:rPr>
          <w:rFonts w:ascii="Times New Roman" w:hAnsi="Times New Roman" w:cs="Times New Roman"/>
          <w:b/>
          <w:bCs/>
          <w:color w:val="auto"/>
          <w:sz w:val="28"/>
          <w:szCs w:val="28"/>
        </w:rPr>
        <w:t>ncentrator</w:t>
      </w:r>
      <w:r w:rsidRPr="008D0115">
        <w:rPr>
          <w:rFonts w:ascii="Times New Roman" w:hAnsi="Times New Roman" w:cs="Times New Roman"/>
          <w:b/>
          <w:bCs/>
          <w:color w:val="auto"/>
          <w:sz w:val="28"/>
          <w:szCs w:val="28"/>
        </w:rPr>
        <w:t xml:space="preserve"> for Direct Aerosol Collection </w:t>
      </w:r>
      <w:r>
        <w:rPr>
          <w:rFonts w:ascii="Times New Roman" w:hAnsi="Times New Roman" w:cs="Times New Roman"/>
          <w:b/>
          <w:bCs/>
          <w:color w:val="auto"/>
          <w:sz w:val="28"/>
          <w:szCs w:val="28"/>
        </w:rPr>
        <w:t>as</w:t>
      </w:r>
      <w:r w:rsidRPr="008D0115">
        <w:rPr>
          <w:rFonts w:ascii="Times New Roman" w:hAnsi="Times New Roman" w:cs="Times New Roman"/>
          <w:b/>
          <w:bCs/>
          <w:color w:val="auto"/>
          <w:sz w:val="28"/>
          <w:szCs w:val="28"/>
        </w:rPr>
        <w:t xml:space="preserve"> a Liquid Suspension</w:t>
      </w:r>
      <w:bookmarkEnd w:id="0"/>
      <w:r w:rsidRPr="002A74CF">
        <w:rPr>
          <w:b/>
          <w:bCs/>
          <w:color w:val="auto"/>
          <w:vertAlign w:val="superscript"/>
        </w:rPr>
        <w:t>*</w:t>
      </w:r>
    </w:p>
    <w:p w14:paraId="1DBC22A6" w14:textId="77777777" w:rsidR="001523E9" w:rsidRPr="00331A89" w:rsidRDefault="001523E9" w:rsidP="001523E9">
      <w:pPr>
        <w:pStyle w:val="Authornames"/>
      </w:pPr>
      <w:r w:rsidRPr="00FD1BFE">
        <w:t>Orthodoxia Zervaki</w:t>
      </w:r>
      <w:r w:rsidRPr="00FD1BFE">
        <w:rPr>
          <w:vertAlign w:val="superscript"/>
        </w:rPr>
        <w:t>1,2</w:t>
      </w:r>
      <w:r>
        <w:t>,</w:t>
      </w:r>
      <w:r>
        <w:rPr>
          <w:vertAlign w:val="superscript"/>
        </w:rPr>
        <w:t xml:space="preserve"> </w:t>
      </w:r>
      <w:r w:rsidRPr="00FD1BFE">
        <w:t>Dionysios D. Dionysiou</w:t>
      </w:r>
      <w:r w:rsidRPr="00FD1BFE">
        <w:rPr>
          <w:vertAlign w:val="superscript"/>
        </w:rPr>
        <w:t>2</w:t>
      </w:r>
      <w:r>
        <w:rPr>
          <w:vertAlign w:val="superscript"/>
        </w:rPr>
        <w:t xml:space="preserve">, </w:t>
      </w:r>
      <w:r w:rsidRPr="00D04E33">
        <w:rPr>
          <w:color w:val="111111"/>
          <w:szCs w:val="28"/>
          <w:shd w:val="clear" w:color="auto" w:fill="FFFFFF"/>
          <w:vertAlign w:val="superscript"/>
        </w:rPr>
        <w:t>†</w:t>
      </w:r>
      <w:r>
        <w:t>,</w:t>
      </w:r>
      <w:r>
        <w:rPr>
          <w:vertAlign w:val="superscript"/>
        </w:rPr>
        <w:t xml:space="preserve"> </w:t>
      </w:r>
      <w:r w:rsidRPr="00FD1BFE">
        <w:t>Pramod Kulkarni</w:t>
      </w:r>
      <w:r w:rsidRPr="00FD1BFE">
        <w:rPr>
          <w:vertAlign w:val="superscript"/>
        </w:rPr>
        <w:t>1</w:t>
      </w:r>
      <w:r>
        <w:t xml:space="preserve"> </w:t>
      </w:r>
    </w:p>
    <w:p w14:paraId="5589FE30" w14:textId="77777777" w:rsidR="001523E9" w:rsidRPr="00FD1BFE" w:rsidRDefault="001523E9" w:rsidP="001523E9">
      <w:pPr>
        <w:pStyle w:val="Affiliation"/>
        <w:jc w:val="both"/>
      </w:pPr>
      <w:r w:rsidRPr="008C529C">
        <w:rPr>
          <w:vertAlign w:val="superscript"/>
        </w:rPr>
        <w:t>1</w:t>
      </w:r>
      <w:r w:rsidRPr="00FD1BFE">
        <w:t xml:space="preserve">National Institute for Occupational Safety and Health, </w:t>
      </w:r>
      <w:proofErr w:type="spellStart"/>
      <w:r>
        <w:t>Centers</w:t>
      </w:r>
      <w:proofErr w:type="spellEnd"/>
      <w:r>
        <w:t xml:space="preserve"> for Disease Control and Prevention, </w:t>
      </w:r>
      <w:r w:rsidRPr="00FD1BFE">
        <w:t>Cincinnati, Ohio</w:t>
      </w:r>
      <w:r>
        <w:t xml:space="preserve"> 45226</w:t>
      </w:r>
      <w:r w:rsidRPr="00FD1BFE">
        <w:t>, United States</w:t>
      </w:r>
    </w:p>
    <w:p w14:paraId="29E96702" w14:textId="77777777" w:rsidR="001523E9" w:rsidRPr="00FD1BFE" w:rsidRDefault="001523E9" w:rsidP="001523E9">
      <w:pPr>
        <w:pStyle w:val="Affiliation"/>
        <w:jc w:val="both"/>
      </w:pPr>
      <w:r w:rsidRPr="008C529C">
        <w:rPr>
          <w:vertAlign w:val="superscript"/>
        </w:rPr>
        <w:t>2</w:t>
      </w:r>
      <w:r w:rsidRPr="00FD1BFE">
        <w:t>Environmental Engineering and Science Program, Department of Chemical and Environmental Engineering (</w:t>
      </w:r>
      <w:proofErr w:type="spellStart"/>
      <w:r w:rsidRPr="00FD1BFE">
        <w:t>ChEE</w:t>
      </w:r>
      <w:proofErr w:type="spellEnd"/>
      <w:r w:rsidRPr="00FD1BFE">
        <w:t>), University of Cincinnati, Cincinnati, Ohio</w:t>
      </w:r>
      <w:r>
        <w:t xml:space="preserve"> 45221</w:t>
      </w:r>
      <w:r w:rsidRPr="00FD1BFE">
        <w:t>, United States</w:t>
      </w:r>
    </w:p>
    <w:p w14:paraId="7A217CF5" w14:textId="77777777" w:rsidR="001523E9" w:rsidRDefault="001523E9" w:rsidP="001523E9">
      <w:pPr>
        <w:pStyle w:val="Affiliation"/>
        <w:spacing w:before="0"/>
        <w:jc w:val="both"/>
        <w:rPr>
          <w:i w:val="0"/>
          <w:iCs/>
        </w:rPr>
      </w:pPr>
    </w:p>
    <w:p w14:paraId="71C3BCE9" w14:textId="77777777" w:rsidR="001523E9" w:rsidRDefault="001523E9" w:rsidP="001523E9">
      <w:pPr>
        <w:pStyle w:val="Affiliation"/>
        <w:spacing w:before="0"/>
        <w:jc w:val="both"/>
        <w:rPr>
          <w:i w:val="0"/>
          <w:iCs/>
        </w:rPr>
      </w:pPr>
    </w:p>
    <w:p w14:paraId="7D3324DC" w14:textId="77777777" w:rsidR="001523E9" w:rsidRDefault="001523E9" w:rsidP="001523E9">
      <w:pPr>
        <w:pStyle w:val="Affiliation"/>
        <w:spacing w:before="0"/>
        <w:jc w:val="both"/>
        <w:rPr>
          <w:i w:val="0"/>
          <w:iCs/>
        </w:rPr>
      </w:pPr>
    </w:p>
    <w:p w14:paraId="2E1A139E" w14:textId="77777777" w:rsidR="001523E9" w:rsidRPr="00463C98" w:rsidRDefault="001523E9" w:rsidP="001523E9">
      <w:pPr>
        <w:pStyle w:val="Affiliation"/>
        <w:spacing w:before="0"/>
        <w:jc w:val="both"/>
        <w:rPr>
          <w:i w:val="0"/>
          <w:iCs/>
        </w:rPr>
      </w:pPr>
    </w:p>
    <w:p w14:paraId="396F6C71" w14:textId="77777777" w:rsidR="001523E9" w:rsidRPr="00FF311D" w:rsidRDefault="001523E9" w:rsidP="001523E9">
      <w:pPr>
        <w:jc w:val="center"/>
        <w:rPr>
          <w:lang w:val="en-GB"/>
        </w:rPr>
      </w:pPr>
    </w:p>
    <w:p w14:paraId="029FEEF1" w14:textId="77777777" w:rsidR="001523E9" w:rsidRPr="00FF311D" w:rsidRDefault="001523E9" w:rsidP="001523E9">
      <w:pPr>
        <w:pStyle w:val="xmsonormal"/>
        <w:shd w:val="clear" w:color="auto" w:fill="FFFFFF"/>
        <w:spacing w:before="0" w:beforeAutospacing="0" w:after="0" w:afterAutospacing="0" w:line="360" w:lineRule="auto"/>
        <w:rPr>
          <w:i/>
          <w:iCs/>
          <w:color w:val="201F1E"/>
        </w:rPr>
      </w:pPr>
      <w:r w:rsidRPr="00E35863">
        <w:rPr>
          <w:sz w:val="32"/>
          <w:szCs w:val="32"/>
          <w:vertAlign w:val="superscript"/>
        </w:rPr>
        <w:t>*</w:t>
      </w:r>
      <w:r w:rsidRPr="00FF311D">
        <w:rPr>
          <w:i/>
          <w:iCs/>
        </w:rPr>
        <w:t xml:space="preserve">Disclaimer: </w:t>
      </w:r>
      <w:r w:rsidRPr="00FF311D">
        <w:rPr>
          <w:i/>
          <w:iCs/>
          <w:color w:val="201F1E"/>
        </w:rPr>
        <w:t>The findings and conclusions in this report are those of the author</w:t>
      </w:r>
      <w:r>
        <w:rPr>
          <w:i/>
          <w:iCs/>
          <w:color w:val="201F1E"/>
        </w:rPr>
        <w:t>(</w:t>
      </w:r>
      <w:r w:rsidRPr="00FF311D">
        <w:rPr>
          <w:i/>
          <w:iCs/>
          <w:color w:val="201F1E"/>
        </w:rPr>
        <w:t>s</w:t>
      </w:r>
      <w:r>
        <w:rPr>
          <w:i/>
          <w:iCs/>
          <w:color w:val="201F1E"/>
        </w:rPr>
        <w:t>)</w:t>
      </w:r>
      <w:r w:rsidRPr="00FF311D">
        <w:rPr>
          <w:i/>
          <w:iCs/>
          <w:color w:val="201F1E"/>
        </w:rPr>
        <w:t xml:space="preserve"> and do not necessarily represent the official position of the National Institute for Occupational Safety and Health, Centers for Disease Control and Prevention.</w:t>
      </w:r>
    </w:p>
    <w:p w14:paraId="4C9E3664" w14:textId="77777777" w:rsidR="001523E9" w:rsidRPr="000E4D8A" w:rsidRDefault="001523E9" w:rsidP="001523E9">
      <w:pPr>
        <w:spacing w:after="200" w:line="276" w:lineRule="auto"/>
        <w:jc w:val="both"/>
        <w:rPr>
          <w:i/>
        </w:rPr>
      </w:pPr>
    </w:p>
    <w:p w14:paraId="6C9985ED" w14:textId="77777777" w:rsidR="001523E9" w:rsidRPr="000E4D8A" w:rsidRDefault="001523E9" w:rsidP="001523E9">
      <w:pPr>
        <w:rPr>
          <w:b/>
        </w:rPr>
      </w:pPr>
    </w:p>
    <w:p w14:paraId="58B3BFA5" w14:textId="77777777" w:rsidR="001523E9" w:rsidRDefault="001523E9" w:rsidP="001523E9"/>
    <w:p w14:paraId="02CC022C" w14:textId="77777777" w:rsidR="001523E9" w:rsidRDefault="001523E9" w:rsidP="001523E9"/>
    <w:p w14:paraId="677C14AB" w14:textId="77777777" w:rsidR="001523E9" w:rsidRDefault="001523E9" w:rsidP="001523E9"/>
    <w:p w14:paraId="1E31D74A" w14:textId="77777777" w:rsidR="001523E9" w:rsidRPr="000E4D8A" w:rsidRDefault="001523E9" w:rsidP="001523E9"/>
    <w:p w14:paraId="791D0354" w14:textId="77777777" w:rsidR="001523E9" w:rsidRDefault="001523E9" w:rsidP="001523E9">
      <w:pPr>
        <w:pStyle w:val="Correspondencedetails"/>
      </w:pPr>
      <w:r>
        <w:rPr>
          <w:rFonts w:ascii="Wingdings" w:eastAsia="Wingdings" w:hAnsi="Wingdings" w:cs="Wingdings"/>
          <w:i/>
          <w:iCs/>
          <w:vertAlign w:val="superscript"/>
          <w:lang w:val="pt-BR"/>
        </w:rPr>
        <w:t></w:t>
      </w:r>
      <w:r w:rsidRPr="00FD1BFE">
        <w:t xml:space="preserve">Corresponding author: Email: </w:t>
      </w:r>
      <w:hyperlink r:id="rId8" w:history="1">
        <w:r w:rsidRPr="00FD1BFE">
          <w:rPr>
            <w:rStyle w:val="Hyperlink"/>
            <w:rFonts w:eastAsiaTheme="majorEastAsia"/>
          </w:rPr>
          <w:t>PSKulkarni@cdc.gov</w:t>
        </w:r>
      </w:hyperlink>
      <w:r w:rsidRPr="00FD1BFE">
        <w:t xml:space="preserve">; Phone: (513) 841-4300; Fax: (513) 841-4545; </w:t>
      </w:r>
    </w:p>
    <w:p w14:paraId="2D015D26" w14:textId="285F388C" w:rsidR="009247B8" w:rsidRDefault="001523E9" w:rsidP="001523E9">
      <w:pPr>
        <w:pStyle w:val="Correspondencedetails"/>
        <w:rPr>
          <w:color w:val="111111"/>
          <w:shd w:val="clear" w:color="auto" w:fill="FFFFFF"/>
        </w:rPr>
      </w:pPr>
      <w:r w:rsidRPr="00D04E33">
        <w:rPr>
          <w:color w:val="111111"/>
          <w:shd w:val="clear" w:color="auto" w:fill="FFFFFF"/>
          <w:vertAlign w:val="superscript"/>
        </w:rPr>
        <w:t>†</w:t>
      </w:r>
      <w:r w:rsidRPr="00D04E33">
        <w:rPr>
          <w:color w:val="111111"/>
          <w:shd w:val="clear" w:color="auto" w:fill="FFFFFF"/>
        </w:rPr>
        <w:t>Deceased.</w:t>
      </w:r>
    </w:p>
    <w:p w14:paraId="1ABB5109" w14:textId="77777777" w:rsidR="009247B8" w:rsidRDefault="009247B8" w:rsidP="001523E9">
      <w:pPr>
        <w:spacing w:line="480" w:lineRule="auto"/>
        <w:jc w:val="both"/>
        <w:rPr>
          <w:b/>
          <w:bCs/>
        </w:rPr>
      </w:pPr>
    </w:p>
    <w:p w14:paraId="7C830285" w14:textId="45604EC9" w:rsidR="001523E9" w:rsidRDefault="001523E9" w:rsidP="001523E9">
      <w:pPr>
        <w:spacing w:line="480" w:lineRule="auto"/>
        <w:jc w:val="both"/>
      </w:pPr>
      <w:r>
        <w:rPr>
          <w:b/>
          <w:bCs/>
        </w:rPr>
        <w:lastRenderedPageBreak/>
        <w:t>S1. Calculation of Saturation Ratio and Kelvin Diameter</w:t>
      </w:r>
    </w:p>
    <w:p w14:paraId="4904A73F" w14:textId="76331687" w:rsidR="001523E9" w:rsidRPr="00572A8F" w:rsidRDefault="001523E9" w:rsidP="001523E9">
      <w:pPr>
        <w:spacing w:line="360" w:lineRule="auto"/>
        <w:ind w:firstLine="720"/>
        <w:jc w:val="both"/>
        <w:rPr>
          <w:rFonts w:eastAsiaTheme="minorEastAsia"/>
          <w:sz w:val="22"/>
          <w:szCs w:val="22"/>
        </w:rPr>
      </w:pPr>
      <w:r w:rsidRPr="00572A8F">
        <w:rPr>
          <w:rFonts w:eastAsiaTheme="minorEastAsia"/>
          <w:sz w:val="22"/>
          <w:szCs w:val="22"/>
        </w:rPr>
        <w:t xml:space="preserve">The primary determinant of whether condensational growth </w:t>
      </w:r>
      <w:r>
        <w:rPr>
          <w:rFonts w:eastAsiaTheme="minorEastAsia"/>
          <w:sz w:val="22"/>
          <w:szCs w:val="22"/>
        </w:rPr>
        <w:t>will</w:t>
      </w:r>
      <w:r w:rsidRPr="00572A8F">
        <w:rPr>
          <w:rFonts w:eastAsiaTheme="minorEastAsia"/>
          <w:sz w:val="22"/>
          <w:szCs w:val="22"/>
        </w:rPr>
        <w:t xml:space="preserve"> occur in a system is the saturation ratio, </w:t>
      </w:r>
      <w:r w:rsidRPr="00572A8F">
        <w:rPr>
          <w:rFonts w:eastAsiaTheme="minorEastAsia"/>
          <w:i/>
          <w:iCs/>
          <w:sz w:val="22"/>
          <w:szCs w:val="22"/>
        </w:rPr>
        <w:t>S</w:t>
      </w:r>
      <w:r w:rsidRPr="00572A8F">
        <w:rPr>
          <w:rFonts w:eastAsiaTheme="minorEastAsia"/>
          <w:i/>
          <w:iCs/>
          <w:sz w:val="22"/>
          <w:szCs w:val="22"/>
          <w:vertAlign w:val="subscript"/>
        </w:rPr>
        <w:t>R</w:t>
      </w:r>
      <w:r w:rsidRPr="00572A8F">
        <w:rPr>
          <w:rFonts w:eastAsiaTheme="minorEastAsia"/>
          <w:sz w:val="22"/>
          <w:szCs w:val="22"/>
        </w:rPr>
        <w:t xml:space="preserve"> </w:t>
      </w:r>
      <w:r w:rsidR="009C2442">
        <w:rPr>
          <w:rStyle w:val="FootnoteReference"/>
          <w:rFonts w:eastAsiaTheme="minorEastAsia"/>
          <w:sz w:val="22"/>
          <w:szCs w:val="22"/>
        </w:rPr>
        <w:fldChar w:fldCharType="begin" w:fldLock="1"/>
      </w:r>
      <w:r w:rsidR="009C2442">
        <w:rPr>
          <w:rFonts w:eastAsiaTheme="minorEastAsia"/>
          <w:sz w:val="22"/>
          <w:szCs w:val="22"/>
        </w:rPr>
        <w:instrText>ADDIN CSL_CITATION {"citationItems":[{"id":"ITEM-1","itemData":{"ISBN":"9781119494041, 1119494044","author":[{"dropping-particle":"","family":"Hinds","given":"W. C.","non-dropping-particle":"","parse-names":false,"suffix":""},{"dropping-particle":"","family":"Zhu","given":"Y.","non-dropping-particle":"","parse-names":false,"suffix":""}],"edition":"Third Edit","id":"ITEM-1","issued":{"date-parts":[["2022"]]},"publisher":"Wiley","title":"Aerosol technology: properties, behavior, and measurement of airborne particles","type":"book"},"uris":["http://www.mendeley.com/documents/?uuid=57319f19-cd5b-3de1-ab66-3f37788d5bcb"]}],"mendeley":{"formattedCitation":"(Hinds and Zhu 2022)","plainTextFormattedCitation":"(Hinds and Zhu 2022)","previouslyFormattedCitation":"(1)"},"properties":{"noteIndex":0},"schema":"https://github.com/citation-style-language/schema/raw/master/csl-citation.json"}</w:instrText>
      </w:r>
      <w:r w:rsidR="009C2442">
        <w:rPr>
          <w:rStyle w:val="FootnoteReference"/>
          <w:rFonts w:eastAsiaTheme="minorEastAsia"/>
          <w:sz w:val="22"/>
          <w:szCs w:val="22"/>
        </w:rPr>
        <w:fldChar w:fldCharType="separate"/>
      </w:r>
      <w:r w:rsidR="009C2442" w:rsidRPr="009C2442">
        <w:rPr>
          <w:rFonts w:eastAsiaTheme="minorEastAsia"/>
          <w:noProof/>
          <w:sz w:val="22"/>
          <w:szCs w:val="22"/>
        </w:rPr>
        <w:t>(Hinds and Zhu 2022)</w:t>
      </w:r>
      <w:r w:rsidR="009C2442">
        <w:rPr>
          <w:rStyle w:val="FootnoteReference"/>
          <w:rFonts w:eastAsiaTheme="minorEastAsia"/>
          <w:sz w:val="22"/>
          <w:szCs w:val="22"/>
        </w:rPr>
        <w:fldChar w:fldCharType="end"/>
      </w:r>
      <w:r w:rsidRPr="00572A8F">
        <w:rPr>
          <w:rFonts w:eastAsiaTheme="minorEastAsia"/>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945"/>
        <w:gridCol w:w="2245"/>
      </w:tblGrid>
      <w:tr w:rsidR="001523E9" w:rsidRPr="00572A8F" w14:paraId="7DF9B969" w14:textId="77777777" w:rsidTr="00E86F31">
        <w:tc>
          <w:tcPr>
            <w:tcW w:w="2160" w:type="dxa"/>
            <w:vAlign w:val="center"/>
          </w:tcPr>
          <w:p w14:paraId="5290EA56" w14:textId="77777777" w:rsidR="001523E9" w:rsidRPr="00572A8F" w:rsidRDefault="001523E9" w:rsidP="00E86F31">
            <w:pPr>
              <w:pStyle w:val="Caption"/>
              <w:keepNext/>
              <w:spacing w:after="0" w:line="360" w:lineRule="auto"/>
              <w:rPr>
                <w:color w:val="auto"/>
                <w:sz w:val="22"/>
                <w:szCs w:val="22"/>
              </w:rPr>
            </w:pPr>
          </w:p>
        </w:tc>
        <w:tc>
          <w:tcPr>
            <w:tcW w:w="4945" w:type="dxa"/>
            <w:vAlign w:val="center"/>
          </w:tcPr>
          <w:p w14:paraId="1C7AC5E7" w14:textId="77777777" w:rsidR="001523E9" w:rsidRPr="00572A8F" w:rsidRDefault="00000000" w:rsidP="00E86F31">
            <w:pPr>
              <w:pStyle w:val="Displayedequation"/>
              <w:spacing w:before="0" w:after="0" w:line="360" w:lineRule="auto"/>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v</m:t>
                        </m:r>
                      </m:sub>
                    </m:sSub>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den>
                </m:f>
                <m:r>
                  <w:rPr>
                    <w:rFonts w:ascii="Cambria Math" w:eastAsiaTheme="minorEastAsia" w:hAnsi="Cambria Math"/>
                  </w:rPr>
                  <m:t xml:space="preserve"> </m:t>
                </m:r>
              </m:oMath>
            </m:oMathPara>
          </w:p>
        </w:tc>
        <w:tc>
          <w:tcPr>
            <w:tcW w:w="2245" w:type="dxa"/>
            <w:vAlign w:val="center"/>
          </w:tcPr>
          <w:p w14:paraId="2D06EE89" w14:textId="77777777" w:rsidR="001523E9" w:rsidRPr="00572A8F" w:rsidRDefault="001523E9" w:rsidP="00E86F31">
            <w:pPr>
              <w:pStyle w:val="Caption"/>
              <w:spacing w:after="0" w:line="360" w:lineRule="auto"/>
              <w:jc w:val="right"/>
              <w:rPr>
                <w:i w:val="0"/>
                <w:iCs w:val="0"/>
                <w:color w:val="auto"/>
                <w:sz w:val="22"/>
                <w:szCs w:val="22"/>
              </w:rPr>
            </w:pPr>
            <w:bookmarkStart w:id="1" w:name="_Ref108691588"/>
            <w:r w:rsidRPr="00572A8F">
              <w:rPr>
                <w:i w:val="0"/>
                <w:iCs w:val="0"/>
                <w:color w:val="auto"/>
                <w:sz w:val="22"/>
                <w:szCs w:val="22"/>
              </w:rPr>
              <w:t>(S</w:t>
            </w:r>
            <w:r w:rsidRPr="00572A8F">
              <w:rPr>
                <w:i w:val="0"/>
                <w:iCs w:val="0"/>
                <w:color w:val="auto"/>
                <w:sz w:val="22"/>
                <w:szCs w:val="22"/>
              </w:rPr>
              <w:noBreakHyphen/>
            </w:r>
            <w:r w:rsidRPr="00572A8F">
              <w:rPr>
                <w:i w:val="0"/>
                <w:iCs w:val="0"/>
                <w:color w:val="auto"/>
                <w:sz w:val="22"/>
                <w:szCs w:val="22"/>
              </w:rPr>
              <w:fldChar w:fldCharType="begin"/>
            </w:r>
            <w:r w:rsidRPr="00572A8F">
              <w:rPr>
                <w:i w:val="0"/>
                <w:iCs w:val="0"/>
                <w:color w:val="auto"/>
                <w:sz w:val="22"/>
                <w:szCs w:val="22"/>
              </w:rPr>
              <w:instrText xml:space="preserve"> SEQ Equation \* ARABIC \s 1 </w:instrText>
            </w:r>
            <w:r w:rsidRPr="00572A8F">
              <w:rPr>
                <w:i w:val="0"/>
                <w:iCs w:val="0"/>
                <w:color w:val="auto"/>
                <w:sz w:val="22"/>
                <w:szCs w:val="22"/>
              </w:rPr>
              <w:fldChar w:fldCharType="separate"/>
            </w:r>
            <w:r>
              <w:rPr>
                <w:i w:val="0"/>
                <w:iCs w:val="0"/>
                <w:noProof/>
                <w:color w:val="auto"/>
                <w:sz w:val="22"/>
                <w:szCs w:val="22"/>
              </w:rPr>
              <w:t>1</w:t>
            </w:r>
            <w:r w:rsidRPr="00572A8F">
              <w:rPr>
                <w:i w:val="0"/>
                <w:iCs w:val="0"/>
                <w:color w:val="auto"/>
                <w:sz w:val="22"/>
                <w:szCs w:val="22"/>
              </w:rPr>
              <w:fldChar w:fldCharType="end"/>
            </w:r>
            <w:r w:rsidRPr="00572A8F">
              <w:rPr>
                <w:i w:val="0"/>
                <w:iCs w:val="0"/>
                <w:color w:val="auto"/>
                <w:sz w:val="22"/>
                <w:szCs w:val="22"/>
              </w:rPr>
              <w:t>)</w:t>
            </w:r>
            <w:bookmarkEnd w:id="1"/>
          </w:p>
        </w:tc>
      </w:tr>
    </w:tbl>
    <w:p w14:paraId="704AE176" w14:textId="757FD6D3" w:rsidR="001523E9" w:rsidRPr="00572A8F" w:rsidRDefault="001523E9" w:rsidP="001523E9">
      <w:pPr>
        <w:spacing w:line="360" w:lineRule="auto"/>
        <w:jc w:val="both"/>
        <w:rPr>
          <w:rFonts w:eastAsiaTheme="minorEastAsia"/>
          <w:sz w:val="22"/>
          <w:szCs w:val="22"/>
        </w:rPr>
      </w:pPr>
      <w:r w:rsidRPr="00572A8F">
        <w:rPr>
          <w:rFonts w:eastAsiaTheme="minorEastAsia"/>
          <w:sz w:val="22"/>
          <w:szCs w:val="22"/>
        </w:rPr>
        <w:t xml:space="preserve">where </w:t>
      </w:r>
      <w:proofErr w:type="spellStart"/>
      <w:r w:rsidRPr="00572A8F">
        <w:rPr>
          <w:rFonts w:eastAsiaTheme="minorEastAsia"/>
          <w:i/>
          <w:iCs/>
          <w:sz w:val="22"/>
          <w:szCs w:val="22"/>
        </w:rPr>
        <w:t>P</w:t>
      </w:r>
      <w:r>
        <w:rPr>
          <w:rFonts w:eastAsiaTheme="minorEastAsia"/>
          <w:i/>
          <w:iCs/>
          <w:sz w:val="22"/>
          <w:szCs w:val="22"/>
          <w:vertAlign w:val="subscript"/>
        </w:rPr>
        <w:t>v</w:t>
      </w:r>
      <w:proofErr w:type="spellEnd"/>
      <w:r w:rsidRPr="00572A8F">
        <w:rPr>
          <w:rFonts w:eastAsiaTheme="minorEastAsia"/>
          <w:sz w:val="22"/>
          <w:szCs w:val="22"/>
        </w:rPr>
        <w:t xml:space="preserve"> is the partial pressure </w:t>
      </w:r>
      <w:r>
        <w:rPr>
          <w:rFonts w:eastAsiaTheme="minorEastAsia"/>
          <w:sz w:val="22"/>
          <w:szCs w:val="22"/>
        </w:rPr>
        <w:t>of vapor with</w:t>
      </w:r>
      <w:r w:rsidRPr="00572A8F">
        <w:rPr>
          <w:rFonts w:eastAsiaTheme="minorEastAsia"/>
          <w:sz w:val="22"/>
          <w:szCs w:val="22"/>
        </w:rPr>
        <w:t xml:space="preserve">in a system and </w:t>
      </w:r>
      <w:r w:rsidRPr="00572A8F">
        <w:rPr>
          <w:rFonts w:eastAsiaTheme="minorEastAsia"/>
          <w:i/>
          <w:iCs/>
          <w:sz w:val="22"/>
          <w:szCs w:val="22"/>
        </w:rPr>
        <w:t>P</w:t>
      </w:r>
      <w:r w:rsidRPr="00572A8F">
        <w:rPr>
          <w:rFonts w:eastAsiaTheme="minorEastAsia"/>
          <w:i/>
          <w:iCs/>
          <w:sz w:val="22"/>
          <w:szCs w:val="22"/>
          <w:vertAlign w:val="subscript"/>
        </w:rPr>
        <w:t>0</w:t>
      </w:r>
      <w:r w:rsidRPr="00572A8F">
        <w:rPr>
          <w:rFonts w:eastAsiaTheme="minorEastAsia"/>
          <w:sz w:val="22"/>
          <w:szCs w:val="22"/>
        </w:rPr>
        <w:t xml:space="preserve"> is the equilibrium vapor pressure for the given temperature of the system. When the partial vapor pressure exceeds the equilibrium vapor pressure for the same temperature (</w:t>
      </w:r>
      <m:oMath>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R</m:t>
            </m:r>
          </m:sub>
        </m:sSub>
        <m:r>
          <w:rPr>
            <w:rFonts w:ascii="Cambria Math" w:eastAsiaTheme="minorEastAsia" w:hAnsi="Cambria Math"/>
            <w:sz w:val="22"/>
            <w:szCs w:val="22"/>
          </w:rPr>
          <m:t>&gt;1)</m:t>
        </m:r>
      </m:oMath>
      <w:r w:rsidRPr="00572A8F">
        <w:rPr>
          <w:rFonts w:eastAsiaTheme="minorEastAsia"/>
          <w:sz w:val="22"/>
          <w:szCs w:val="22"/>
        </w:rPr>
        <w:t xml:space="preserve">, supersaturation is generated, vapor condenses on the airborne particles, and droplet growth occurs. </w:t>
      </w:r>
      <w:r>
        <w:rPr>
          <w:rFonts w:eastAsiaTheme="minorEastAsia"/>
          <w:sz w:val="22"/>
          <w:szCs w:val="22"/>
        </w:rPr>
        <w:t>T</w:t>
      </w:r>
      <w:r w:rsidRPr="00572A8F">
        <w:rPr>
          <w:rFonts w:eastAsiaTheme="minorEastAsia"/>
          <w:sz w:val="22"/>
          <w:szCs w:val="22"/>
        </w:rPr>
        <w:t>he Kelvin diameter (</w:t>
      </w:r>
      <w:proofErr w:type="spellStart"/>
      <w:r w:rsidRPr="00572A8F">
        <w:rPr>
          <w:rFonts w:eastAsiaTheme="minorEastAsia"/>
          <w:i/>
          <w:iCs/>
          <w:sz w:val="22"/>
          <w:szCs w:val="22"/>
        </w:rPr>
        <w:t>d</w:t>
      </w:r>
      <w:r w:rsidRPr="00572A8F">
        <w:rPr>
          <w:rFonts w:eastAsiaTheme="minorEastAsia"/>
          <w:i/>
          <w:iCs/>
          <w:sz w:val="22"/>
          <w:szCs w:val="22"/>
          <w:vertAlign w:val="subscript"/>
        </w:rPr>
        <w:t>p</w:t>
      </w:r>
      <w:proofErr w:type="spellEnd"/>
      <w:r w:rsidRPr="00572A8F">
        <w:rPr>
          <w:rFonts w:eastAsiaTheme="minorEastAsia"/>
          <w:i/>
          <w:iCs/>
          <w:sz w:val="22"/>
          <w:szCs w:val="22"/>
          <w:vertAlign w:val="superscript"/>
        </w:rPr>
        <w:t>*</w:t>
      </w:r>
      <w:r w:rsidRPr="00572A8F">
        <w:rPr>
          <w:rFonts w:eastAsiaTheme="minorEastAsia"/>
          <w:sz w:val="22"/>
          <w:szCs w:val="22"/>
        </w:rPr>
        <w:t>)</w:t>
      </w:r>
      <w:r>
        <w:rPr>
          <w:rFonts w:eastAsiaTheme="minorEastAsia"/>
          <w:sz w:val="22"/>
          <w:szCs w:val="22"/>
        </w:rPr>
        <w:t xml:space="preserve">, </w:t>
      </w:r>
      <w:r w:rsidRPr="00572A8F">
        <w:rPr>
          <w:rFonts w:eastAsiaTheme="minorEastAsia"/>
          <w:sz w:val="22"/>
          <w:szCs w:val="22"/>
        </w:rPr>
        <w:t xml:space="preserve">representing the threshold diameter of the particle that neither grows nor evaporates, can be determined, assuming that the condensed nuclei are spherical liquid particles </w:t>
      </w:r>
      <w:r w:rsidR="009C2442">
        <w:rPr>
          <w:rStyle w:val="FootnoteReference"/>
          <w:rFonts w:eastAsiaTheme="minorEastAsia"/>
          <w:sz w:val="22"/>
          <w:szCs w:val="22"/>
        </w:rPr>
        <w:fldChar w:fldCharType="begin" w:fldLock="1"/>
      </w:r>
      <w:r w:rsidR="009C2442">
        <w:rPr>
          <w:rFonts w:eastAsiaTheme="minorEastAsia"/>
          <w:sz w:val="22"/>
          <w:szCs w:val="22"/>
        </w:rPr>
        <w:instrText>ADDIN CSL_CITATION {"citationItems":[{"id":"ITEM-1","itemData":{"author":[{"dropping-particle":"","family":"Seinfeld","given":"J. H.","non-dropping-particle":"","parse-names":false,"suffix":""},{"dropping-particle":"","family":"Pandis","given":"S. N.","non-dropping-particle":"","parse-names":false,"suffix":""}],"chapter-number":"17","container-title":"Atmospheric chemistry and physics : From air pollution to climate change.","edition":"2","id":"ITEM-1","issued":{"date-parts":[["2012"]]},"page":"1333","publisher":"Wiley","publisher-place":"New Jersey","title":"Cloud Physics","type":"chapter"},"uris":["http://www.mendeley.com/documents/?uuid=0ee7f09c-7088-4845-94bf-d4f6a4cb9d66"]},{"id":"ITEM-2","itemData":{"ISBN":"9781119494041, 1119494044","author":[{"dropping-particle":"","family":"Hinds","given":"W. C.","non-dropping-particle":"","parse-names":false,"suffix":""},{"dropping-particle":"","family":"Zhu","given":"Y.","non-dropping-particle":"","parse-names":false,"suffix":""}],"edition":"Third Edit","id":"ITEM-2","issued":{"date-parts":[["2022"]]},"publisher":"Wiley","title":"Aerosol technology: properties, behavior, and measurement of airborne particles","type":"book"},"uris":["http://www.mendeley.com/documents/?uuid=57319f19-cd5b-3de1-ab66-3f37788d5bcb"]},{"id":"ITEM-3","itemData":{"DOI":"10.1080/02786828408959024","ISSN":"0278-6826","abstract":"A new particle size magnifier (PSM) has been manufactured. In order to evaluate the performance of the PSM, the condensational growth of ultrafine aerosol particles in a supersaturated dibutyl phthalate vapor-air mixture is investigated theoretically and experimentally. First, the supersaturation ratio, the condensable DBP vapor content, and the critical size of the particle that will grow in the PSM are calculated for the mixing of hot air containing the DBP vapor with normal-temperature vapor-free air. Then the time dependence of the droplet radius during condensational growth is evaluated by numerically solving the basic equation under various conditions. From the results it is found that at higher particle number concentrations, the final droplet radii can be determined by the particle number concentration and the condensable DBP vapor content, but that at lower concentrations the particle growth can be approximated by the growth of the isolated droplet. Finally, size distributions of grown DBP droplets in the PSM are determined by sedimentational size analysis and electrical particle size analysis. Good agreement is seen between the experimental results and the previous theoretical analyses, and the overall performance of the PSM is revealed. © 1984 Elsevier Science Publishing Co., Inc.","author":[{"dropping-particle":"","family":"Okuyama","given":"K.","non-dropping-particle":"","parse-names":false,"suffix":""},{"dropping-particle":"","family":"Kousaka","given":"Y.","non-dropping-particle":"","parse-names":false,"suffix":""},{"dropping-particle":"","family":"Motouchi","given":"T.","non-dropping-particle":"","parse-names":false,"suffix":""}],"container-title":"Aerosol Science and Technology","id":"ITEM-3","issue":"4","issued":{"date-parts":[["1984","1","6"]]},"page":"353-366","title":"Condensational Growth of Ultrafine Aerosol Particles in a New Particle Size Magnifier","type":"article-journal","volume":"3"},"uris":["http://www.mendeley.com/documents/?uuid=42fa58ee-0c4d-44e4-b99b-aada15cd798d"]}],"mendeley":{"formattedCitation":"(Hinds and Zhu 2022; Seinfeld and Pandis 2012; Okuyama et al. 1984)","plainTextFormattedCitation":"(Hinds and Zhu 2022; Seinfeld and Pandis 2012; Okuyama et al. 1984)","previouslyFormattedCitation":"(1–3)"},"properties":{"noteIndex":0},"schema":"https://github.com/citation-style-language/schema/raw/master/csl-citation.json"}</w:instrText>
      </w:r>
      <w:r w:rsidR="009C2442">
        <w:rPr>
          <w:rStyle w:val="FootnoteReference"/>
          <w:rFonts w:eastAsiaTheme="minorEastAsia"/>
          <w:sz w:val="22"/>
          <w:szCs w:val="22"/>
        </w:rPr>
        <w:fldChar w:fldCharType="separate"/>
      </w:r>
      <w:r w:rsidR="009C2442" w:rsidRPr="009C2442">
        <w:rPr>
          <w:rFonts w:eastAsiaTheme="minorEastAsia"/>
          <w:noProof/>
          <w:sz w:val="22"/>
          <w:szCs w:val="22"/>
        </w:rPr>
        <w:t>(Hinds and Zhu 2022; Seinfeld and Pandis 2012; Okuyama et al. 1984)</w:t>
      </w:r>
      <w:r w:rsidR="009C2442">
        <w:rPr>
          <w:rStyle w:val="FootnoteReference"/>
          <w:rFonts w:eastAsiaTheme="minorEastAsia"/>
          <w:sz w:val="22"/>
          <w:szCs w:val="22"/>
        </w:rPr>
        <w:fldChar w:fldCharType="end"/>
      </w:r>
      <w:r w:rsidRPr="00572A8F">
        <w:rPr>
          <w:rFonts w:eastAsiaTheme="minorEastAsia"/>
          <w:sz w:val="22"/>
          <w:szCs w:val="22"/>
        </w:rPr>
        <w:t>:</w:t>
      </w:r>
    </w:p>
    <w:tbl>
      <w:tblPr>
        <w:tblStyle w:val="TableGrid"/>
        <w:tblW w:w="93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111"/>
        <w:gridCol w:w="3113"/>
      </w:tblGrid>
      <w:tr w:rsidR="001523E9" w:rsidRPr="00572A8F" w14:paraId="189E873A" w14:textId="77777777" w:rsidTr="00E86F31">
        <w:tc>
          <w:tcPr>
            <w:tcW w:w="3105" w:type="dxa"/>
            <w:vAlign w:val="center"/>
          </w:tcPr>
          <w:p w14:paraId="03B85080" w14:textId="77777777" w:rsidR="001523E9" w:rsidRPr="00572A8F" w:rsidRDefault="001523E9" w:rsidP="00E86F31">
            <w:pPr>
              <w:spacing w:line="360" w:lineRule="auto"/>
              <w:jc w:val="center"/>
              <w:rPr>
                <w:rFonts w:eastAsiaTheme="minorEastAsia"/>
              </w:rPr>
            </w:pPr>
          </w:p>
        </w:tc>
        <w:tc>
          <w:tcPr>
            <w:tcW w:w="3111" w:type="dxa"/>
            <w:vAlign w:val="center"/>
          </w:tcPr>
          <w:p w14:paraId="50F4EFE1" w14:textId="77777777" w:rsidR="001523E9" w:rsidRPr="002C4376" w:rsidRDefault="00000000" w:rsidP="00E86F31">
            <w:pPr>
              <w:spacing w:line="360" w:lineRule="auto"/>
              <w:jc w:val="center"/>
              <w:rPr>
                <w:rFonts w:eastAsiaTheme="minorEastAsia"/>
                <w:i/>
              </w:rPr>
            </w:pPr>
            <m:oMathPara>
              <m:oMath>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p</m:t>
                        </m:r>
                      </m:sub>
                    </m:sSub>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r>
                      <w:rPr>
                        <w:rFonts w:ascii="Cambria Math" w:eastAsiaTheme="minorEastAsia" w:hAnsi="Cambria Math"/>
                        <w:lang w:val="el-GR"/>
                      </w:rPr>
                      <m:t>σ</m:t>
                    </m:r>
                    <m:r>
                      <w:rPr>
                        <w:rFonts w:ascii="Cambria Math" w:eastAsiaTheme="minorEastAsia" w:hAnsi="Cambria Math"/>
                      </w:rPr>
                      <m:t>MW</m:t>
                    </m:r>
                  </m:num>
                  <m:den>
                    <m:r>
                      <w:rPr>
                        <w:rFonts w:ascii="Cambria Math" w:eastAsiaTheme="minorEastAsia" w:hAnsi="Cambria Math"/>
                        <w:lang w:val="el-GR"/>
                      </w:rPr>
                      <m:t>ρ</m:t>
                    </m:r>
                    <m:r>
                      <w:rPr>
                        <w:rFonts w:ascii="Cambria Math" w:eastAsiaTheme="minorEastAsia" w:hAnsi="Cambria Math"/>
                      </w:rPr>
                      <m:t>RTln</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den>
                </m:f>
              </m:oMath>
            </m:oMathPara>
          </w:p>
        </w:tc>
        <w:tc>
          <w:tcPr>
            <w:tcW w:w="3113" w:type="dxa"/>
            <w:vAlign w:val="center"/>
          </w:tcPr>
          <w:p w14:paraId="5FA3591D" w14:textId="77777777" w:rsidR="001523E9" w:rsidRPr="00572A8F" w:rsidRDefault="001523E9" w:rsidP="00E86F31">
            <w:pPr>
              <w:spacing w:line="360" w:lineRule="auto"/>
              <w:jc w:val="right"/>
              <w:rPr>
                <w:rFonts w:eastAsiaTheme="minorEastAsia"/>
              </w:rPr>
            </w:pPr>
            <w:r w:rsidRPr="00572A8F">
              <w:rPr>
                <w:rFonts w:eastAsiaTheme="minorEastAsia"/>
              </w:rPr>
              <w:t>(S</w:t>
            </w:r>
            <w:r w:rsidRPr="00572A8F">
              <w:rPr>
                <w:rFonts w:eastAsiaTheme="minorEastAsia"/>
              </w:rPr>
              <w:noBreakHyphen/>
            </w:r>
            <w:r>
              <w:rPr>
                <w:rFonts w:eastAsiaTheme="minorEastAsia"/>
              </w:rPr>
              <w:t>2</w:t>
            </w:r>
            <w:r w:rsidRPr="00572A8F">
              <w:rPr>
                <w:rFonts w:eastAsiaTheme="minorEastAsia"/>
              </w:rPr>
              <w:t>)</w:t>
            </w:r>
          </w:p>
        </w:tc>
      </w:tr>
    </w:tbl>
    <w:p w14:paraId="14B67FCF" w14:textId="77777777" w:rsidR="001523E9" w:rsidRPr="00572A8F" w:rsidRDefault="001523E9" w:rsidP="001523E9">
      <w:pPr>
        <w:spacing w:line="360" w:lineRule="auto"/>
        <w:jc w:val="both"/>
        <w:rPr>
          <w:rFonts w:eastAsiaTheme="minorEastAsia"/>
          <w:sz w:val="22"/>
          <w:szCs w:val="22"/>
        </w:rPr>
      </w:pPr>
      <w:r w:rsidRPr="00572A8F">
        <w:rPr>
          <w:rFonts w:eastAsiaTheme="minorEastAsia"/>
          <w:sz w:val="22"/>
          <w:szCs w:val="22"/>
        </w:rPr>
        <w:t>where</w:t>
      </w:r>
      <w:r w:rsidRPr="00572A8F">
        <w:rPr>
          <w:rFonts w:eastAsiaTheme="minorEastAsia"/>
          <w:i/>
          <w:iCs/>
          <w:sz w:val="22"/>
          <w:szCs w:val="22"/>
        </w:rPr>
        <w:t xml:space="preserve"> </w:t>
      </w:r>
      <w:r w:rsidRPr="00572A8F">
        <w:rPr>
          <w:rFonts w:eastAsiaTheme="minorEastAsia"/>
          <w:i/>
          <w:iCs/>
          <w:sz w:val="22"/>
          <w:szCs w:val="22"/>
          <w:lang w:val="el-GR"/>
        </w:rPr>
        <w:t>σ</w:t>
      </w:r>
      <w:r w:rsidRPr="00572A8F">
        <w:rPr>
          <w:rFonts w:eastAsiaTheme="minorEastAsia"/>
          <w:sz w:val="22"/>
          <w:szCs w:val="22"/>
        </w:rPr>
        <w:t xml:space="preserve"> </w:t>
      </w:r>
      <w:r>
        <w:rPr>
          <w:rFonts w:eastAsiaTheme="minorEastAsia"/>
          <w:sz w:val="22"/>
          <w:szCs w:val="22"/>
        </w:rPr>
        <w:t xml:space="preserve">is </w:t>
      </w:r>
      <w:r w:rsidRPr="00572A8F">
        <w:rPr>
          <w:rFonts w:eastAsiaTheme="minorEastAsia"/>
          <w:sz w:val="22"/>
          <w:szCs w:val="22"/>
        </w:rPr>
        <w:t xml:space="preserve">the surface tension </w:t>
      </w:r>
      <w:r>
        <w:rPr>
          <w:rFonts w:eastAsiaTheme="minorEastAsia"/>
          <w:sz w:val="22"/>
          <w:szCs w:val="22"/>
        </w:rPr>
        <w:t xml:space="preserve">of water, </w:t>
      </w:r>
      <w:r>
        <w:rPr>
          <w:rFonts w:eastAsiaTheme="minorEastAsia"/>
          <w:i/>
          <w:iCs/>
          <w:sz w:val="22"/>
          <w:szCs w:val="22"/>
        </w:rPr>
        <w:t xml:space="preserve">MW </w:t>
      </w:r>
      <w:r>
        <w:rPr>
          <w:rFonts w:eastAsiaTheme="minorEastAsia"/>
          <w:sz w:val="22"/>
          <w:szCs w:val="22"/>
        </w:rPr>
        <w:t xml:space="preserve">is the molecular weight of water, </w:t>
      </w:r>
      <w:r w:rsidRPr="00572A8F">
        <w:rPr>
          <w:rFonts w:eastAsiaTheme="minorEastAsia"/>
          <w:i/>
          <w:iCs/>
          <w:sz w:val="22"/>
          <w:szCs w:val="22"/>
          <w:lang w:val="el-GR"/>
        </w:rPr>
        <w:t>ρ</w:t>
      </w:r>
      <w:r w:rsidRPr="00572A8F">
        <w:rPr>
          <w:rFonts w:eastAsiaTheme="minorEastAsia"/>
          <w:sz w:val="22"/>
          <w:szCs w:val="22"/>
        </w:rPr>
        <w:t xml:space="preserve"> </w:t>
      </w:r>
      <w:r>
        <w:rPr>
          <w:rFonts w:eastAsiaTheme="minorEastAsia"/>
          <w:sz w:val="22"/>
          <w:szCs w:val="22"/>
        </w:rPr>
        <w:t>is</w:t>
      </w:r>
      <w:r w:rsidRPr="00572A8F">
        <w:rPr>
          <w:rFonts w:eastAsiaTheme="minorEastAsia"/>
          <w:sz w:val="22"/>
          <w:szCs w:val="22"/>
        </w:rPr>
        <w:t xml:space="preserve"> </w:t>
      </w:r>
      <w:r>
        <w:rPr>
          <w:rFonts w:eastAsiaTheme="minorEastAsia"/>
          <w:sz w:val="22"/>
          <w:szCs w:val="22"/>
        </w:rPr>
        <w:t>t</w:t>
      </w:r>
      <w:r w:rsidRPr="00572A8F">
        <w:rPr>
          <w:rFonts w:eastAsiaTheme="minorEastAsia"/>
          <w:sz w:val="22"/>
          <w:szCs w:val="22"/>
        </w:rPr>
        <w:t xml:space="preserve">he density of the water droplet, </w:t>
      </w:r>
      <w:r w:rsidRPr="00572A8F">
        <w:rPr>
          <w:rFonts w:eastAsiaTheme="minorEastAsia"/>
          <w:i/>
          <w:iCs/>
          <w:sz w:val="22"/>
          <w:szCs w:val="22"/>
        </w:rPr>
        <w:t>R</w:t>
      </w:r>
      <w:r w:rsidRPr="00572A8F">
        <w:rPr>
          <w:rFonts w:eastAsiaTheme="minorEastAsia"/>
          <w:sz w:val="22"/>
          <w:szCs w:val="22"/>
        </w:rPr>
        <w:t xml:space="preserve"> is the universal gas constant</w:t>
      </w:r>
      <w:r>
        <w:rPr>
          <w:rFonts w:eastAsiaTheme="minorEastAsia"/>
          <w:sz w:val="22"/>
          <w:szCs w:val="22"/>
        </w:rPr>
        <w:t xml:space="preserve"> and </w:t>
      </w:r>
      <w:r w:rsidRPr="00572A8F">
        <w:rPr>
          <w:rFonts w:eastAsiaTheme="minorEastAsia"/>
          <w:i/>
          <w:iCs/>
          <w:sz w:val="22"/>
          <w:szCs w:val="22"/>
        </w:rPr>
        <w:t>T</w:t>
      </w:r>
      <w:r>
        <w:rPr>
          <w:rFonts w:eastAsiaTheme="minorEastAsia"/>
          <w:i/>
          <w:iCs/>
          <w:sz w:val="22"/>
          <w:szCs w:val="22"/>
        </w:rPr>
        <w:t xml:space="preserve"> </w:t>
      </w:r>
      <w:r>
        <w:rPr>
          <w:rFonts w:eastAsiaTheme="minorEastAsia"/>
          <w:sz w:val="22"/>
          <w:szCs w:val="22"/>
        </w:rPr>
        <w:t>is the</w:t>
      </w:r>
      <w:r w:rsidRPr="00E43067">
        <w:rPr>
          <w:rFonts w:eastAsiaTheme="minorEastAsia"/>
          <w:sz w:val="22"/>
          <w:szCs w:val="22"/>
        </w:rPr>
        <w:t xml:space="preserve"> </w:t>
      </w:r>
      <w:r w:rsidRPr="00572A8F">
        <w:rPr>
          <w:rFonts w:eastAsiaTheme="minorEastAsia"/>
          <w:sz w:val="22"/>
          <w:szCs w:val="22"/>
        </w:rPr>
        <w:t>temperature</w:t>
      </w:r>
      <w:r>
        <w:rPr>
          <w:rFonts w:eastAsiaTheme="minorEastAsia"/>
          <w:sz w:val="22"/>
          <w:szCs w:val="22"/>
        </w:rPr>
        <w:t>.</w:t>
      </w:r>
    </w:p>
    <w:p w14:paraId="3851E378" w14:textId="6091195E" w:rsidR="001523E9" w:rsidRPr="00572A8F" w:rsidRDefault="001523E9" w:rsidP="001523E9">
      <w:pPr>
        <w:spacing w:line="360" w:lineRule="auto"/>
        <w:ind w:firstLine="720"/>
        <w:jc w:val="both"/>
        <w:rPr>
          <w:rFonts w:eastAsiaTheme="minorEastAsia"/>
          <w:sz w:val="22"/>
          <w:szCs w:val="22"/>
        </w:rPr>
      </w:pPr>
      <w:r w:rsidRPr="00572A8F">
        <w:rPr>
          <w:sz w:val="22"/>
          <w:szCs w:val="22"/>
        </w:rPr>
        <w:t xml:space="preserve">Due to the relatively short mixing time, only the initial and final stages of the mixing parameters are considered. </w:t>
      </w:r>
      <w:r w:rsidRPr="00572A8F">
        <w:rPr>
          <w:rFonts w:eastAsiaTheme="minorEastAsia"/>
          <w:sz w:val="22"/>
          <w:szCs w:val="22"/>
        </w:rPr>
        <w:t xml:space="preserve">Assuming instant, adiabatic mixing of a cold </w:t>
      </w:r>
      <w:r>
        <w:rPr>
          <w:rFonts w:eastAsiaTheme="minorEastAsia"/>
          <w:sz w:val="22"/>
          <w:szCs w:val="22"/>
        </w:rPr>
        <w:t>aerosol</w:t>
      </w:r>
      <w:r w:rsidRPr="00572A8F">
        <w:rPr>
          <w:rFonts w:eastAsiaTheme="minorEastAsia"/>
          <w:sz w:val="22"/>
          <w:szCs w:val="22"/>
        </w:rPr>
        <w:t xml:space="preserve"> flow with a hot flow of water vapor occurs, </w:t>
      </w:r>
      <w:r w:rsidRPr="00572A8F">
        <w:rPr>
          <w:sz w:val="22"/>
          <w:szCs w:val="22"/>
        </w:rPr>
        <w:t xml:space="preserve">the </w:t>
      </w:r>
      <w:r w:rsidRPr="00572A8F">
        <w:rPr>
          <w:rFonts w:eastAsiaTheme="minorEastAsia"/>
          <w:sz w:val="22"/>
          <w:szCs w:val="22"/>
        </w:rPr>
        <w:t>saturation ratio after the mixing (</w:t>
      </w:r>
      <w:r w:rsidRPr="00572A8F">
        <w:rPr>
          <w:rFonts w:eastAsiaTheme="minorEastAsia"/>
          <w:i/>
          <w:iCs/>
          <w:sz w:val="22"/>
          <w:szCs w:val="22"/>
        </w:rPr>
        <w:t>S</w:t>
      </w:r>
      <w:r w:rsidRPr="00572A8F">
        <w:rPr>
          <w:rFonts w:eastAsiaTheme="minorEastAsia"/>
          <w:i/>
          <w:iCs/>
          <w:sz w:val="22"/>
          <w:szCs w:val="22"/>
          <w:vertAlign w:val="subscript"/>
        </w:rPr>
        <w:t>R</w:t>
      </w:r>
      <w:r w:rsidRPr="00572A8F">
        <w:rPr>
          <w:rFonts w:eastAsiaTheme="minorEastAsia"/>
          <w:sz w:val="22"/>
          <w:szCs w:val="22"/>
        </w:rPr>
        <w:t>), and the Kelvin diameter (</w:t>
      </w:r>
      <w:proofErr w:type="spellStart"/>
      <w:r w:rsidRPr="00572A8F">
        <w:rPr>
          <w:rFonts w:eastAsiaTheme="minorEastAsia"/>
          <w:i/>
          <w:iCs/>
          <w:sz w:val="22"/>
          <w:szCs w:val="22"/>
        </w:rPr>
        <w:t>d</w:t>
      </w:r>
      <w:r w:rsidRPr="00572A8F">
        <w:rPr>
          <w:rFonts w:eastAsiaTheme="minorEastAsia"/>
          <w:i/>
          <w:iCs/>
          <w:sz w:val="22"/>
          <w:szCs w:val="22"/>
          <w:vertAlign w:val="subscript"/>
        </w:rPr>
        <w:t>p</w:t>
      </w:r>
      <w:proofErr w:type="spellEnd"/>
      <w:r w:rsidRPr="00572A8F">
        <w:rPr>
          <w:rFonts w:eastAsiaTheme="minorEastAsia"/>
          <w:i/>
          <w:iCs/>
          <w:sz w:val="22"/>
          <w:szCs w:val="22"/>
          <w:vertAlign w:val="superscript"/>
        </w:rPr>
        <w:t>*</w:t>
      </w:r>
      <w:r w:rsidRPr="00572A8F">
        <w:rPr>
          <w:rFonts w:eastAsiaTheme="minorEastAsia"/>
          <w:sz w:val="22"/>
          <w:szCs w:val="22"/>
        </w:rPr>
        <w:t xml:space="preserve">), can be estimated </w:t>
      </w:r>
      <w:r w:rsidR="009C2442">
        <w:rPr>
          <w:rStyle w:val="FootnoteReference"/>
          <w:rFonts w:eastAsiaTheme="minorEastAsia"/>
          <w:sz w:val="22"/>
          <w:szCs w:val="22"/>
        </w:rPr>
        <w:fldChar w:fldCharType="begin" w:fldLock="1"/>
      </w:r>
      <w:r w:rsidR="009C2442">
        <w:rPr>
          <w:rFonts w:eastAsiaTheme="minorEastAsia"/>
          <w:sz w:val="22"/>
          <w:szCs w:val="22"/>
        </w:rPr>
        <w:instrText>ADDIN CSL_CITATION {"citationItems":[{"id":"ITEM-1","itemData":{"DOI":"10.1080/02786828408959024","ISSN":"0278-6826","abstract":"A new particle size magnifier (PSM) has been manufactured. In order to evaluate the performance of the PSM, the condensational growth of ultrafine aerosol particles in a supersaturated dibutyl phthalate vapor-air mixture is investigated theoretically and experimentally. First, the supersaturation ratio, the condensable DBP vapor content, and the critical size of the particle that will grow in the PSM are calculated for the mixing of hot air containing the DBP vapor with normal-temperature vapor-free air. Then the time dependence of the droplet radius during condensational growth is evaluated by numerically solving the basic equation under various conditions. From the results it is found that at higher particle number concentrations, the final droplet radii can be determined by the particle number concentration and the condensable DBP vapor content, but that at lower concentrations the particle growth can be approximated by the growth of the isolated droplet. Finally, size distributions of grown DBP droplets in the PSM are determined by sedimentational size analysis and electrical particle size analysis. Good agreement is seen between the experimental results and the previous theoretical analyses, and the overall performance of the PSM is revealed. © 1984 Elsevier Science Publishing Co., Inc.","author":[{"dropping-particle":"","family":"Okuyama","given":"K.","non-dropping-particle":"","parse-names":false,"suffix":""},{"dropping-particle":"","family":"Kousaka","given":"Y.","non-dropping-particle":"","parse-names":false,"suffix":""},{"dropping-particle":"","family":"Motouchi","given":"T.","non-dropping-particle":"","parse-names":false,"suffix":""}],"container-title":"Aerosol Science and Technology","id":"ITEM-1","issue":"4","issued":{"date-parts":[["1984","1","6"]]},"page":"353-366","title":"Condensational Growth of Ultrafine Aerosol Particles in a New Particle Size Magnifier","type":"article-journal","volume":"3"},"uris":["http://www.mendeley.com/documents/?uuid=87af1a3a-c78f-44a4-b804-c89f2519862c"]},{"id":"ITEM-2","itemData":{"DOI":"10.1016/0021-8502(82)90064-7","ISSN":"00218502","abstract":"A new mixing type CNC, the principle of which is based upon that of fog formation in the atmosphere caused by mixing of warm saturated air with cold air, has been developed. The principle of the CNC was examined from the viewpoints of counting efficiency of ultrafine particles and the droplet size after condensational growth as a function of particle number concentration and the quantity of condensable vapor; theory and experiment were found to agree. The CNC is capable of size analysis where the Kelvin equivalent diameter is detected. An ultrafine aerosol generator, having a liquid nitrogen quenching system, has been developed to obtain fairly monodisperse aerosol particles down to about 8 nm. © 1982.","author":[{"dropping-particle":"","family":"Kousaka","given":"Y.","non-dropping-particle":"","parse-names":false,"suffix":""},{"dropping-particle":"","family":"Niida","given":"T.","non-dropping-particle":"","parse-names":false,"suffix":""},{"dropping-particle":"","family":"Okuyama","given":"K.","non-dropping-particle":"","parse-names":false,"suffix":""},{"dropping-particle":"","family":"Tanaka","given":"H.","non-dropping-particle":"","parse-names":false,"suffix":""}],"container-title":"Journal of Aerosol Science","id":"ITEM-2","issue":"3","issued":{"date-parts":[["1982","1"]]},"page":"231-240","title":"Development of a mixing type condensation nucleus counter","type":"article-journal","volume":"13"},"uris":["http://www.mendeley.com/documents/?uuid=9d703c5a-8b17-436b-9406-b51f4025052e"]},{"id":"ITEM-3","itemData":{"DOI":"10.1080/02786828708959116","ISSN":"0278-6826","abstract":"The formation of aerosol particles by homogeneous nucleation in a supersaturated vapor has been studied experimentally and theoretically. In the laboratory, a particle-free gas at room temperature is continuously mixed with a high-temperature gas containing dibutylphthalate vapor in a new device for the study of aerosol nucleation called a particle size magnifier. A highly supersaturated vapor is rapidly formed in the mixing zone of the particle size magnifier, and the resulting number concentrations of aerosol particles are measured under various temperatures, mixing ratios, and mixing methods. Measured number concentrations are compared with those predicted by the classical and Lothe-Pound nucleation theories. The measured concentrations lie between the predictions of the two theories, and the trends with temperature and saturation ratio are consistent with either nucleation theory, provided vapor depletion is considered. © 1987 Elsevier Science Publishing Co., Inc.","author":[{"dropping-particle":"","family":"Okuyama","given":"K.","non-dropping-particle":"","parse-names":false,"suffix":""},{"dropping-particle":"","family":"Kousaka","given":"Y.","non-dropping-particle":"","parse-names":false,"suffix":""},{"dropping-particle":"","family":"Warren","given":"D. R.","non-dropping-particle":"","parse-names":false,"suffix":""},{"dropping-particle":"","family":"Flagan","given":"R. C.","non-dropping-particle":"","parse-names":false,"suffix":""},{"dropping-particle":"","family":"Seinfeld","given":"J. H.","non-dropping-particle":"","parse-names":false,"suffix":""}],"container-title":"Aerosol Science and Technology","id":"ITEM-3","issue":"1","issued":{"date-parts":[["1987","1"]]},"page":"15-27","title":"Homogeneous Nucleation by Continuous Mixing of High Temperature Vapor with Room Temperature Gas","type":"article-journal","volume":"6"},"uris":["http://www.mendeley.com/documents/?uuid=9004ad8a-c18e-41b1-bb5d-d6207fc3b1e6"]}],"mendeley":{"formattedCitation":"(Okuyama et al. 1984, 1987; Kousaka et al. 1982)","manualFormatting":"(Okuyama et al. 1984; Y. Kousaka et al. 1982)","plainTextFormattedCitation":"(Okuyama et al. 1984, 1987; Kousaka et al. 1982)","previouslyFormattedCitation":"(3–5)"},"properties":{"noteIndex":0},"schema":"https://github.com/citation-style-language/schema/raw/master/csl-citation.json"}</w:instrText>
      </w:r>
      <w:r w:rsidR="009C2442">
        <w:rPr>
          <w:rStyle w:val="FootnoteReference"/>
          <w:rFonts w:eastAsiaTheme="minorEastAsia"/>
          <w:sz w:val="22"/>
          <w:szCs w:val="22"/>
        </w:rPr>
        <w:fldChar w:fldCharType="separate"/>
      </w:r>
      <w:r w:rsidR="009C2442">
        <w:rPr>
          <w:rFonts w:eastAsiaTheme="minorEastAsia"/>
          <w:noProof/>
          <w:sz w:val="22"/>
          <w:szCs w:val="22"/>
        </w:rPr>
        <w:t>(Okuyama et al. 1984; Y. Kousaka et al. 1982)</w:t>
      </w:r>
      <w:r w:rsidR="009C2442">
        <w:rPr>
          <w:rStyle w:val="FootnoteReference"/>
          <w:rFonts w:eastAsiaTheme="minorEastAsia"/>
          <w:sz w:val="22"/>
          <w:szCs w:val="22"/>
        </w:rPr>
        <w:fldChar w:fldCharType="end"/>
      </w:r>
      <w:r w:rsidRPr="00572A8F">
        <w:rPr>
          <w:rFonts w:eastAsiaTheme="minorEastAsia"/>
          <w:sz w:val="22"/>
          <w:szCs w:val="22"/>
        </w:rPr>
        <w:t xml:space="preserve">. </w:t>
      </w:r>
      <w:r>
        <w:rPr>
          <w:rFonts w:eastAsiaTheme="minorEastAsia"/>
          <w:sz w:val="22"/>
          <w:szCs w:val="22"/>
        </w:rPr>
        <w:t>T</w:t>
      </w:r>
      <w:r w:rsidRPr="00572A8F">
        <w:rPr>
          <w:rFonts w:eastAsiaTheme="minorEastAsia"/>
          <w:sz w:val="22"/>
          <w:szCs w:val="22"/>
        </w:rPr>
        <w:t xml:space="preserve">he water vapor content and temperature of the </w:t>
      </w:r>
      <w:r>
        <w:rPr>
          <w:rFonts w:eastAsiaTheme="minorEastAsia"/>
          <w:sz w:val="22"/>
          <w:szCs w:val="22"/>
        </w:rPr>
        <w:t>mixed flow can be calculated considering</w:t>
      </w:r>
      <w:r w:rsidRPr="00572A8F">
        <w:rPr>
          <w:rFonts w:eastAsiaTheme="minorEastAsia"/>
          <w:sz w:val="22"/>
          <w:szCs w:val="22"/>
        </w:rPr>
        <w:t xml:space="preserve"> the mass and enthalpy balance for water vapor on a dry air basis</w:t>
      </w:r>
      <w:r>
        <w:rPr>
          <w:rFonts w:eastAsiaTheme="minorEastAsia"/>
          <w:sz w:val="22"/>
          <w:szCs w:val="22"/>
        </w:rPr>
        <w:t>,</w:t>
      </w:r>
      <w:r w:rsidRPr="00572A8F">
        <w:rPr>
          <w:rFonts w:eastAsiaTheme="minorEastAsia"/>
          <w:sz w:val="22"/>
          <w:szCs w:val="22"/>
        </w:rPr>
        <w:t xml:space="preserve"> </w:t>
      </w:r>
      <w:r>
        <w:rPr>
          <w:rFonts w:eastAsiaTheme="minorEastAsia"/>
          <w:sz w:val="22"/>
          <w:szCs w:val="22"/>
        </w:rPr>
        <w:t>and assuming</w:t>
      </w:r>
      <w:r w:rsidRPr="00572A8F">
        <w:rPr>
          <w:rFonts w:eastAsiaTheme="minorEastAsia"/>
          <w:sz w:val="22"/>
          <w:szCs w:val="22"/>
        </w:rPr>
        <w:t xml:space="preserve"> adiabatic mixing of the two flows: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971"/>
        <w:gridCol w:w="1769"/>
      </w:tblGrid>
      <w:tr w:rsidR="001523E9" w:rsidRPr="00572A8F" w14:paraId="4002C050" w14:textId="77777777" w:rsidTr="00E86F31">
        <w:tc>
          <w:tcPr>
            <w:tcW w:w="1620" w:type="dxa"/>
            <w:vAlign w:val="center"/>
          </w:tcPr>
          <w:p w14:paraId="38904012" w14:textId="77777777" w:rsidR="001523E9" w:rsidRPr="00572A8F" w:rsidRDefault="001523E9" w:rsidP="00E86F31">
            <w:pPr>
              <w:pStyle w:val="Caption"/>
              <w:keepNext/>
              <w:spacing w:after="0" w:line="360" w:lineRule="auto"/>
              <w:rPr>
                <w:color w:val="auto"/>
                <w:sz w:val="22"/>
                <w:szCs w:val="22"/>
              </w:rPr>
            </w:pPr>
          </w:p>
        </w:tc>
        <w:tc>
          <w:tcPr>
            <w:tcW w:w="5971" w:type="dxa"/>
            <w:vAlign w:val="center"/>
          </w:tcPr>
          <w:p w14:paraId="10F6C557" w14:textId="77777777" w:rsidR="001523E9" w:rsidRPr="00572A8F" w:rsidRDefault="00000000" w:rsidP="00E86F31">
            <w:pPr>
              <w:pStyle w:val="Displayedequation"/>
              <w:spacing w:before="0" w:after="0" w:line="360" w:lineRule="auto"/>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v</m:t>
                        </m:r>
                      </m:sub>
                    </m:sSub>
                    <m:r>
                      <w:rPr>
                        <w:rFonts w:ascii="Cambria Math" w:eastAsiaTheme="minorEastAsia" w:hAnsi="Cambria Math"/>
                      </w:rPr>
                      <m:t xml:space="preserve"> x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a</m:t>
                        </m:r>
                      </m:sub>
                    </m:sSub>
                    <m:r>
                      <w:rPr>
                        <w:rFonts w:ascii="Cambria Math" w:eastAsiaTheme="minorEastAsia" w:hAnsi="Cambria Math"/>
                      </w:rPr>
                      <m:t xml:space="preserve"> x</m:t>
                    </m:r>
                    <m:sSub>
                      <m:sSubPr>
                        <m:ctrlPr>
                          <w:rPr>
                            <w:rFonts w:ascii="Cambria Math" w:eastAsiaTheme="minorEastAsia" w:hAnsi="Cambria Math"/>
                            <w:i/>
                          </w:rPr>
                        </m:ctrlPr>
                      </m:sSubPr>
                      <m:e>
                        <m:r>
                          <w:rPr>
                            <w:rFonts w:ascii="Cambria Math" w:eastAsiaTheme="minorEastAsia" w:hAnsi="Cambria Math"/>
                          </w:rPr>
                          <m:t xml:space="preserve"> H</m:t>
                        </m:r>
                      </m:e>
                      <m:sub>
                        <m:r>
                          <w:rPr>
                            <w:rFonts w:ascii="Cambria Math" w:eastAsiaTheme="minorEastAsia" w:hAnsi="Cambria Math"/>
                          </w:rPr>
                          <m:t>a</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r>
                  <w:rPr>
                    <w:rFonts w:ascii="Cambria Math" w:eastAsiaTheme="minorEastAsia" w:hAnsi="Cambria Math"/>
                  </w:rPr>
                  <m:t xml:space="preserve"> </m:t>
                </m:r>
              </m:oMath>
            </m:oMathPara>
          </w:p>
        </w:tc>
        <w:tc>
          <w:tcPr>
            <w:tcW w:w="1769" w:type="dxa"/>
            <w:vAlign w:val="center"/>
          </w:tcPr>
          <w:p w14:paraId="65FD4311" w14:textId="77777777" w:rsidR="001523E9" w:rsidRPr="00572A8F" w:rsidRDefault="001523E9" w:rsidP="00E86F31">
            <w:pPr>
              <w:pStyle w:val="Caption"/>
              <w:keepNext/>
              <w:spacing w:after="0" w:line="360" w:lineRule="auto"/>
              <w:jc w:val="right"/>
              <w:rPr>
                <w:i w:val="0"/>
                <w:iCs w:val="0"/>
                <w:color w:val="auto"/>
                <w:sz w:val="22"/>
                <w:szCs w:val="22"/>
              </w:rPr>
            </w:pPr>
            <w:r w:rsidRPr="00572A8F">
              <w:rPr>
                <w:i w:val="0"/>
                <w:iCs w:val="0"/>
                <w:color w:val="auto"/>
                <w:sz w:val="22"/>
                <w:szCs w:val="22"/>
              </w:rPr>
              <w:t>(S</w:t>
            </w:r>
            <w:r w:rsidRPr="00572A8F">
              <w:rPr>
                <w:i w:val="0"/>
                <w:iCs w:val="0"/>
                <w:color w:val="auto"/>
                <w:sz w:val="22"/>
                <w:szCs w:val="22"/>
              </w:rPr>
              <w:noBreakHyphen/>
            </w:r>
            <w:r>
              <w:rPr>
                <w:i w:val="0"/>
                <w:iCs w:val="0"/>
                <w:color w:val="auto"/>
                <w:sz w:val="22"/>
                <w:szCs w:val="22"/>
              </w:rPr>
              <w:t>3</w:t>
            </w:r>
            <w:r w:rsidRPr="00572A8F">
              <w:rPr>
                <w:i w:val="0"/>
                <w:iCs w:val="0"/>
                <w:color w:val="auto"/>
                <w:sz w:val="22"/>
                <w:szCs w:val="22"/>
              </w:rPr>
              <w:t>)</w:t>
            </w:r>
          </w:p>
        </w:tc>
      </w:tr>
      <w:tr w:rsidR="001523E9" w:rsidRPr="00572A8F" w14:paraId="22C23F34" w14:textId="77777777" w:rsidTr="00E86F31">
        <w:tc>
          <w:tcPr>
            <w:tcW w:w="1620" w:type="dxa"/>
            <w:vAlign w:val="center"/>
          </w:tcPr>
          <w:p w14:paraId="44988E6F" w14:textId="77777777" w:rsidR="001523E9" w:rsidRPr="00572A8F" w:rsidRDefault="001523E9" w:rsidP="00E86F31">
            <w:pPr>
              <w:spacing w:line="360" w:lineRule="auto"/>
            </w:pPr>
          </w:p>
        </w:tc>
        <w:tc>
          <w:tcPr>
            <w:tcW w:w="5971" w:type="dxa"/>
            <w:vAlign w:val="center"/>
          </w:tcPr>
          <w:p w14:paraId="2B9D1C35" w14:textId="77777777" w:rsidR="001523E9" w:rsidRPr="00572A8F" w:rsidRDefault="00000000" w:rsidP="00E86F31">
            <w:pPr>
              <w:spacing w:line="360" w:lineRule="auto"/>
              <w:ind w:firstLine="72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v</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v</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a</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v</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a</m:t>
                        </m:r>
                      </m:sub>
                    </m:sSub>
                  </m:den>
                </m:f>
              </m:oMath>
            </m:oMathPara>
          </w:p>
        </w:tc>
        <w:tc>
          <w:tcPr>
            <w:tcW w:w="1769" w:type="dxa"/>
            <w:vAlign w:val="center"/>
          </w:tcPr>
          <w:p w14:paraId="454FD59A" w14:textId="77777777" w:rsidR="001523E9" w:rsidRPr="00572A8F" w:rsidRDefault="001523E9" w:rsidP="00E86F31">
            <w:pPr>
              <w:pStyle w:val="Caption"/>
              <w:spacing w:after="0" w:line="360" w:lineRule="auto"/>
              <w:jc w:val="right"/>
              <w:rPr>
                <w:rFonts w:eastAsiaTheme="minorEastAsia"/>
                <w:sz w:val="22"/>
                <w:szCs w:val="22"/>
              </w:rPr>
            </w:pPr>
            <w:r w:rsidRPr="00572A8F">
              <w:rPr>
                <w:i w:val="0"/>
                <w:iCs w:val="0"/>
                <w:color w:val="auto"/>
                <w:sz w:val="22"/>
                <w:szCs w:val="22"/>
              </w:rPr>
              <w:t>(S</w:t>
            </w:r>
            <w:r w:rsidRPr="00572A8F">
              <w:rPr>
                <w:i w:val="0"/>
                <w:iCs w:val="0"/>
                <w:color w:val="auto"/>
                <w:sz w:val="22"/>
                <w:szCs w:val="22"/>
              </w:rPr>
              <w:noBreakHyphen/>
            </w:r>
            <w:r>
              <w:rPr>
                <w:i w:val="0"/>
                <w:iCs w:val="0"/>
                <w:color w:val="auto"/>
                <w:sz w:val="22"/>
                <w:szCs w:val="22"/>
              </w:rPr>
              <w:t>4</w:t>
            </w:r>
            <w:r w:rsidRPr="00572A8F">
              <w:rPr>
                <w:i w:val="0"/>
                <w:iCs w:val="0"/>
                <w:color w:val="auto"/>
                <w:sz w:val="22"/>
                <w:szCs w:val="22"/>
              </w:rPr>
              <w:t>)</w:t>
            </w:r>
          </w:p>
        </w:tc>
      </w:tr>
      <w:tr w:rsidR="001523E9" w:rsidRPr="00572A8F" w14:paraId="619A830B" w14:textId="77777777" w:rsidTr="00E86F31">
        <w:tc>
          <w:tcPr>
            <w:tcW w:w="1620" w:type="dxa"/>
            <w:vAlign w:val="center"/>
          </w:tcPr>
          <w:p w14:paraId="10FF6198" w14:textId="77777777" w:rsidR="001523E9" w:rsidRPr="00572A8F" w:rsidRDefault="001523E9" w:rsidP="00E86F31">
            <w:pPr>
              <w:spacing w:line="360" w:lineRule="auto"/>
            </w:pPr>
          </w:p>
        </w:tc>
        <w:tc>
          <w:tcPr>
            <w:tcW w:w="5971" w:type="dxa"/>
            <w:vAlign w:val="center"/>
          </w:tcPr>
          <w:p w14:paraId="304FC46F" w14:textId="77777777" w:rsidR="001523E9" w:rsidRPr="00572A8F" w:rsidRDefault="00000000" w:rsidP="00E86F31">
            <w:pPr>
              <w:spacing w:line="360" w:lineRule="auto"/>
              <w:ind w:firstLine="720"/>
              <w:jc w:val="both"/>
              <w:rPr>
                <w:rFonts w:eastAsia="Calibri"/>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a</m:t>
                    </m:r>
                  </m:sub>
                </m:sSub>
              </m:oMath>
            </m:oMathPara>
          </w:p>
        </w:tc>
        <w:tc>
          <w:tcPr>
            <w:tcW w:w="1769" w:type="dxa"/>
            <w:vAlign w:val="center"/>
          </w:tcPr>
          <w:p w14:paraId="7F2FA359" w14:textId="77777777" w:rsidR="001523E9" w:rsidRPr="00572A8F" w:rsidRDefault="001523E9" w:rsidP="00E86F31">
            <w:pPr>
              <w:pStyle w:val="Caption"/>
              <w:spacing w:after="0" w:line="360" w:lineRule="auto"/>
              <w:jc w:val="right"/>
              <w:rPr>
                <w:rFonts w:eastAsiaTheme="minorEastAsia"/>
                <w:sz w:val="22"/>
                <w:szCs w:val="22"/>
              </w:rPr>
            </w:pPr>
            <w:r w:rsidRPr="00572A8F">
              <w:rPr>
                <w:i w:val="0"/>
                <w:iCs w:val="0"/>
                <w:color w:val="auto"/>
                <w:sz w:val="22"/>
                <w:szCs w:val="22"/>
              </w:rPr>
              <w:t>(S</w:t>
            </w:r>
            <w:r w:rsidRPr="00572A8F">
              <w:rPr>
                <w:i w:val="0"/>
                <w:iCs w:val="0"/>
                <w:color w:val="auto"/>
                <w:sz w:val="22"/>
                <w:szCs w:val="22"/>
              </w:rPr>
              <w:noBreakHyphen/>
            </w:r>
            <w:r>
              <w:rPr>
                <w:i w:val="0"/>
                <w:iCs w:val="0"/>
                <w:color w:val="auto"/>
                <w:sz w:val="22"/>
                <w:szCs w:val="22"/>
              </w:rPr>
              <w:t>5</w:t>
            </w:r>
            <w:r w:rsidRPr="00572A8F">
              <w:rPr>
                <w:i w:val="0"/>
                <w:iCs w:val="0"/>
                <w:color w:val="auto"/>
                <w:sz w:val="22"/>
                <w:szCs w:val="22"/>
              </w:rPr>
              <w:t>)</w:t>
            </w:r>
          </w:p>
        </w:tc>
      </w:tr>
    </w:tbl>
    <w:p w14:paraId="7FA2249E" w14:textId="77777777" w:rsidR="001523E9" w:rsidRPr="00572A8F" w:rsidRDefault="001523E9" w:rsidP="001523E9">
      <w:pPr>
        <w:spacing w:line="360" w:lineRule="auto"/>
        <w:jc w:val="both"/>
        <w:rPr>
          <w:rFonts w:eastAsiaTheme="minorEastAsia"/>
          <w:sz w:val="22"/>
          <w:szCs w:val="22"/>
        </w:rPr>
      </w:pPr>
    </w:p>
    <w:p w14:paraId="0A63C99F" w14:textId="14849977" w:rsidR="001523E9" w:rsidRPr="00E43067" w:rsidRDefault="001523E9" w:rsidP="001523E9">
      <w:pPr>
        <w:spacing w:line="360" w:lineRule="auto"/>
        <w:jc w:val="both"/>
        <w:rPr>
          <w:rFonts w:eastAsiaTheme="minorEastAsia"/>
          <w:sz w:val="22"/>
          <w:szCs w:val="22"/>
        </w:rPr>
      </w:pPr>
      <w:r w:rsidRPr="4887D46F">
        <w:rPr>
          <w:rFonts w:eastAsiaTheme="minorEastAsia"/>
          <w:sz w:val="22"/>
          <w:szCs w:val="22"/>
        </w:rPr>
        <w:t xml:space="preserve">where </w:t>
      </w:r>
      <w:r w:rsidRPr="4887D46F">
        <w:rPr>
          <w:rFonts w:eastAsiaTheme="minorEastAsia"/>
          <w:i/>
          <w:iCs/>
          <w:sz w:val="22"/>
          <w:szCs w:val="22"/>
        </w:rPr>
        <w:t>H</w:t>
      </w:r>
      <w:r w:rsidRPr="4887D46F">
        <w:rPr>
          <w:rFonts w:eastAsiaTheme="minorEastAsia"/>
          <w:sz w:val="22"/>
          <w:szCs w:val="22"/>
        </w:rPr>
        <w:t xml:space="preserve"> </w:t>
      </w:r>
      <w:r>
        <w:rPr>
          <w:rFonts w:eastAsiaTheme="minorEastAsia"/>
          <w:sz w:val="22"/>
          <w:szCs w:val="22"/>
        </w:rPr>
        <w:t xml:space="preserve">is </w:t>
      </w:r>
      <w:r w:rsidRPr="4887D46F">
        <w:rPr>
          <w:rFonts w:eastAsiaTheme="minorEastAsia"/>
          <w:sz w:val="22"/>
          <w:szCs w:val="22"/>
        </w:rPr>
        <w:t>the water vapor content</w:t>
      </w:r>
      <w:r w:rsidRPr="4887D46F">
        <w:rPr>
          <w:rFonts w:eastAsiaTheme="minorEastAsia"/>
          <w:i/>
          <w:iCs/>
          <w:sz w:val="22"/>
          <w:szCs w:val="22"/>
        </w:rPr>
        <w:t>,</w:t>
      </w:r>
      <w:r w:rsidRPr="4887D46F">
        <w:rPr>
          <w:rFonts w:eastAsiaTheme="minorEastAsia"/>
          <w:sz w:val="22"/>
          <w:szCs w:val="22"/>
        </w:rPr>
        <w:t xml:space="preserve"> </w:t>
      </w:r>
      <w:r w:rsidRPr="4887D46F">
        <w:rPr>
          <w:rFonts w:eastAsiaTheme="minorEastAsia"/>
          <w:i/>
          <w:iCs/>
          <w:sz w:val="22"/>
          <w:szCs w:val="22"/>
        </w:rPr>
        <w:t>Q</w:t>
      </w:r>
      <w:r w:rsidRPr="4887D46F">
        <w:rPr>
          <w:rFonts w:eastAsiaTheme="minorEastAsia"/>
          <w:sz w:val="22"/>
          <w:szCs w:val="22"/>
        </w:rPr>
        <w:t xml:space="preserve"> (L min</w:t>
      </w:r>
      <w:r w:rsidRPr="4887D46F">
        <w:rPr>
          <w:rFonts w:eastAsiaTheme="minorEastAsia"/>
          <w:sz w:val="22"/>
          <w:szCs w:val="22"/>
          <w:vertAlign w:val="superscript"/>
        </w:rPr>
        <w:t>-1</w:t>
      </w:r>
      <w:r w:rsidRPr="4887D46F">
        <w:rPr>
          <w:rFonts w:eastAsiaTheme="minorEastAsia"/>
          <w:sz w:val="22"/>
          <w:szCs w:val="22"/>
        </w:rPr>
        <w:t>)</w:t>
      </w:r>
      <w:r>
        <w:rPr>
          <w:rFonts w:eastAsiaTheme="minorEastAsia"/>
          <w:sz w:val="22"/>
          <w:szCs w:val="22"/>
        </w:rPr>
        <w:t xml:space="preserve"> is the </w:t>
      </w:r>
      <w:r w:rsidRPr="4887D46F">
        <w:rPr>
          <w:rFonts w:eastAsiaTheme="minorEastAsia"/>
          <w:sz w:val="22"/>
          <w:szCs w:val="22"/>
        </w:rPr>
        <w:t>flow rate,</w:t>
      </w:r>
      <w:r>
        <w:rPr>
          <w:rFonts w:eastAsiaTheme="minorEastAsia"/>
          <w:sz w:val="22"/>
          <w:szCs w:val="22"/>
        </w:rPr>
        <w:t xml:space="preserve"> </w:t>
      </w:r>
      <w:r w:rsidRPr="4887D46F">
        <w:rPr>
          <w:rFonts w:eastAsiaTheme="minorEastAsia"/>
          <w:i/>
          <w:iCs/>
          <w:sz w:val="22"/>
          <w:szCs w:val="22"/>
        </w:rPr>
        <w:t xml:space="preserve">T </w:t>
      </w:r>
      <w:r w:rsidRPr="4887D46F">
        <w:rPr>
          <w:rFonts w:eastAsiaTheme="minorEastAsia"/>
          <w:sz w:val="22"/>
          <w:szCs w:val="22"/>
        </w:rPr>
        <w:t xml:space="preserve">(K) </w:t>
      </w:r>
      <w:r>
        <w:rPr>
          <w:rFonts w:eastAsiaTheme="minorEastAsia"/>
          <w:sz w:val="22"/>
          <w:szCs w:val="22"/>
        </w:rPr>
        <w:t xml:space="preserve">is the </w:t>
      </w:r>
      <w:r w:rsidRPr="4887D46F">
        <w:rPr>
          <w:rFonts w:eastAsiaTheme="minorEastAsia"/>
          <w:sz w:val="22"/>
          <w:szCs w:val="22"/>
        </w:rPr>
        <w:t>temperature</w:t>
      </w:r>
      <w:r>
        <w:rPr>
          <w:rFonts w:eastAsiaTheme="minorEastAsia"/>
          <w:sz w:val="22"/>
          <w:szCs w:val="22"/>
        </w:rPr>
        <w:t>,</w:t>
      </w:r>
      <w:r w:rsidRPr="4887D46F">
        <w:rPr>
          <w:rFonts w:eastAsiaTheme="minorEastAsia"/>
          <w:sz w:val="22"/>
          <w:szCs w:val="22"/>
        </w:rPr>
        <w:t xml:space="preserve"> and </w:t>
      </w:r>
      <w:r w:rsidRPr="4887D46F">
        <w:rPr>
          <w:rFonts w:eastAsiaTheme="minorEastAsia"/>
          <w:i/>
          <w:iCs/>
          <w:sz w:val="22"/>
          <w:szCs w:val="22"/>
        </w:rPr>
        <w:t>C</w:t>
      </w:r>
      <w:r w:rsidRPr="4887D46F">
        <w:rPr>
          <w:rFonts w:eastAsiaTheme="minorEastAsia"/>
          <w:sz w:val="22"/>
          <w:szCs w:val="22"/>
        </w:rPr>
        <w:t xml:space="preserve"> (</w:t>
      </w:r>
      <w:proofErr w:type="spellStart"/>
      <w:r w:rsidRPr="4887D46F">
        <w:rPr>
          <w:rFonts w:eastAsiaTheme="minorEastAsia"/>
          <w:sz w:val="22"/>
          <w:szCs w:val="22"/>
        </w:rPr>
        <w:t>cal</w:t>
      </w:r>
      <w:proofErr w:type="spellEnd"/>
      <w:r w:rsidRPr="4887D46F">
        <w:rPr>
          <w:rFonts w:eastAsiaTheme="minorEastAsia"/>
          <w:sz w:val="22"/>
          <w:szCs w:val="22"/>
        </w:rPr>
        <w:t xml:space="preserve"> (</w:t>
      </w:r>
      <w:proofErr w:type="spellStart"/>
      <w:proofErr w:type="gramStart"/>
      <w:r w:rsidRPr="4887D46F">
        <w:rPr>
          <w:rFonts w:eastAsiaTheme="minorEastAsia"/>
          <w:sz w:val="22"/>
          <w:szCs w:val="22"/>
        </w:rPr>
        <w:t>g</w:t>
      </w:r>
      <w:r w:rsidRPr="4887D46F">
        <w:rPr>
          <w:rFonts w:eastAsiaTheme="minorEastAsia"/>
          <w:sz w:val="22"/>
          <w:szCs w:val="22"/>
          <w:vertAlign w:val="subscript"/>
        </w:rPr>
        <w:t>dry,air</w:t>
      </w:r>
      <w:proofErr w:type="spellEnd"/>
      <w:proofErr w:type="gramEnd"/>
      <w:r w:rsidRPr="4887D46F">
        <w:rPr>
          <w:rFonts w:eastAsiaTheme="minorEastAsia"/>
          <w:sz w:val="22"/>
          <w:szCs w:val="22"/>
        </w:rPr>
        <w:t xml:space="preserve"> K)</w:t>
      </w:r>
      <w:r w:rsidRPr="4887D46F">
        <w:rPr>
          <w:rFonts w:eastAsiaTheme="minorEastAsia"/>
          <w:sz w:val="22"/>
          <w:szCs w:val="22"/>
          <w:vertAlign w:val="superscript"/>
        </w:rPr>
        <w:t>-1</w:t>
      </w:r>
      <w:r w:rsidRPr="4887D46F">
        <w:rPr>
          <w:rFonts w:eastAsiaTheme="minorEastAsia"/>
          <w:sz w:val="22"/>
          <w:szCs w:val="22"/>
        </w:rPr>
        <w:t>)</w:t>
      </w:r>
      <w:r>
        <w:rPr>
          <w:rFonts w:eastAsiaTheme="minorEastAsia"/>
          <w:sz w:val="22"/>
          <w:szCs w:val="22"/>
        </w:rPr>
        <w:t xml:space="preserve"> is the </w:t>
      </w:r>
      <w:r w:rsidRPr="4887D46F">
        <w:rPr>
          <w:rFonts w:eastAsiaTheme="minorEastAsia"/>
          <w:sz w:val="22"/>
          <w:szCs w:val="22"/>
        </w:rPr>
        <w:t xml:space="preserve">specific heat capacity of dry air containing water vapor. The subscripts </w:t>
      </w:r>
      <w:r w:rsidRPr="4887D46F">
        <w:rPr>
          <w:rFonts w:eastAsiaTheme="minorEastAsia"/>
          <w:i/>
          <w:iCs/>
          <w:sz w:val="22"/>
          <w:szCs w:val="22"/>
        </w:rPr>
        <w:t>(v)</w:t>
      </w:r>
      <w:r w:rsidRPr="4887D46F">
        <w:rPr>
          <w:rFonts w:eastAsiaTheme="minorEastAsia"/>
          <w:sz w:val="22"/>
          <w:szCs w:val="22"/>
        </w:rPr>
        <w:t xml:space="preserve">, </w:t>
      </w:r>
      <w:r w:rsidRPr="4887D46F">
        <w:rPr>
          <w:rFonts w:eastAsiaTheme="minorEastAsia"/>
          <w:i/>
          <w:iCs/>
          <w:sz w:val="22"/>
          <w:szCs w:val="22"/>
        </w:rPr>
        <w:t>(a)</w:t>
      </w:r>
      <w:r w:rsidRPr="4887D46F">
        <w:rPr>
          <w:rFonts w:eastAsiaTheme="minorEastAsia"/>
          <w:sz w:val="22"/>
          <w:szCs w:val="22"/>
        </w:rPr>
        <w:t xml:space="preserve"> and </w:t>
      </w:r>
      <w:r w:rsidRPr="4887D46F">
        <w:rPr>
          <w:rFonts w:eastAsiaTheme="minorEastAsia"/>
          <w:i/>
          <w:iCs/>
          <w:sz w:val="22"/>
          <w:szCs w:val="22"/>
        </w:rPr>
        <w:t>(m)</w:t>
      </w:r>
      <w:r w:rsidRPr="4887D46F">
        <w:rPr>
          <w:rFonts w:eastAsiaTheme="minorEastAsia"/>
          <w:sz w:val="22"/>
          <w:szCs w:val="22"/>
        </w:rPr>
        <w:t xml:space="preserve"> refer to the vapor-saturated, aerosol, and mixed flow, respectively. We assumed that the vapor-saturated temperature (</w:t>
      </w:r>
      <w:r w:rsidRPr="4887D46F">
        <w:rPr>
          <w:rFonts w:eastAsiaTheme="minorEastAsia"/>
          <w:i/>
          <w:iCs/>
          <w:sz w:val="22"/>
          <w:szCs w:val="22"/>
        </w:rPr>
        <w:t>T</w:t>
      </w:r>
      <w:r w:rsidRPr="4887D46F">
        <w:rPr>
          <w:rFonts w:eastAsiaTheme="minorEastAsia"/>
          <w:i/>
          <w:iCs/>
          <w:sz w:val="22"/>
          <w:szCs w:val="22"/>
          <w:vertAlign w:val="subscript"/>
        </w:rPr>
        <w:t>v</w:t>
      </w:r>
      <w:r w:rsidRPr="4887D46F">
        <w:rPr>
          <w:rFonts w:eastAsiaTheme="minorEastAsia"/>
          <w:i/>
          <w:iCs/>
          <w:sz w:val="22"/>
          <w:szCs w:val="22"/>
        </w:rPr>
        <w:t xml:space="preserve">) </w:t>
      </w:r>
      <w:r w:rsidRPr="4887D46F">
        <w:rPr>
          <w:rFonts w:eastAsiaTheme="minorEastAsia"/>
          <w:sz w:val="22"/>
          <w:szCs w:val="22"/>
        </w:rPr>
        <w:t xml:space="preserve">where the mixing initiates, was equal to the temperature of the saturator </w:t>
      </w:r>
      <w:r w:rsidRPr="4887D46F">
        <w:rPr>
          <w:rFonts w:eastAsiaTheme="minorEastAsia"/>
          <w:i/>
          <w:iCs/>
          <w:sz w:val="22"/>
          <w:szCs w:val="22"/>
        </w:rPr>
        <w:t>(</w:t>
      </w:r>
      <w:proofErr w:type="spellStart"/>
      <w:r w:rsidRPr="4887D46F">
        <w:rPr>
          <w:rFonts w:eastAsiaTheme="minorEastAsia"/>
          <w:i/>
          <w:iCs/>
          <w:sz w:val="22"/>
          <w:szCs w:val="22"/>
        </w:rPr>
        <w:t>T</w:t>
      </w:r>
      <w:r w:rsidRPr="4887D46F">
        <w:rPr>
          <w:rFonts w:eastAsiaTheme="minorEastAsia"/>
          <w:i/>
          <w:iCs/>
          <w:sz w:val="22"/>
          <w:szCs w:val="22"/>
          <w:vertAlign w:val="subscript"/>
        </w:rPr>
        <w:t>sat</w:t>
      </w:r>
      <w:proofErr w:type="spellEnd"/>
      <w:r w:rsidRPr="4887D46F">
        <w:rPr>
          <w:rFonts w:eastAsiaTheme="minorEastAsia"/>
          <w:i/>
          <w:iCs/>
          <w:sz w:val="22"/>
          <w:szCs w:val="22"/>
        </w:rPr>
        <w:t xml:space="preserve">). </w:t>
      </w:r>
      <w:r w:rsidRPr="4887D46F">
        <w:rPr>
          <w:rFonts w:eastAsiaTheme="minorEastAsia"/>
          <w:sz w:val="22"/>
          <w:szCs w:val="22"/>
        </w:rPr>
        <w:t>The water vapor content,</w:t>
      </w:r>
      <w:r w:rsidRPr="4887D46F">
        <w:rPr>
          <w:rFonts w:eastAsiaTheme="minorEastAsia"/>
          <w:i/>
          <w:iCs/>
          <w:sz w:val="22"/>
          <w:szCs w:val="22"/>
        </w:rPr>
        <w:t xml:space="preserve"> H,</w:t>
      </w:r>
      <w:r w:rsidRPr="4887D46F">
        <w:rPr>
          <w:rFonts w:eastAsiaTheme="minorEastAsia"/>
          <w:sz w:val="22"/>
          <w:szCs w:val="22"/>
        </w:rPr>
        <w:t xml:space="preserve"> the specific heat capacity of the mixed flow, the partial vapor pressure of the mixed flow, and the equilibrium vapor pressure based on the calculated temperature of the mixed flow were computed (using Equations S-3, S-4, S-5 and Table S1). The saturation ratio of the mixed flow was calculated using </w:t>
      </w:r>
      <w:r w:rsidRPr="4887D46F">
        <w:rPr>
          <w:rFonts w:eastAsiaTheme="minorEastAsia"/>
          <w:sz w:val="22"/>
          <w:szCs w:val="22"/>
        </w:rPr>
        <w:lastRenderedPageBreak/>
        <w:t xml:space="preserve">Equation </w:t>
      </w:r>
      <w:r w:rsidRPr="4887D46F">
        <w:rPr>
          <w:rFonts w:eastAsiaTheme="minorEastAsia"/>
          <w:sz w:val="22"/>
          <w:szCs w:val="22"/>
        </w:rPr>
        <w:fldChar w:fldCharType="begin"/>
      </w:r>
      <w:r w:rsidRPr="4887D46F">
        <w:rPr>
          <w:rFonts w:eastAsiaTheme="minorEastAsia"/>
          <w:sz w:val="22"/>
          <w:szCs w:val="22"/>
        </w:rPr>
        <w:instrText xml:space="preserve"> REF _Ref108691588 \h  \* MERGEFORMAT </w:instrText>
      </w:r>
      <w:r w:rsidRPr="4887D46F">
        <w:rPr>
          <w:rFonts w:eastAsiaTheme="minorEastAsia"/>
          <w:sz w:val="22"/>
          <w:szCs w:val="22"/>
        </w:rPr>
      </w:r>
      <w:r w:rsidRPr="4887D46F">
        <w:rPr>
          <w:rFonts w:eastAsiaTheme="minorEastAsia"/>
          <w:sz w:val="22"/>
          <w:szCs w:val="22"/>
        </w:rPr>
        <w:fldChar w:fldCharType="separate"/>
      </w:r>
      <w:r w:rsidRPr="00572A8F">
        <w:rPr>
          <w:sz w:val="22"/>
          <w:szCs w:val="22"/>
        </w:rPr>
        <w:t>(S</w:t>
      </w:r>
      <w:r w:rsidRPr="00572A8F">
        <w:rPr>
          <w:sz w:val="22"/>
          <w:szCs w:val="22"/>
        </w:rPr>
        <w:noBreakHyphen/>
      </w:r>
      <w:r w:rsidRPr="00DD178D">
        <w:rPr>
          <w:sz w:val="22"/>
          <w:szCs w:val="22"/>
        </w:rPr>
        <w:t>1</w:t>
      </w:r>
      <w:r w:rsidRPr="00572A8F">
        <w:rPr>
          <w:sz w:val="22"/>
          <w:szCs w:val="22"/>
        </w:rPr>
        <w:t>)</w:t>
      </w:r>
      <w:r w:rsidRPr="4887D46F">
        <w:rPr>
          <w:rFonts w:eastAsiaTheme="minorEastAsia"/>
          <w:sz w:val="22"/>
          <w:szCs w:val="22"/>
        </w:rPr>
        <w:fldChar w:fldCharType="end"/>
      </w:r>
      <w:r w:rsidRPr="4887D46F">
        <w:rPr>
          <w:rFonts w:eastAsiaTheme="minorEastAsia"/>
          <w:sz w:val="22"/>
          <w:szCs w:val="22"/>
        </w:rPr>
        <w:t xml:space="preserve">. </w:t>
      </w:r>
      <w:r w:rsidRPr="00572A8F">
        <w:rPr>
          <w:sz w:val="22"/>
          <w:szCs w:val="22"/>
        </w:rPr>
        <w:t>We d</w:t>
      </w:r>
      <w:r>
        <w:rPr>
          <w:sz w:val="22"/>
          <w:szCs w:val="22"/>
        </w:rPr>
        <w:t>id</w:t>
      </w:r>
      <w:r w:rsidRPr="00572A8F">
        <w:rPr>
          <w:sz w:val="22"/>
          <w:szCs w:val="22"/>
        </w:rPr>
        <w:t xml:space="preserve"> not include the latent heat released from the vapor condensation or the vapor depletion in our calculations, which can </w:t>
      </w:r>
      <w:r>
        <w:rPr>
          <w:sz w:val="22"/>
          <w:szCs w:val="22"/>
        </w:rPr>
        <w:t>reduce</w:t>
      </w:r>
      <w:r w:rsidRPr="00572A8F">
        <w:rPr>
          <w:sz w:val="22"/>
          <w:szCs w:val="22"/>
        </w:rPr>
        <w:t xml:space="preserve"> </w:t>
      </w:r>
      <w:r>
        <w:rPr>
          <w:sz w:val="22"/>
          <w:szCs w:val="22"/>
        </w:rPr>
        <w:t>the</w:t>
      </w:r>
      <w:r w:rsidRPr="00572A8F">
        <w:rPr>
          <w:sz w:val="22"/>
          <w:szCs w:val="22"/>
        </w:rPr>
        <w:t xml:space="preserve"> </w:t>
      </w:r>
      <w:r w:rsidRPr="4887D46F">
        <w:rPr>
          <w:rFonts w:eastAsiaTheme="minorEastAsia"/>
          <w:i/>
          <w:iCs/>
          <w:sz w:val="22"/>
          <w:szCs w:val="22"/>
        </w:rPr>
        <w:t>S</w:t>
      </w:r>
      <w:r w:rsidRPr="4887D46F">
        <w:rPr>
          <w:rFonts w:eastAsiaTheme="minorEastAsia"/>
          <w:i/>
          <w:iCs/>
          <w:sz w:val="22"/>
          <w:szCs w:val="22"/>
          <w:vertAlign w:val="subscript"/>
        </w:rPr>
        <w:t>R</w:t>
      </w:r>
      <w:r w:rsidRPr="00572A8F">
        <w:rPr>
          <w:sz w:val="22"/>
          <w:szCs w:val="22"/>
        </w:rPr>
        <w:t xml:space="preserve"> or increase</w:t>
      </w:r>
      <w:r>
        <w:rPr>
          <w:sz w:val="22"/>
          <w:szCs w:val="22"/>
        </w:rPr>
        <w:t xml:space="preserve"> the</w:t>
      </w:r>
      <w:r w:rsidRPr="00572A8F">
        <w:rPr>
          <w:sz w:val="22"/>
          <w:szCs w:val="22"/>
        </w:rPr>
        <w:t xml:space="preserve"> </w:t>
      </w:r>
      <w:proofErr w:type="spellStart"/>
      <w:r w:rsidRPr="00572A8F">
        <w:rPr>
          <w:rFonts w:eastAsiaTheme="minorEastAsia"/>
          <w:i/>
          <w:iCs/>
          <w:sz w:val="22"/>
          <w:szCs w:val="22"/>
        </w:rPr>
        <w:t>d</w:t>
      </w:r>
      <w:r w:rsidRPr="00572A8F">
        <w:rPr>
          <w:rFonts w:eastAsiaTheme="minorEastAsia"/>
          <w:i/>
          <w:iCs/>
          <w:sz w:val="22"/>
          <w:szCs w:val="22"/>
          <w:vertAlign w:val="subscript"/>
        </w:rPr>
        <w:t>p</w:t>
      </w:r>
      <w:proofErr w:type="spellEnd"/>
      <w:r w:rsidRPr="00572A8F">
        <w:rPr>
          <w:rFonts w:eastAsiaTheme="minorEastAsia"/>
          <w:i/>
          <w:iCs/>
          <w:sz w:val="22"/>
          <w:szCs w:val="22"/>
          <w:vertAlign w:val="superscript"/>
        </w:rPr>
        <w:t>*</w:t>
      </w:r>
      <w:r w:rsidRPr="00572A8F">
        <w:rPr>
          <w:sz w:val="22"/>
          <w:szCs w:val="22"/>
        </w:rPr>
        <w:t xml:space="preserve">, particularly at high number concentrations </w:t>
      </w:r>
      <w:r w:rsidR="009C2442">
        <w:rPr>
          <w:rStyle w:val="FootnoteReference"/>
          <w:sz w:val="22"/>
          <w:szCs w:val="22"/>
        </w:rPr>
        <w:fldChar w:fldCharType="begin" w:fldLock="1"/>
      </w:r>
      <w:r w:rsidR="009C2442">
        <w:rPr>
          <w:sz w:val="22"/>
          <w:szCs w:val="22"/>
        </w:rPr>
        <w:instrText>ADDIN CSL_CITATION {"citationItems":[{"id":"ITEM-1","itemData":{"DOI":"10.1016/1352-2310(95)00180-7","ISSN":"13522310","author":[{"dropping-particle":"","family":"Khlystov","given":"A","non-dropping-particle":"","parse-names":false,"suffix":""}],"container-title":"Atmospheric Environment","id":"ITEM-1","issue":"17","issued":{"date-parts":[["1995","9"]]},"page":"2229-2234","title":"The steam-jet aerosol collector","type":"article-journal","volume":"29"},"uris":["http://www.mendeley.com/documents/?uuid=592b2abf-e792-4848-8fea-26c184c60460"]},{"id":"ITEM-2","itemData":{"DOI":"10.1080/02786826.2010.551146","ISSN":"0278-6826","abstract":"The continuous-flow streamwise thermal-gradient cloud condensation nuclei counter (CFSTGC) is a commercially available instrument that is widely used for laboratory and field measurements of cloud condensation nuclei (CCN). All studies to date assume that the supersaturation profile generated in its growth chamber is not influenced by the condensation of water vapor upon the growing CCN. The validity of this assumption, however, has never been systematically explored. This work examines when water vapor depletion from CCN can have an important impact on supersaturation, measured CCN concentration, and droplet growth. A fully coupled numerical flow model of the instrument is used to simulate the water vapor supersaturation, temperature, velocity profiles, and CCN growth in the CFSTGC for a wide range of operation and CCN concentrations. Laboratory CCN activation experiments of polydisperse calibration aerosol (with a DMT CFSTGC operated in constant flow mode) are used to evaluate the simulations. The simulations and laboratory experiments are then generalized using a scaling analysis of the conditions that lead to supersaturation depletion. We find that CCN concentrations below 5000 cm-3 (regardless of their activation kinetics or instrument operating conditions) do not decrease supersaturation and outlet droplet diameter by more than 10%. For larger CCN concentrations, a simple correction can be applied that addresses both the depression in supersaturation and droplet size. Copyright © American Association for Aerosol Research.","author":[{"dropping-particle":"","family":"Lathem","given":"T. L.","non-dropping-particle":"","parse-names":false,"suffix":""},{"dropping-particle":"","family":"Nenes","given":"A.","non-dropping-particle":"","parse-names":false,"suffix":""}],"container-title":"Aerosol Science and Technology","id":"ITEM-2","issue":"5","issued":{"date-parts":[["2011","3","31"]]},"page":"604-615","title":"Water Vapor Depletion in the DMT Continuous-Flow CCN Chamber: Effects on Supersaturation and Droplet Growth","type":"article-journal","volume":"45"},"uris":["http://www.mendeley.com/documents/?uuid=6b2e4f62-c500-45ee-80b2-31b39754464f"]},{"id":"ITEM-3","itemData":{"DOI":"10.1080/02786826.2013.779629","ISSN":"0278-6826","abstract":"Concentration effects in water condensation systems, such as used in the water-based condensation particle counter, are explored through numeric modeling and direct measurements. Modeling shows that the condensation heat release and vapor depletion associated with particle activation and growth lowers the peak supersaturation. At higher number concentrations, the diameter of the droplets formed is smaller, and the threshold particle size for activation is higher. This occurs in both cylindrical and parallel plate geometries. For water-based systems, we find that condensational heat release is more important than vapor depletion. We also find that concentration effects can be minimized through use of smaller tube diameters, or more closely spaced parallel plates. Experimental measurements of droplet diameter confirm modeling results. © 2013 American Association for Aerosol Research.","author":[{"dropping-particle":"","family":"Lewis","given":"G. S.","non-dropping-particle":"","parse-names":false,"suffix":""},{"dropping-particle":"V.","family":"Hering","given":"S.","non-dropping-particle":"","parse-names":false,"suffix":""}],"container-title":"Aerosol Science and Technology","id":"ITEM-3","issue":"6","issued":{"date-parts":[["2013","6","8"]]},"page":"645-654","title":"Minimizing Concentration Effects in Water-Based, Laminar-Flow Condensation Particle Counters","type":"article-journal","volume":"47"},"uris":["http://www.mendeley.com/documents/?uuid=227ab1ec-1539-4111-8e46-faf3c2b3312b"]}],"mendeley":{"formattedCitation":"(Lewis and Hering 2013; Lathem and Nenes 2011; Khlystov 1995)","manualFormatting":"(Lathem and Nenes 2011; Lewis and Hering 2013)","plainTextFormattedCitation":"(Lewis and Hering 2013; Lathem and Nenes 2011; Khlystov 1995)","previouslyFormattedCitation":"(6–8)"},"properties":{"noteIndex":0},"schema":"https://github.com/citation-style-language/schema/raw/master/csl-citation.json"}</w:instrText>
      </w:r>
      <w:r w:rsidR="009C2442">
        <w:rPr>
          <w:rStyle w:val="FootnoteReference"/>
          <w:sz w:val="22"/>
          <w:szCs w:val="22"/>
        </w:rPr>
        <w:fldChar w:fldCharType="separate"/>
      </w:r>
      <w:r w:rsidR="009C2442">
        <w:rPr>
          <w:noProof/>
          <w:sz w:val="22"/>
          <w:szCs w:val="22"/>
        </w:rPr>
        <w:t>(Lathem and Nenes 2011; Lewis and Hering 2013)</w:t>
      </w:r>
      <w:r w:rsidR="009C2442">
        <w:rPr>
          <w:rStyle w:val="FootnoteReference"/>
          <w:sz w:val="22"/>
          <w:szCs w:val="22"/>
        </w:rPr>
        <w:fldChar w:fldCharType="end"/>
      </w:r>
      <w:r w:rsidRPr="00572A8F">
        <w:rPr>
          <w:sz w:val="22"/>
          <w:szCs w:val="22"/>
        </w:rPr>
        <w:t xml:space="preserve">. </w:t>
      </w:r>
    </w:p>
    <w:p w14:paraId="313A94EE" w14:textId="48B48D28" w:rsidR="001523E9" w:rsidRDefault="001523E9" w:rsidP="001523E9">
      <w:pPr>
        <w:spacing w:line="360" w:lineRule="auto"/>
        <w:ind w:firstLine="720"/>
        <w:jc w:val="both"/>
        <w:rPr>
          <w:rFonts w:eastAsiaTheme="minorEastAsia"/>
          <w:sz w:val="22"/>
          <w:szCs w:val="22"/>
        </w:rPr>
      </w:pPr>
      <w:r w:rsidRPr="4887D46F">
        <w:rPr>
          <w:rFonts w:eastAsiaTheme="minorEastAsia"/>
          <w:sz w:val="22"/>
          <w:szCs w:val="22"/>
        </w:rPr>
        <w:t xml:space="preserve">The calculated </w:t>
      </w:r>
      <w:r w:rsidRPr="4887D46F">
        <w:rPr>
          <w:rFonts w:eastAsiaTheme="minorEastAsia"/>
          <w:i/>
          <w:iCs/>
          <w:sz w:val="22"/>
          <w:szCs w:val="22"/>
        </w:rPr>
        <w:t>S</w:t>
      </w:r>
      <w:r w:rsidRPr="4887D46F">
        <w:rPr>
          <w:rFonts w:eastAsiaTheme="minorEastAsia"/>
          <w:i/>
          <w:iCs/>
          <w:sz w:val="22"/>
          <w:szCs w:val="22"/>
          <w:vertAlign w:val="subscript"/>
        </w:rPr>
        <w:t>R</w:t>
      </w:r>
      <w:r>
        <w:rPr>
          <w:rFonts w:eastAsiaTheme="minorEastAsia"/>
          <w:sz w:val="22"/>
          <w:szCs w:val="22"/>
        </w:rPr>
        <w:t xml:space="preserve"> </w:t>
      </w:r>
      <w:r w:rsidRPr="4887D46F">
        <w:rPr>
          <w:rFonts w:eastAsiaTheme="minorEastAsia"/>
          <w:sz w:val="22"/>
          <w:szCs w:val="22"/>
        </w:rPr>
        <w:t xml:space="preserve">and </w:t>
      </w:r>
      <w:proofErr w:type="spellStart"/>
      <w:r w:rsidRPr="4887D46F">
        <w:rPr>
          <w:rFonts w:eastAsiaTheme="minorEastAsia"/>
          <w:i/>
          <w:iCs/>
          <w:sz w:val="22"/>
          <w:szCs w:val="22"/>
        </w:rPr>
        <w:t>d</w:t>
      </w:r>
      <w:r w:rsidRPr="4887D46F">
        <w:rPr>
          <w:rFonts w:eastAsiaTheme="minorEastAsia"/>
          <w:i/>
          <w:iCs/>
          <w:sz w:val="22"/>
          <w:szCs w:val="22"/>
          <w:vertAlign w:val="subscript"/>
        </w:rPr>
        <w:t>p</w:t>
      </w:r>
      <w:proofErr w:type="spellEnd"/>
      <w:r w:rsidRPr="4887D46F">
        <w:rPr>
          <w:rFonts w:eastAsiaTheme="minorEastAsia"/>
          <w:i/>
          <w:iCs/>
          <w:sz w:val="22"/>
          <w:szCs w:val="22"/>
          <w:vertAlign w:val="superscript"/>
        </w:rPr>
        <w:t>*</w:t>
      </w:r>
      <w:r w:rsidRPr="4887D46F">
        <w:rPr>
          <w:rFonts w:eastAsiaTheme="minorEastAsia"/>
          <w:sz w:val="22"/>
          <w:szCs w:val="22"/>
        </w:rPr>
        <w:t xml:space="preserve"> are shown in Figure S-1. Based on the results, a critical dependence among the saturation ratio and Kelvin diameter with the </w:t>
      </w:r>
      <w:bookmarkStart w:id="2" w:name="_Hlk161217904"/>
      <w:r w:rsidRPr="4887D46F">
        <w:rPr>
          <w:rFonts w:eastAsiaTheme="minorEastAsia"/>
          <w:sz w:val="22"/>
          <w:szCs w:val="22"/>
        </w:rPr>
        <w:t xml:space="preserve">temperature difference of the </w:t>
      </w:r>
      <w:r>
        <w:rPr>
          <w:rFonts w:eastAsiaTheme="minorEastAsia"/>
          <w:sz w:val="22"/>
          <w:szCs w:val="22"/>
        </w:rPr>
        <w:t>vapor-saturated</w:t>
      </w:r>
      <w:r w:rsidRPr="4887D46F">
        <w:rPr>
          <w:rFonts w:eastAsiaTheme="minorEastAsia"/>
          <w:sz w:val="22"/>
          <w:szCs w:val="22"/>
        </w:rPr>
        <w:t xml:space="preserve"> and </w:t>
      </w:r>
      <w:r>
        <w:rPr>
          <w:rFonts w:eastAsiaTheme="minorEastAsia"/>
          <w:sz w:val="22"/>
          <w:szCs w:val="22"/>
        </w:rPr>
        <w:t>aerosol</w:t>
      </w:r>
      <w:r w:rsidRPr="4887D46F">
        <w:rPr>
          <w:rFonts w:eastAsiaTheme="minorEastAsia"/>
          <w:sz w:val="22"/>
          <w:szCs w:val="22"/>
        </w:rPr>
        <w:t xml:space="preserve"> flow (</w:t>
      </w:r>
      <w:r w:rsidRPr="4887D46F">
        <w:rPr>
          <w:rFonts w:eastAsiaTheme="minorEastAsia"/>
          <w:i/>
          <w:iCs/>
          <w:sz w:val="22"/>
          <w:szCs w:val="22"/>
          <w:lang w:val="el-GR"/>
        </w:rPr>
        <w:t>Δ</w:t>
      </w:r>
      <w:r w:rsidRPr="4887D46F">
        <w:rPr>
          <w:rFonts w:eastAsiaTheme="minorEastAsia"/>
          <w:i/>
          <w:iCs/>
          <w:sz w:val="22"/>
          <w:szCs w:val="22"/>
        </w:rPr>
        <w:t>T)</w:t>
      </w:r>
      <w:bookmarkEnd w:id="2"/>
      <w:r w:rsidRPr="4887D46F">
        <w:rPr>
          <w:rFonts w:eastAsiaTheme="minorEastAsia"/>
          <w:sz w:val="22"/>
          <w:szCs w:val="22"/>
        </w:rPr>
        <w:t xml:space="preserve">, along with the </w:t>
      </w:r>
      <w:r>
        <w:rPr>
          <w:rFonts w:eastAsiaTheme="minorEastAsia"/>
          <w:sz w:val="22"/>
          <w:szCs w:val="22"/>
        </w:rPr>
        <w:t xml:space="preserve">vapor-to-aerosol </w:t>
      </w:r>
      <w:r w:rsidRPr="4887D46F">
        <w:rPr>
          <w:rFonts w:eastAsiaTheme="minorEastAsia"/>
          <w:sz w:val="22"/>
          <w:szCs w:val="22"/>
        </w:rPr>
        <w:t xml:space="preserve">flowrate ratio, is shown </w:t>
      </w:r>
      <w:r w:rsidR="009C2442">
        <w:rPr>
          <w:rStyle w:val="FootnoteReference"/>
          <w:rFonts w:eastAsiaTheme="minorEastAsia"/>
          <w:sz w:val="22"/>
          <w:szCs w:val="22"/>
        </w:rPr>
        <w:fldChar w:fldCharType="begin" w:fldLock="1"/>
      </w:r>
      <w:r w:rsidR="009C2442">
        <w:rPr>
          <w:rFonts w:eastAsiaTheme="minorEastAsia"/>
          <w:sz w:val="22"/>
          <w:szCs w:val="22"/>
        </w:rPr>
        <w:instrText>ADDIN CSL_CITATION {"citationItems":[{"id":"ITEM-1","itemData":{"DOI":"10.1080/02786828408959024","ISSN":"0278-6826","abstract":"A new particle size magnifier (PSM) has been manufactured. In order to evaluate the performance of the PSM, the condensational growth of ultrafine aerosol particles in a supersaturated dibutyl phthalate vapor-air mixture is investigated theoretically and experimentally. First, the supersaturation ratio, the condensable DBP vapor content, and the critical size of the particle that will grow in the PSM are calculated for the mixing of hot air containing the DBP vapor with normal-temperature vapor-free air. Then the time dependence of the droplet radius during condensational growth is evaluated by numerically solving the basic equation under various conditions. From the results it is found that at higher particle number concentrations, the final droplet radii can be determined by the particle number concentration and the condensable DBP vapor content, but that at lower concentrations the particle growth can be approximated by the growth of the isolated droplet. Finally, size distributions of grown DBP droplets in the PSM are determined by sedimentational size analysis and electrical particle size analysis. Good agreement is seen between the experimental results and the previous theoretical analyses, and the overall performance of the PSM is revealed. © 1984 Elsevier Science Publishing Co., Inc.","author":[{"dropping-particle":"","family":"Okuyama","given":"K.","non-dropping-particle":"","parse-names":false,"suffix":""},{"dropping-particle":"","family":"Kousaka","given":"Y.","non-dropping-particle":"","parse-names":false,"suffix":""},{"dropping-particle":"","family":"Motouchi","given":"T.","non-dropping-particle":"","parse-names":false,"suffix":""}],"container-title":"Aerosol Science and Technology","id":"ITEM-1","issue":"4","issued":{"date-parts":[["1984","1","6"]]},"page":"353-366","title":"Condensational Growth of Ultrafine Aerosol Particles in a New Particle Size Magnifier","type":"article-journal","volume":"3"},"uris":["http://www.mendeley.com/documents/?uuid=87af1a3a-c78f-44a4-b804-c89f2519862c"]},{"id":"ITEM-2","itemData":{"DOI":"10.1080/02786828708959116","ISSN":"0278-6826","abstract":"The formation of aerosol particles by homogeneous nucleation in a supersaturated vapor has been studied experimentally and theoretically. In the laboratory, a particle-free gas at room temperature is continuously mixed with a high-temperature gas containing dibutylphthalate vapor in a new device for the study of aerosol nucleation called a particle size magnifier. A highly supersaturated vapor is rapidly formed in the mixing zone of the particle size magnifier, and the resulting number concentrations of aerosol particles are measured under various temperatures, mixing ratios, and mixing methods. Measured number concentrations are compared with those predicted by the classical and Lothe-Pound nucleation theories. The measured concentrations lie between the predictions of the two theories, and the trends with temperature and saturation ratio are consistent with either nucleation theory, provided vapor depletion is considered. © 1987 Elsevier Science Publishing Co., Inc.","author":[{"dropping-particle":"","family":"Okuyama","given":"K.","non-dropping-particle":"","parse-names":false,"suffix":""},{"dropping-particle":"","family":"Kousaka","given":"Y.","non-dropping-particle":"","parse-names":false,"suffix":""},{"dropping-particle":"","family":"Warren","given":"D. R.","non-dropping-particle":"","parse-names":false,"suffix":""},{"dropping-particle":"","family":"Flagan","given":"R. C.","non-dropping-particle":"","parse-names":false,"suffix":""},{"dropping-particle":"","family":"Seinfeld","given":"J. H.","non-dropping-particle":"","parse-names":false,"suffix":""}],"container-title":"Aerosol Science and Technology","id":"ITEM-2","issue":"1","issued":{"date-parts":[["1987","1"]]},"page":"15-27","title":"Homogeneous Nucleation by Continuous Mixing of High Temperature Vapor with Room Temperature Gas","type":"article-journal","volume":"6"},"uris":["http://www.mendeley.com/documents/?uuid=9004ad8a-c18e-41b1-bb5d-d6207fc3b1e6"]}],"mendeley":{"formattedCitation":"(Okuyama et al. 1984, 1987)","plainTextFormattedCitation":"(Okuyama et al. 1984, 1987)","previouslyFormattedCitation":"(3,5)"},"properties":{"noteIndex":0},"schema":"https://github.com/citation-style-language/schema/raw/master/csl-citation.json"}</w:instrText>
      </w:r>
      <w:r w:rsidR="009C2442">
        <w:rPr>
          <w:rStyle w:val="FootnoteReference"/>
          <w:rFonts w:eastAsiaTheme="minorEastAsia"/>
          <w:sz w:val="22"/>
          <w:szCs w:val="22"/>
        </w:rPr>
        <w:fldChar w:fldCharType="separate"/>
      </w:r>
      <w:r w:rsidR="009C2442" w:rsidRPr="009C2442">
        <w:rPr>
          <w:rFonts w:eastAsiaTheme="minorEastAsia"/>
          <w:noProof/>
          <w:sz w:val="22"/>
          <w:szCs w:val="22"/>
        </w:rPr>
        <w:t>(Okuyama et al. 1984, 1987)</w:t>
      </w:r>
      <w:r w:rsidR="009C2442">
        <w:rPr>
          <w:rStyle w:val="FootnoteReference"/>
          <w:rFonts w:eastAsiaTheme="minorEastAsia"/>
          <w:sz w:val="22"/>
          <w:szCs w:val="22"/>
        </w:rPr>
        <w:fldChar w:fldCharType="end"/>
      </w:r>
      <w:r w:rsidRPr="4887D46F">
        <w:rPr>
          <w:rFonts w:eastAsiaTheme="minorEastAsia"/>
          <w:sz w:val="22"/>
          <w:szCs w:val="22"/>
        </w:rPr>
        <w:t xml:space="preserve">. </w:t>
      </w:r>
      <w:r w:rsidRPr="4887D46F">
        <w:rPr>
          <w:sz w:val="22"/>
          <w:szCs w:val="22"/>
        </w:rPr>
        <w:t>Figure S-1 shows that when the aerosol flow temperature (</w:t>
      </w:r>
      <w:r w:rsidRPr="4887D46F">
        <w:rPr>
          <w:i/>
          <w:iCs/>
          <w:sz w:val="22"/>
          <w:szCs w:val="22"/>
        </w:rPr>
        <w:t>T</w:t>
      </w:r>
      <w:r w:rsidRPr="4887D46F">
        <w:rPr>
          <w:i/>
          <w:iCs/>
          <w:sz w:val="22"/>
          <w:szCs w:val="22"/>
          <w:vertAlign w:val="subscript"/>
        </w:rPr>
        <w:t>a</w:t>
      </w:r>
      <w:r w:rsidRPr="4887D46F">
        <w:rPr>
          <w:sz w:val="22"/>
          <w:szCs w:val="22"/>
        </w:rPr>
        <w:t xml:space="preserve">) was 22 °C, different vapor-saturated flow temperatures </w:t>
      </w:r>
      <w:r w:rsidRPr="4887D46F">
        <w:rPr>
          <w:color w:val="000000" w:themeColor="text1"/>
          <w:sz w:val="22"/>
          <w:szCs w:val="22"/>
        </w:rPr>
        <w:t xml:space="preserve">required different vapor-to-aerosol flowrate </w:t>
      </w:r>
      <w:r>
        <w:rPr>
          <w:color w:val="000000" w:themeColor="text1"/>
          <w:sz w:val="22"/>
          <w:szCs w:val="22"/>
        </w:rPr>
        <w:t xml:space="preserve">ratios </w:t>
      </w:r>
      <w:r w:rsidRPr="4887D46F">
        <w:rPr>
          <w:color w:val="000000" w:themeColor="text1"/>
          <w:sz w:val="22"/>
          <w:szCs w:val="22"/>
        </w:rPr>
        <w:t>(</w:t>
      </w:r>
      <w:r w:rsidRPr="4887D46F">
        <w:rPr>
          <w:i/>
          <w:iCs/>
          <w:color w:val="000000" w:themeColor="text1"/>
          <w:sz w:val="22"/>
          <w:szCs w:val="22"/>
        </w:rPr>
        <w:t>Q</w:t>
      </w:r>
      <w:r w:rsidRPr="4887D46F">
        <w:rPr>
          <w:i/>
          <w:iCs/>
          <w:color w:val="000000" w:themeColor="text1"/>
          <w:sz w:val="22"/>
          <w:szCs w:val="22"/>
          <w:vertAlign w:val="subscript"/>
        </w:rPr>
        <w:t>v</w:t>
      </w:r>
      <w:r w:rsidRPr="4887D46F">
        <w:rPr>
          <w:i/>
          <w:iCs/>
          <w:color w:val="000000" w:themeColor="text1"/>
          <w:sz w:val="22"/>
          <w:szCs w:val="22"/>
        </w:rPr>
        <w:t>/</w:t>
      </w:r>
      <w:proofErr w:type="spellStart"/>
      <w:r w:rsidRPr="4887D46F">
        <w:rPr>
          <w:i/>
          <w:iCs/>
          <w:color w:val="000000" w:themeColor="text1"/>
          <w:sz w:val="22"/>
          <w:szCs w:val="22"/>
        </w:rPr>
        <w:t>Q</w:t>
      </w:r>
      <w:r w:rsidRPr="4887D46F">
        <w:rPr>
          <w:i/>
          <w:iCs/>
          <w:color w:val="000000" w:themeColor="text1"/>
          <w:sz w:val="22"/>
          <w:szCs w:val="22"/>
          <w:vertAlign w:val="subscript"/>
        </w:rPr>
        <w:t>a</w:t>
      </w:r>
      <w:proofErr w:type="spellEnd"/>
      <w:r w:rsidRPr="4887D46F">
        <w:rPr>
          <w:color w:val="000000" w:themeColor="text1"/>
          <w:sz w:val="22"/>
          <w:szCs w:val="22"/>
        </w:rPr>
        <w:t xml:space="preserve">), to reach maximum </w:t>
      </w:r>
      <w:r w:rsidRPr="4887D46F">
        <w:rPr>
          <w:rFonts w:eastAsiaTheme="minorEastAsia"/>
          <w:i/>
          <w:iCs/>
          <w:sz w:val="22"/>
          <w:szCs w:val="22"/>
        </w:rPr>
        <w:t>S</w:t>
      </w:r>
      <w:r w:rsidRPr="4887D46F">
        <w:rPr>
          <w:rFonts w:eastAsiaTheme="minorEastAsia"/>
          <w:i/>
          <w:iCs/>
          <w:sz w:val="22"/>
          <w:szCs w:val="22"/>
          <w:vertAlign w:val="subscript"/>
        </w:rPr>
        <w:t>R</w:t>
      </w:r>
      <w:r>
        <w:rPr>
          <w:rFonts w:eastAsiaTheme="minorEastAsia"/>
          <w:sz w:val="22"/>
          <w:szCs w:val="22"/>
        </w:rPr>
        <w:t>,</w:t>
      </w:r>
      <w:r>
        <w:rPr>
          <w:rFonts w:eastAsiaTheme="minorEastAsia"/>
          <w:i/>
          <w:iCs/>
          <w:sz w:val="22"/>
          <w:szCs w:val="22"/>
          <w:vertAlign w:val="subscript"/>
        </w:rPr>
        <w:t xml:space="preserve"> </w:t>
      </w:r>
      <w:r>
        <w:rPr>
          <w:rFonts w:eastAsiaTheme="minorEastAsia"/>
          <w:sz w:val="22"/>
          <w:szCs w:val="22"/>
        </w:rPr>
        <w:t xml:space="preserve">or minimum </w:t>
      </w:r>
      <w:proofErr w:type="spellStart"/>
      <w:r w:rsidRPr="4887D46F">
        <w:rPr>
          <w:rFonts w:eastAsiaTheme="minorEastAsia"/>
          <w:i/>
          <w:iCs/>
          <w:sz w:val="22"/>
          <w:szCs w:val="22"/>
        </w:rPr>
        <w:t>d</w:t>
      </w:r>
      <w:r w:rsidRPr="4887D46F">
        <w:rPr>
          <w:rFonts w:eastAsiaTheme="minorEastAsia"/>
          <w:i/>
          <w:iCs/>
          <w:sz w:val="22"/>
          <w:szCs w:val="22"/>
          <w:vertAlign w:val="subscript"/>
        </w:rPr>
        <w:t>p</w:t>
      </w:r>
      <w:proofErr w:type="spellEnd"/>
      <w:r w:rsidRPr="4887D46F">
        <w:rPr>
          <w:rFonts w:eastAsiaTheme="minorEastAsia"/>
          <w:i/>
          <w:iCs/>
          <w:sz w:val="22"/>
          <w:szCs w:val="22"/>
          <w:vertAlign w:val="superscript"/>
        </w:rPr>
        <w:t>*</w:t>
      </w:r>
      <w:r w:rsidRPr="4887D46F">
        <w:rPr>
          <w:color w:val="000000" w:themeColor="text1"/>
          <w:sz w:val="22"/>
          <w:szCs w:val="22"/>
        </w:rPr>
        <w:t xml:space="preserve">. Particularly, for a </w:t>
      </w:r>
      <w:proofErr w:type="spellStart"/>
      <w:r w:rsidRPr="4887D46F">
        <w:rPr>
          <w:i/>
          <w:iCs/>
          <w:sz w:val="22"/>
          <w:szCs w:val="22"/>
        </w:rPr>
        <w:t>T</w:t>
      </w:r>
      <w:r w:rsidRPr="4887D46F">
        <w:rPr>
          <w:i/>
          <w:iCs/>
          <w:sz w:val="22"/>
          <w:szCs w:val="22"/>
          <w:vertAlign w:val="subscript"/>
        </w:rPr>
        <w:t>sat</w:t>
      </w:r>
      <w:proofErr w:type="spellEnd"/>
      <w:r w:rsidRPr="4887D46F">
        <w:rPr>
          <w:color w:val="000000" w:themeColor="text1"/>
          <w:sz w:val="22"/>
          <w:szCs w:val="22"/>
        </w:rPr>
        <w:t xml:space="preserve"> of 70, 75, 80 and 85 °C, a vapor-to-aerosol flowrate ratio of </w:t>
      </w:r>
      <w:r w:rsidRPr="4887D46F">
        <w:rPr>
          <w:sz w:val="22"/>
          <w:szCs w:val="22"/>
        </w:rPr>
        <w:t>0.25, 0.23, 0.18 and 0.13</w:t>
      </w:r>
      <w:r w:rsidRPr="4887D46F">
        <w:rPr>
          <w:color w:val="000000" w:themeColor="text1"/>
          <w:sz w:val="22"/>
          <w:szCs w:val="22"/>
        </w:rPr>
        <w:t xml:space="preserve"> is required, to achieve </w:t>
      </w:r>
      <w:r w:rsidRPr="4887D46F">
        <w:rPr>
          <w:i/>
          <w:iCs/>
          <w:color w:val="000000" w:themeColor="text1"/>
          <w:sz w:val="22"/>
          <w:szCs w:val="22"/>
        </w:rPr>
        <w:t>S</w:t>
      </w:r>
      <w:r w:rsidRPr="4887D46F">
        <w:rPr>
          <w:i/>
          <w:iCs/>
          <w:color w:val="000000" w:themeColor="text1"/>
          <w:sz w:val="22"/>
          <w:szCs w:val="22"/>
          <w:vertAlign w:val="subscript"/>
        </w:rPr>
        <w:t>R</w:t>
      </w:r>
      <w:r w:rsidRPr="4887D46F">
        <w:rPr>
          <w:color w:val="000000" w:themeColor="text1"/>
          <w:sz w:val="22"/>
          <w:szCs w:val="22"/>
        </w:rPr>
        <w:t xml:space="preserve"> of approximately 1.9, 2.1, 2.3 and 2.5, respectively </w:t>
      </w:r>
      <w:r w:rsidR="009C2442">
        <w:rPr>
          <w:rStyle w:val="FootnoteReference"/>
          <w:color w:val="000000" w:themeColor="text1"/>
          <w:sz w:val="22"/>
          <w:szCs w:val="22"/>
        </w:rPr>
        <w:fldChar w:fldCharType="begin" w:fldLock="1"/>
      </w:r>
      <w:r w:rsidR="009C2442">
        <w:rPr>
          <w:color w:val="000000" w:themeColor="text1"/>
          <w:sz w:val="22"/>
          <w:szCs w:val="22"/>
        </w:rPr>
        <w:instrText>ADDIN CSL_CITATION {"citationItems":[{"id":"ITEM-1","itemData":{"DOI":"10.1080/02786826.2024.2361050","ISSN":"0278-6826","author":[{"dropping-particle":"","family":"Zervaki","given":"Orthodoxia","non-dropping-particle":"","parse-names":false,"suffix":""},{"dropping-particle":"","family":"Dionysiou","given":"Dionysios D.","non-dropping-particle":"","parse-names":false,"suffix":""},{"dropping-particle":"","family":"Kulkarni","given":"Pramod","non-dropping-particle":"","parse-names":false,"suffix":""}],"container-title":"Aerosol Science and Technology","id":"ITEM-1","issue":"8","issued":{"date-parts":[["2024","8","2"]]},"page":"889-901","title":"Compact, high-flow, water-based, turbulent-mixing, condensation aerosol concentrator for collection of spot samples","type":"article-journal","volume":"58"},"uris":["http://www.mendeley.com/documents/?uuid=01817f1b-3f48-4926-a244-e139783a7b6e"]}],"mendeley":{"formattedCitation":"(Zervaki et al. 2024)","plainTextFormattedCitation":"(Zervaki et al. 2024)","previouslyFormattedCitation":"(9)"},"properties":{"noteIndex":0},"schema":"https://github.com/citation-style-language/schema/raw/master/csl-citation.json"}</w:instrText>
      </w:r>
      <w:r w:rsidR="009C2442">
        <w:rPr>
          <w:rStyle w:val="FootnoteReference"/>
          <w:color w:val="000000" w:themeColor="text1"/>
          <w:sz w:val="22"/>
          <w:szCs w:val="22"/>
        </w:rPr>
        <w:fldChar w:fldCharType="separate"/>
      </w:r>
      <w:r w:rsidR="009C2442" w:rsidRPr="009C2442">
        <w:rPr>
          <w:noProof/>
          <w:color w:val="000000" w:themeColor="text1"/>
          <w:sz w:val="22"/>
          <w:szCs w:val="22"/>
        </w:rPr>
        <w:t>(Zervaki et al. 2024)</w:t>
      </w:r>
      <w:r w:rsidR="009C2442">
        <w:rPr>
          <w:rStyle w:val="FootnoteReference"/>
          <w:color w:val="000000" w:themeColor="text1"/>
          <w:sz w:val="22"/>
          <w:szCs w:val="22"/>
        </w:rPr>
        <w:fldChar w:fldCharType="end"/>
      </w:r>
      <w:r w:rsidRPr="4887D46F">
        <w:rPr>
          <w:color w:val="000000" w:themeColor="text1"/>
          <w:sz w:val="22"/>
          <w:szCs w:val="22"/>
        </w:rPr>
        <w:t>.</w:t>
      </w:r>
    </w:p>
    <w:p w14:paraId="2F7042D5" w14:textId="77777777" w:rsidR="001523E9" w:rsidRDefault="001523E9" w:rsidP="001523E9">
      <w:pPr>
        <w:spacing w:line="360" w:lineRule="auto"/>
        <w:jc w:val="both"/>
        <w:rPr>
          <w:rFonts w:eastAsiaTheme="minorEastAsia"/>
          <w:sz w:val="22"/>
          <w:szCs w:val="22"/>
        </w:rPr>
      </w:pPr>
    </w:p>
    <w:p w14:paraId="00C0AD17" w14:textId="77777777" w:rsidR="001523E9" w:rsidRDefault="001523E9" w:rsidP="001523E9">
      <w:pPr>
        <w:keepNext/>
        <w:spacing w:line="360" w:lineRule="auto"/>
        <w:jc w:val="center"/>
      </w:pPr>
      <w:r>
        <w:rPr>
          <w:noProof/>
        </w:rPr>
        <w:drawing>
          <wp:inline distT="0" distB="0" distL="0" distR="0" wp14:anchorId="12B78A0E" wp14:editId="2637ED4A">
            <wp:extent cx="5943600" cy="3017520"/>
            <wp:effectExtent l="0" t="0" r="0" b="0"/>
            <wp:docPr id="16" name="Picture 16" descr="A graph of 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graph of a function&#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17520"/>
                    </a:xfrm>
                    <a:prstGeom prst="rect">
                      <a:avLst/>
                    </a:prstGeom>
                    <a:noFill/>
                    <a:ln>
                      <a:noFill/>
                    </a:ln>
                  </pic:spPr>
                </pic:pic>
              </a:graphicData>
            </a:graphic>
          </wp:inline>
        </w:drawing>
      </w:r>
    </w:p>
    <w:p w14:paraId="7ABCF84F" w14:textId="77777777" w:rsidR="001523E9" w:rsidRPr="00481B5B" w:rsidRDefault="001523E9" w:rsidP="001523E9">
      <w:pPr>
        <w:pStyle w:val="Caption"/>
        <w:jc w:val="both"/>
        <w:rPr>
          <w:rFonts w:eastAsiaTheme="minorEastAsia"/>
          <w:i w:val="0"/>
          <w:iCs w:val="0"/>
          <w:color w:val="auto"/>
          <w:sz w:val="22"/>
          <w:szCs w:val="22"/>
        </w:rPr>
      </w:pPr>
      <w:r w:rsidRPr="4887D46F">
        <w:rPr>
          <w:i w:val="0"/>
          <w:iCs w:val="0"/>
          <w:color w:val="auto"/>
          <w:sz w:val="22"/>
          <w:szCs w:val="22"/>
        </w:rPr>
        <w:t>Figure S-1 (a) Calculated saturation ratio (S</w:t>
      </w:r>
      <w:r w:rsidRPr="4887D46F">
        <w:rPr>
          <w:color w:val="auto"/>
          <w:sz w:val="22"/>
          <w:szCs w:val="22"/>
          <w:vertAlign w:val="subscript"/>
        </w:rPr>
        <w:t>R</w:t>
      </w:r>
      <w:r w:rsidRPr="4887D46F">
        <w:rPr>
          <w:i w:val="0"/>
          <w:iCs w:val="0"/>
          <w:color w:val="auto"/>
          <w:sz w:val="22"/>
          <w:szCs w:val="22"/>
        </w:rPr>
        <w:t>) and (b) Kelvin diameter (</w:t>
      </w:r>
      <w:proofErr w:type="spellStart"/>
      <w:r w:rsidRPr="4887D46F">
        <w:rPr>
          <w:color w:val="auto"/>
          <w:sz w:val="22"/>
          <w:szCs w:val="22"/>
        </w:rPr>
        <w:t>d</w:t>
      </w:r>
      <w:r w:rsidRPr="4887D46F">
        <w:rPr>
          <w:color w:val="auto"/>
          <w:sz w:val="22"/>
          <w:szCs w:val="22"/>
          <w:vertAlign w:val="subscript"/>
        </w:rPr>
        <w:t>p</w:t>
      </w:r>
      <w:proofErr w:type="spellEnd"/>
      <w:r w:rsidRPr="4887D46F">
        <w:rPr>
          <w:color w:val="auto"/>
          <w:sz w:val="22"/>
          <w:szCs w:val="22"/>
          <w:vertAlign w:val="superscript"/>
        </w:rPr>
        <w:t>*</w:t>
      </w:r>
      <w:r w:rsidRPr="4887D46F">
        <w:rPr>
          <w:i w:val="0"/>
          <w:iCs w:val="0"/>
          <w:color w:val="auto"/>
          <w:sz w:val="22"/>
          <w:szCs w:val="22"/>
        </w:rPr>
        <w:t xml:space="preserve">) as a function of the </w:t>
      </w:r>
      <w:r w:rsidRPr="4887D46F">
        <w:rPr>
          <w:i w:val="0"/>
          <w:iCs w:val="0"/>
          <w:color w:val="000000" w:themeColor="text1"/>
          <w:sz w:val="22"/>
          <w:szCs w:val="22"/>
        </w:rPr>
        <w:t>vapor-to-aerosol</w:t>
      </w:r>
      <w:r w:rsidRPr="4887D46F">
        <w:rPr>
          <w:i w:val="0"/>
          <w:iCs w:val="0"/>
          <w:color w:val="auto"/>
          <w:sz w:val="22"/>
          <w:szCs w:val="22"/>
        </w:rPr>
        <w:t xml:space="preserve"> flow</w:t>
      </w:r>
      <w:r>
        <w:rPr>
          <w:i w:val="0"/>
          <w:iCs w:val="0"/>
          <w:color w:val="auto"/>
          <w:sz w:val="22"/>
          <w:szCs w:val="22"/>
        </w:rPr>
        <w:t>rate</w:t>
      </w:r>
      <w:r w:rsidRPr="4887D46F">
        <w:rPr>
          <w:i w:val="0"/>
          <w:iCs w:val="0"/>
          <w:color w:val="auto"/>
          <w:sz w:val="22"/>
          <w:szCs w:val="22"/>
        </w:rPr>
        <w:t xml:space="preserve"> ratio, for a </w:t>
      </w:r>
      <w:proofErr w:type="spellStart"/>
      <w:r w:rsidRPr="4887D46F">
        <w:rPr>
          <w:sz w:val="22"/>
          <w:szCs w:val="22"/>
        </w:rPr>
        <w:t>T</w:t>
      </w:r>
      <w:r w:rsidRPr="4887D46F">
        <w:rPr>
          <w:sz w:val="22"/>
          <w:szCs w:val="22"/>
          <w:vertAlign w:val="subscript"/>
        </w:rPr>
        <w:t>sat</w:t>
      </w:r>
      <w:proofErr w:type="spellEnd"/>
      <w:r w:rsidRPr="4887D46F">
        <w:rPr>
          <w:i w:val="0"/>
          <w:iCs w:val="0"/>
          <w:color w:val="auto"/>
          <w:sz w:val="22"/>
          <w:szCs w:val="22"/>
        </w:rPr>
        <w:t xml:space="preserve"> of 70, 75, 80, and 85 °C. </w:t>
      </w:r>
      <w:r w:rsidRPr="4887D46F">
        <w:rPr>
          <w:rFonts w:eastAsiaTheme="minorEastAsia"/>
          <w:i w:val="0"/>
          <w:iCs w:val="0"/>
          <w:color w:val="auto"/>
          <w:sz w:val="22"/>
          <w:szCs w:val="22"/>
        </w:rPr>
        <w:t>The cold aerosol flow had a temperature of 22 °C, and 100% RH was assumed.</w:t>
      </w:r>
    </w:p>
    <w:p w14:paraId="3E8EEE4E" w14:textId="77777777" w:rsidR="001523E9" w:rsidRDefault="001523E9" w:rsidP="001523E9">
      <w:pPr>
        <w:spacing w:line="360" w:lineRule="auto"/>
        <w:ind w:firstLine="720"/>
        <w:jc w:val="both"/>
        <w:rPr>
          <w:rFonts w:eastAsiaTheme="minorEastAsia"/>
          <w:sz w:val="22"/>
          <w:szCs w:val="22"/>
        </w:rPr>
      </w:pPr>
    </w:p>
    <w:p w14:paraId="0C58F23E" w14:textId="77777777" w:rsidR="001523E9" w:rsidRPr="00572A8F" w:rsidRDefault="001523E9" w:rsidP="001523E9">
      <w:pPr>
        <w:spacing w:line="360" w:lineRule="auto"/>
        <w:ind w:left="-720" w:firstLine="720"/>
        <w:rPr>
          <w:rFonts w:eastAsiaTheme="minorEastAsia"/>
          <w:sz w:val="22"/>
          <w:szCs w:val="22"/>
        </w:rPr>
      </w:pPr>
    </w:p>
    <w:p w14:paraId="4B51E813" w14:textId="77777777" w:rsidR="001523E9" w:rsidRPr="00572A8F" w:rsidRDefault="001523E9" w:rsidP="001523E9">
      <w:pPr>
        <w:spacing w:line="360" w:lineRule="auto"/>
        <w:ind w:firstLine="720"/>
        <w:jc w:val="both"/>
        <w:rPr>
          <w:sz w:val="22"/>
          <w:szCs w:val="22"/>
        </w:rPr>
      </w:pPr>
    </w:p>
    <w:p w14:paraId="2040F98B" w14:textId="77777777" w:rsidR="001523E9" w:rsidRDefault="001523E9" w:rsidP="001523E9">
      <w:pPr>
        <w:pStyle w:val="Correspondencedetails"/>
      </w:pPr>
    </w:p>
    <w:p w14:paraId="77B21EC3" w14:textId="77777777" w:rsidR="001523E9" w:rsidRDefault="001523E9" w:rsidP="001523E9">
      <w:pPr>
        <w:keepNext/>
        <w:spacing w:line="480" w:lineRule="auto"/>
        <w:jc w:val="center"/>
      </w:pPr>
      <w:r w:rsidRPr="00301B64">
        <w:lastRenderedPageBreak/>
        <w:t xml:space="preserve"> </w:t>
      </w:r>
      <w:r>
        <w:rPr>
          <w:noProof/>
        </w:rPr>
        <w:drawing>
          <wp:inline distT="0" distB="0" distL="0" distR="0" wp14:anchorId="4A96FE2F" wp14:editId="1DA223CC">
            <wp:extent cx="5943600" cy="3832225"/>
            <wp:effectExtent l="0" t="0" r="0" b="0"/>
            <wp:docPr id="23" name="Picture 23"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diagram of a flow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832225"/>
                    </a:xfrm>
                    <a:prstGeom prst="rect">
                      <a:avLst/>
                    </a:prstGeom>
                    <a:noFill/>
                    <a:ln>
                      <a:noFill/>
                    </a:ln>
                  </pic:spPr>
                </pic:pic>
              </a:graphicData>
            </a:graphic>
          </wp:inline>
        </w:drawing>
      </w:r>
      <w:r w:rsidRPr="4887D46F">
        <w:rPr>
          <w:noProof/>
        </w:rPr>
        <w:t xml:space="preserve"> </w:t>
      </w:r>
      <w:r>
        <w:t xml:space="preserve"> </w:t>
      </w:r>
    </w:p>
    <w:p w14:paraId="075313CF" w14:textId="77777777" w:rsidR="001523E9" w:rsidRDefault="001523E9" w:rsidP="001523E9">
      <w:pPr>
        <w:pStyle w:val="Caption"/>
        <w:spacing w:line="360" w:lineRule="auto"/>
        <w:jc w:val="both"/>
        <w:rPr>
          <w:i w:val="0"/>
          <w:iCs w:val="0"/>
          <w:color w:val="auto"/>
          <w:sz w:val="22"/>
          <w:szCs w:val="22"/>
        </w:rPr>
      </w:pPr>
      <w:r w:rsidRPr="4887D46F">
        <w:rPr>
          <w:i w:val="0"/>
          <w:iCs w:val="0"/>
          <w:color w:val="auto"/>
          <w:sz w:val="22"/>
          <w:szCs w:val="22"/>
        </w:rPr>
        <w:t>Figure S-2 Experimental set up used for the generation of crystalline silica (Min-U-Sil@5)</w:t>
      </w:r>
      <w:r w:rsidRPr="4887D46F">
        <w:rPr>
          <w:i w:val="0"/>
          <w:iCs w:val="0"/>
          <w:color w:val="auto"/>
          <w:sz w:val="24"/>
          <w:szCs w:val="24"/>
        </w:rPr>
        <w:t xml:space="preserve"> </w:t>
      </w:r>
      <w:r w:rsidRPr="4887D46F">
        <w:rPr>
          <w:i w:val="0"/>
          <w:iCs w:val="0"/>
          <w:color w:val="auto"/>
          <w:sz w:val="22"/>
          <w:szCs w:val="22"/>
        </w:rPr>
        <w:t>and the evaluation of the effect of number concentration on the TCALC.</w:t>
      </w:r>
    </w:p>
    <w:p w14:paraId="192B8E25" w14:textId="77777777" w:rsidR="001523E9" w:rsidRDefault="001523E9" w:rsidP="001523E9">
      <w:pPr>
        <w:keepNext/>
        <w:spacing w:line="480" w:lineRule="auto"/>
        <w:jc w:val="center"/>
      </w:pPr>
      <w:r>
        <w:rPr>
          <w:noProof/>
        </w:rPr>
        <w:lastRenderedPageBreak/>
        <w:drawing>
          <wp:inline distT="0" distB="0" distL="0" distR="0" wp14:anchorId="704410F7" wp14:editId="7E4BB4FC">
            <wp:extent cx="3584448" cy="2743200"/>
            <wp:effectExtent l="0" t="0" r="0" b="0"/>
            <wp:docPr id="13" name="Picture 13" descr="A graph of a graph of a dia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graph of a diameter&#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4448" cy="2743200"/>
                    </a:xfrm>
                    <a:prstGeom prst="rect">
                      <a:avLst/>
                    </a:prstGeom>
                    <a:noFill/>
                    <a:ln>
                      <a:noFill/>
                    </a:ln>
                  </pic:spPr>
                </pic:pic>
              </a:graphicData>
            </a:graphic>
          </wp:inline>
        </w:drawing>
      </w:r>
    </w:p>
    <w:p w14:paraId="36F8DFC8" w14:textId="6FC8314B" w:rsidR="001523E9" w:rsidRPr="003E0B09" w:rsidRDefault="001523E9" w:rsidP="001523E9">
      <w:pPr>
        <w:pStyle w:val="Caption"/>
        <w:spacing w:line="480" w:lineRule="auto"/>
        <w:jc w:val="both"/>
        <w:rPr>
          <w:i w:val="0"/>
          <w:iCs w:val="0"/>
          <w:color w:val="auto"/>
          <w:sz w:val="22"/>
          <w:szCs w:val="22"/>
        </w:rPr>
      </w:pPr>
      <w:r w:rsidRPr="003E0B09">
        <w:rPr>
          <w:i w:val="0"/>
          <w:iCs w:val="0"/>
          <w:color w:val="auto"/>
          <w:sz w:val="22"/>
          <w:szCs w:val="22"/>
        </w:rPr>
        <w:t>Figure S-3 Size distribution of crystalline silica (Min-U-Sil@5) particles generated through the fluidized bed aerosol generator (TSI</w:t>
      </w:r>
      <w:r w:rsidR="005D6081">
        <w:rPr>
          <w:i w:val="0"/>
          <w:iCs w:val="0"/>
          <w:color w:val="auto"/>
          <w:sz w:val="22"/>
          <w:szCs w:val="22"/>
        </w:rPr>
        <w:t>),</w:t>
      </w:r>
      <w:r w:rsidR="00063F92">
        <w:rPr>
          <w:i w:val="0"/>
          <w:iCs w:val="0"/>
          <w:color w:val="auto"/>
          <w:sz w:val="22"/>
          <w:szCs w:val="22"/>
        </w:rPr>
        <w:t xml:space="preserve"> </w:t>
      </w:r>
      <w:r w:rsidR="005D6081" w:rsidRPr="003E0B09">
        <w:rPr>
          <w:i w:val="0"/>
          <w:iCs w:val="0"/>
          <w:color w:val="auto"/>
          <w:sz w:val="22"/>
          <w:szCs w:val="22"/>
        </w:rPr>
        <w:t xml:space="preserve">as measured at the outlet of the aerosol generator using an Aerodynamic Aerosol Classifier (AAC, </w:t>
      </w:r>
      <w:proofErr w:type="spellStart"/>
      <w:r w:rsidR="005D6081" w:rsidRPr="003E0B09">
        <w:rPr>
          <w:i w:val="0"/>
          <w:iCs w:val="0"/>
          <w:color w:val="auto"/>
          <w:sz w:val="22"/>
          <w:szCs w:val="22"/>
        </w:rPr>
        <w:t>Cambustion</w:t>
      </w:r>
      <w:proofErr w:type="spellEnd"/>
      <w:r w:rsidR="005D6081" w:rsidRPr="003E0B09">
        <w:rPr>
          <w:i w:val="0"/>
          <w:iCs w:val="0"/>
          <w:color w:val="auto"/>
          <w:sz w:val="22"/>
          <w:szCs w:val="22"/>
        </w:rPr>
        <w:t xml:space="preserve">) and a </w:t>
      </w:r>
      <w:r w:rsidR="005D6081" w:rsidRPr="00624608">
        <w:rPr>
          <w:i w:val="0"/>
          <w:iCs w:val="0"/>
          <w:color w:val="auto"/>
          <w:sz w:val="22"/>
          <w:szCs w:val="22"/>
        </w:rPr>
        <w:t xml:space="preserve">Condensation Particle Counter </w:t>
      </w:r>
      <w:r w:rsidR="005D6081" w:rsidRPr="00624608">
        <w:rPr>
          <w:i w:val="0"/>
          <w:iCs w:val="0"/>
          <w:color w:val="000000" w:themeColor="text1"/>
          <w:sz w:val="22"/>
          <w:szCs w:val="22"/>
        </w:rPr>
        <w:t xml:space="preserve">(CPC 3776, TSI) </w:t>
      </w:r>
      <w:r w:rsidR="005D6081" w:rsidRPr="003E0B09">
        <w:rPr>
          <w:i w:val="0"/>
          <w:iCs w:val="0"/>
          <w:color w:val="auto"/>
          <w:sz w:val="22"/>
          <w:szCs w:val="22"/>
        </w:rPr>
        <w:t>in series</w:t>
      </w:r>
      <w:r w:rsidR="00063F92">
        <w:rPr>
          <w:i w:val="0"/>
          <w:iCs w:val="0"/>
          <w:color w:val="auto"/>
          <w:sz w:val="22"/>
          <w:szCs w:val="22"/>
        </w:rPr>
        <w:t>.</w:t>
      </w:r>
    </w:p>
    <w:p w14:paraId="04ADDA4B" w14:textId="77777777" w:rsidR="001523E9" w:rsidRPr="000612CF" w:rsidRDefault="001523E9" w:rsidP="001523E9"/>
    <w:p w14:paraId="1C9C3289" w14:textId="77777777" w:rsidR="001523E9" w:rsidRDefault="001523E9" w:rsidP="001523E9">
      <w:pPr>
        <w:keepNext/>
        <w:spacing w:line="480" w:lineRule="auto"/>
        <w:jc w:val="center"/>
      </w:pPr>
      <w:r>
        <w:rPr>
          <w:noProof/>
        </w:rPr>
        <w:drawing>
          <wp:inline distT="0" distB="0" distL="0" distR="0" wp14:anchorId="396B1F0F" wp14:editId="5D93517F">
            <wp:extent cx="5943600" cy="2005965"/>
            <wp:effectExtent l="0" t="0" r="0" b="0"/>
            <wp:docPr id="24" name="Picture 24"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iagram of a mach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005965"/>
                    </a:xfrm>
                    <a:prstGeom prst="rect">
                      <a:avLst/>
                    </a:prstGeom>
                    <a:noFill/>
                    <a:ln>
                      <a:noFill/>
                    </a:ln>
                  </pic:spPr>
                </pic:pic>
              </a:graphicData>
            </a:graphic>
          </wp:inline>
        </w:drawing>
      </w:r>
      <w:r w:rsidRPr="00B2780B">
        <w:t xml:space="preserve"> </w:t>
      </w:r>
    </w:p>
    <w:p w14:paraId="2F4B6998" w14:textId="77777777" w:rsidR="001523E9" w:rsidRPr="000C6444" w:rsidRDefault="001523E9" w:rsidP="001523E9">
      <w:pPr>
        <w:keepNext/>
        <w:spacing w:line="480" w:lineRule="auto"/>
        <w:jc w:val="both"/>
        <w:rPr>
          <w:sz w:val="22"/>
          <w:szCs w:val="22"/>
          <w:lang w:val="en-GB"/>
        </w:rPr>
      </w:pPr>
      <w:r w:rsidRPr="000C6444">
        <w:rPr>
          <w:sz w:val="22"/>
          <w:szCs w:val="22"/>
        </w:rPr>
        <w:t>Figure S-</w:t>
      </w:r>
      <w:r>
        <w:rPr>
          <w:sz w:val="22"/>
          <w:szCs w:val="22"/>
        </w:rPr>
        <w:t>4</w:t>
      </w:r>
      <w:r w:rsidRPr="000C6444">
        <w:rPr>
          <w:sz w:val="22"/>
          <w:szCs w:val="22"/>
        </w:rPr>
        <w:t xml:space="preserve"> Experimental set up used for the generation of crystalline silica (Min-U-Sil@5) and the following collection using the </w:t>
      </w:r>
      <w:r>
        <w:rPr>
          <w:sz w:val="22"/>
          <w:szCs w:val="22"/>
        </w:rPr>
        <w:t>TCALC</w:t>
      </w:r>
      <w:r w:rsidRPr="000C6444">
        <w:rPr>
          <w:sz w:val="22"/>
          <w:szCs w:val="22"/>
        </w:rPr>
        <w:t xml:space="preserve"> and a reference 37-mm-diameter polycarbonate filter.</w:t>
      </w:r>
    </w:p>
    <w:p w14:paraId="7B1EAC0E" w14:textId="77777777" w:rsidR="001523E9" w:rsidRDefault="001523E9" w:rsidP="001523E9">
      <w:pPr>
        <w:jc w:val="center"/>
      </w:pPr>
    </w:p>
    <w:p w14:paraId="62BB8BFF" w14:textId="77777777" w:rsidR="001523E9" w:rsidRDefault="001523E9" w:rsidP="001523E9">
      <w:pPr>
        <w:jc w:val="center"/>
      </w:pPr>
    </w:p>
    <w:p w14:paraId="4FF699AA" w14:textId="77777777" w:rsidR="001523E9" w:rsidRDefault="001523E9" w:rsidP="001523E9">
      <w:pPr>
        <w:jc w:val="center"/>
        <w:rPr>
          <w:i/>
          <w:iCs/>
        </w:rPr>
      </w:pPr>
      <w:r>
        <w:rPr>
          <w:noProof/>
        </w:rPr>
        <w:lastRenderedPageBreak/>
        <w:drawing>
          <wp:inline distT="0" distB="0" distL="0" distR="0" wp14:anchorId="77AA672D" wp14:editId="5F4514B8">
            <wp:extent cx="3584448" cy="2743200"/>
            <wp:effectExtent l="0" t="0" r="0" b="0"/>
            <wp:docPr id="17" name="Picture 17"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graph&#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4448" cy="2743200"/>
                    </a:xfrm>
                    <a:prstGeom prst="rect">
                      <a:avLst/>
                    </a:prstGeom>
                    <a:noFill/>
                    <a:ln>
                      <a:noFill/>
                    </a:ln>
                  </pic:spPr>
                </pic:pic>
              </a:graphicData>
            </a:graphic>
          </wp:inline>
        </w:drawing>
      </w:r>
    </w:p>
    <w:p w14:paraId="4271FB67" w14:textId="77777777" w:rsidR="001523E9" w:rsidRDefault="001523E9" w:rsidP="001523E9">
      <w:pPr>
        <w:jc w:val="center"/>
        <w:rPr>
          <w:i/>
          <w:iCs/>
        </w:rPr>
      </w:pPr>
    </w:p>
    <w:p w14:paraId="29C686CB" w14:textId="77777777" w:rsidR="001523E9" w:rsidRDefault="001523E9" w:rsidP="001523E9">
      <w:pPr>
        <w:jc w:val="center"/>
        <w:rPr>
          <w:i/>
          <w:iCs/>
        </w:rPr>
      </w:pPr>
      <w:r>
        <w:rPr>
          <w:noProof/>
        </w:rPr>
        <w:drawing>
          <wp:inline distT="0" distB="0" distL="0" distR="0" wp14:anchorId="7838BBEB" wp14:editId="338E27D9">
            <wp:extent cx="3584448" cy="2743200"/>
            <wp:effectExtent l="0" t="0" r="0" b="0"/>
            <wp:docPr id="11" name="Picture 1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graph&#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4448" cy="2743200"/>
                    </a:xfrm>
                    <a:prstGeom prst="rect">
                      <a:avLst/>
                    </a:prstGeom>
                    <a:noFill/>
                    <a:ln>
                      <a:noFill/>
                    </a:ln>
                  </pic:spPr>
                </pic:pic>
              </a:graphicData>
            </a:graphic>
          </wp:inline>
        </w:drawing>
      </w:r>
    </w:p>
    <w:p w14:paraId="402DF48F" w14:textId="77777777" w:rsidR="001523E9" w:rsidRDefault="001523E9" w:rsidP="001523E9">
      <w:pPr>
        <w:jc w:val="center"/>
        <w:rPr>
          <w:i/>
          <w:iCs/>
        </w:rPr>
      </w:pPr>
      <w:r>
        <w:rPr>
          <w:noProof/>
        </w:rPr>
        <w:lastRenderedPageBreak/>
        <w:drawing>
          <wp:inline distT="0" distB="0" distL="0" distR="0" wp14:anchorId="6F9B84E0" wp14:editId="3C45656F">
            <wp:extent cx="3584448" cy="2743200"/>
            <wp:effectExtent l="0" t="0" r="0" b="0"/>
            <wp:docPr id="12" name="Picture 12" descr="A graph of a graph showing different types of sal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a graph showing different types of salt&#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4448" cy="2743200"/>
                    </a:xfrm>
                    <a:prstGeom prst="rect">
                      <a:avLst/>
                    </a:prstGeom>
                    <a:noFill/>
                    <a:ln>
                      <a:noFill/>
                    </a:ln>
                  </pic:spPr>
                </pic:pic>
              </a:graphicData>
            </a:graphic>
          </wp:inline>
        </w:drawing>
      </w:r>
    </w:p>
    <w:p w14:paraId="3E0BF17C" w14:textId="77777777" w:rsidR="001523E9" w:rsidRPr="000612CF" w:rsidRDefault="001523E9" w:rsidP="001523E9">
      <w:pPr>
        <w:jc w:val="center"/>
        <w:rPr>
          <w:i/>
          <w:iCs/>
        </w:rPr>
      </w:pPr>
    </w:p>
    <w:p w14:paraId="6B3BEC39" w14:textId="2A41BBF1" w:rsidR="001523E9" w:rsidRDefault="001523E9" w:rsidP="001523E9">
      <w:pPr>
        <w:pStyle w:val="Caption"/>
        <w:spacing w:line="360" w:lineRule="auto"/>
        <w:jc w:val="both"/>
        <w:rPr>
          <w:i w:val="0"/>
          <w:iCs w:val="0"/>
          <w:color w:val="auto"/>
          <w:sz w:val="22"/>
          <w:szCs w:val="22"/>
        </w:rPr>
      </w:pPr>
      <w:r w:rsidRPr="000C6444">
        <w:rPr>
          <w:i w:val="0"/>
          <w:iCs w:val="0"/>
          <w:color w:val="auto"/>
          <w:sz w:val="22"/>
          <w:szCs w:val="22"/>
        </w:rPr>
        <w:t>Figure S-</w:t>
      </w:r>
      <w:r>
        <w:rPr>
          <w:i w:val="0"/>
          <w:iCs w:val="0"/>
          <w:color w:val="auto"/>
          <w:sz w:val="22"/>
          <w:szCs w:val="22"/>
        </w:rPr>
        <w:t>5</w:t>
      </w:r>
      <w:r w:rsidRPr="000C6444">
        <w:rPr>
          <w:i w:val="0"/>
          <w:iCs w:val="0"/>
          <w:color w:val="auto"/>
          <w:sz w:val="22"/>
          <w:szCs w:val="22"/>
        </w:rPr>
        <w:t xml:space="preserve"> </w:t>
      </w:r>
      <w:r>
        <w:rPr>
          <w:i w:val="0"/>
          <w:iCs w:val="0"/>
          <w:color w:val="auto"/>
          <w:sz w:val="22"/>
          <w:szCs w:val="22"/>
        </w:rPr>
        <w:t>Droplet growth</w:t>
      </w:r>
      <w:r w:rsidRPr="000C6444">
        <w:rPr>
          <w:i w:val="0"/>
          <w:iCs w:val="0"/>
          <w:color w:val="auto"/>
          <w:sz w:val="22"/>
          <w:szCs w:val="22"/>
        </w:rPr>
        <w:t xml:space="preserve"> efficiency (</w:t>
      </w:r>
      <w:r w:rsidRPr="0006195F">
        <w:rPr>
          <w:color w:val="auto"/>
          <w:sz w:val="22"/>
          <w:szCs w:val="22"/>
        </w:rPr>
        <w:t>d</w:t>
      </w:r>
      <w:r w:rsidRPr="0006195F">
        <w:rPr>
          <w:color w:val="auto"/>
          <w:sz w:val="22"/>
          <w:szCs w:val="22"/>
          <w:vertAlign w:val="subscript"/>
        </w:rPr>
        <w:t>d</w:t>
      </w:r>
      <w:r w:rsidRPr="000C6444">
        <w:rPr>
          <w:i w:val="0"/>
          <w:iCs w:val="0"/>
          <w:color w:val="auto"/>
          <w:sz w:val="22"/>
          <w:szCs w:val="22"/>
          <w:vertAlign w:val="subscript"/>
        </w:rPr>
        <w:t xml:space="preserve"> </w:t>
      </w:r>
      <w:r w:rsidRPr="000C6444">
        <w:rPr>
          <w:i w:val="0"/>
          <w:iCs w:val="0"/>
          <w:color w:val="auto"/>
          <w:sz w:val="22"/>
          <w:szCs w:val="22"/>
        </w:rPr>
        <w:t xml:space="preserve">&gt; 300 nm, </w:t>
      </w:r>
      <w:r w:rsidRPr="0006195F">
        <w:rPr>
          <w:color w:val="auto"/>
          <w:sz w:val="22"/>
          <w:szCs w:val="22"/>
        </w:rPr>
        <w:t>d</w:t>
      </w:r>
      <w:r w:rsidRPr="0006195F">
        <w:rPr>
          <w:color w:val="auto"/>
          <w:sz w:val="22"/>
          <w:szCs w:val="22"/>
          <w:vertAlign w:val="subscript"/>
        </w:rPr>
        <w:t>d</w:t>
      </w:r>
      <w:r w:rsidRPr="000C6444">
        <w:rPr>
          <w:i w:val="0"/>
          <w:iCs w:val="0"/>
          <w:color w:val="auto"/>
          <w:sz w:val="22"/>
          <w:szCs w:val="22"/>
          <w:vertAlign w:val="subscript"/>
        </w:rPr>
        <w:t xml:space="preserve"> </w:t>
      </w:r>
      <w:r w:rsidRPr="000C6444">
        <w:rPr>
          <w:i w:val="0"/>
          <w:iCs w:val="0"/>
          <w:color w:val="auto"/>
          <w:sz w:val="22"/>
          <w:szCs w:val="22"/>
        </w:rPr>
        <w:t xml:space="preserve">&gt; 700 nm, </w:t>
      </w:r>
      <w:r w:rsidRPr="0006195F">
        <w:rPr>
          <w:color w:val="auto"/>
          <w:sz w:val="22"/>
          <w:szCs w:val="22"/>
        </w:rPr>
        <w:t>d</w:t>
      </w:r>
      <w:r w:rsidRPr="0006195F">
        <w:rPr>
          <w:color w:val="auto"/>
          <w:sz w:val="22"/>
          <w:szCs w:val="22"/>
          <w:vertAlign w:val="subscript"/>
        </w:rPr>
        <w:t xml:space="preserve">d </w:t>
      </w:r>
      <w:r w:rsidRPr="000C6444">
        <w:rPr>
          <w:i w:val="0"/>
          <w:iCs w:val="0"/>
          <w:color w:val="auto"/>
          <w:sz w:val="22"/>
          <w:szCs w:val="22"/>
        </w:rPr>
        <w:t>&gt; 1400 nm) measured as a function of the saturator temperature (</w:t>
      </w:r>
      <w:proofErr w:type="spellStart"/>
      <w:r w:rsidRPr="0006195F">
        <w:rPr>
          <w:color w:val="auto"/>
          <w:sz w:val="22"/>
          <w:szCs w:val="22"/>
        </w:rPr>
        <w:t>T</w:t>
      </w:r>
      <w:r w:rsidRPr="0006195F">
        <w:rPr>
          <w:color w:val="auto"/>
          <w:sz w:val="22"/>
          <w:szCs w:val="22"/>
          <w:vertAlign w:val="subscript"/>
        </w:rPr>
        <w:t>sat</w:t>
      </w:r>
      <w:proofErr w:type="spellEnd"/>
      <w:r w:rsidRPr="000C6444">
        <w:rPr>
          <w:i w:val="0"/>
          <w:iCs w:val="0"/>
          <w:color w:val="auto"/>
          <w:sz w:val="22"/>
          <w:szCs w:val="22"/>
        </w:rPr>
        <w:t>, °C) for an aerosol flow rate of (a) 8 L min</w:t>
      </w:r>
      <w:r w:rsidRPr="000C6444">
        <w:rPr>
          <w:i w:val="0"/>
          <w:iCs w:val="0"/>
          <w:color w:val="auto"/>
          <w:sz w:val="22"/>
          <w:szCs w:val="22"/>
          <w:vertAlign w:val="superscript"/>
        </w:rPr>
        <w:t>-1</w:t>
      </w:r>
      <w:r w:rsidRPr="000C6444">
        <w:rPr>
          <w:i w:val="0"/>
          <w:iCs w:val="0"/>
          <w:color w:val="auto"/>
          <w:sz w:val="22"/>
          <w:szCs w:val="22"/>
        </w:rPr>
        <w:t>, (b) 9 L min</w:t>
      </w:r>
      <w:r w:rsidRPr="000C6444">
        <w:rPr>
          <w:i w:val="0"/>
          <w:iCs w:val="0"/>
          <w:color w:val="auto"/>
          <w:sz w:val="22"/>
          <w:szCs w:val="22"/>
          <w:vertAlign w:val="superscript"/>
        </w:rPr>
        <w:t>-1</w:t>
      </w:r>
      <w:r w:rsidRPr="000C6444">
        <w:rPr>
          <w:i w:val="0"/>
          <w:iCs w:val="0"/>
          <w:color w:val="auto"/>
          <w:sz w:val="22"/>
          <w:szCs w:val="22"/>
        </w:rPr>
        <w:t xml:space="preserve"> and (c) 10 L min</w:t>
      </w:r>
      <w:r w:rsidRPr="000C6444">
        <w:rPr>
          <w:i w:val="0"/>
          <w:iCs w:val="0"/>
          <w:color w:val="auto"/>
          <w:sz w:val="22"/>
          <w:szCs w:val="22"/>
          <w:vertAlign w:val="superscript"/>
        </w:rPr>
        <w:t>-1</w:t>
      </w:r>
      <w:r w:rsidRPr="000C6444">
        <w:rPr>
          <w:i w:val="0"/>
          <w:iCs w:val="0"/>
          <w:color w:val="auto"/>
          <w:sz w:val="22"/>
          <w:szCs w:val="22"/>
        </w:rPr>
        <w:t>. 100</w:t>
      </w:r>
      <w:r w:rsidR="004730B0">
        <w:rPr>
          <w:i w:val="0"/>
          <w:iCs w:val="0"/>
          <w:color w:val="auto"/>
          <w:sz w:val="22"/>
          <w:szCs w:val="22"/>
        </w:rPr>
        <w:t>-</w:t>
      </w:r>
      <w:r w:rsidRPr="000C6444">
        <w:rPr>
          <w:i w:val="0"/>
          <w:iCs w:val="0"/>
          <w:color w:val="auto"/>
          <w:sz w:val="22"/>
          <w:szCs w:val="22"/>
        </w:rPr>
        <w:t>nm</w:t>
      </w:r>
      <w:r w:rsidR="004730B0">
        <w:rPr>
          <w:i w:val="0"/>
          <w:iCs w:val="0"/>
          <w:color w:val="auto"/>
          <w:sz w:val="22"/>
          <w:szCs w:val="22"/>
        </w:rPr>
        <w:t>-diameter</w:t>
      </w:r>
      <w:r w:rsidRPr="000C6444">
        <w:rPr>
          <w:i w:val="0"/>
          <w:iCs w:val="0"/>
          <w:color w:val="auto"/>
          <w:sz w:val="22"/>
          <w:szCs w:val="22"/>
        </w:rPr>
        <w:t xml:space="preserve"> NaCl particles were used (</w:t>
      </w:r>
      <w:r w:rsidRPr="0006195F">
        <w:rPr>
          <w:color w:val="auto"/>
          <w:sz w:val="22"/>
          <w:szCs w:val="22"/>
        </w:rPr>
        <w:t>T</w:t>
      </w:r>
      <w:r w:rsidR="00A9774F">
        <w:rPr>
          <w:color w:val="auto"/>
          <w:sz w:val="22"/>
          <w:szCs w:val="22"/>
          <w:vertAlign w:val="subscript"/>
        </w:rPr>
        <w:t>a</w:t>
      </w:r>
      <w:r w:rsidRPr="000C6444">
        <w:rPr>
          <w:i w:val="0"/>
          <w:iCs w:val="0"/>
          <w:color w:val="auto"/>
          <w:sz w:val="22"/>
          <w:szCs w:val="22"/>
          <w:vertAlign w:val="subscript"/>
        </w:rPr>
        <w:t xml:space="preserve"> </w:t>
      </w:r>
      <w:r w:rsidRPr="000C6444">
        <w:rPr>
          <w:i w:val="0"/>
          <w:iCs w:val="0"/>
          <w:color w:val="auto"/>
          <w:sz w:val="22"/>
          <w:szCs w:val="22"/>
        </w:rPr>
        <w:t xml:space="preserve">= 23.6-24.9 °C, </w:t>
      </w:r>
      <w:r w:rsidRPr="0006195F">
        <w:rPr>
          <w:color w:val="auto"/>
          <w:sz w:val="22"/>
          <w:szCs w:val="22"/>
        </w:rPr>
        <w:t>RH</w:t>
      </w:r>
      <w:r w:rsidRPr="000C6444">
        <w:rPr>
          <w:i w:val="0"/>
          <w:iCs w:val="0"/>
          <w:color w:val="auto"/>
          <w:sz w:val="22"/>
          <w:szCs w:val="22"/>
          <w:vertAlign w:val="subscript"/>
        </w:rPr>
        <w:t xml:space="preserve"> </w:t>
      </w:r>
      <w:r w:rsidRPr="000C6444">
        <w:rPr>
          <w:i w:val="0"/>
          <w:iCs w:val="0"/>
          <w:color w:val="auto"/>
          <w:sz w:val="22"/>
          <w:szCs w:val="22"/>
        </w:rPr>
        <w:t xml:space="preserve">= 45.8 - 51.5%, </w:t>
      </w:r>
      <w:proofErr w:type="spellStart"/>
      <w:r w:rsidRPr="0006195F">
        <w:rPr>
          <w:color w:val="auto"/>
          <w:sz w:val="22"/>
          <w:szCs w:val="22"/>
        </w:rPr>
        <w:t>T</w:t>
      </w:r>
      <w:r w:rsidRPr="0006195F">
        <w:rPr>
          <w:color w:val="auto"/>
          <w:sz w:val="22"/>
          <w:szCs w:val="22"/>
          <w:vertAlign w:val="subscript"/>
        </w:rPr>
        <w:t>gt</w:t>
      </w:r>
      <w:proofErr w:type="spellEnd"/>
      <w:r w:rsidRPr="000C6444">
        <w:rPr>
          <w:i w:val="0"/>
          <w:iCs w:val="0"/>
          <w:color w:val="auto"/>
          <w:sz w:val="22"/>
          <w:szCs w:val="22"/>
          <w:vertAlign w:val="subscript"/>
        </w:rPr>
        <w:t xml:space="preserve"> </w:t>
      </w:r>
      <w:r w:rsidRPr="000C6444">
        <w:rPr>
          <w:i w:val="0"/>
          <w:iCs w:val="0"/>
          <w:color w:val="auto"/>
          <w:sz w:val="22"/>
          <w:szCs w:val="22"/>
        </w:rPr>
        <w:t>= 0 °C). The error bars indicate the standard deviation of three repeat measurements.</w:t>
      </w:r>
    </w:p>
    <w:p w14:paraId="69DA1D80" w14:textId="77777777" w:rsidR="001523E9" w:rsidRDefault="001523E9" w:rsidP="001523E9"/>
    <w:p w14:paraId="6FAA983B" w14:textId="77777777" w:rsidR="001523E9" w:rsidRPr="00BA7102" w:rsidRDefault="001523E9" w:rsidP="001523E9"/>
    <w:p w14:paraId="7E9EFC60" w14:textId="77777777" w:rsidR="001523E9" w:rsidRPr="00210CAA" w:rsidRDefault="001523E9" w:rsidP="001523E9">
      <w:pPr>
        <w:pStyle w:val="Caption"/>
        <w:jc w:val="both"/>
        <w:rPr>
          <w:i w:val="0"/>
          <w:iCs w:val="0"/>
          <w:color w:val="auto"/>
          <w:sz w:val="22"/>
          <w:szCs w:val="22"/>
        </w:rPr>
      </w:pPr>
      <w:r w:rsidRPr="00210CAA">
        <w:rPr>
          <w:i w:val="0"/>
          <w:iCs w:val="0"/>
          <w:color w:val="auto"/>
          <w:sz w:val="22"/>
          <w:szCs w:val="22"/>
        </w:rPr>
        <w:t>Table S-</w:t>
      </w:r>
      <w:r w:rsidRPr="00425407">
        <w:rPr>
          <w:i w:val="0"/>
          <w:iCs w:val="0"/>
          <w:color w:val="auto"/>
          <w:sz w:val="22"/>
          <w:szCs w:val="22"/>
        </w:rPr>
        <w:fldChar w:fldCharType="begin"/>
      </w:r>
      <w:r w:rsidRPr="00210CAA">
        <w:rPr>
          <w:i w:val="0"/>
          <w:iCs w:val="0"/>
          <w:color w:val="auto"/>
          <w:sz w:val="22"/>
          <w:szCs w:val="22"/>
        </w:rPr>
        <w:instrText xml:space="preserve"> SEQ Table \* ARABIC </w:instrText>
      </w:r>
      <w:r w:rsidRPr="00425407">
        <w:rPr>
          <w:i w:val="0"/>
          <w:iCs w:val="0"/>
          <w:color w:val="auto"/>
          <w:sz w:val="22"/>
          <w:szCs w:val="22"/>
        </w:rPr>
        <w:fldChar w:fldCharType="separate"/>
      </w:r>
      <w:r>
        <w:rPr>
          <w:i w:val="0"/>
          <w:iCs w:val="0"/>
          <w:noProof/>
          <w:color w:val="auto"/>
          <w:sz w:val="22"/>
          <w:szCs w:val="22"/>
        </w:rPr>
        <w:t>1</w:t>
      </w:r>
      <w:r w:rsidRPr="00425407">
        <w:rPr>
          <w:i w:val="0"/>
          <w:iCs w:val="0"/>
          <w:color w:val="auto"/>
          <w:sz w:val="22"/>
          <w:szCs w:val="22"/>
        </w:rPr>
        <w:fldChar w:fldCharType="end"/>
      </w:r>
      <w:r w:rsidRPr="00210CAA">
        <w:rPr>
          <w:i w:val="0"/>
          <w:iCs w:val="0"/>
          <w:color w:val="auto"/>
          <w:sz w:val="22"/>
          <w:szCs w:val="22"/>
        </w:rPr>
        <w:t xml:space="preserve">. Values and expressions used for the </w:t>
      </w:r>
      <w:r>
        <w:rPr>
          <w:i w:val="0"/>
          <w:iCs w:val="0"/>
          <w:color w:val="auto"/>
          <w:sz w:val="22"/>
          <w:szCs w:val="22"/>
        </w:rPr>
        <w:t xml:space="preserve">calculation of the </w:t>
      </w:r>
      <w:r w:rsidRPr="00210CAA">
        <w:rPr>
          <w:i w:val="0"/>
          <w:iCs w:val="0"/>
          <w:color w:val="auto"/>
          <w:sz w:val="22"/>
          <w:szCs w:val="22"/>
        </w:rPr>
        <w:t>saturation ratio</w:t>
      </w:r>
      <w:r>
        <w:rPr>
          <w:i w:val="0"/>
          <w:iCs w:val="0"/>
          <w:color w:val="auto"/>
          <w:sz w:val="22"/>
          <w:szCs w:val="22"/>
        </w:rPr>
        <w:t xml:space="preserve"> and</w:t>
      </w:r>
      <w:r w:rsidRPr="00210CAA">
        <w:rPr>
          <w:i w:val="0"/>
          <w:iCs w:val="0"/>
          <w:color w:val="auto"/>
          <w:sz w:val="22"/>
          <w:szCs w:val="22"/>
        </w:rPr>
        <w:t xml:space="preserve"> the Kelvin diameter</w:t>
      </w:r>
      <w:r>
        <w:rPr>
          <w:i w:val="0"/>
          <w:iCs w:val="0"/>
          <w:color w:val="auto"/>
          <w:sz w:val="22"/>
          <w:szCs w:val="22"/>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1523E9" w:rsidRPr="00114BA6" w14:paraId="27CC1154" w14:textId="77777777" w:rsidTr="00E86F31">
        <w:tc>
          <w:tcPr>
            <w:tcW w:w="4320" w:type="dxa"/>
            <w:tcBorders>
              <w:top w:val="single" w:sz="4" w:space="0" w:color="auto"/>
              <w:bottom w:val="single" w:sz="4" w:space="0" w:color="auto"/>
            </w:tcBorders>
          </w:tcPr>
          <w:p w14:paraId="3444F346" w14:textId="77777777" w:rsidR="001523E9" w:rsidRPr="00210CAA" w:rsidRDefault="001523E9" w:rsidP="00E86F31">
            <w:pPr>
              <w:spacing w:before="100" w:beforeAutospacing="1" w:line="480" w:lineRule="auto"/>
              <w:rPr>
                <w:b/>
                <w:bCs/>
              </w:rPr>
            </w:pPr>
            <w:r w:rsidRPr="00210CAA">
              <w:rPr>
                <w:b/>
                <w:bCs/>
              </w:rPr>
              <w:t>Parameters</w:t>
            </w:r>
          </w:p>
        </w:tc>
        <w:tc>
          <w:tcPr>
            <w:tcW w:w="5040" w:type="dxa"/>
            <w:tcBorders>
              <w:top w:val="single" w:sz="4" w:space="0" w:color="auto"/>
              <w:bottom w:val="single" w:sz="4" w:space="0" w:color="auto"/>
            </w:tcBorders>
          </w:tcPr>
          <w:p w14:paraId="54359CC5" w14:textId="77777777" w:rsidR="001523E9" w:rsidRPr="00210CAA" w:rsidRDefault="001523E9" w:rsidP="00E86F31">
            <w:pPr>
              <w:spacing w:before="100" w:beforeAutospacing="1" w:line="480" w:lineRule="auto"/>
              <w:rPr>
                <w:b/>
                <w:bCs/>
              </w:rPr>
            </w:pPr>
            <w:r w:rsidRPr="00210CAA">
              <w:rPr>
                <w:b/>
                <w:bCs/>
              </w:rPr>
              <w:t>Values and expressions</w:t>
            </w:r>
          </w:p>
        </w:tc>
      </w:tr>
      <w:tr w:rsidR="001523E9" w:rsidRPr="00114BA6" w14:paraId="515774A6" w14:textId="77777777" w:rsidTr="00E86F31">
        <w:tc>
          <w:tcPr>
            <w:tcW w:w="4320" w:type="dxa"/>
            <w:vAlign w:val="center"/>
          </w:tcPr>
          <w:p w14:paraId="5AC17C3C" w14:textId="77777777" w:rsidR="001523E9" w:rsidRPr="00425407" w:rsidRDefault="001523E9" w:rsidP="00E86F31">
            <w:pPr>
              <w:spacing w:before="100" w:beforeAutospacing="1" w:line="480" w:lineRule="auto"/>
              <w:jc w:val="both"/>
            </w:pPr>
            <w:r w:rsidRPr="00425407">
              <w:t xml:space="preserve">Equilibrium water vapor pressure,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oMath>
            <w:r w:rsidRPr="00425407">
              <w:rPr>
                <w:rFonts w:eastAsiaTheme="minorEastAsia"/>
                <w:iCs/>
                <w:vertAlign w:val="superscript"/>
              </w:rPr>
              <w:t>1</w:t>
            </w:r>
          </w:p>
        </w:tc>
        <w:tc>
          <w:tcPr>
            <w:tcW w:w="5040" w:type="dxa"/>
            <w:vAlign w:val="center"/>
          </w:tcPr>
          <w:p w14:paraId="4BC7F6E4" w14:textId="77777777" w:rsidR="001523E9" w:rsidRPr="00425407" w:rsidRDefault="00000000" w:rsidP="00E86F31">
            <w:pPr>
              <w:spacing w:before="100" w:beforeAutospacing="1" w:line="480" w:lineRule="auto"/>
              <w:jc w:val="both"/>
            </w:pPr>
            <m:oMath>
              <m:sSub>
                <m:sSubPr>
                  <m:ctrlPr>
                    <w:rPr>
                      <w:rFonts w:ascii="Cambria Math" w:eastAsiaTheme="minorEastAsia" w:hAnsi="Cambria Math"/>
                    </w:rPr>
                  </m:ctrlPr>
                </m:sSubPr>
                <m:e>
                  <m:r>
                    <w:rPr>
                      <w:rFonts w:ascii="Cambria Math" w:eastAsiaTheme="minorEastAsia" w:hAnsi="Cambria Math"/>
                    </w:rPr>
                    <m:t>P</m:t>
                  </m:r>
                </m:e>
                <m:sub>
                  <m:r>
                    <w:rPr>
                      <w:rFonts w:ascii="Cambria Math" w:eastAsiaTheme="minorEastAsia" w:hAnsi="Cambria Math"/>
                    </w:rPr>
                    <m:t>0</m:t>
                  </m:r>
                </m:sub>
              </m:sSub>
              <m: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10</m:t>
                  </m:r>
                </m:e>
                <m:sup>
                  <m:d>
                    <m:dPr>
                      <m:ctrlPr>
                        <w:rPr>
                          <w:rFonts w:ascii="Cambria Math" w:eastAsiaTheme="minorEastAsia" w:hAnsi="Cambria Math"/>
                        </w:rPr>
                      </m:ctrlPr>
                    </m:dPr>
                    <m:e>
                      <m:r>
                        <w:rPr>
                          <w:rFonts w:ascii="Cambria Math" w:eastAsiaTheme="minorEastAsia" w:hAnsi="Cambria Math"/>
                        </w:rPr>
                        <m:t>10.23-</m:t>
                      </m:r>
                      <m:f>
                        <m:fPr>
                          <m:ctrlPr>
                            <w:rPr>
                              <w:rFonts w:ascii="Cambria Math" w:eastAsiaTheme="minorEastAsia" w:hAnsi="Cambria Math"/>
                            </w:rPr>
                          </m:ctrlPr>
                        </m:fPr>
                        <m:num>
                          <m:r>
                            <w:rPr>
                              <w:rFonts w:ascii="Cambria Math" w:eastAsiaTheme="minorEastAsia" w:hAnsi="Cambria Math"/>
                            </w:rPr>
                            <m:t>1750</m:t>
                          </m:r>
                        </m:num>
                        <m:den>
                          <m:r>
                            <w:rPr>
                              <w:rFonts w:ascii="Cambria Math" w:eastAsiaTheme="minorEastAsia" w:hAnsi="Cambria Math"/>
                            </w:rPr>
                            <m:t>T-38</m:t>
                          </m:r>
                        </m:den>
                      </m:f>
                    </m:e>
                  </m:d>
                </m:sup>
              </m:sSup>
            </m:oMath>
            <w:r w:rsidR="001523E9" w:rsidRPr="00425407">
              <w:rPr>
                <w:rFonts w:eastAsiaTheme="minorEastAsia"/>
              </w:rPr>
              <w:t>, Pa</w:t>
            </w:r>
          </w:p>
        </w:tc>
      </w:tr>
      <w:tr w:rsidR="001523E9" w:rsidRPr="00114BA6" w14:paraId="2073F19B" w14:textId="77777777" w:rsidTr="00E86F31">
        <w:tc>
          <w:tcPr>
            <w:tcW w:w="4320" w:type="dxa"/>
            <w:vAlign w:val="center"/>
          </w:tcPr>
          <w:p w14:paraId="2322ECC2" w14:textId="77777777" w:rsidR="001523E9" w:rsidRPr="00053FFE" w:rsidRDefault="001523E9" w:rsidP="00E86F31">
            <w:pPr>
              <w:spacing w:before="100" w:beforeAutospacing="1" w:line="480" w:lineRule="auto"/>
              <w:jc w:val="both"/>
              <w:rPr>
                <w:i/>
                <w:iCs/>
              </w:rPr>
            </w:pPr>
            <w:r>
              <w:rPr>
                <w:rFonts w:eastAsiaTheme="minorEastAsia"/>
              </w:rPr>
              <w:t>W</w:t>
            </w:r>
            <w:r w:rsidRPr="00572A8F">
              <w:rPr>
                <w:rFonts w:eastAsiaTheme="minorEastAsia"/>
              </w:rPr>
              <w:t>ater vapor mass content</w:t>
            </w:r>
            <w:r>
              <w:rPr>
                <w:rFonts w:eastAsiaTheme="minorEastAsia"/>
              </w:rPr>
              <w:t xml:space="preserve">, </w:t>
            </w:r>
            <w:r>
              <w:rPr>
                <w:rFonts w:eastAsiaTheme="minorEastAsia"/>
                <w:i/>
                <w:iCs/>
              </w:rPr>
              <w:t>H</w:t>
            </w:r>
          </w:p>
        </w:tc>
        <w:tc>
          <w:tcPr>
            <w:tcW w:w="5040" w:type="dxa"/>
            <w:vAlign w:val="center"/>
          </w:tcPr>
          <w:p w14:paraId="0DE189E6" w14:textId="77777777" w:rsidR="001523E9" w:rsidRPr="00053FFE" w:rsidRDefault="001523E9" w:rsidP="00E86F31">
            <w:pPr>
              <w:spacing w:before="100" w:beforeAutospacing="1" w:line="480" w:lineRule="auto"/>
              <w:jc w:val="both"/>
            </w:pPr>
            <m:oMathPara>
              <m:oMathParaPr>
                <m:jc m:val="left"/>
              </m:oMathParaPr>
              <m:oMath>
                <m:r>
                  <m:rPr>
                    <m:sty m:val="p"/>
                  </m:rPr>
                  <w:rPr>
                    <w:rFonts w:ascii="Cambria Math" w:hAnsi="Cambria Math"/>
                  </w:rPr>
                  <m:t>H</m:t>
                </m:r>
                <m:r>
                  <w:rPr>
                    <w:rFonts w:ascii="Cambria Math" w:hAnsi="Cambria Math"/>
                  </w:rPr>
                  <m:t>=</m:t>
                </m:r>
                <m:d>
                  <m:dPr>
                    <m:ctrlPr>
                      <w:rPr>
                        <w:rFonts w:ascii="Cambria Math" w:hAnsi="Cambria Math"/>
                        <w:i/>
                      </w:rPr>
                    </m:ctrlPr>
                  </m:dPr>
                  <m:e>
                    <m:f>
                      <m:fPr>
                        <m:ctrlPr>
                          <w:rPr>
                            <w:rFonts w:ascii="Cambria Math" w:hAnsi="Cambria Math"/>
                          </w:rPr>
                        </m:ctrlPr>
                      </m:fPr>
                      <m:num>
                        <m:r>
                          <m:rPr>
                            <m:sty m:val="p"/>
                          </m:rPr>
                          <w:rPr>
                            <w:rFonts w:ascii="Cambria Math" w:hAnsi="Cambria Math"/>
                          </w:rPr>
                          <m:t>MW</m:t>
                        </m:r>
                      </m:num>
                      <m:den>
                        <m:r>
                          <w:rPr>
                            <w:rFonts w:ascii="Cambria Math" w:hAnsi="Cambria Math"/>
                          </w:rPr>
                          <m:t>28.966</m:t>
                        </m:r>
                      </m:den>
                    </m:f>
                  </m:e>
                </m:d>
                <m:r>
                  <w:rPr>
                    <w:rFonts w:ascii="Cambria Math" w:hAnsi="Cambria Math"/>
                  </w:rPr>
                  <m:t xml:space="preserve"> </m:t>
                </m:r>
                <m:d>
                  <m:dPr>
                    <m:ctrlPr>
                      <w:rPr>
                        <w:rFonts w:ascii="Cambria Math" w:hAnsi="Cambria Math"/>
                      </w:rPr>
                    </m:ctrlPr>
                  </m:dPr>
                  <m:e>
                    <m:f>
                      <m:fPr>
                        <m:ctrlPr>
                          <w:rPr>
                            <w:rFonts w:ascii="Cambria Math" w:hAnsi="Cambria Math"/>
                          </w:rPr>
                        </m:ctrlPr>
                      </m:fPr>
                      <m:num>
                        <m:sSub>
                          <m:sSubPr>
                            <m:ctrlPr>
                              <w:rPr>
                                <w:rFonts w:ascii="Cambria Math" w:eastAsiaTheme="minorEastAsia" w:hAnsi="Cambria Math"/>
                              </w:rPr>
                            </m:ctrlPr>
                          </m:sSubPr>
                          <m:e>
                            <m:r>
                              <w:rPr>
                                <w:rFonts w:ascii="Cambria Math" w:eastAsiaTheme="minorEastAsia" w:hAnsi="Cambria Math"/>
                              </w:rPr>
                              <m:t>P</m:t>
                            </m:r>
                          </m:e>
                          <m:sub>
                            <m:r>
                              <m:rPr>
                                <m:sty m:val="p"/>
                              </m:rPr>
                              <w:rPr>
                                <w:rFonts w:ascii="Cambria Math" w:eastAsiaTheme="minorEastAsia" w:hAnsi="Cambria Math"/>
                              </w:rPr>
                              <m:t>v</m:t>
                            </m:r>
                          </m:sub>
                        </m:sSub>
                        <m:r>
                          <w:rPr>
                            <w:rFonts w:ascii="Cambria Math" w:hAnsi="Cambria Math"/>
                          </w:rPr>
                          <m:t xml:space="preserve"> </m:t>
                        </m:r>
                        <m:d>
                          <m:dPr>
                            <m:begChr m:val="["/>
                            <m:endChr m:val="]"/>
                            <m:ctrlPr>
                              <w:rPr>
                                <w:rFonts w:ascii="Cambria Math" w:hAnsi="Cambria Math"/>
                              </w:rPr>
                            </m:ctrlPr>
                          </m:dPr>
                          <m:e>
                            <m:r>
                              <w:rPr>
                                <w:rFonts w:ascii="Cambria Math" w:hAnsi="Cambria Math"/>
                              </w:rPr>
                              <m:t>mm Hg</m:t>
                            </m:r>
                          </m:e>
                        </m:d>
                      </m:num>
                      <m:den>
                        <m:r>
                          <w:rPr>
                            <w:rFonts w:ascii="Cambria Math" w:hAnsi="Cambria Math"/>
                          </w:rPr>
                          <m:t>760-</m:t>
                        </m:r>
                        <m:sSub>
                          <m:sSubPr>
                            <m:ctrlPr>
                              <w:rPr>
                                <w:rFonts w:ascii="Cambria Math" w:eastAsiaTheme="minorEastAsia" w:hAnsi="Cambria Math"/>
                              </w:rPr>
                            </m:ctrlPr>
                          </m:sSubPr>
                          <m:e>
                            <m:r>
                              <w:rPr>
                                <w:rFonts w:ascii="Cambria Math" w:eastAsiaTheme="minorEastAsia" w:hAnsi="Cambria Math"/>
                              </w:rPr>
                              <m:t>P</m:t>
                            </m:r>
                          </m:e>
                          <m:sub>
                            <m:r>
                              <m:rPr>
                                <m:sty m:val="p"/>
                              </m:rPr>
                              <w:rPr>
                                <w:rFonts w:ascii="Cambria Math" w:eastAsiaTheme="minorEastAsia" w:hAnsi="Cambria Math"/>
                              </w:rPr>
                              <m:t>v</m:t>
                            </m:r>
                          </m:sub>
                        </m:sSub>
                        <m:r>
                          <w:rPr>
                            <w:rFonts w:ascii="Cambria Math" w:hAnsi="Cambria Math"/>
                          </w:rPr>
                          <m:t xml:space="preserve"> </m:t>
                        </m:r>
                        <m:d>
                          <m:dPr>
                            <m:begChr m:val="["/>
                            <m:endChr m:val="]"/>
                            <m:ctrlPr>
                              <w:rPr>
                                <w:rFonts w:ascii="Cambria Math" w:hAnsi="Cambria Math"/>
                              </w:rPr>
                            </m:ctrlPr>
                          </m:dPr>
                          <m:e>
                            <m:r>
                              <w:rPr>
                                <w:rFonts w:ascii="Cambria Math" w:hAnsi="Cambria Math"/>
                              </w:rPr>
                              <m:t>mm Hg</m:t>
                            </m:r>
                          </m:e>
                        </m:d>
                      </m:den>
                    </m:f>
                  </m:e>
                </m:d>
              </m:oMath>
            </m:oMathPara>
          </w:p>
        </w:tc>
      </w:tr>
      <w:tr w:rsidR="001523E9" w:rsidRPr="00114BA6" w14:paraId="07D1C005" w14:textId="77777777" w:rsidTr="00E86F31">
        <w:tc>
          <w:tcPr>
            <w:tcW w:w="4320" w:type="dxa"/>
            <w:vAlign w:val="center"/>
          </w:tcPr>
          <w:p w14:paraId="1B0891DD" w14:textId="77777777" w:rsidR="001523E9" w:rsidRPr="00053FFE" w:rsidRDefault="001523E9" w:rsidP="00E86F31">
            <w:pPr>
              <w:spacing w:before="100" w:beforeAutospacing="1" w:line="480" w:lineRule="auto"/>
              <w:jc w:val="both"/>
              <w:rPr>
                <w:rFonts w:eastAsiaTheme="minorEastAsia"/>
                <w:b/>
                <w:bCs/>
              </w:rPr>
            </w:pPr>
            <w:r>
              <w:rPr>
                <w:rFonts w:eastAsiaTheme="minorEastAsia"/>
              </w:rPr>
              <w:t>S</w:t>
            </w:r>
            <w:r w:rsidRPr="00572A8F">
              <w:rPr>
                <w:rFonts w:eastAsiaTheme="minorEastAsia"/>
              </w:rPr>
              <w:t>pecific heat capacity of air containing water vapor</w:t>
            </w:r>
            <w:r>
              <w:rPr>
                <w:rFonts w:eastAsiaTheme="minorEastAsia"/>
              </w:rPr>
              <w:t xml:space="preserve">, </w:t>
            </w:r>
            <w:r>
              <w:rPr>
                <w:rFonts w:eastAsiaTheme="minorEastAsia"/>
                <w:i/>
                <w:iCs/>
              </w:rPr>
              <w:t>C</w:t>
            </w:r>
          </w:p>
        </w:tc>
        <w:tc>
          <w:tcPr>
            <w:tcW w:w="5040" w:type="dxa"/>
            <w:vAlign w:val="center"/>
          </w:tcPr>
          <w:p w14:paraId="32D09ADC" w14:textId="77777777" w:rsidR="001523E9" w:rsidRPr="00053FFE" w:rsidRDefault="001523E9" w:rsidP="00E86F31">
            <w:pPr>
              <w:spacing w:before="100" w:beforeAutospacing="1" w:line="480" w:lineRule="auto"/>
              <w:jc w:val="both"/>
              <w:rPr>
                <w:i/>
              </w:rPr>
            </w:pPr>
            <m:oMathPara>
              <m:oMathParaPr>
                <m:jc m:val="left"/>
              </m:oMathParaPr>
              <m:oMath>
                <m:r>
                  <m:rPr>
                    <m:sty m:val="p"/>
                  </m:rPr>
                  <w:rPr>
                    <w:rFonts w:ascii="Cambria Math" w:hAnsi="Cambria Math"/>
                  </w:rPr>
                  <m:t>C</m:t>
                </m:r>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p,water</m:t>
                    </m:r>
                  </m:sub>
                </m:sSub>
                <m:r>
                  <w:rPr>
                    <w:rFonts w:ascii="Cambria Math" w:hAnsi="Cambria Math"/>
                  </w:rPr>
                  <m:t xml:space="preserve"> </m:t>
                </m:r>
                <m:r>
                  <m:rPr>
                    <m:sty m:val="p"/>
                  </m:rPr>
                  <w:rPr>
                    <w:rFonts w:ascii="Cambria Math" w:hAnsi="Cambria Math"/>
                  </w:rPr>
                  <m:t>H</m:t>
                </m:r>
                <m:r>
                  <w:rPr>
                    <w:rFonts w:ascii="Cambria Math" w:hAnsi="Cambria Math"/>
                  </w:rPr>
                  <m:t xml:space="preserve">+0.24 </m:t>
                </m:r>
                <m:d>
                  <m:dPr>
                    <m:begChr m:val="["/>
                    <m:endChr m:val="]"/>
                    <m:ctrlPr>
                      <w:rPr>
                        <w:rFonts w:ascii="Cambria Math" w:hAnsi="Cambria Math"/>
                      </w:rPr>
                    </m:ctrlPr>
                  </m:dPr>
                  <m:e>
                    <m:f>
                      <m:fPr>
                        <m:type m:val="skw"/>
                        <m:ctrlPr>
                          <w:rPr>
                            <w:rFonts w:ascii="Cambria Math" w:hAnsi="Cambria Math"/>
                          </w:rPr>
                        </m:ctrlPr>
                      </m:fPr>
                      <m:num>
                        <m:r>
                          <w:rPr>
                            <w:rFonts w:ascii="Cambria Math" w:hAnsi="Cambria Math"/>
                          </w:rPr>
                          <m:t>cal</m:t>
                        </m:r>
                      </m:num>
                      <m:den>
                        <m:sSub>
                          <m:sSubPr>
                            <m:ctrlPr>
                              <w:rPr>
                                <w:rFonts w:ascii="Cambria Math" w:hAnsi="Cambria Math"/>
                              </w:rPr>
                            </m:ctrlPr>
                          </m:sSubPr>
                          <m:e>
                            <m:r>
                              <w:rPr>
                                <w:rFonts w:ascii="Cambria Math" w:hAnsi="Cambria Math"/>
                              </w:rPr>
                              <m:t>g</m:t>
                            </m:r>
                          </m:e>
                          <m:sub>
                            <m:r>
                              <w:rPr>
                                <w:rFonts w:ascii="Cambria Math" w:hAnsi="Cambria Math"/>
                              </w:rPr>
                              <m:t>dry, air</m:t>
                            </m:r>
                          </m:sub>
                        </m:sSub>
                        <m:r>
                          <w:rPr>
                            <w:rFonts w:ascii="Cambria Math" w:hAnsi="Cambria Math"/>
                          </w:rPr>
                          <m:t xml:space="preserve"> K</m:t>
                        </m:r>
                      </m:den>
                    </m:f>
                  </m:e>
                </m:d>
              </m:oMath>
            </m:oMathPara>
          </w:p>
        </w:tc>
      </w:tr>
      <w:tr w:rsidR="001523E9" w:rsidRPr="00114BA6" w14:paraId="3707BC45" w14:textId="77777777" w:rsidTr="00E86F31">
        <w:tc>
          <w:tcPr>
            <w:tcW w:w="4320" w:type="dxa"/>
          </w:tcPr>
          <w:p w14:paraId="14C027FB" w14:textId="77777777" w:rsidR="001523E9" w:rsidRPr="00425407" w:rsidRDefault="001523E9" w:rsidP="00E86F31">
            <w:pPr>
              <w:spacing w:before="100" w:beforeAutospacing="1" w:line="480" w:lineRule="auto"/>
              <w:jc w:val="both"/>
              <w:rPr>
                <w:vertAlign w:val="superscript"/>
              </w:rPr>
            </w:pPr>
            <w:r w:rsidRPr="00425407">
              <w:t xml:space="preserve">Surface tension of water, </w:t>
            </w:r>
            <w:r w:rsidRPr="00425407">
              <w:rPr>
                <w:i/>
                <w:iCs/>
                <w:lang w:val="el-GR"/>
              </w:rPr>
              <w:t>σ</w:t>
            </w:r>
            <w:r w:rsidRPr="00425407">
              <w:rPr>
                <w:vertAlign w:val="superscript"/>
              </w:rPr>
              <w:t>2,3</w:t>
            </w:r>
          </w:p>
        </w:tc>
        <w:tc>
          <w:tcPr>
            <w:tcW w:w="5040" w:type="dxa"/>
          </w:tcPr>
          <w:p w14:paraId="2ACA8973" w14:textId="77777777" w:rsidR="001523E9" w:rsidRPr="00425407" w:rsidRDefault="001523E9" w:rsidP="00E86F31">
            <w:pPr>
              <w:spacing w:before="100" w:beforeAutospacing="1" w:line="480" w:lineRule="auto"/>
              <w:jc w:val="both"/>
            </w:pPr>
            <m:oMath>
              <m:r>
                <w:rPr>
                  <w:rFonts w:ascii="Cambria Math" w:hAnsi="Cambria Math"/>
                  <w:lang w:val="el-GR"/>
                </w:rPr>
                <m:t>σ</m:t>
              </m:r>
              <m:r>
                <w:rPr>
                  <w:rFonts w:ascii="Cambria Math" w:hAnsi="Cambria Math"/>
                </w:rPr>
                <m:t xml:space="preserve">=0.0761-1.55 </m:t>
              </m:r>
              <m:sSup>
                <m:sSupPr>
                  <m:ctrlPr>
                    <w:rPr>
                      <w:rFonts w:ascii="Cambria Math" w:hAnsi="Cambria Math"/>
                      <w:i/>
                    </w:rPr>
                  </m:ctrlPr>
                </m:sSupPr>
                <m:e>
                  <m:r>
                    <w:rPr>
                      <w:rFonts w:ascii="Cambria Math" w:hAnsi="Cambria Math"/>
                    </w:rPr>
                    <m:t>10</m:t>
                  </m:r>
                </m:e>
                <m:sup>
                  <m:r>
                    <w:rPr>
                      <w:rFonts w:ascii="Cambria Math" w:hAnsi="Cambria Math"/>
                    </w:rPr>
                    <m:t>-4</m:t>
                  </m:r>
                </m:sup>
              </m:sSup>
              <m:d>
                <m:dPr>
                  <m:ctrlPr>
                    <w:rPr>
                      <w:rFonts w:ascii="Cambria Math" w:hAnsi="Cambria Math"/>
                      <w:i/>
                    </w:rPr>
                  </m:ctrlPr>
                </m:dPr>
                <m:e>
                  <m:r>
                    <w:rPr>
                      <w:rFonts w:ascii="Cambria Math" w:hAnsi="Cambria Math"/>
                    </w:rPr>
                    <m:t>T-273</m:t>
                  </m:r>
                </m:e>
              </m:d>
            </m:oMath>
            <w:r w:rsidRPr="00425407">
              <w:rPr>
                <w:rFonts w:eastAsiaTheme="minorEastAsia"/>
                <w:i/>
              </w:rPr>
              <w:t>, J</w:t>
            </w:r>
            <w:r w:rsidRPr="00425407">
              <w:rPr>
                <w:rFonts w:eastAsiaTheme="minorEastAsia"/>
                <w:iCs/>
              </w:rPr>
              <w:t xml:space="preserve"> m</w:t>
            </w:r>
            <w:r w:rsidRPr="00425407">
              <w:rPr>
                <w:rFonts w:eastAsiaTheme="minorEastAsia"/>
                <w:iCs/>
                <w:vertAlign w:val="superscript"/>
              </w:rPr>
              <w:t>-2</w:t>
            </w:r>
          </w:p>
        </w:tc>
      </w:tr>
      <w:tr w:rsidR="001523E9" w:rsidRPr="00114BA6" w14:paraId="6C9F0E90" w14:textId="77777777" w:rsidTr="00E86F31">
        <w:tc>
          <w:tcPr>
            <w:tcW w:w="4320" w:type="dxa"/>
          </w:tcPr>
          <w:p w14:paraId="3ECE8573" w14:textId="77777777" w:rsidR="001523E9" w:rsidRPr="00425407" w:rsidRDefault="001523E9" w:rsidP="00E86F31">
            <w:pPr>
              <w:spacing w:before="100" w:beforeAutospacing="1" w:line="480" w:lineRule="auto"/>
              <w:jc w:val="both"/>
            </w:pPr>
            <w:r w:rsidRPr="00425407">
              <w:t xml:space="preserve">Density of water, </w:t>
            </w:r>
            <w:r w:rsidRPr="00425407">
              <w:rPr>
                <w:i/>
                <w:iCs/>
                <w:lang w:val="el-GR"/>
              </w:rPr>
              <w:t>ρ</w:t>
            </w:r>
          </w:p>
        </w:tc>
        <w:tc>
          <w:tcPr>
            <w:tcW w:w="5040" w:type="dxa"/>
          </w:tcPr>
          <w:p w14:paraId="13E25337" w14:textId="77777777" w:rsidR="001523E9" w:rsidRPr="00425407" w:rsidRDefault="001523E9" w:rsidP="00E86F31">
            <w:pPr>
              <w:spacing w:before="100" w:beforeAutospacing="1" w:line="480" w:lineRule="auto"/>
              <w:jc w:val="both"/>
            </w:pPr>
            <w:r w:rsidRPr="00425407">
              <w:rPr>
                <w:rFonts w:eastAsia="Calibri"/>
              </w:rPr>
              <w:t xml:space="preserve">1.0 g </w:t>
            </w:r>
            <w:proofErr w:type="gramStart"/>
            <w:r w:rsidRPr="00425407">
              <w:rPr>
                <w:rFonts w:eastAsia="Calibri"/>
              </w:rPr>
              <w:t>cm</w:t>
            </w:r>
            <w:r w:rsidRPr="00425407">
              <w:rPr>
                <w:rFonts w:eastAsia="Calibri"/>
                <w:vertAlign w:val="superscript"/>
              </w:rPr>
              <w:t>-3</w:t>
            </w:r>
            <w:proofErr w:type="gramEnd"/>
          </w:p>
        </w:tc>
      </w:tr>
      <w:tr w:rsidR="001523E9" w:rsidRPr="00114BA6" w14:paraId="317F82DD" w14:textId="77777777" w:rsidTr="00E86F31">
        <w:tc>
          <w:tcPr>
            <w:tcW w:w="4320" w:type="dxa"/>
          </w:tcPr>
          <w:p w14:paraId="2CFEA340" w14:textId="77777777" w:rsidR="001523E9" w:rsidRPr="00425407" w:rsidRDefault="001523E9" w:rsidP="00E86F31">
            <w:pPr>
              <w:spacing w:before="100" w:beforeAutospacing="1" w:line="480" w:lineRule="auto"/>
              <w:jc w:val="both"/>
            </w:pPr>
            <w:r w:rsidRPr="00425407">
              <w:t xml:space="preserve">Molecular weight of water, </w:t>
            </w:r>
            <m:oMath>
              <m:r>
                <w:rPr>
                  <w:rFonts w:ascii="Cambria Math" w:hAnsi="Cambria Math"/>
                </w:rPr>
                <m:t>MW</m:t>
              </m:r>
            </m:oMath>
          </w:p>
        </w:tc>
        <w:tc>
          <w:tcPr>
            <w:tcW w:w="5040" w:type="dxa"/>
          </w:tcPr>
          <w:p w14:paraId="3FC98852" w14:textId="77777777" w:rsidR="001523E9" w:rsidRPr="00572A8F" w:rsidRDefault="001523E9" w:rsidP="00E86F31">
            <w:pPr>
              <w:spacing w:before="100" w:beforeAutospacing="1" w:line="480" w:lineRule="auto"/>
              <w:jc w:val="both"/>
              <w:rPr>
                <w:rFonts w:eastAsiaTheme="minorEastAsia"/>
              </w:rPr>
            </w:pPr>
            <w:r w:rsidRPr="00425407">
              <w:t>18.02 g mol</w:t>
            </w:r>
            <w:r w:rsidRPr="00425407">
              <w:rPr>
                <w:vertAlign w:val="superscript"/>
              </w:rPr>
              <w:t>-1</w:t>
            </w:r>
          </w:p>
        </w:tc>
      </w:tr>
      <w:tr w:rsidR="001523E9" w:rsidRPr="00114BA6" w14:paraId="12931606" w14:textId="77777777" w:rsidTr="00E86F31">
        <w:tc>
          <w:tcPr>
            <w:tcW w:w="4320" w:type="dxa"/>
          </w:tcPr>
          <w:p w14:paraId="03CC204C" w14:textId="77777777" w:rsidR="001523E9" w:rsidRPr="00425407" w:rsidRDefault="001523E9" w:rsidP="00E86F31">
            <w:pPr>
              <w:spacing w:before="100" w:beforeAutospacing="1" w:line="480" w:lineRule="auto"/>
              <w:jc w:val="both"/>
              <w:rPr>
                <w:vertAlign w:val="superscript"/>
              </w:rPr>
            </w:pPr>
            <w:r w:rsidRPr="00425407">
              <w:t xml:space="preserve">Heat capacity of </w:t>
            </w:r>
            <w:r>
              <w:t>water vapor</w:t>
            </w:r>
            <w:r w:rsidRPr="00425407">
              <w:t xml:space="preserve">, </w:t>
            </w:r>
            <m:oMath>
              <m:sSub>
                <m:sSubPr>
                  <m:ctrlPr>
                    <w:rPr>
                      <w:rFonts w:ascii="Cambria Math" w:hAnsi="Cambria Math"/>
                      <w:i/>
                    </w:rPr>
                  </m:ctrlPr>
                </m:sSubPr>
                <m:e>
                  <m:r>
                    <w:rPr>
                      <w:rFonts w:ascii="Cambria Math" w:hAnsi="Cambria Math"/>
                    </w:rPr>
                    <m:t>C</m:t>
                  </m:r>
                </m:e>
                <m:sub>
                  <m:r>
                    <w:rPr>
                      <w:rFonts w:ascii="Cambria Math" w:hAnsi="Cambria Math"/>
                    </w:rPr>
                    <m:t>p,water</m:t>
                  </m:r>
                </m:sub>
              </m:sSub>
            </m:oMath>
          </w:p>
        </w:tc>
        <w:tc>
          <w:tcPr>
            <w:tcW w:w="5040" w:type="dxa"/>
          </w:tcPr>
          <w:p w14:paraId="48FFA614" w14:textId="77777777" w:rsidR="001523E9" w:rsidRPr="00425407" w:rsidRDefault="001523E9" w:rsidP="00E86F31">
            <w:pPr>
              <w:spacing w:before="100" w:beforeAutospacing="1" w:line="480" w:lineRule="auto"/>
              <w:jc w:val="both"/>
              <w:rPr>
                <w:iCs/>
                <w:vertAlign w:val="superscript"/>
              </w:rPr>
            </w:pPr>
            <w:r w:rsidRPr="00572A8F">
              <w:rPr>
                <w:rFonts w:eastAsiaTheme="minorEastAsia"/>
              </w:rPr>
              <w:t xml:space="preserve">0.47 </w:t>
            </w:r>
            <w:proofErr w:type="spellStart"/>
            <w:r>
              <w:rPr>
                <w:rFonts w:eastAsiaTheme="minorEastAsia"/>
              </w:rPr>
              <w:t>cal</w:t>
            </w:r>
            <w:proofErr w:type="spellEnd"/>
            <w:r w:rsidRPr="00425407">
              <w:rPr>
                <w:rFonts w:eastAsia="Calibri"/>
              </w:rPr>
              <w:t xml:space="preserve"> g</w:t>
            </w:r>
            <w:r w:rsidRPr="00425407">
              <w:rPr>
                <w:rFonts w:eastAsia="Calibri"/>
                <w:vertAlign w:val="superscript"/>
              </w:rPr>
              <w:t xml:space="preserve">-1 </w:t>
            </w:r>
            <w:r w:rsidRPr="00425407">
              <w:rPr>
                <w:rFonts w:eastAsia="Calibri"/>
              </w:rPr>
              <w:t>K</w:t>
            </w:r>
            <w:r w:rsidRPr="00425407">
              <w:rPr>
                <w:rFonts w:eastAsia="Calibri"/>
                <w:vertAlign w:val="superscript"/>
              </w:rPr>
              <w:t>-1</w:t>
            </w:r>
          </w:p>
        </w:tc>
      </w:tr>
      <w:tr w:rsidR="001523E9" w:rsidRPr="00114BA6" w14:paraId="38E3A8E6" w14:textId="77777777" w:rsidTr="00E86F31">
        <w:tc>
          <w:tcPr>
            <w:tcW w:w="4320" w:type="dxa"/>
            <w:tcBorders>
              <w:bottom w:val="single" w:sz="4" w:space="0" w:color="auto"/>
            </w:tcBorders>
          </w:tcPr>
          <w:p w14:paraId="2FC0A5F8" w14:textId="77777777" w:rsidR="001523E9" w:rsidRPr="00425407" w:rsidRDefault="001523E9" w:rsidP="00E86F31">
            <w:pPr>
              <w:spacing w:before="100" w:beforeAutospacing="1" w:line="480" w:lineRule="auto"/>
              <w:jc w:val="both"/>
              <w:rPr>
                <w:vertAlign w:val="superscript"/>
              </w:rPr>
            </w:pPr>
            <w:r w:rsidRPr="00425407">
              <w:lastRenderedPageBreak/>
              <w:t xml:space="preserve">Universal gas constant, </w:t>
            </w:r>
            <w:r w:rsidRPr="00425407">
              <w:rPr>
                <w:i/>
                <w:iCs/>
              </w:rPr>
              <w:t>R</w:t>
            </w:r>
          </w:p>
        </w:tc>
        <w:tc>
          <w:tcPr>
            <w:tcW w:w="5040" w:type="dxa"/>
            <w:tcBorders>
              <w:bottom w:val="single" w:sz="4" w:space="0" w:color="auto"/>
            </w:tcBorders>
          </w:tcPr>
          <w:p w14:paraId="0CABE101" w14:textId="77777777" w:rsidR="001523E9" w:rsidRPr="00425407" w:rsidRDefault="001523E9" w:rsidP="00E86F31">
            <w:pPr>
              <w:spacing w:before="100" w:beforeAutospacing="1" w:line="480" w:lineRule="auto"/>
              <w:jc w:val="both"/>
              <w:rPr>
                <w:rFonts w:eastAsiaTheme="minorEastAsia"/>
                <w:vertAlign w:val="superscript"/>
              </w:rPr>
            </w:pPr>
            <w:r w:rsidRPr="00425407">
              <w:rPr>
                <w:rFonts w:eastAsia="Calibri"/>
              </w:rPr>
              <w:t>8.31 J mol</w:t>
            </w:r>
            <w:r w:rsidRPr="00425407">
              <w:rPr>
                <w:rFonts w:eastAsia="Calibri"/>
                <w:vertAlign w:val="superscript"/>
              </w:rPr>
              <w:t>-1</w:t>
            </w:r>
            <w:r w:rsidRPr="00425407">
              <w:rPr>
                <w:rFonts w:eastAsia="Calibri"/>
              </w:rPr>
              <w:t xml:space="preserve"> K</w:t>
            </w:r>
            <w:r w:rsidRPr="00425407">
              <w:rPr>
                <w:rFonts w:eastAsia="Calibri"/>
                <w:vertAlign w:val="superscript"/>
              </w:rPr>
              <w:t>-1</w:t>
            </w:r>
          </w:p>
        </w:tc>
      </w:tr>
    </w:tbl>
    <w:p w14:paraId="10D3489D" w14:textId="47548D18" w:rsidR="001523E9" w:rsidRPr="00425407" w:rsidRDefault="001523E9" w:rsidP="001523E9">
      <w:pPr>
        <w:ind w:firstLine="360"/>
        <w:jc w:val="both"/>
      </w:pPr>
      <w:r w:rsidRPr="00425407">
        <w:rPr>
          <w:vertAlign w:val="superscript"/>
        </w:rPr>
        <w:t>1</w:t>
      </w:r>
      <w:r w:rsidRPr="00425407">
        <w:t>Obtained by</w:t>
      </w:r>
      <w:r w:rsidRPr="00425407">
        <w:rPr>
          <w:rFonts w:eastAsiaTheme="minorEastAsia"/>
        </w:rPr>
        <w:t xml:space="preserve"> </w:t>
      </w:r>
      <w:r w:rsidR="009C2442">
        <w:rPr>
          <w:rStyle w:val="FootnoteReference"/>
          <w:rFonts w:eastAsiaTheme="minorEastAsia"/>
        </w:rPr>
        <w:fldChar w:fldCharType="begin" w:fldLock="1"/>
      </w:r>
      <w:r w:rsidR="009C2442">
        <w:rPr>
          <w:rFonts w:eastAsiaTheme="minorEastAsia"/>
        </w:rPr>
        <w:instrText>ADDIN CSL_CITATION {"citationItems":[{"id":"ITEM-1","itemData":{"DOI":"10.1002/9781118001684","ISBN":"9780470387412","author":[{"dropping-particle":"","family":"Cheng","given":"Y-S.","non-dropping-particle":"","parse-names":false,"suffix":""}],"chapter-number":"17","container-title":"Aerosol Measurements: Principles, Techniques and Applications","edition":"Third","editor":[{"dropping-particle":"","family":"Kulkarni","given":"Pramod","non-dropping-particle":"","parse-names":false,"suffix":""},{"dropping-particle":"","family":"Baron","given":"Paul A.","non-dropping-particle":"","parse-names":false,"suffix":""},{"dropping-particle":"","family":"Willeke","given":"Klaus","non-dropping-particle":"","parse-names":false,"suffix":""}],"id":"ITEM-1","issued":{"date-parts":[["2011","6","27"]]},"page":"381-392","publisher":"Wiley","title":"Condensation Particle Counters","type":"chapter"},"uris":["http://www.mendeley.com/documents/?uuid=fcedecb0-143c-46e4-900b-81fd85653256"]}],"mendeley":{"formattedCitation":"(Cheng 2011)","manualFormatting":"Cheng (2011)","plainTextFormattedCitation":"(Cheng 2011)","previouslyFormattedCitation":"(10)"},"properties":{"noteIndex":0},"schema":"https://github.com/citation-style-language/schema/raw/master/csl-citation.json"}</w:instrText>
      </w:r>
      <w:r w:rsidR="009C2442">
        <w:rPr>
          <w:rStyle w:val="FootnoteReference"/>
          <w:rFonts w:eastAsiaTheme="minorEastAsia"/>
        </w:rPr>
        <w:fldChar w:fldCharType="separate"/>
      </w:r>
      <w:r w:rsidR="009C2442">
        <w:rPr>
          <w:rFonts w:eastAsiaTheme="minorEastAsia"/>
          <w:noProof/>
        </w:rPr>
        <w:t>Cheng (2011)</w:t>
      </w:r>
      <w:r w:rsidR="009C2442">
        <w:rPr>
          <w:rStyle w:val="FootnoteReference"/>
          <w:rFonts w:eastAsiaTheme="minorEastAsia"/>
        </w:rPr>
        <w:fldChar w:fldCharType="end"/>
      </w:r>
    </w:p>
    <w:p w14:paraId="14956656" w14:textId="7D24F4A4" w:rsidR="001523E9" w:rsidRPr="00425407" w:rsidRDefault="001523E9" w:rsidP="001523E9">
      <w:pPr>
        <w:ind w:firstLine="360"/>
        <w:jc w:val="both"/>
        <w:rPr>
          <w:vertAlign w:val="superscript"/>
        </w:rPr>
      </w:pPr>
      <w:r w:rsidRPr="00425407">
        <w:rPr>
          <w:vertAlign w:val="superscript"/>
        </w:rPr>
        <w:t>2</w:t>
      </w:r>
      <w:r w:rsidRPr="00425407">
        <w:t xml:space="preserve">Obtained by </w:t>
      </w:r>
      <w:r w:rsidR="009C2442">
        <w:rPr>
          <w:rStyle w:val="FootnoteReference"/>
        </w:rPr>
        <w:fldChar w:fldCharType="begin" w:fldLock="1"/>
      </w:r>
      <w:r w:rsidR="009C2442">
        <w:instrText>ADDIN CSL_CITATION {"citationItems":[{"id":"ITEM-1","itemData":{"author":[{"dropping-particle":"","family":"Seinfeld","given":"J. H.","non-dropping-particle":"","parse-names":false,"suffix":""},{"dropping-particle":"","family":"Pandis","given":"S. N.","non-dropping-particle":"","parse-names":false,"suffix":""}],"chapter-number":"17","container-title":"Atmospheric chemistry and physics : From air pollution to climate change.","edition":"2","id":"ITEM-1","issued":{"date-parts":[["2012"]]},"page":"1333","publisher":"Wiley","publisher-place":"New Jersey","title":"Cloud Physics","type":"chapter"},"uris":["http://www.mendeley.com/documents/?uuid=0ee7f09c-7088-4845-94bf-d4f6a4cb9d66"]}],"mendeley":{"formattedCitation":"(Seinfeld and Pandis 2012)","manualFormatting":"Seinfeld and Pandis (2012)","plainTextFormattedCitation":"(Seinfeld and Pandis 2012)","previouslyFormattedCitation":"(2)"},"properties":{"noteIndex":0},"schema":"https://github.com/citation-style-language/schema/raw/master/csl-citation.json"}</w:instrText>
      </w:r>
      <w:r w:rsidR="009C2442">
        <w:rPr>
          <w:rStyle w:val="FootnoteReference"/>
        </w:rPr>
        <w:fldChar w:fldCharType="separate"/>
      </w:r>
      <w:r w:rsidR="009C2442">
        <w:rPr>
          <w:noProof/>
        </w:rPr>
        <w:t>Seinfeld and Pandis (2012)</w:t>
      </w:r>
      <w:r w:rsidR="009C2442">
        <w:rPr>
          <w:rStyle w:val="FootnoteReference"/>
        </w:rPr>
        <w:fldChar w:fldCharType="end"/>
      </w:r>
    </w:p>
    <w:p w14:paraId="4283A6AB" w14:textId="36991428" w:rsidR="001523E9" w:rsidRDefault="001523E9" w:rsidP="001523E9">
      <w:pPr>
        <w:ind w:firstLine="360"/>
        <w:jc w:val="both"/>
        <w:rPr>
          <w:vertAlign w:val="superscript"/>
        </w:rPr>
      </w:pPr>
      <w:r w:rsidRPr="00425407">
        <w:rPr>
          <w:vertAlign w:val="superscript"/>
        </w:rPr>
        <w:t>3</w:t>
      </w:r>
      <w:r w:rsidRPr="00425407">
        <w:t xml:space="preserve">Obtained by </w:t>
      </w:r>
      <w:r w:rsidR="009C2442">
        <w:rPr>
          <w:rStyle w:val="FootnoteReference"/>
        </w:rPr>
        <w:fldChar w:fldCharType="begin" w:fldLock="1"/>
      </w:r>
      <w:r w:rsidR="009C2442">
        <w:instrText>ADDIN CSL_CITATION {"citationItems":[{"id":"ITEM-1","itemData":{"author":[{"dropping-particle":"","family":"Pruppacher","given":"H.R.","non-dropping-particle":"","parse-names":false,"suffix":""},{"dropping-particle":"","family":"Klett","given":"J.D.","non-dropping-particle":"","parse-names":false,"suffix":""}],"id":"ITEM-1","issued":{"date-parts":[["1997"]]},"publisher-place":"Kluwer, Dordrecht, The Netherlands","title":"Microphysics of Clouds and Precipitation","type":"book"},"uris":["http://www.mendeley.com/documents/?uuid=dd813aad-99f6-4698-ac40-e98185da4048"]}],"mendeley":{"formattedCitation":"(Pruppacher and Klett 1997)","manualFormatting":"Pruppacher and Klett (1997)","plainTextFormattedCitation":"(Pruppacher and Klett 1997)","previouslyFormattedCitation":"(11)"},"properties":{"noteIndex":0},"schema":"https://github.com/citation-style-language/schema/raw/master/csl-citation.json"}</w:instrText>
      </w:r>
      <w:r w:rsidR="009C2442">
        <w:rPr>
          <w:rStyle w:val="FootnoteReference"/>
        </w:rPr>
        <w:fldChar w:fldCharType="separate"/>
      </w:r>
      <w:r w:rsidR="009C2442">
        <w:rPr>
          <w:noProof/>
        </w:rPr>
        <w:t>Pruppacher and Klett (1997)</w:t>
      </w:r>
      <w:r w:rsidR="009C2442">
        <w:rPr>
          <w:rStyle w:val="FootnoteReference"/>
        </w:rPr>
        <w:fldChar w:fldCharType="end"/>
      </w:r>
    </w:p>
    <w:p w14:paraId="3C3BE270" w14:textId="77777777" w:rsidR="009247B8" w:rsidRDefault="009247B8" w:rsidP="001523E9">
      <w:pPr>
        <w:ind w:firstLine="360"/>
        <w:jc w:val="both"/>
        <w:rPr>
          <w:vertAlign w:val="superscript"/>
        </w:rPr>
      </w:pPr>
    </w:p>
    <w:p w14:paraId="79B29A01" w14:textId="77777777" w:rsidR="009247B8" w:rsidRDefault="009247B8" w:rsidP="001523E9">
      <w:pPr>
        <w:ind w:firstLine="360"/>
        <w:jc w:val="both"/>
        <w:rPr>
          <w:vertAlign w:val="superscript"/>
        </w:rPr>
      </w:pPr>
    </w:p>
    <w:p w14:paraId="31D64049" w14:textId="77777777" w:rsidR="009247B8" w:rsidRDefault="009247B8" w:rsidP="001523E9">
      <w:pPr>
        <w:ind w:firstLine="360"/>
        <w:jc w:val="both"/>
        <w:rPr>
          <w:vertAlign w:val="superscript"/>
        </w:rPr>
      </w:pPr>
    </w:p>
    <w:p w14:paraId="07A96ED1" w14:textId="720DF262" w:rsidR="009247B8" w:rsidRPr="00C61200" w:rsidRDefault="009247B8" w:rsidP="001523E9">
      <w:pPr>
        <w:ind w:firstLine="360"/>
        <w:jc w:val="both"/>
        <w:rPr>
          <w:b/>
          <w:bCs/>
        </w:rPr>
      </w:pPr>
      <w:r w:rsidRPr="00C61200">
        <w:rPr>
          <w:b/>
          <w:bCs/>
        </w:rPr>
        <w:t>References</w:t>
      </w:r>
    </w:p>
    <w:p w14:paraId="6ECF6B15" w14:textId="77777777" w:rsidR="009247B8" w:rsidRDefault="009247B8" w:rsidP="001523E9">
      <w:pPr>
        <w:ind w:firstLine="360"/>
        <w:jc w:val="both"/>
      </w:pPr>
    </w:p>
    <w:p w14:paraId="5DE7AD05" w14:textId="29F7D620" w:rsidR="009C2442" w:rsidRPr="009C2442" w:rsidRDefault="009247B8" w:rsidP="009C2442">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9C2442" w:rsidRPr="009C2442">
        <w:rPr>
          <w:noProof/>
        </w:rPr>
        <w:t>Cheng, Y.-S. (2011). Condensation Particle Counters.</w:t>
      </w:r>
      <w:r w:rsidR="009C2442" w:rsidRPr="009C2442">
        <w:rPr>
          <w:i/>
          <w:iCs/>
          <w:noProof/>
        </w:rPr>
        <w:t>, in Aerosol Measurements: Principles, Techniques and Applications, P. Kulkarni, P.A. Baron, K. Willeke, eds,</w:t>
      </w:r>
      <w:r w:rsidR="009C2442" w:rsidRPr="009C2442">
        <w:rPr>
          <w:noProof/>
        </w:rPr>
        <w:t xml:space="preserve"> Wiley, pp. 381–392.</w:t>
      </w:r>
    </w:p>
    <w:p w14:paraId="1BE57D26" w14:textId="77777777" w:rsidR="009C2442" w:rsidRPr="009C2442" w:rsidRDefault="009C2442" w:rsidP="009C2442">
      <w:pPr>
        <w:widowControl w:val="0"/>
        <w:autoSpaceDE w:val="0"/>
        <w:autoSpaceDN w:val="0"/>
        <w:adjustRightInd w:val="0"/>
        <w:ind w:left="480" w:hanging="480"/>
        <w:rPr>
          <w:noProof/>
        </w:rPr>
      </w:pPr>
      <w:r w:rsidRPr="009C2442">
        <w:rPr>
          <w:noProof/>
        </w:rPr>
        <w:t>Hinds, W.C. and Zhu, Y. (2022). Aerosol technology: properties, behavior, and measurement of airborne particles, Third Edit. ed. Wiley.</w:t>
      </w:r>
    </w:p>
    <w:p w14:paraId="447B8379" w14:textId="77777777" w:rsidR="009C2442" w:rsidRPr="009C2442" w:rsidRDefault="009C2442" w:rsidP="009C2442">
      <w:pPr>
        <w:widowControl w:val="0"/>
        <w:autoSpaceDE w:val="0"/>
        <w:autoSpaceDN w:val="0"/>
        <w:adjustRightInd w:val="0"/>
        <w:ind w:left="480" w:hanging="480"/>
        <w:rPr>
          <w:noProof/>
        </w:rPr>
      </w:pPr>
      <w:r w:rsidRPr="009C2442">
        <w:rPr>
          <w:noProof/>
        </w:rPr>
        <w:t>Kousaka, Y., Niida, T., Okuyama, K., and Tanaka, H. (1982). Development of a mixing type condensation nucleus counter.</w:t>
      </w:r>
      <w:r w:rsidRPr="009C2442">
        <w:rPr>
          <w:i/>
          <w:iCs/>
          <w:noProof/>
        </w:rPr>
        <w:t xml:space="preserve"> J. Aerosol Sci.</w:t>
      </w:r>
      <w:r w:rsidRPr="009C2442">
        <w:rPr>
          <w:noProof/>
        </w:rPr>
        <w:t xml:space="preserve"> 13 (3):231–240. doi:10.1016/0021-8502(82)90064-7.</w:t>
      </w:r>
    </w:p>
    <w:p w14:paraId="516F9545" w14:textId="77777777" w:rsidR="009C2442" w:rsidRPr="009C2442" w:rsidRDefault="009C2442" w:rsidP="009C2442">
      <w:pPr>
        <w:widowControl w:val="0"/>
        <w:autoSpaceDE w:val="0"/>
        <w:autoSpaceDN w:val="0"/>
        <w:adjustRightInd w:val="0"/>
        <w:ind w:left="480" w:hanging="480"/>
        <w:rPr>
          <w:noProof/>
        </w:rPr>
      </w:pPr>
      <w:r w:rsidRPr="009C2442">
        <w:rPr>
          <w:noProof/>
        </w:rPr>
        <w:t>Lathem, T.L. and Nenes, A. (2011). Water Vapor Depletion in the DMT Continuous-Flow CCN Chamber: Effects on Supersaturation and Droplet Growth.</w:t>
      </w:r>
      <w:r w:rsidRPr="009C2442">
        <w:rPr>
          <w:i/>
          <w:iCs/>
          <w:noProof/>
        </w:rPr>
        <w:t xml:space="preserve"> Aerosol Sci. Technol.</w:t>
      </w:r>
      <w:r w:rsidRPr="009C2442">
        <w:rPr>
          <w:noProof/>
        </w:rPr>
        <w:t xml:space="preserve"> 45 (5):604–615. doi:10.1080/02786826.2010.551146.</w:t>
      </w:r>
    </w:p>
    <w:p w14:paraId="40BE4984" w14:textId="77777777" w:rsidR="009C2442" w:rsidRPr="009C2442" w:rsidRDefault="009C2442" w:rsidP="009C2442">
      <w:pPr>
        <w:widowControl w:val="0"/>
        <w:autoSpaceDE w:val="0"/>
        <w:autoSpaceDN w:val="0"/>
        <w:adjustRightInd w:val="0"/>
        <w:ind w:left="480" w:hanging="480"/>
        <w:rPr>
          <w:noProof/>
        </w:rPr>
      </w:pPr>
      <w:r w:rsidRPr="009C2442">
        <w:rPr>
          <w:noProof/>
        </w:rPr>
        <w:t>Lewis, G.S. and Hering, S. V. (2013). Minimizing Concentration Effects in Water-Based, Laminar-Flow Condensation Particle Counters.</w:t>
      </w:r>
      <w:r w:rsidRPr="009C2442">
        <w:rPr>
          <w:i/>
          <w:iCs/>
          <w:noProof/>
        </w:rPr>
        <w:t xml:space="preserve"> Aerosol Sci. Technol.</w:t>
      </w:r>
      <w:r w:rsidRPr="009C2442">
        <w:rPr>
          <w:noProof/>
        </w:rPr>
        <w:t xml:space="preserve"> 47 (6):645–654. doi:10.1080/02786826.2013.779629.</w:t>
      </w:r>
    </w:p>
    <w:p w14:paraId="5F171170" w14:textId="77777777" w:rsidR="009C2442" w:rsidRPr="009C2442" w:rsidRDefault="009C2442" w:rsidP="009C2442">
      <w:pPr>
        <w:widowControl w:val="0"/>
        <w:autoSpaceDE w:val="0"/>
        <w:autoSpaceDN w:val="0"/>
        <w:adjustRightInd w:val="0"/>
        <w:ind w:left="480" w:hanging="480"/>
        <w:rPr>
          <w:noProof/>
        </w:rPr>
      </w:pPr>
      <w:r w:rsidRPr="009C2442">
        <w:rPr>
          <w:noProof/>
        </w:rPr>
        <w:t>Okuyama, K., Kousaka, Y., and Motouchi, T. (1984). Condensational Growth of Ultrafine Aerosol Particles in a New Particle Size Magnifier.</w:t>
      </w:r>
      <w:r w:rsidRPr="009C2442">
        <w:rPr>
          <w:i/>
          <w:iCs/>
          <w:noProof/>
        </w:rPr>
        <w:t xml:space="preserve"> Aerosol Sci. Technol.</w:t>
      </w:r>
      <w:r w:rsidRPr="009C2442">
        <w:rPr>
          <w:noProof/>
        </w:rPr>
        <w:t xml:space="preserve"> 3 (4):353–366. doi:10.1080/02786828408959024.</w:t>
      </w:r>
    </w:p>
    <w:p w14:paraId="1304D047" w14:textId="77777777" w:rsidR="009C2442" w:rsidRPr="009C2442" w:rsidRDefault="009C2442" w:rsidP="009C2442">
      <w:pPr>
        <w:widowControl w:val="0"/>
        <w:autoSpaceDE w:val="0"/>
        <w:autoSpaceDN w:val="0"/>
        <w:adjustRightInd w:val="0"/>
        <w:ind w:left="480" w:hanging="480"/>
        <w:rPr>
          <w:noProof/>
        </w:rPr>
      </w:pPr>
      <w:r w:rsidRPr="009C2442">
        <w:rPr>
          <w:noProof/>
        </w:rPr>
        <w:t>Okuyama, K., Kousaka, Y., Warren, D.R., Flagan, R.C., and Seinfeld, J.H. (1987). Homogeneous Nucleation by Continuous Mixing of High Temperature Vapor with Room Temperature Gas.</w:t>
      </w:r>
      <w:r w:rsidRPr="009C2442">
        <w:rPr>
          <w:i/>
          <w:iCs/>
          <w:noProof/>
        </w:rPr>
        <w:t xml:space="preserve"> Aerosol Sci. Technol.</w:t>
      </w:r>
      <w:r w:rsidRPr="009C2442">
        <w:rPr>
          <w:noProof/>
        </w:rPr>
        <w:t xml:space="preserve"> 6 (1):15–27. doi:10.1080/02786828708959116.</w:t>
      </w:r>
    </w:p>
    <w:p w14:paraId="3AB6FE6C" w14:textId="77777777" w:rsidR="009C2442" w:rsidRPr="009C2442" w:rsidRDefault="009C2442" w:rsidP="009C2442">
      <w:pPr>
        <w:widowControl w:val="0"/>
        <w:autoSpaceDE w:val="0"/>
        <w:autoSpaceDN w:val="0"/>
        <w:adjustRightInd w:val="0"/>
        <w:ind w:left="480" w:hanging="480"/>
        <w:rPr>
          <w:noProof/>
        </w:rPr>
      </w:pPr>
      <w:r w:rsidRPr="009C2442">
        <w:rPr>
          <w:noProof/>
        </w:rPr>
        <w:t>Pruppacher, H.R. and Klett, J.D. (1997). Microphysics of Clouds and Precipitation. Kluwer, Dordrecht, The Netherlands.</w:t>
      </w:r>
    </w:p>
    <w:p w14:paraId="194B4BC7" w14:textId="77777777" w:rsidR="009C2442" w:rsidRPr="009C2442" w:rsidRDefault="009C2442" w:rsidP="009C2442">
      <w:pPr>
        <w:widowControl w:val="0"/>
        <w:autoSpaceDE w:val="0"/>
        <w:autoSpaceDN w:val="0"/>
        <w:adjustRightInd w:val="0"/>
        <w:ind w:left="480" w:hanging="480"/>
        <w:rPr>
          <w:noProof/>
        </w:rPr>
      </w:pPr>
      <w:r w:rsidRPr="009C2442">
        <w:rPr>
          <w:noProof/>
        </w:rPr>
        <w:t>Seinfeld, J.H. and Pandis, S.N. (2012). Cloud Physics.</w:t>
      </w:r>
      <w:r w:rsidRPr="009C2442">
        <w:rPr>
          <w:i/>
          <w:iCs/>
          <w:noProof/>
        </w:rPr>
        <w:t xml:space="preserve">, in Atmospheric Chemistry and Physics : From Air Pollution to Climate Change., </w:t>
      </w:r>
      <w:r w:rsidRPr="009C2442">
        <w:rPr>
          <w:noProof/>
        </w:rPr>
        <w:t xml:space="preserve"> Wiley, New Jersey, p. 1333.</w:t>
      </w:r>
    </w:p>
    <w:p w14:paraId="78A6E343" w14:textId="77777777" w:rsidR="009C2442" w:rsidRPr="009C2442" w:rsidRDefault="009C2442" w:rsidP="009C2442">
      <w:pPr>
        <w:widowControl w:val="0"/>
        <w:autoSpaceDE w:val="0"/>
        <w:autoSpaceDN w:val="0"/>
        <w:adjustRightInd w:val="0"/>
        <w:ind w:left="480" w:hanging="480"/>
        <w:rPr>
          <w:noProof/>
        </w:rPr>
      </w:pPr>
      <w:r w:rsidRPr="009C2442">
        <w:rPr>
          <w:noProof/>
        </w:rPr>
        <w:t>Zervaki, O., Dionysiou, D.D., and Kulkarni, P. (2024). Compact, high-flow, water-based, turbulent-mixing, condensation aerosol concentrator for collection of spot samples.</w:t>
      </w:r>
      <w:r w:rsidRPr="009C2442">
        <w:rPr>
          <w:i/>
          <w:iCs/>
          <w:noProof/>
        </w:rPr>
        <w:t xml:space="preserve"> Aerosol Sci. Technol.</w:t>
      </w:r>
      <w:r w:rsidRPr="009C2442">
        <w:rPr>
          <w:noProof/>
        </w:rPr>
        <w:t xml:space="preserve"> 58 (8):889–901. doi:10.1080/02786826.2024.2361050.</w:t>
      </w:r>
    </w:p>
    <w:p w14:paraId="73A0EA4F" w14:textId="231AF6B2" w:rsidR="009247B8" w:rsidRPr="009247B8" w:rsidRDefault="009247B8" w:rsidP="001523E9">
      <w:pPr>
        <w:ind w:firstLine="360"/>
        <w:jc w:val="both"/>
      </w:pPr>
      <w:r>
        <w:fldChar w:fldCharType="end"/>
      </w:r>
    </w:p>
    <w:sectPr w:rsidR="009247B8" w:rsidRPr="009247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6DF9" w14:textId="77777777" w:rsidR="0054206E" w:rsidRDefault="0054206E" w:rsidP="00C8220E">
      <w:r>
        <w:separator/>
      </w:r>
    </w:p>
  </w:endnote>
  <w:endnote w:type="continuationSeparator" w:id="0">
    <w:p w14:paraId="7124F24D" w14:textId="77777777" w:rsidR="0054206E" w:rsidRDefault="0054206E" w:rsidP="00C8220E">
      <w:r>
        <w:continuationSeparator/>
      </w:r>
    </w:p>
  </w:endnote>
  <w:endnote w:type="continuationNotice" w:id="1">
    <w:p w14:paraId="3FAD508C" w14:textId="77777777" w:rsidR="0054206E" w:rsidRDefault="00542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DAF7" w14:textId="77777777" w:rsidR="0054206E" w:rsidRDefault="0054206E" w:rsidP="00C8220E">
      <w:r>
        <w:separator/>
      </w:r>
    </w:p>
  </w:footnote>
  <w:footnote w:type="continuationSeparator" w:id="0">
    <w:p w14:paraId="0A094B13" w14:textId="77777777" w:rsidR="0054206E" w:rsidRDefault="0054206E" w:rsidP="00C8220E">
      <w:r>
        <w:continuationSeparator/>
      </w:r>
    </w:p>
  </w:footnote>
  <w:footnote w:type="continuationNotice" w:id="1">
    <w:p w14:paraId="70652338" w14:textId="77777777" w:rsidR="0054206E" w:rsidRDefault="0054206E"/>
  </w:footnote>
</w:footnotes>
</file>

<file path=word/intelligence2.xml><?xml version="1.0" encoding="utf-8"?>
<int2:intelligence xmlns:int2="http://schemas.microsoft.com/office/intelligence/2020/intelligence" xmlns:oel="http://schemas.microsoft.com/office/2019/extlst">
  <int2:observations>
    <int2:textHash int2:hashCode="4Z2BOTvLLVBttA" int2:id="U8XyUmVr">
      <int2:state int2:value="Rejected" int2:type="AugLoop_Text_Critique"/>
    </int2:textHash>
    <int2:textHash int2:hashCode="p7v6NIx/W1iLEp" int2:id="to4fyJYn">
      <int2:state int2:value="Rejected" int2:type="AugLoop_Text_Critique"/>
    </int2:textHash>
    <int2:textHash int2:hashCode="eI2PwaaZG1/OaZ" int2:id="tqqtK0n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B62"/>
    <w:multiLevelType w:val="multilevel"/>
    <w:tmpl w:val="A2E48B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235B1"/>
    <w:multiLevelType w:val="multilevel"/>
    <w:tmpl w:val="E4A04C3C"/>
    <w:numStyleLink w:val="Style2"/>
  </w:abstractNum>
  <w:abstractNum w:abstractNumId="2" w15:restartNumberingAfterBreak="0">
    <w:nsid w:val="292D655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E041A17"/>
    <w:multiLevelType w:val="multilevel"/>
    <w:tmpl w:val="183ABE04"/>
    <w:styleLink w:val="Style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E066366"/>
    <w:multiLevelType w:val="multilevel"/>
    <w:tmpl w:val="E4A04C3C"/>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B53D69"/>
    <w:multiLevelType w:val="multilevel"/>
    <w:tmpl w:val="E4A04C3C"/>
    <w:numStyleLink w:val="Style2"/>
  </w:abstractNum>
  <w:abstractNum w:abstractNumId="6" w15:restartNumberingAfterBreak="0">
    <w:nsid w:val="3DEC50FD"/>
    <w:multiLevelType w:val="multilevel"/>
    <w:tmpl w:val="A1CEC94A"/>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464F63"/>
    <w:multiLevelType w:val="multilevel"/>
    <w:tmpl w:val="E4A04C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6004B"/>
    <w:multiLevelType w:val="multilevel"/>
    <w:tmpl w:val="A86CDA9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C368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865E70"/>
    <w:multiLevelType w:val="hybridMultilevel"/>
    <w:tmpl w:val="D54C7900"/>
    <w:lvl w:ilvl="0" w:tplc="BA669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B64BD"/>
    <w:multiLevelType w:val="multilevel"/>
    <w:tmpl w:val="0409001D"/>
    <w:numStyleLink w:val="Style3"/>
  </w:abstractNum>
  <w:abstractNum w:abstractNumId="12" w15:restartNumberingAfterBreak="0">
    <w:nsid w:val="6E492C69"/>
    <w:multiLevelType w:val="multilevel"/>
    <w:tmpl w:val="183ABE04"/>
    <w:numStyleLink w:val="Style1"/>
  </w:abstractNum>
  <w:abstractNum w:abstractNumId="13" w15:restartNumberingAfterBreak="0">
    <w:nsid w:val="746814BD"/>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2884597">
    <w:abstractNumId w:val="10"/>
  </w:num>
  <w:num w:numId="2" w16cid:durableId="1499611103">
    <w:abstractNumId w:val="12"/>
  </w:num>
  <w:num w:numId="3" w16cid:durableId="1152674601">
    <w:abstractNumId w:val="12"/>
    <w:lvlOverride w:ilvl="0">
      <w:lvl w:ilvl="0">
        <w:start w:val="4"/>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337737190">
    <w:abstractNumId w:val="8"/>
  </w:num>
  <w:num w:numId="5" w16cid:durableId="155533718">
    <w:abstractNumId w:val="0"/>
  </w:num>
  <w:num w:numId="6" w16cid:durableId="1568492613">
    <w:abstractNumId w:val="1"/>
  </w:num>
  <w:num w:numId="7" w16cid:durableId="931475130">
    <w:abstractNumId w:val="7"/>
  </w:num>
  <w:num w:numId="8" w16cid:durableId="1278372254">
    <w:abstractNumId w:val="3"/>
  </w:num>
  <w:num w:numId="9" w16cid:durableId="856240246">
    <w:abstractNumId w:val="4"/>
  </w:num>
  <w:num w:numId="10" w16cid:durableId="796341665">
    <w:abstractNumId w:val="5"/>
  </w:num>
  <w:num w:numId="11" w16cid:durableId="1955213936">
    <w:abstractNumId w:val="13"/>
  </w:num>
  <w:num w:numId="12" w16cid:durableId="1314411079">
    <w:abstractNumId w:val="11"/>
  </w:num>
  <w:num w:numId="13" w16cid:durableId="608129092">
    <w:abstractNumId w:val="9"/>
  </w:num>
  <w:num w:numId="14" w16cid:durableId="1810320061">
    <w:abstractNumId w:val="2"/>
  </w:num>
  <w:num w:numId="15" w16cid:durableId="1238708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247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0NzQwM7IwtjQwNDVS0lEKTi0uzszPAykwqgUAmJlL6CwAAAA="/>
  </w:docVars>
  <w:rsids>
    <w:rsidRoot w:val="0078265D"/>
    <w:rsid w:val="00002237"/>
    <w:rsid w:val="00003B73"/>
    <w:rsid w:val="00004186"/>
    <w:rsid w:val="00014700"/>
    <w:rsid w:val="00014CF8"/>
    <w:rsid w:val="00017C97"/>
    <w:rsid w:val="00020281"/>
    <w:rsid w:val="00020611"/>
    <w:rsid w:val="00021DB0"/>
    <w:rsid w:val="000233B2"/>
    <w:rsid w:val="0002350D"/>
    <w:rsid w:val="00023C36"/>
    <w:rsid w:val="00030136"/>
    <w:rsid w:val="0003023C"/>
    <w:rsid w:val="0003024C"/>
    <w:rsid w:val="00032812"/>
    <w:rsid w:val="00033989"/>
    <w:rsid w:val="00034186"/>
    <w:rsid w:val="000373F8"/>
    <w:rsid w:val="000427BD"/>
    <w:rsid w:val="00046BC8"/>
    <w:rsid w:val="00046CF8"/>
    <w:rsid w:val="00046FD8"/>
    <w:rsid w:val="00047283"/>
    <w:rsid w:val="00050057"/>
    <w:rsid w:val="0005166F"/>
    <w:rsid w:val="00052705"/>
    <w:rsid w:val="00054518"/>
    <w:rsid w:val="00054877"/>
    <w:rsid w:val="00054DDC"/>
    <w:rsid w:val="00055036"/>
    <w:rsid w:val="00055821"/>
    <w:rsid w:val="000570AA"/>
    <w:rsid w:val="00060B9F"/>
    <w:rsid w:val="0006108E"/>
    <w:rsid w:val="000612CF"/>
    <w:rsid w:val="00061DC6"/>
    <w:rsid w:val="0006297C"/>
    <w:rsid w:val="00063267"/>
    <w:rsid w:val="000632DD"/>
    <w:rsid w:val="00063F92"/>
    <w:rsid w:val="000664FC"/>
    <w:rsid w:val="00067C6D"/>
    <w:rsid w:val="00070405"/>
    <w:rsid w:val="00071156"/>
    <w:rsid w:val="00071AA9"/>
    <w:rsid w:val="00072A63"/>
    <w:rsid w:val="00073D03"/>
    <w:rsid w:val="000769EA"/>
    <w:rsid w:val="000777DE"/>
    <w:rsid w:val="000827AD"/>
    <w:rsid w:val="00082F9F"/>
    <w:rsid w:val="00083033"/>
    <w:rsid w:val="000831A1"/>
    <w:rsid w:val="00083409"/>
    <w:rsid w:val="00083816"/>
    <w:rsid w:val="00083B24"/>
    <w:rsid w:val="0008486E"/>
    <w:rsid w:val="00086736"/>
    <w:rsid w:val="00090149"/>
    <w:rsid w:val="0009048F"/>
    <w:rsid w:val="0009136D"/>
    <w:rsid w:val="0009155C"/>
    <w:rsid w:val="000917C7"/>
    <w:rsid w:val="0009361E"/>
    <w:rsid w:val="00093A11"/>
    <w:rsid w:val="0009491B"/>
    <w:rsid w:val="00095776"/>
    <w:rsid w:val="00095CB5"/>
    <w:rsid w:val="00096651"/>
    <w:rsid w:val="00096925"/>
    <w:rsid w:val="00096EBA"/>
    <w:rsid w:val="000B0059"/>
    <w:rsid w:val="000B00DC"/>
    <w:rsid w:val="000B0B02"/>
    <w:rsid w:val="000B0DC3"/>
    <w:rsid w:val="000B12C3"/>
    <w:rsid w:val="000B1EDB"/>
    <w:rsid w:val="000B2903"/>
    <w:rsid w:val="000B345D"/>
    <w:rsid w:val="000B6716"/>
    <w:rsid w:val="000B6970"/>
    <w:rsid w:val="000C0071"/>
    <w:rsid w:val="000C27E7"/>
    <w:rsid w:val="000C3606"/>
    <w:rsid w:val="000C56CD"/>
    <w:rsid w:val="000C613A"/>
    <w:rsid w:val="000C6444"/>
    <w:rsid w:val="000C7DB3"/>
    <w:rsid w:val="000D1445"/>
    <w:rsid w:val="000D19A5"/>
    <w:rsid w:val="000D5397"/>
    <w:rsid w:val="000D5A0E"/>
    <w:rsid w:val="000E0715"/>
    <w:rsid w:val="000E0FF7"/>
    <w:rsid w:val="000E25F2"/>
    <w:rsid w:val="000E278E"/>
    <w:rsid w:val="000E290F"/>
    <w:rsid w:val="000E31EE"/>
    <w:rsid w:val="000E43F3"/>
    <w:rsid w:val="000E442A"/>
    <w:rsid w:val="000E4ABF"/>
    <w:rsid w:val="000E5061"/>
    <w:rsid w:val="000E563C"/>
    <w:rsid w:val="000E638B"/>
    <w:rsid w:val="000E768B"/>
    <w:rsid w:val="000F0BDF"/>
    <w:rsid w:val="000F16BB"/>
    <w:rsid w:val="000F186F"/>
    <w:rsid w:val="000F3A19"/>
    <w:rsid w:val="00100A7B"/>
    <w:rsid w:val="00101450"/>
    <w:rsid w:val="00102E0E"/>
    <w:rsid w:val="001031E0"/>
    <w:rsid w:val="00104944"/>
    <w:rsid w:val="00104F42"/>
    <w:rsid w:val="00106303"/>
    <w:rsid w:val="001066F8"/>
    <w:rsid w:val="00107A46"/>
    <w:rsid w:val="00107C52"/>
    <w:rsid w:val="001127EB"/>
    <w:rsid w:val="00112CC0"/>
    <w:rsid w:val="00114D74"/>
    <w:rsid w:val="00114F2D"/>
    <w:rsid w:val="00116F6F"/>
    <w:rsid w:val="001205CD"/>
    <w:rsid w:val="00123607"/>
    <w:rsid w:val="00123E54"/>
    <w:rsid w:val="00124766"/>
    <w:rsid w:val="001259BD"/>
    <w:rsid w:val="00125BC0"/>
    <w:rsid w:val="001344D0"/>
    <w:rsid w:val="00134C54"/>
    <w:rsid w:val="00134D9F"/>
    <w:rsid w:val="00134DB8"/>
    <w:rsid w:val="0013609E"/>
    <w:rsid w:val="0013699E"/>
    <w:rsid w:val="0014029C"/>
    <w:rsid w:val="00140885"/>
    <w:rsid w:val="00142917"/>
    <w:rsid w:val="0014430A"/>
    <w:rsid w:val="001446C9"/>
    <w:rsid w:val="00144B76"/>
    <w:rsid w:val="00144F04"/>
    <w:rsid w:val="00145F7B"/>
    <w:rsid w:val="001477C6"/>
    <w:rsid w:val="00147D3B"/>
    <w:rsid w:val="00150653"/>
    <w:rsid w:val="00150C8D"/>
    <w:rsid w:val="00151988"/>
    <w:rsid w:val="001523E9"/>
    <w:rsid w:val="001527B4"/>
    <w:rsid w:val="00155106"/>
    <w:rsid w:val="00157983"/>
    <w:rsid w:val="0016274C"/>
    <w:rsid w:val="00167A2D"/>
    <w:rsid w:val="00167C45"/>
    <w:rsid w:val="00167C86"/>
    <w:rsid w:val="001710C8"/>
    <w:rsid w:val="00171848"/>
    <w:rsid w:val="0017558A"/>
    <w:rsid w:val="0018057A"/>
    <w:rsid w:val="001811C9"/>
    <w:rsid w:val="00181BB3"/>
    <w:rsid w:val="001838EC"/>
    <w:rsid w:val="00183B8B"/>
    <w:rsid w:val="00185285"/>
    <w:rsid w:val="001860F2"/>
    <w:rsid w:val="00186402"/>
    <w:rsid w:val="0018754D"/>
    <w:rsid w:val="00190134"/>
    <w:rsid w:val="00190509"/>
    <w:rsid w:val="0019176B"/>
    <w:rsid w:val="00191834"/>
    <w:rsid w:val="00192875"/>
    <w:rsid w:val="00193E2C"/>
    <w:rsid w:val="00197D97"/>
    <w:rsid w:val="001A0A74"/>
    <w:rsid w:val="001A29D9"/>
    <w:rsid w:val="001A3E69"/>
    <w:rsid w:val="001A6148"/>
    <w:rsid w:val="001B047C"/>
    <w:rsid w:val="001B1172"/>
    <w:rsid w:val="001B4086"/>
    <w:rsid w:val="001B4ACB"/>
    <w:rsid w:val="001B5A72"/>
    <w:rsid w:val="001B67CB"/>
    <w:rsid w:val="001B72E8"/>
    <w:rsid w:val="001C0259"/>
    <w:rsid w:val="001C555E"/>
    <w:rsid w:val="001C6172"/>
    <w:rsid w:val="001C63E3"/>
    <w:rsid w:val="001C6642"/>
    <w:rsid w:val="001C6C3F"/>
    <w:rsid w:val="001C7C33"/>
    <w:rsid w:val="001D12B9"/>
    <w:rsid w:val="001D14EE"/>
    <w:rsid w:val="001D287F"/>
    <w:rsid w:val="001D2F63"/>
    <w:rsid w:val="001D6798"/>
    <w:rsid w:val="001E0717"/>
    <w:rsid w:val="001E114F"/>
    <w:rsid w:val="001E13B1"/>
    <w:rsid w:val="001E268D"/>
    <w:rsid w:val="001E35CA"/>
    <w:rsid w:val="001E3B6E"/>
    <w:rsid w:val="001E5F7E"/>
    <w:rsid w:val="001F23BB"/>
    <w:rsid w:val="001F2E72"/>
    <w:rsid w:val="001F48DF"/>
    <w:rsid w:val="001F4BAC"/>
    <w:rsid w:val="001F5923"/>
    <w:rsid w:val="001F7779"/>
    <w:rsid w:val="002004DF"/>
    <w:rsid w:val="00200500"/>
    <w:rsid w:val="002007DF"/>
    <w:rsid w:val="00201FC7"/>
    <w:rsid w:val="0020263F"/>
    <w:rsid w:val="00202A4A"/>
    <w:rsid w:val="0020583E"/>
    <w:rsid w:val="00207C21"/>
    <w:rsid w:val="0021152E"/>
    <w:rsid w:val="00211EFE"/>
    <w:rsid w:val="00214B21"/>
    <w:rsid w:val="00217B7C"/>
    <w:rsid w:val="002216E2"/>
    <w:rsid w:val="002239CB"/>
    <w:rsid w:val="00223B70"/>
    <w:rsid w:val="00225D9E"/>
    <w:rsid w:val="0022605A"/>
    <w:rsid w:val="00227C29"/>
    <w:rsid w:val="0023059D"/>
    <w:rsid w:val="00231E30"/>
    <w:rsid w:val="0023429D"/>
    <w:rsid w:val="00235F71"/>
    <w:rsid w:val="00240167"/>
    <w:rsid w:val="00240E21"/>
    <w:rsid w:val="002427C5"/>
    <w:rsid w:val="00243611"/>
    <w:rsid w:val="00243989"/>
    <w:rsid w:val="00244F62"/>
    <w:rsid w:val="00245B28"/>
    <w:rsid w:val="00245B56"/>
    <w:rsid w:val="0025044E"/>
    <w:rsid w:val="0025148E"/>
    <w:rsid w:val="00253473"/>
    <w:rsid w:val="00260461"/>
    <w:rsid w:val="00261397"/>
    <w:rsid w:val="00262DE1"/>
    <w:rsid w:val="00263E9D"/>
    <w:rsid w:val="00264BC0"/>
    <w:rsid w:val="00270C38"/>
    <w:rsid w:val="002714CD"/>
    <w:rsid w:val="00271CA7"/>
    <w:rsid w:val="00272648"/>
    <w:rsid w:val="00273146"/>
    <w:rsid w:val="00273C76"/>
    <w:rsid w:val="00274ABD"/>
    <w:rsid w:val="00274CA2"/>
    <w:rsid w:val="00276591"/>
    <w:rsid w:val="00277873"/>
    <w:rsid w:val="00277D01"/>
    <w:rsid w:val="00280778"/>
    <w:rsid w:val="00282632"/>
    <w:rsid w:val="00283E26"/>
    <w:rsid w:val="0028420A"/>
    <w:rsid w:val="00284ABF"/>
    <w:rsid w:val="00285A7F"/>
    <w:rsid w:val="0029054F"/>
    <w:rsid w:val="002919BE"/>
    <w:rsid w:val="00293311"/>
    <w:rsid w:val="00293A5C"/>
    <w:rsid w:val="00295191"/>
    <w:rsid w:val="00296117"/>
    <w:rsid w:val="002975A3"/>
    <w:rsid w:val="002A0233"/>
    <w:rsid w:val="002A183D"/>
    <w:rsid w:val="002A24A1"/>
    <w:rsid w:val="002A4AB5"/>
    <w:rsid w:val="002A4CE6"/>
    <w:rsid w:val="002A535D"/>
    <w:rsid w:val="002A5438"/>
    <w:rsid w:val="002A5503"/>
    <w:rsid w:val="002A555B"/>
    <w:rsid w:val="002A55AA"/>
    <w:rsid w:val="002A5D6E"/>
    <w:rsid w:val="002A6839"/>
    <w:rsid w:val="002A6EEA"/>
    <w:rsid w:val="002A7099"/>
    <w:rsid w:val="002A74CF"/>
    <w:rsid w:val="002A7B9B"/>
    <w:rsid w:val="002B1E7D"/>
    <w:rsid w:val="002B3DF4"/>
    <w:rsid w:val="002B536B"/>
    <w:rsid w:val="002B6AED"/>
    <w:rsid w:val="002B6BB3"/>
    <w:rsid w:val="002B7B44"/>
    <w:rsid w:val="002C223F"/>
    <w:rsid w:val="002C2349"/>
    <w:rsid w:val="002C3153"/>
    <w:rsid w:val="002C32E8"/>
    <w:rsid w:val="002C4A80"/>
    <w:rsid w:val="002C76FB"/>
    <w:rsid w:val="002D0449"/>
    <w:rsid w:val="002D3381"/>
    <w:rsid w:val="002D41BC"/>
    <w:rsid w:val="002E0094"/>
    <w:rsid w:val="002E19E2"/>
    <w:rsid w:val="002E22E1"/>
    <w:rsid w:val="002E2756"/>
    <w:rsid w:val="002E38F0"/>
    <w:rsid w:val="002E59A7"/>
    <w:rsid w:val="002E67A6"/>
    <w:rsid w:val="002E6B17"/>
    <w:rsid w:val="002E7088"/>
    <w:rsid w:val="002E7315"/>
    <w:rsid w:val="002E747D"/>
    <w:rsid w:val="002E7983"/>
    <w:rsid w:val="002F047E"/>
    <w:rsid w:val="002F14D8"/>
    <w:rsid w:val="002F1F93"/>
    <w:rsid w:val="002F2692"/>
    <w:rsid w:val="002F2BA8"/>
    <w:rsid w:val="002F341C"/>
    <w:rsid w:val="002F36F0"/>
    <w:rsid w:val="002F4852"/>
    <w:rsid w:val="002F57C6"/>
    <w:rsid w:val="002F6286"/>
    <w:rsid w:val="00300328"/>
    <w:rsid w:val="003004DF"/>
    <w:rsid w:val="003016BF"/>
    <w:rsid w:val="00301B64"/>
    <w:rsid w:val="00301FAB"/>
    <w:rsid w:val="003032AC"/>
    <w:rsid w:val="00305800"/>
    <w:rsid w:val="00310FBF"/>
    <w:rsid w:val="00311283"/>
    <w:rsid w:val="00311A6C"/>
    <w:rsid w:val="003149BF"/>
    <w:rsid w:val="00314D8E"/>
    <w:rsid w:val="00317771"/>
    <w:rsid w:val="003178B9"/>
    <w:rsid w:val="00317FA8"/>
    <w:rsid w:val="00322997"/>
    <w:rsid w:val="00322BD0"/>
    <w:rsid w:val="00324077"/>
    <w:rsid w:val="00325066"/>
    <w:rsid w:val="00325435"/>
    <w:rsid w:val="003258E2"/>
    <w:rsid w:val="0032597B"/>
    <w:rsid w:val="00327250"/>
    <w:rsid w:val="00327749"/>
    <w:rsid w:val="00327EB5"/>
    <w:rsid w:val="00331A89"/>
    <w:rsid w:val="00331ABB"/>
    <w:rsid w:val="00331B3C"/>
    <w:rsid w:val="00331B60"/>
    <w:rsid w:val="00331B91"/>
    <w:rsid w:val="003333B4"/>
    <w:rsid w:val="00335175"/>
    <w:rsid w:val="00335927"/>
    <w:rsid w:val="00335B04"/>
    <w:rsid w:val="00335F67"/>
    <w:rsid w:val="0033625C"/>
    <w:rsid w:val="0033647C"/>
    <w:rsid w:val="0033754E"/>
    <w:rsid w:val="00337817"/>
    <w:rsid w:val="00340151"/>
    <w:rsid w:val="003401D6"/>
    <w:rsid w:val="00340FF5"/>
    <w:rsid w:val="003431FB"/>
    <w:rsid w:val="00345BE2"/>
    <w:rsid w:val="00346CA2"/>
    <w:rsid w:val="00347A3F"/>
    <w:rsid w:val="003508BA"/>
    <w:rsid w:val="003525E7"/>
    <w:rsid w:val="00353DFB"/>
    <w:rsid w:val="0035762C"/>
    <w:rsid w:val="00362DD7"/>
    <w:rsid w:val="00362FB6"/>
    <w:rsid w:val="00366153"/>
    <w:rsid w:val="003663CC"/>
    <w:rsid w:val="00366C7D"/>
    <w:rsid w:val="00370023"/>
    <w:rsid w:val="00370E56"/>
    <w:rsid w:val="00370EA5"/>
    <w:rsid w:val="003711C7"/>
    <w:rsid w:val="00371808"/>
    <w:rsid w:val="003752BB"/>
    <w:rsid w:val="00375882"/>
    <w:rsid w:val="00375A74"/>
    <w:rsid w:val="00375FCA"/>
    <w:rsid w:val="003761A1"/>
    <w:rsid w:val="00376679"/>
    <w:rsid w:val="00376A0F"/>
    <w:rsid w:val="00381391"/>
    <w:rsid w:val="00381B71"/>
    <w:rsid w:val="003843DD"/>
    <w:rsid w:val="0038445C"/>
    <w:rsid w:val="003845D0"/>
    <w:rsid w:val="00384B2F"/>
    <w:rsid w:val="0038503C"/>
    <w:rsid w:val="00385FC9"/>
    <w:rsid w:val="00386493"/>
    <w:rsid w:val="00386E70"/>
    <w:rsid w:val="0038709F"/>
    <w:rsid w:val="003872D0"/>
    <w:rsid w:val="00387A30"/>
    <w:rsid w:val="00387C7A"/>
    <w:rsid w:val="0039038A"/>
    <w:rsid w:val="0039088B"/>
    <w:rsid w:val="003923FF"/>
    <w:rsid w:val="003936F8"/>
    <w:rsid w:val="00397A07"/>
    <w:rsid w:val="003A1B58"/>
    <w:rsid w:val="003A2233"/>
    <w:rsid w:val="003A2502"/>
    <w:rsid w:val="003A5F73"/>
    <w:rsid w:val="003A6AC1"/>
    <w:rsid w:val="003A7040"/>
    <w:rsid w:val="003A7AB7"/>
    <w:rsid w:val="003B029C"/>
    <w:rsid w:val="003B1607"/>
    <w:rsid w:val="003B1B10"/>
    <w:rsid w:val="003B27C3"/>
    <w:rsid w:val="003B2B2F"/>
    <w:rsid w:val="003B3E95"/>
    <w:rsid w:val="003C1910"/>
    <w:rsid w:val="003C2213"/>
    <w:rsid w:val="003C2C80"/>
    <w:rsid w:val="003C6611"/>
    <w:rsid w:val="003D5C4B"/>
    <w:rsid w:val="003E0B09"/>
    <w:rsid w:val="003E2737"/>
    <w:rsid w:val="003E2C74"/>
    <w:rsid w:val="003E6111"/>
    <w:rsid w:val="003F15BF"/>
    <w:rsid w:val="003F1F2C"/>
    <w:rsid w:val="003F3102"/>
    <w:rsid w:val="003F440A"/>
    <w:rsid w:val="003F5EBF"/>
    <w:rsid w:val="003F6140"/>
    <w:rsid w:val="003F7B54"/>
    <w:rsid w:val="0040190A"/>
    <w:rsid w:val="00402F07"/>
    <w:rsid w:val="00403046"/>
    <w:rsid w:val="0040377F"/>
    <w:rsid w:val="00403FCA"/>
    <w:rsid w:val="00404BC8"/>
    <w:rsid w:val="00404CB8"/>
    <w:rsid w:val="0040572E"/>
    <w:rsid w:val="004057A8"/>
    <w:rsid w:val="00405E05"/>
    <w:rsid w:val="0040777C"/>
    <w:rsid w:val="00407BCE"/>
    <w:rsid w:val="004133BE"/>
    <w:rsid w:val="00413A0A"/>
    <w:rsid w:val="00413A23"/>
    <w:rsid w:val="004152CC"/>
    <w:rsid w:val="0042455C"/>
    <w:rsid w:val="0042487E"/>
    <w:rsid w:val="0043082F"/>
    <w:rsid w:val="00430CC8"/>
    <w:rsid w:val="004336EC"/>
    <w:rsid w:val="0043383B"/>
    <w:rsid w:val="004343E5"/>
    <w:rsid w:val="00435271"/>
    <w:rsid w:val="004357BE"/>
    <w:rsid w:val="004360D7"/>
    <w:rsid w:val="00437457"/>
    <w:rsid w:val="00443859"/>
    <w:rsid w:val="00443C30"/>
    <w:rsid w:val="004453DC"/>
    <w:rsid w:val="00445FBA"/>
    <w:rsid w:val="0045064D"/>
    <w:rsid w:val="00452DA9"/>
    <w:rsid w:val="00453ACC"/>
    <w:rsid w:val="004542AC"/>
    <w:rsid w:val="004548EA"/>
    <w:rsid w:val="00454E02"/>
    <w:rsid w:val="00455094"/>
    <w:rsid w:val="00455233"/>
    <w:rsid w:val="004602B2"/>
    <w:rsid w:val="004606F5"/>
    <w:rsid w:val="00461BF2"/>
    <w:rsid w:val="00463C98"/>
    <w:rsid w:val="004651DB"/>
    <w:rsid w:val="004665E2"/>
    <w:rsid w:val="004677D5"/>
    <w:rsid w:val="00470070"/>
    <w:rsid w:val="004730B0"/>
    <w:rsid w:val="0047394B"/>
    <w:rsid w:val="00474216"/>
    <w:rsid w:val="004742E5"/>
    <w:rsid w:val="00474684"/>
    <w:rsid w:val="00474BC1"/>
    <w:rsid w:val="00476A5D"/>
    <w:rsid w:val="00481312"/>
    <w:rsid w:val="004813EB"/>
    <w:rsid w:val="004817C8"/>
    <w:rsid w:val="00481E0A"/>
    <w:rsid w:val="00482CE4"/>
    <w:rsid w:val="0048319E"/>
    <w:rsid w:val="004837D0"/>
    <w:rsid w:val="00484275"/>
    <w:rsid w:val="00484E12"/>
    <w:rsid w:val="0048617C"/>
    <w:rsid w:val="004867EF"/>
    <w:rsid w:val="00486DBD"/>
    <w:rsid w:val="00487E41"/>
    <w:rsid w:val="004900FA"/>
    <w:rsid w:val="00490AEC"/>
    <w:rsid w:val="00492080"/>
    <w:rsid w:val="00492938"/>
    <w:rsid w:val="00492F6D"/>
    <w:rsid w:val="004932C6"/>
    <w:rsid w:val="00496328"/>
    <w:rsid w:val="00497048"/>
    <w:rsid w:val="00497F4C"/>
    <w:rsid w:val="004A1143"/>
    <w:rsid w:val="004A2207"/>
    <w:rsid w:val="004A2614"/>
    <w:rsid w:val="004A3CF8"/>
    <w:rsid w:val="004A4812"/>
    <w:rsid w:val="004A5BEA"/>
    <w:rsid w:val="004A6D64"/>
    <w:rsid w:val="004B0ACE"/>
    <w:rsid w:val="004B0FCE"/>
    <w:rsid w:val="004B3377"/>
    <w:rsid w:val="004B73DD"/>
    <w:rsid w:val="004C1E4D"/>
    <w:rsid w:val="004C34CE"/>
    <w:rsid w:val="004C397A"/>
    <w:rsid w:val="004C5026"/>
    <w:rsid w:val="004D01C1"/>
    <w:rsid w:val="004D3902"/>
    <w:rsid w:val="004D44F9"/>
    <w:rsid w:val="004D5659"/>
    <w:rsid w:val="004D6D63"/>
    <w:rsid w:val="004D7E36"/>
    <w:rsid w:val="004E0541"/>
    <w:rsid w:val="004E0979"/>
    <w:rsid w:val="004E2E8E"/>
    <w:rsid w:val="004E5F9C"/>
    <w:rsid w:val="004E6877"/>
    <w:rsid w:val="004E6B8E"/>
    <w:rsid w:val="004E7938"/>
    <w:rsid w:val="004F0132"/>
    <w:rsid w:val="004F0C7A"/>
    <w:rsid w:val="004F454E"/>
    <w:rsid w:val="004F492F"/>
    <w:rsid w:val="004F4B17"/>
    <w:rsid w:val="004F7405"/>
    <w:rsid w:val="004F7998"/>
    <w:rsid w:val="00500979"/>
    <w:rsid w:val="00502C24"/>
    <w:rsid w:val="00503B0D"/>
    <w:rsid w:val="00506527"/>
    <w:rsid w:val="0050669D"/>
    <w:rsid w:val="005075E6"/>
    <w:rsid w:val="00510866"/>
    <w:rsid w:val="0051094C"/>
    <w:rsid w:val="00511CEF"/>
    <w:rsid w:val="005127D7"/>
    <w:rsid w:val="00513351"/>
    <w:rsid w:val="005141AB"/>
    <w:rsid w:val="0051556B"/>
    <w:rsid w:val="0051629E"/>
    <w:rsid w:val="00522036"/>
    <w:rsid w:val="005244F3"/>
    <w:rsid w:val="00526984"/>
    <w:rsid w:val="00526E2F"/>
    <w:rsid w:val="00527D1B"/>
    <w:rsid w:val="005303DA"/>
    <w:rsid w:val="00530F2C"/>
    <w:rsid w:val="005321AD"/>
    <w:rsid w:val="005321C4"/>
    <w:rsid w:val="00533E59"/>
    <w:rsid w:val="005348B8"/>
    <w:rsid w:val="00535319"/>
    <w:rsid w:val="0053645A"/>
    <w:rsid w:val="00536E5E"/>
    <w:rsid w:val="005374FE"/>
    <w:rsid w:val="005414AA"/>
    <w:rsid w:val="00541C28"/>
    <w:rsid w:val="0054206E"/>
    <w:rsid w:val="0054254A"/>
    <w:rsid w:val="00543D91"/>
    <w:rsid w:val="00543DF4"/>
    <w:rsid w:val="005445C9"/>
    <w:rsid w:val="00545787"/>
    <w:rsid w:val="00547C35"/>
    <w:rsid w:val="0055081C"/>
    <w:rsid w:val="00551948"/>
    <w:rsid w:val="0055195F"/>
    <w:rsid w:val="00552947"/>
    <w:rsid w:val="0055307D"/>
    <w:rsid w:val="00556A02"/>
    <w:rsid w:val="00556AE9"/>
    <w:rsid w:val="00556E23"/>
    <w:rsid w:val="00562241"/>
    <w:rsid w:val="0056238E"/>
    <w:rsid w:val="005648E3"/>
    <w:rsid w:val="00564DA4"/>
    <w:rsid w:val="00566738"/>
    <w:rsid w:val="005668BA"/>
    <w:rsid w:val="00567774"/>
    <w:rsid w:val="0056792C"/>
    <w:rsid w:val="00567BE7"/>
    <w:rsid w:val="00567DED"/>
    <w:rsid w:val="00571228"/>
    <w:rsid w:val="005748E5"/>
    <w:rsid w:val="00574FD4"/>
    <w:rsid w:val="00575A84"/>
    <w:rsid w:val="0057745F"/>
    <w:rsid w:val="00577A9C"/>
    <w:rsid w:val="00577BE5"/>
    <w:rsid w:val="00581251"/>
    <w:rsid w:val="00581473"/>
    <w:rsid w:val="0058215C"/>
    <w:rsid w:val="0058454F"/>
    <w:rsid w:val="0058513B"/>
    <w:rsid w:val="00586342"/>
    <w:rsid w:val="00586E07"/>
    <w:rsid w:val="0059099E"/>
    <w:rsid w:val="005911B7"/>
    <w:rsid w:val="00594D72"/>
    <w:rsid w:val="005955DB"/>
    <w:rsid w:val="00595766"/>
    <w:rsid w:val="005A3C55"/>
    <w:rsid w:val="005A7BBB"/>
    <w:rsid w:val="005A7CB2"/>
    <w:rsid w:val="005B1368"/>
    <w:rsid w:val="005B4B36"/>
    <w:rsid w:val="005B63E2"/>
    <w:rsid w:val="005C1507"/>
    <w:rsid w:val="005C4163"/>
    <w:rsid w:val="005C5AFB"/>
    <w:rsid w:val="005C5C66"/>
    <w:rsid w:val="005C68BE"/>
    <w:rsid w:val="005C7543"/>
    <w:rsid w:val="005C7F0A"/>
    <w:rsid w:val="005D09D6"/>
    <w:rsid w:val="005D1122"/>
    <w:rsid w:val="005D2E2F"/>
    <w:rsid w:val="005D30D0"/>
    <w:rsid w:val="005D47E7"/>
    <w:rsid w:val="005D53D6"/>
    <w:rsid w:val="005D573F"/>
    <w:rsid w:val="005D5856"/>
    <w:rsid w:val="005D6081"/>
    <w:rsid w:val="005D7D78"/>
    <w:rsid w:val="005E0514"/>
    <w:rsid w:val="005E17D7"/>
    <w:rsid w:val="005E2047"/>
    <w:rsid w:val="005E2EBE"/>
    <w:rsid w:val="005E2ECE"/>
    <w:rsid w:val="005E4728"/>
    <w:rsid w:val="005E7D48"/>
    <w:rsid w:val="005F2077"/>
    <w:rsid w:val="005F3713"/>
    <w:rsid w:val="005F38C5"/>
    <w:rsid w:val="005F3B5B"/>
    <w:rsid w:val="005F50B7"/>
    <w:rsid w:val="005F6098"/>
    <w:rsid w:val="005F7013"/>
    <w:rsid w:val="005F7127"/>
    <w:rsid w:val="005F7159"/>
    <w:rsid w:val="005F739D"/>
    <w:rsid w:val="00600F7D"/>
    <w:rsid w:val="0060207E"/>
    <w:rsid w:val="0060438C"/>
    <w:rsid w:val="00607506"/>
    <w:rsid w:val="0060759D"/>
    <w:rsid w:val="00607B49"/>
    <w:rsid w:val="00611E05"/>
    <w:rsid w:val="00613306"/>
    <w:rsid w:val="00613D12"/>
    <w:rsid w:val="0061459A"/>
    <w:rsid w:val="00614F37"/>
    <w:rsid w:val="00615545"/>
    <w:rsid w:val="006175E2"/>
    <w:rsid w:val="00620FBD"/>
    <w:rsid w:val="0062105F"/>
    <w:rsid w:val="00622A63"/>
    <w:rsid w:val="0062407C"/>
    <w:rsid w:val="00624608"/>
    <w:rsid w:val="00625DF2"/>
    <w:rsid w:val="00631344"/>
    <w:rsid w:val="00631C6F"/>
    <w:rsid w:val="006332E6"/>
    <w:rsid w:val="00637C04"/>
    <w:rsid w:val="00640036"/>
    <w:rsid w:val="00641CEB"/>
    <w:rsid w:val="00641E64"/>
    <w:rsid w:val="00642D1E"/>
    <w:rsid w:val="006451AF"/>
    <w:rsid w:val="0064729E"/>
    <w:rsid w:val="0065091B"/>
    <w:rsid w:val="00652D24"/>
    <w:rsid w:val="0065663E"/>
    <w:rsid w:val="006603CB"/>
    <w:rsid w:val="00660D23"/>
    <w:rsid w:val="0066382B"/>
    <w:rsid w:val="00663D55"/>
    <w:rsid w:val="00666E31"/>
    <w:rsid w:val="00670518"/>
    <w:rsid w:val="00671F55"/>
    <w:rsid w:val="0067626A"/>
    <w:rsid w:val="006762D3"/>
    <w:rsid w:val="00676B43"/>
    <w:rsid w:val="00677196"/>
    <w:rsid w:val="00680920"/>
    <w:rsid w:val="00680EE8"/>
    <w:rsid w:val="00683278"/>
    <w:rsid w:val="006842E8"/>
    <w:rsid w:val="00685A2D"/>
    <w:rsid w:val="006877DE"/>
    <w:rsid w:val="00690859"/>
    <w:rsid w:val="00690ED0"/>
    <w:rsid w:val="0069434B"/>
    <w:rsid w:val="00694F4D"/>
    <w:rsid w:val="006953F5"/>
    <w:rsid w:val="006A0EC1"/>
    <w:rsid w:val="006A2166"/>
    <w:rsid w:val="006A2C10"/>
    <w:rsid w:val="006A3C64"/>
    <w:rsid w:val="006A4C9A"/>
    <w:rsid w:val="006A5783"/>
    <w:rsid w:val="006B047A"/>
    <w:rsid w:val="006B095F"/>
    <w:rsid w:val="006B09F9"/>
    <w:rsid w:val="006B13C0"/>
    <w:rsid w:val="006B2AD4"/>
    <w:rsid w:val="006B2B75"/>
    <w:rsid w:val="006B3CB2"/>
    <w:rsid w:val="006B5EBA"/>
    <w:rsid w:val="006B64B1"/>
    <w:rsid w:val="006B6A47"/>
    <w:rsid w:val="006B6B2D"/>
    <w:rsid w:val="006B723A"/>
    <w:rsid w:val="006B7A87"/>
    <w:rsid w:val="006C331A"/>
    <w:rsid w:val="006C365B"/>
    <w:rsid w:val="006C36E9"/>
    <w:rsid w:val="006C3BB5"/>
    <w:rsid w:val="006C4D8E"/>
    <w:rsid w:val="006D1531"/>
    <w:rsid w:val="006D3A87"/>
    <w:rsid w:val="006D3EF3"/>
    <w:rsid w:val="006D4C79"/>
    <w:rsid w:val="006D6271"/>
    <w:rsid w:val="006D672F"/>
    <w:rsid w:val="006E04DE"/>
    <w:rsid w:val="006E0DEB"/>
    <w:rsid w:val="006E149D"/>
    <w:rsid w:val="006E164F"/>
    <w:rsid w:val="006E3E71"/>
    <w:rsid w:val="006E499F"/>
    <w:rsid w:val="006E6B9E"/>
    <w:rsid w:val="006E78FF"/>
    <w:rsid w:val="006F07E8"/>
    <w:rsid w:val="006F0E03"/>
    <w:rsid w:val="006F19DA"/>
    <w:rsid w:val="006F5282"/>
    <w:rsid w:val="006F554D"/>
    <w:rsid w:val="007029BC"/>
    <w:rsid w:val="00704EAB"/>
    <w:rsid w:val="0070517F"/>
    <w:rsid w:val="00705E4B"/>
    <w:rsid w:val="0070726E"/>
    <w:rsid w:val="00707E2C"/>
    <w:rsid w:val="00707F23"/>
    <w:rsid w:val="007121D7"/>
    <w:rsid w:val="00716462"/>
    <w:rsid w:val="00716475"/>
    <w:rsid w:val="007202F1"/>
    <w:rsid w:val="00720F0B"/>
    <w:rsid w:val="00720F17"/>
    <w:rsid w:val="00721B8B"/>
    <w:rsid w:val="0072236D"/>
    <w:rsid w:val="00722BB5"/>
    <w:rsid w:val="00725432"/>
    <w:rsid w:val="00726C9E"/>
    <w:rsid w:val="00733186"/>
    <w:rsid w:val="00733B5E"/>
    <w:rsid w:val="0073555E"/>
    <w:rsid w:val="007367AB"/>
    <w:rsid w:val="00740556"/>
    <w:rsid w:val="00741630"/>
    <w:rsid w:val="00742473"/>
    <w:rsid w:val="00743935"/>
    <w:rsid w:val="00751DD7"/>
    <w:rsid w:val="00755211"/>
    <w:rsid w:val="007572CB"/>
    <w:rsid w:val="0076068E"/>
    <w:rsid w:val="00760B9F"/>
    <w:rsid w:val="007624E1"/>
    <w:rsid w:val="007640A8"/>
    <w:rsid w:val="00764BDD"/>
    <w:rsid w:val="00764E6F"/>
    <w:rsid w:val="00770317"/>
    <w:rsid w:val="00770F3B"/>
    <w:rsid w:val="00771B5C"/>
    <w:rsid w:val="0077227F"/>
    <w:rsid w:val="007723F6"/>
    <w:rsid w:val="00772543"/>
    <w:rsid w:val="00772CC2"/>
    <w:rsid w:val="00772CD4"/>
    <w:rsid w:val="007738E9"/>
    <w:rsid w:val="0077588B"/>
    <w:rsid w:val="00775FFC"/>
    <w:rsid w:val="0077662F"/>
    <w:rsid w:val="00776B0C"/>
    <w:rsid w:val="00776F4A"/>
    <w:rsid w:val="007773FE"/>
    <w:rsid w:val="0078265D"/>
    <w:rsid w:val="00783BD3"/>
    <w:rsid w:val="00787C3D"/>
    <w:rsid w:val="00790CF1"/>
    <w:rsid w:val="0079450F"/>
    <w:rsid w:val="00796D30"/>
    <w:rsid w:val="007A0C73"/>
    <w:rsid w:val="007A294F"/>
    <w:rsid w:val="007A4820"/>
    <w:rsid w:val="007A52F5"/>
    <w:rsid w:val="007A64D2"/>
    <w:rsid w:val="007A7314"/>
    <w:rsid w:val="007A777B"/>
    <w:rsid w:val="007B0D3D"/>
    <w:rsid w:val="007B1620"/>
    <w:rsid w:val="007B3C52"/>
    <w:rsid w:val="007B51B6"/>
    <w:rsid w:val="007B7725"/>
    <w:rsid w:val="007B7ACE"/>
    <w:rsid w:val="007C1883"/>
    <w:rsid w:val="007C3392"/>
    <w:rsid w:val="007C40CC"/>
    <w:rsid w:val="007C4C1D"/>
    <w:rsid w:val="007C5828"/>
    <w:rsid w:val="007C7153"/>
    <w:rsid w:val="007C78FD"/>
    <w:rsid w:val="007D0455"/>
    <w:rsid w:val="007D16BA"/>
    <w:rsid w:val="007D20CB"/>
    <w:rsid w:val="007D217A"/>
    <w:rsid w:val="007D495C"/>
    <w:rsid w:val="007E25AF"/>
    <w:rsid w:val="007E3240"/>
    <w:rsid w:val="007E3B82"/>
    <w:rsid w:val="007E65AB"/>
    <w:rsid w:val="007E6A6A"/>
    <w:rsid w:val="007E7623"/>
    <w:rsid w:val="007F130C"/>
    <w:rsid w:val="007F19E6"/>
    <w:rsid w:val="007F1F27"/>
    <w:rsid w:val="007F3896"/>
    <w:rsid w:val="007F3F41"/>
    <w:rsid w:val="007F5D77"/>
    <w:rsid w:val="007F6262"/>
    <w:rsid w:val="007F63D9"/>
    <w:rsid w:val="007F693D"/>
    <w:rsid w:val="007F6D2E"/>
    <w:rsid w:val="007F7604"/>
    <w:rsid w:val="008006D1"/>
    <w:rsid w:val="0080114E"/>
    <w:rsid w:val="00801CD8"/>
    <w:rsid w:val="00802D52"/>
    <w:rsid w:val="0080471D"/>
    <w:rsid w:val="008054AC"/>
    <w:rsid w:val="00806CFB"/>
    <w:rsid w:val="00806D28"/>
    <w:rsid w:val="0080730E"/>
    <w:rsid w:val="008076D6"/>
    <w:rsid w:val="00807BE2"/>
    <w:rsid w:val="008136CD"/>
    <w:rsid w:val="00815F02"/>
    <w:rsid w:val="00816723"/>
    <w:rsid w:val="0081716B"/>
    <w:rsid w:val="0081745D"/>
    <w:rsid w:val="00823190"/>
    <w:rsid w:val="008234F2"/>
    <w:rsid w:val="0082360A"/>
    <w:rsid w:val="008249C7"/>
    <w:rsid w:val="00825467"/>
    <w:rsid w:val="00827FE6"/>
    <w:rsid w:val="00830351"/>
    <w:rsid w:val="00831C66"/>
    <w:rsid w:val="008328A2"/>
    <w:rsid w:val="008328FA"/>
    <w:rsid w:val="008334B7"/>
    <w:rsid w:val="00833D73"/>
    <w:rsid w:val="00834686"/>
    <w:rsid w:val="00834DFF"/>
    <w:rsid w:val="00834EB2"/>
    <w:rsid w:val="00835353"/>
    <w:rsid w:val="0083604F"/>
    <w:rsid w:val="00837ED5"/>
    <w:rsid w:val="00840230"/>
    <w:rsid w:val="00842DB6"/>
    <w:rsid w:val="0084417E"/>
    <w:rsid w:val="00844CD3"/>
    <w:rsid w:val="00844F8E"/>
    <w:rsid w:val="008459BC"/>
    <w:rsid w:val="008465E2"/>
    <w:rsid w:val="0084759A"/>
    <w:rsid w:val="008506EA"/>
    <w:rsid w:val="00850890"/>
    <w:rsid w:val="00850B15"/>
    <w:rsid w:val="00850CEB"/>
    <w:rsid w:val="008525A3"/>
    <w:rsid w:val="00853AD0"/>
    <w:rsid w:val="00854B94"/>
    <w:rsid w:val="00854C83"/>
    <w:rsid w:val="00854CD8"/>
    <w:rsid w:val="00854F9D"/>
    <w:rsid w:val="008607EB"/>
    <w:rsid w:val="008620FC"/>
    <w:rsid w:val="00862195"/>
    <w:rsid w:val="00862E59"/>
    <w:rsid w:val="008632FD"/>
    <w:rsid w:val="008649E0"/>
    <w:rsid w:val="008659B9"/>
    <w:rsid w:val="0086718E"/>
    <w:rsid w:val="00871E6A"/>
    <w:rsid w:val="008725ED"/>
    <w:rsid w:val="00872E4E"/>
    <w:rsid w:val="00873ECB"/>
    <w:rsid w:val="00874398"/>
    <w:rsid w:val="0088056C"/>
    <w:rsid w:val="00882EA6"/>
    <w:rsid w:val="008833A2"/>
    <w:rsid w:val="0088369A"/>
    <w:rsid w:val="008843A7"/>
    <w:rsid w:val="0088565A"/>
    <w:rsid w:val="0088572D"/>
    <w:rsid w:val="0088687B"/>
    <w:rsid w:val="00891128"/>
    <w:rsid w:val="00892125"/>
    <w:rsid w:val="00893BEB"/>
    <w:rsid w:val="008946F6"/>
    <w:rsid w:val="00894F89"/>
    <w:rsid w:val="00897AB6"/>
    <w:rsid w:val="008A3520"/>
    <w:rsid w:val="008A3D60"/>
    <w:rsid w:val="008A455F"/>
    <w:rsid w:val="008A7C7B"/>
    <w:rsid w:val="008B0812"/>
    <w:rsid w:val="008B113A"/>
    <w:rsid w:val="008B1528"/>
    <w:rsid w:val="008B210B"/>
    <w:rsid w:val="008B299F"/>
    <w:rsid w:val="008B3039"/>
    <w:rsid w:val="008B3ABE"/>
    <w:rsid w:val="008B409B"/>
    <w:rsid w:val="008B471B"/>
    <w:rsid w:val="008B7644"/>
    <w:rsid w:val="008C00C3"/>
    <w:rsid w:val="008C529C"/>
    <w:rsid w:val="008C6A48"/>
    <w:rsid w:val="008D0115"/>
    <w:rsid w:val="008D1F31"/>
    <w:rsid w:val="008D3386"/>
    <w:rsid w:val="008D352C"/>
    <w:rsid w:val="008D49FC"/>
    <w:rsid w:val="008D6E26"/>
    <w:rsid w:val="008D78CB"/>
    <w:rsid w:val="008E0942"/>
    <w:rsid w:val="008E0B79"/>
    <w:rsid w:val="008E176A"/>
    <w:rsid w:val="008E3B62"/>
    <w:rsid w:val="008E4592"/>
    <w:rsid w:val="008E679D"/>
    <w:rsid w:val="008E6DA8"/>
    <w:rsid w:val="008E6F13"/>
    <w:rsid w:val="008E7806"/>
    <w:rsid w:val="008E7AFF"/>
    <w:rsid w:val="008F03A3"/>
    <w:rsid w:val="008F08B6"/>
    <w:rsid w:val="008F0D2E"/>
    <w:rsid w:val="008F1B09"/>
    <w:rsid w:val="008F1E02"/>
    <w:rsid w:val="008F2849"/>
    <w:rsid w:val="008F4BA5"/>
    <w:rsid w:val="008F4C2C"/>
    <w:rsid w:val="008F5DA4"/>
    <w:rsid w:val="008F70AB"/>
    <w:rsid w:val="008F7458"/>
    <w:rsid w:val="008F7E0E"/>
    <w:rsid w:val="00901C0B"/>
    <w:rsid w:val="009032FE"/>
    <w:rsid w:val="009034FB"/>
    <w:rsid w:val="009040BC"/>
    <w:rsid w:val="00904657"/>
    <w:rsid w:val="00904A26"/>
    <w:rsid w:val="00907DE1"/>
    <w:rsid w:val="00907FF0"/>
    <w:rsid w:val="00910585"/>
    <w:rsid w:val="00910ABC"/>
    <w:rsid w:val="00910DC1"/>
    <w:rsid w:val="00910E7A"/>
    <w:rsid w:val="009121E9"/>
    <w:rsid w:val="009135FD"/>
    <w:rsid w:val="0091579D"/>
    <w:rsid w:val="00917535"/>
    <w:rsid w:val="00917908"/>
    <w:rsid w:val="0091796E"/>
    <w:rsid w:val="0092112E"/>
    <w:rsid w:val="009247B8"/>
    <w:rsid w:val="0092600D"/>
    <w:rsid w:val="009262B7"/>
    <w:rsid w:val="0092656D"/>
    <w:rsid w:val="00926A8E"/>
    <w:rsid w:val="00927D95"/>
    <w:rsid w:val="00930719"/>
    <w:rsid w:val="00933CFE"/>
    <w:rsid w:val="009346BB"/>
    <w:rsid w:val="0093594D"/>
    <w:rsid w:val="009374EE"/>
    <w:rsid w:val="00940768"/>
    <w:rsid w:val="00942985"/>
    <w:rsid w:val="00945FF2"/>
    <w:rsid w:val="00946351"/>
    <w:rsid w:val="00946AB8"/>
    <w:rsid w:val="009521DD"/>
    <w:rsid w:val="0095260E"/>
    <w:rsid w:val="00953339"/>
    <w:rsid w:val="009558A7"/>
    <w:rsid w:val="00956651"/>
    <w:rsid w:val="00961B54"/>
    <w:rsid w:val="00962C35"/>
    <w:rsid w:val="00962DEC"/>
    <w:rsid w:val="0096398B"/>
    <w:rsid w:val="0096455E"/>
    <w:rsid w:val="00964EF8"/>
    <w:rsid w:val="00965539"/>
    <w:rsid w:val="0096562A"/>
    <w:rsid w:val="00966881"/>
    <w:rsid w:val="00966FEA"/>
    <w:rsid w:val="00970071"/>
    <w:rsid w:val="00971B85"/>
    <w:rsid w:val="0097216A"/>
    <w:rsid w:val="00972EC2"/>
    <w:rsid w:val="009736DF"/>
    <w:rsid w:val="00975822"/>
    <w:rsid w:val="00975C8C"/>
    <w:rsid w:val="00981774"/>
    <w:rsid w:val="00982BE9"/>
    <w:rsid w:val="00984987"/>
    <w:rsid w:val="00986DC7"/>
    <w:rsid w:val="00987E87"/>
    <w:rsid w:val="00987F90"/>
    <w:rsid w:val="00990B6E"/>
    <w:rsid w:val="00992DEE"/>
    <w:rsid w:val="009937D8"/>
    <w:rsid w:val="00993BC7"/>
    <w:rsid w:val="00993F32"/>
    <w:rsid w:val="0099423B"/>
    <w:rsid w:val="00995AB2"/>
    <w:rsid w:val="0099612A"/>
    <w:rsid w:val="0099780A"/>
    <w:rsid w:val="009A1D37"/>
    <w:rsid w:val="009A26A1"/>
    <w:rsid w:val="009A26BA"/>
    <w:rsid w:val="009A2BDD"/>
    <w:rsid w:val="009A33A4"/>
    <w:rsid w:val="009A4394"/>
    <w:rsid w:val="009A72A6"/>
    <w:rsid w:val="009B00FA"/>
    <w:rsid w:val="009B0540"/>
    <w:rsid w:val="009B0AF9"/>
    <w:rsid w:val="009B0BF0"/>
    <w:rsid w:val="009B0F3D"/>
    <w:rsid w:val="009B1010"/>
    <w:rsid w:val="009B1022"/>
    <w:rsid w:val="009B1115"/>
    <w:rsid w:val="009B227F"/>
    <w:rsid w:val="009B2457"/>
    <w:rsid w:val="009B3BA1"/>
    <w:rsid w:val="009B5423"/>
    <w:rsid w:val="009B76B0"/>
    <w:rsid w:val="009C1D8C"/>
    <w:rsid w:val="009C2442"/>
    <w:rsid w:val="009C2C56"/>
    <w:rsid w:val="009C3376"/>
    <w:rsid w:val="009C70DC"/>
    <w:rsid w:val="009D0295"/>
    <w:rsid w:val="009D1880"/>
    <w:rsid w:val="009D5EB3"/>
    <w:rsid w:val="009D660A"/>
    <w:rsid w:val="009D74D9"/>
    <w:rsid w:val="009D7BA8"/>
    <w:rsid w:val="009E0620"/>
    <w:rsid w:val="009E0B0E"/>
    <w:rsid w:val="009E0F66"/>
    <w:rsid w:val="009E3A5A"/>
    <w:rsid w:val="009E4599"/>
    <w:rsid w:val="009E5C43"/>
    <w:rsid w:val="009E6611"/>
    <w:rsid w:val="009F160C"/>
    <w:rsid w:val="009F2A0E"/>
    <w:rsid w:val="009F34B0"/>
    <w:rsid w:val="009F3F9D"/>
    <w:rsid w:val="009F4F10"/>
    <w:rsid w:val="009F7DAF"/>
    <w:rsid w:val="00A00F64"/>
    <w:rsid w:val="00A01882"/>
    <w:rsid w:val="00A02A86"/>
    <w:rsid w:val="00A047B2"/>
    <w:rsid w:val="00A05DBB"/>
    <w:rsid w:val="00A06B6D"/>
    <w:rsid w:val="00A071C9"/>
    <w:rsid w:val="00A0731A"/>
    <w:rsid w:val="00A105BA"/>
    <w:rsid w:val="00A13D49"/>
    <w:rsid w:val="00A14447"/>
    <w:rsid w:val="00A14B7A"/>
    <w:rsid w:val="00A17CA8"/>
    <w:rsid w:val="00A200A2"/>
    <w:rsid w:val="00A2027D"/>
    <w:rsid w:val="00A2155D"/>
    <w:rsid w:val="00A21B87"/>
    <w:rsid w:val="00A23A2E"/>
    <w:rsid w:val="00A23A91"/>
    <w:rsid w:val="00A240BA"/>
    <w:rsid w:val="00A24704"/>
    <w:rsid w:val="00A24A8A"/>
    <w:rsid w:val="00A25AEA"/>
    <w:rsid w:val="00A278E7"/>
    <w:rsid w:val="00A3060C"/>
    <w:rsid w:val="00A343AD"/>
    <w:rsid w:val="00A3462E"/>
    <w:rsid w:val="00A366B9"/>
    <w:rsid w:val="00A40197"/>
    <w:rsid w:val="00A40269"/>
    <w:rsid w:val="00A43F32"/>
    <w:rsid w:val="00A44042"/>
    <w:rsid w:val="00A44398"/>
    <w:rsid w:val="00A44E0E"/>
    <w:rsid w:val="00A4534C"/>
    <w:rsid w:val="00A45BA9"/>
    <w:rsid w:val="00A4775F"/>
    <w:rsid w:val="00A50029"/>
    <w:rsid w:val="00A52EED"/>
    <w:rsid w:val="00A532D1"/>
    <w:rsid w:val="00A53B0F"/>
    <w:rsid w:val="00A554B5"/>
    <w:rsid w:val="00A57EDA"/>
    <w:rsid w:val="00A606DE"/>
    <w:rsid w:val="00A6196A"/>
    <w:rsid w:val="00A631E4"/>
    <w:rsid w:val="00A639AD"/>
    <w:rsid w:val="00A63EB2"/>
    <w:rsid w:val="00A64591"/>
    <w:rsid w:val="00A70C3A"/>
    <w:rsid w:val="00A71F04"/>
    <w:rsid w:val="00A72EA8"/>
    <w:rsid w:val="00A72EF4"/>
    <w:rsid w:val="00A7506D"/>
    <w:rsid w:val="00A75215"/>
    <w:rsid w:val="00A7527D"/>
    <w:rsid w:val="00A75F82"/>
    <w:rsid w:val="00A763F6"/>
    <w:rsid w:val="00A77F18"/>
    <w:rsid w:val="00A81EAD"/>
    <w:rsid w:val="00A82842"/>
    <w:rsid w:val="00A82C70"/>
    <w:rsid w:val="00A836BA"/>
    <w:rsid w:val="00A83EC9"/>
    <w:rsid w:val="00A85181"/>
    <w:rsid w:val="00A877A4"/>
    <w:rsid w:val="00A92179"/>
    <w:rsid w:val="00A922C1"/>
    <w:rsid w:val="00A923D4"/>
    <w:rsid w:val="00A95F70"/>
    <w:rsid w:val="00A9699C"/>
    <w:rsid w:val="00A9774F"/>
    <w:rsid w:val="00AA0B2E"/>
    <w:rsid w:val="00AA1202"/>
    <w:rsid w:val="00AA25D7"/>
    <w:rsid w:val="00AA30EB"/>
    <w:rsid w:val="00AA31B8"/>
    <w:rsid w:val="00AA3A52"/>
    <w:rsid w:val="00AA4128"/>
    <w:rsid w:val="00AA4E96"/>
    <w:rsid w:val="00AA52D6"/>
    <w:rsid w:val="00AA565E"/>
    <w:rsid w:val="00AA587A"/>
    <w:rsid w:val="00AA6350"/>
    <w:rsid w:val="00AA65C2"/>
    <w:rsid w:val="00AA6878"/>
    <w:rsid w:val="00AA7CFA"/>
    <w:rsid w:val="00AB00DE"/>
    <w:rsid w:val="00AB1B10"/>
    <w:rsid w:val="00AB20B2"/>
    <w:rsid w:val="00AB439A"/>
    <w:rsid w:val="00AB4902"/>
    <w:rsid w:val="00AB4ABF"/>
    <w:rsid w:val="00AB6199"/>
    <w:rsid w:val="00AB6679"/>
    <w:rsid w:val="00AB6AE5"/>
    <w:rsid w:val="00AC052E"/>
    <w:rsid w:val="00AC09CA"/>
    <w:rsid w:val="00AC0B42"/>
    <w:rsid w:val="00AC0BA0"/>
    <w:rsid w:val="00AC5512"/>
    <w:rsid w:val="00AC5B78"/>
    <w:rsid w:val="00AC6B65"/>
    <w:rsid w:val="00AD2E0B"/>
    <w:rsid w:val="00AD57E8"/>
    <w:rsid w:val="00AE0649"/>
    <w:rsid w:val="00AE12EF"/>
    <w:rsid w:val="00AE23E2"/>
    <w:rsid w:val="00AE2EF0"/>
    <w:rsid w:val="00AE3C4F"/>
    <w:rsid w:val="00AE4C92"/>
    <w:rsid w:val="00AE5203"/>
    <w:rsid w:val="00AE60A3"/>
    <w:rsid w:val="00AE637E"/>
    <w:rsid w:val="00AE6797"/>
    <w:rsid w:val="00AE7396"/>
    <w:rsid w:val="00AE7F11"/>
    <w:rsid w:val="00AF0F14"/>
    <w:rsid w:val="00AF24BD"/>
    <w:rsid w:val="00AF2B21"/>
    <w:rsid w:val="00AF3D49"/>
    <w:rsid w:val="00AF4339"/>
    <w:rsid w:val="00AF4CDB"/>
    <w:rsid w:val="00AF4E12"/>
    <w:rsid w:val="00B01087"/>
    <w:rsid w:val="00B0108C"/>
    <w:rsid w:val="00B03123"/>
    <w:rsid w:val="00B07688"/>
    <w:rsid w:val="00B079A6"/>
    <w:rsid w:val="00B07DC1"/>
    <w:rsid w:val="00B162BA"/>
    <w:rsid w:val="00B20A72"/>
    <w:rsid w:val="00B20FC8"/>
    <w:rsid w:val="00B23161"/>
    <w:rsid w:val="00B2350D"/>
    <w:rsid w:val="00B26422"/>
    <w:rsid w:val="00B27772"/>
    <w:rsid w:val="00B2780B"/>
    <w:rsid w:val="00B30F27"/>
    <w:rsid w:val="00B31E1A"/>
    <w:rsid w:val="00B32854"/>
    <w:rsid w:val="00B33565"/>
    <w:rsid w:val="00B33EA3"/>
    <w:rsid w:val="00B345CC"/>
    <w:rsid w:val="00B34F1D"/>
    <w:rsid w:val="00B357E6"/>
    <w:rsid w:val="00B35A11"/>
    <w:rsid w:val="00B370C2"/>
    <w:rsid w:val="00B421D5"/>
    <w:rsid w:val="00B42434"/>
    <w:rsid w:val="00B464B9"/>
    <w:rsid w:val="00B46FF9"/>
    <w:rsid w:val="00B47556"/>
    <w:rsid w:val="00B51281"/>
    <w:rsid w:val="00B525A6"/>
    <w:rsid w:val="00B53B12"/>
    <w:rsid w:val="00B53EB5"/>
    <w:rsid w:val="00B57844"/>
    <w:rsid w:val="00B61F36"/>
    <w:rsid w:val="00B670FF"/>
    <w:rsid w:val="00B67A9E"/>
    <w:rsid w:val="00B70813"/>
    <w:rsid w:val="00B70838"/>
    <w:rsid w:val="00B70876"/>
    <w:rsid w:val="00B725FD"/>
    <w:rsid w:val="00B728D5"/>
    <w:rsid w:val="00B77359"/>
    <w:rsid w:val="00B80CC1"/>
    <w:rsid w:val="00B82334"/>
    <w:rsid w:val="00B83AAD"/>
    <w:rsid w:val="00B8410C"/>
    <w:rsid w:val="00B849FB"/>
    <w:rsid w:val="00B85168"/>
    <w:rsid w:val="00B85CD8"/>
    <w:rsid w:val="00B86ABC"/>
    <w:rsid w:val="00B905DD"/>
    <w:rsid w:val="00B93497"/>
    <w:rsid w:val="00B94401"/>
    <w:rsid w:val="00B95D0C"/>
    <w:rsid w:val="00B97FE4"/>
    <w:rsid w:val="00BA0987"/>
    <w:rsid w:val="00BA12E1"/>
    <w:rsid w:val="00BA2350"/>
    <w:rsid w:val="00BA2D3F"/>
    <w:rsid w:val="00BA32CD"/>
    <w:rsid w:val="00BA3362"/>
    <w:rsid w:val="00BA3C12"/>
    <w:rsid w:val="00BA3EDD"/>
    <w:rsid w:val="00BA4F10"/>
    <w:rsid w:val="00BA64D3"/>
    <w:rsid w:val="00BA7644"/>
    <w:rsid w:val="00BB066F"/>
    <w:rsid w:val="00BB2175"/>
    <w:rsid w:val="00BB24A6"/>
    <w:rsid w:val="00BB33F0"/>
    <w:rsid w:val="00BB3E6E"/>
    <w:rsid w:val="00BB43B5"/>
    <w:rsid w:val="00BB4EB5"/>
    <w:rsid w:val="00BB6647"/>
    <w:rsid w:val="00BC03F7"/>
    <w:rsid w:val="00BC0FE1"/>
    <w:rsid w:val="00BC4001"/>
    <w:rsid w:val="00BC4EBA"/>
    <w:rsid w:val="00BC4F74"/>
    <w:rsid w:val="00BC52F2"/>
    <w:rsid w:val="00BC5C6B"/>
    <w:rsid w:val="00BC630B"/>
    <w:rsid w:val="00BC6907"/>
    <w:rsid w:val="00BD3929"/>
    <w:rsid w:val="00BE1890"/>
    <w:rsid w:val="00BE1D44"/>
    <w:rsid w:val="00BE2645"/>
    <w:rsid w:val="00BE472F"/>
    <w:rsid w:val="00BE52F7"/>
    <w:rsid w:val="00BE746E"/>
    <w:rsid w:val="00BF0A41"/>
    <w:rsid w:val="00BF0BCF"/>
    <w:rsid w:val="00BF19C7"/>
    <w:rsid w:val="00BF3591"/>
    <w:rsid w:val="00BF6B10"/>
    <w:rsid w:val="00C008E0"/>
    <w:rsid w:val="00C02868"/>
    <w:rsid w:val="00C04123"/>
    <w:rsid w:val="00C04E7B"/>
    <w:rsid w:val="00C13AF0"/>
    <w:rsid w:val="00C15F5D"/>
    <w:rsid w:val="00C17187"/>
    <w:rsid w:val="00C217A0"/>
    <w:rsid w:val="00C23C8E"/>
    <w:rsid w:val="00C24B14"/>
    <w:rsid w:val="00C25065"/>
    <w:rsid w:val="00C25DB5"/>
    <w:rsid w:val="00C264B4"/>
    <w:rsid w:val="00C268E1"/>
    <w:rsid w:val="00C2759F"/>
    <w:rsid w:val="00C31DDE"/>
    <w:rsid w:val="00C32293"/>
    <w:rsid w:val="00C32FEB"/>
    <w:rsid w:val="00C33472"/>
    <w:rsid w:val="00C408F1"/>
    <w:rsid w:val="00C40A2D"/>
    <w:rsid w:val="00C50364"/>
    <w:rsid w:val="00C50710"/>
    <w:rsid w:val="00C5091A"/>
    <w:rsid w:val="00C509DB"/>
    <w:rsid w:val="00C53FEB"/>
    <w:rsid w:val="00C54FE8"/>
    <w:rsid w:val="00C566DD"/>
    <w:rsid w:val="00C61200"/>
    <w:rsid w:val="00C61257"/>
    <w:rsid w:val="00C61484"/>
    <w:rsid w:val="00C6335C"/>
    <w:rsid w:val="00C64879"/>
    <w:rsid w:val="00C648C3"/>
    <w:rsid w:val="00C64902"/>
    <w:rsid w:val="00C654B4"/>
    <w:rsid w:val="00C65677"/>
    <w:rsid w:val="00C66071"/>
    <w:rsid w:val="00C668AA"/>
    <w:rsid w:val="00C675E5"/>
    <w:rsid w:val="00C67B41"/>
    <w:rsid w:val="00C67F22"/>
    <w:rsid w:val="00C7048B"/>
    <w:rsid w:val="00C70CA3"/>
    <w:rsid w:val="00C70CFA"/>
    <w:rsid w:val="00C7181D"/>
    <w:rsid w:val="00C7485A"/>
    <w:rsid w:val="00C75F73"/>
    <w:rsid w:val="00C76F60"/>
    <w:rsid w:val="00C77FCC"/>
    <w:rsid w:val="00C80508"/>
    <w:rsid w:val="00C80DAA"/>
    <w:rsid w:val="00C8220E"/>
    <w:rsid w:val="00C849DC"/>
    <w:rsid w:val="00C84D79"/>
    <w:rsid w:val="00C863D5"/>
    <w:rsid w:val="00C86DC2"/>
    <w:rsid w:val="00C9230A"/>
    <w:rsid w:val="00C94B21"/>
    <w:rsid w:val="00C95A5B"/>
    <w:rsid w:val="00C96125"/>
    <w:rsid w:val="00C96E93"/>
    <w:rsid w:val="00C9762B"/>
    <w:rsid w:val="00C97635"/>
    <w:rsid w:val="00C97F9A"/>
    <w:rsid w:val="00CA1372"/>
    <w:rsid w:val="00CA204E"/>
    <w:rsid w:val="00CA43D5"/>
    <w:rsid w:val="00CA494D"/>
    <w:rsid w:val="00CA4A6D"/>
    <w:rsid w:val="00CA4C1F"/>
    <w:rsid w:val="00CA6052"/>
    <w:rsid w:val="00CA71E8"/>
    <w:rsid w:val="00CB1472"/>
    <w:rsid w:val="00CB2AE8"/>
    <w:rsid w:val="00CB34BF"/>
    <w:rsid w:val="00CB3642"/>
    <w:rsid w:val="00CB3AEF"/>
    <w:rsid w:val="00CB3FDA"/>
    <w:rsid w:val="00CB5087"/>
    <w:rsid w:val="00CB6DCE"/>
    <w:rsid w:val="00CC150E"/>
    <w:rsid w:val="00CC16EE"/>
    <w:rsid w:val="00CC1C24"/>
    <w:rsid w:val="00CC2F2D"/>
    <w:rsid w:val="00CC30E9"/>
    <w:rsid w:val="00CC41C8"/>
    <w:rsid w:val="00CC6850"/>
    <w:rsid w:val="00CC7828"/>
    <w:rsid w:val="00CD2A20"/>
    <w:rsid w:val="00CD505C"/>
    <w:rsid w:val="00CD6DB7"/>
    <w:rsid w:val="00CD6F94"/>
    <w:rsid w:val="00CD7BC5"/>
    <w:rsid w:val="00CE0190"/>
    <w:rsid w:val="00CE3A97"/>
    <w:rsid w:val="00CE422F"/>
    <w:rsid w:val="00CE427B"/>
    <w:rsid w:val="00CE46CD"/>
    <w:rsid w:val="00CE4B42"/>
    <w:rsid w:val="00CE55F1"/>
    <w:rsid w:val="00CE62EF"/>
    <w:rsid w:val="00CE7F0F"/>
    <w:rsid w:val="00CF022D"/>
    <w:rsid w:val="00CF0E89"/>
    <w:rsid w:val="00CF1C27"/>
    <w:rsid w:val="00CF1FF0"/>
    <w:rsid w:val="00CF3F6B"/>
    <w:rsid w:val="00CF4549"/>
    <w:rsid w:val="00CF729E"/>
    <w:rsid w:val="00D00650"/>
    <w:rsid w:val="00D04C96"/>
    <w:rsid w:val="00D04CE8"/>
    <w:rsid w:val="00D04E33"/>
    <w:rsid w:val="00D04EE8"/>
    <w:rsid w:val="00D051EB"/>
    <w:rsid w:val="00D1134E"/>
    <w:rsid w:val="00D12205"/>
    <w:rsid w:val="00D12BFE"/>
    <w:rsid w:val="00D13071"/>
    <w:rsid w:val="00D130E9"/>
    <w:rsid w:val="00D137EE"/>
    <w:rsid w:val="00D14845"/>
    <w:rsid w:val="00D162FC"/>
    <w:rsid w:val="00D16E53"/>
    <w:rsid w:val="00D17025"/>
    <w:rsid w:val="00D20534"/>
    <w:rsid w:val="00D20FE8"/>
    <w:rsid w:val="00D22402"/>
    <w:rsid w:val="00D22F55"/>
    <w:rsid w:val="00D23E8B"/>
    <w:rsid w:val="00D26783"/>
    <w:rsid w:val="00D26F6D"/>
    <w:rsid w:val="00D3097F"/>
    <w:rsid w:val="00D33090"/>
    <w:rsid w:val="00D34665"/>
    <w:rsid w:val="00D350C0"/>
    <w:rsid w:val="00D414A9"/>
    <w:rsid w:val="00D4290A"/>
    <w:rsid w:val="00D4573A"/>
    <w:rsid w:val="00D47234"/>
    <w:rsid w:val="00D503DD"/>
    <w:rsid w:val="00D516D5"/>
    <w:rsid w:val="00D54876"/>
    <w:rsid w:val="00D5716B"/>
    <w:rsid w:val="00D5776E"/>
    <w:rsid w:val="00D6064F"/>
    <w:rsid w:val="00D61936"/>
    <w:rsid w:val="00D61ED5"/>
    <w:rsid w:val="00D62317"/>
    <w:rsid w:val="00D6236F"/>
    <w:rsid w:val="00D6240F"/>
    <w:rsid w:val="00D63292"/>
    <w:rsid w:val="00D6340F"/>
    <w:rsid w:val="00D63AD5"/>
    <w:rsid w:val="00D653A9"/>
    <w:rsid w:val="00D67B28"/>
    <w:rsid w:val="00D70098"/>
    <w:rsid w:val="00D720DA"/>
    <w:rsid w:val="00D724D1"/>
    <w:rsid w:val="00D729C3"/>
    <w:rsid w:val="00D74562"/>
    <w:rsid w:val="00D75B34"/>
    <w:rsid w:val="00D76C53"/>
    <w:rsid w:val="00D7759F"/>
    <w:rsid w:val="00D776C3"/>
    <w:rsid w:val="00D77F6D"/>
    <w:rsid w:val="00D8105B"/>
    <w:rsid w:val="00D81099"/>
    <w:rsid w:val="00D81CF6"/>
    <w:rsid w:val="00D824FE"/>
    <w:rsid w:val="00D82C4C"/>
    <w:rsid w:val="00D850AE"/>
    <w:rsid w:val="00D854BD"/>
    <w:rsid w:val="00D91C6B"/>
    <w:rsid w:val="00D91ED9"/>
    <w:rsid w:val="00D93D60"/>
    <w:rsid w:val="00D94037"/>
    <w:rsid w:val="00D94CA7"/>
    <w:rsid w:val="00D94FF8"/>
    <w:rsid w:val="00D95001"/>
    <w:rsid w:val="00D96435"/>
    <w:rsid w:val="00DA01E8"/>
    <w:rsid w:val="00DA51D7"/>
    <w:rsid w:val="00DA5F17"/>
    <w:rsid w:val="00DA6522"/>
    <w:rsid w:val="00DA67EF"/>
    <w:rsid w:val="00DA6B31"/>
    <w:rsid w:val="00DB03B2"/>
    <w:rsid w:val="00DB0F8B"/>
    <w:rsid w:val="00DB1158"/>
    <w:rsid w:val="00DB4277"/>
    <w:rsid w:val="00DB4F5E"/>
    <w:rsid w:val="00DB606B"/>
    <w:rsid w:val="00DB696B"/>
    <w:rsid w:val="00DC10EB"/>
    <w:rsid w:val="00DC18F6"/>
    <w:rsid w:val="00DC1972"/>
    <w:rsid w:val="00DC1C21"/>
    <w:rsid w:val="00DC394A"/>
    <w:rsid w:val="00DC77DB"/>
    <w:rsid w:val="00DC78CE"/>
    <w:rsid w:val="00DD0354"/>
    <w:rsid w:val="00DD178D"/>
    <w:rsid w:val="00DD7734"/>
    <w:rsid w:val="00DE091F"/>
    <w:rsid w:val="00DE0C46"/>
    <w:rsid w:val="00DE1878"/>
    <w:rsid w:val="00DE3DAA"/>
    <w:rsid w:val="00DE4231"/>
    <w:rsid w:val="00DE5130"/>
    <w:rsid w:val="00DE7942"/>
    <w:rsid w:val="00DE7A26"/>
    <w:rsid w:val="00DF57D2"/>
    <w:rsid w:val="00E02219"/>
    <w:rsid w:val="00E02D32"/>
    <w:rsid w:val="00E03296"/>
    <w:rsid w:val="00E03B6A"/>
    <w:rsid w:val="00E05C31"/>
    <w:rsid w:val="00E06F59"/>
    <w:rsid w:val="00E10E7E"/>
    <w:rsid w:val="00E10FE5"/>
    <w:rsid w:val="00E11BF7"/>
    <w:rsid w:val="00E13A3D"/>
    <w:rsid w:val="00E17ABB"/>
    <w:rsid w:val="00E20235"/>
    <w:rsid w:val="00E228C3"/>
    <w:rsid w:val="00E23DE3"/>
    <w:rsid w:val="00E24754"/>
    <w:rsid w:val="00E26733"/>
    <w:rsid w:val="00E2680A"/>
    <w:rsid w:val="00E26EDC"/>
    <w:rsid w:val="00E27082"/>
    <w:rsid w:val="00E275C7"/>
    <w:rsid w:val="00E3079E"/>
    <w:rsid w:val="00E3468B"/>
    <w:rsid w:val="00E34920"/>
    <w:rsid w:val="00E35863"/>
    <w:rsid w:val="00E36096"/>
    <w:rsid w:val="00E37A29"/>
    <w:rsid w:val="00E4022E"/>
    <w:rsid w:val="00E44630"/>
    <w:rsid w:val="00E46870"/>
    <w:rsid w:val="00E50AB4"/>
    <w:rsid w:val="00E52CC1"/>
    <w:rsid w:val="00E5361A"/>
    <w:rsid w:val="00E53FC4"/>
    <w:rsid w:val="00E5487E"/>
    <w:rsid w:val="00E55273"/>
    <w:rsid w:val="00E57A13"/>
    <w:rsid w:val="00E610B3"/>
    <w:rsid w:val="00E624CA"/>
    <w:rsid w:val="00E636B6"/>
    <w:rsid w:val="00E639A5"/>
    <w:rsid w:val="00E645D0"/>
    <w:rsid w:val="00E66FB8"/>
    <w:rsid w:val="00E71C1E"/>
    <w:rsid w:val="00E73850"/>
    <w:rsid w:val="00E741FF"/>
    <w:rsid w:val="00E74AC8"/>
    <w:rsid w:val="00E7522F"/>
    <w:rsid w:val="00E756F7"/>
    <w:rsid w:val="00E75F07"/>
    <w:rsid w:val="00E760A6"/>
    <w:rsid w:val="00E77597"/>
    <w:rsid w:val="00E77EB3"/>
    <w:rsid w:val="00E8029C"/>
    <w:rsid w:val="00E81369"/>
    <w:rsid w:val="00E82033"/>
    <w:rsid w:val="00E82349"/>
    <w:rsid w:val="00E83116"/>
    <w:rsid w:val="00E84738"/>
    <w:rsid w:val="00E8562D"/>
    <w:rsid w:val="00E8645F"/>
    <w:rsid w:val="00E86D3A"/>
    <w:rsid w:val="00E87A3A"/>
    <w:rsid w:val="00E90099"/>
    <w:rsid w:val="00E912E1"/>
    <w:rsid w:val="00E91E8B"/>
    <w:rsid w:val="00E935B5"/>
    <w:rsid w:val="00E93D10"/>
    <w:rsid w:val="00E943E6"/>
    <w:rsid w:val="00EA0E14"/>
    <w:rsid w:val="00EA1D33"/>
    <w:rsid w:val="00EA1D5D"/>
    <w:rsid w:val="00EA1DF6"/>
    <w:rsid w:val="00EB24E0"/>
    <w:rsid w:val="00EB24EC"/>
    <w:rsid w:val="00EB24EF"/>
    <w:rsid w:val="00EB3646"/>
    <w:rsid w:val="00EB79A9"/>
    <w:rsid w:val="00EC1236"/>
    <w:rsid w:val="00EC16B7"/>
    <w:rsid w:val="00EC40CA"/>
    <w:rsid w:val="00EC48BE"/>
    <w:rsid w:val="00EC4D96"/>
    <w:rsid w:val="00EC5DD8"/>
    <w:rsid w:val="00ED49DF"/>
    <w:rsid w:val="00ED49FF"/>
    <w:rsid w:val="00ED6BB6"/>
    <w:rsid w:val="00ED729E"/>
    <w:rsid w:val="00EE0BB6"/>
    <w:rsid w:val="00EE41E8"/>
    <w:rsid w:val="00EE443C"/>
    <w:rsid w:val="00EE4FE6"/>
    <w:rsid w:val="00EE78FD"/>
    <w:rsid w:val="00EF2E9D"/>
    <w:rsid w:val="00EF440D"/>
    <w:rsid w:val="00EF465D"/>
    <w:rsid w:val="00EF587F"/>
    <w:rsid w:val="00EF58E1"/>
    <w:rsid w:val="00EF72D1"/>
    <w:rsid w:val="00EF76CE"/>
    <w:rsid w:val="00F002C2"/>
    <w:rsid w:val="00F0104B"/>
    <w:rsid w:val="00F01F13"/>
    <w:rsid w:val="00F0413D"/>
    <w:rsid w:val="00F04556"/>
    <w:rsid w:val="00F04F11"/>
    <w:rsid w:val="00F060B7"/>
    <w:rsid w:val="00F0723E"/>
    <w:rsid w:val="00F073B1"/>
    <w:rsid w:val="00F077CB"/>
    <w:rsid w:val="00F102D8"/>
    <w:rsid w:val="00F1140A"/>
    <w:rsid w:val="00F1238B"/>
    <w:rsid w:val="00F12C11"/>
    <w:rsid w:val="00F12CA7"/>
    <w:rsid w:val="00F15555"/>
    <w:rsid w:val="00F159FD"/>
    <w:rsid w:val="00F16343"/>
    <w:rsid w:val="00F16EE3"/>
    <w:rsid w:val="00F17586"/>
    <w:rsid w:val="00F1786D"/>
    <w:rsid w:val="00F17BFA"/>
    <w:rsid w:val="00F202D3"/>
    <w:rsid w:val="00F21089"/>
    <w:rsid w:val="00F226C5"/>
    <w:rsid w:val="00F22AC0"/>
    <w:rsid w:val="00F22E09"/>
    <w:rsid w:val="00F250AC"/>
    <w:rsid w:val="00F25F97"/>
    <w:rsid w:val="00F27FC6"/>
    <w:rsid w:val="00F32DAB"/>
    <w:rsid w:val="00F338EB"/>
    <w:rsid w:val="00F33950"/>
    <w:rsid w:val="00F365A6"/>
    <w:rsid w:val="00F40C45"/>
    <w:rsid w:val="00F41431"/>
    <w:rsid w:val="00F41CA7"/>
    <w:rsid w:val="00F42B6D"/>
    <w:rsid w:val="00F42BF1"/>
    <w:rsid w:val="00F42E1B"/>
    <w:rsid w:val="00F432BC"/>
    <w:rsid w:val="00F43F92"/>
    <w:rsid w:val="00F4566C"/>
    <w:rsid w:val="00F45C8A"/>
    <w:rsid w:val="00F45FED"/>
    <w:rsid w:val="00F469AD"/>
    <w:rsid w:val="00F46BA4"/>
    <w:rsid w:val="00F46C46"/>
    <w:rsid w:val="00F5199B"/>
    <w:rsid w:val="00F51B52"/>
    <w:rsid w:val="00F51DBF"/>
    <w:rsid w:val="00F5457B"/>
    <w:rsid w:val="00F54A4A"/>
    <w:rsid w:val="00F55669"/>
    <w:rsid w:val="00F56A49"/>
    <w:rsid w:val="00F57F14"/>
    <w:rsid w:val="00F60712"/>
    <w:rsid w:val="00F61391"/>
    <w:rsid w:val="00F6294C"/>
    <w:rsid w:val="00F635F6"/>
    <w:rsid w:val="00F7192A"/>
    <w:rsid w:val="00F71FDE"/>
    <w:rsid w:val="00F7427F"/>
    <w:rsid w:val="00F750EB"/>
    <w:rsid w:val="00F756E0"/>
    <w:rsid w:val="00F75C75"/>
    <w:rsid w:val="00F817CC"/>
    <w:rsid w:val="00F8438D"/>
    <w:rsid w:val="00F84547"/>
    <w:rsid w:val="00F857B6"/>
    <w:rsid w:val="00F85A87"/>
    <w:rsid w:val="00F85F75"/>
    <w:rsid w:val="00F87529"/>
    <w:rsid w:val="00F92523"/>
    <w:rsid w:val="00F94713"/>
    <w:rsid w:val="00FA0DA6"/>
    <w:rsid w:val="00FA14E3"/>
    <w:rsid w:val="00FA1F33"/>
    <w:rsid w:val="00FA2FF9"/>
    <w:rsid w:val="00FA308E"/>
    <w:rsid w:val="00FA3DD6"/>
    <w:rsid w:val="00FA664A"/>
    <w:rsid w:val="00FA6D41"/>
    <w:rsid w:val="00FB08AF"/>
    <w:rsid w:val="00FB09DE"/>
    <w:rsid w:val="00FB09F6"/>
    <w:rsid w:val="00FB15AA"/>
    <w:rsid w:val="00FB1A37"/>
    <w:rsid w:val="00FB2BBC"/>
    <w:rsid w:val="00FB4E2E"/>
    <w:rsid w:val="00FB6EE3"/>
    <w:rsid w:val="00FB712F"/>
    <w:rsid w:val="00FC159C"/>
    <w:rsid w:val="00FC2F94"/>
    <w:rsid w:val="00FC57C3"/>
    <w:rsid w:val="00FC61AE"/>
    <w:rsid w:val="00FC65AB"/>
    <w:rsid w:val="00FD0B7A"/>
    <w:rsid w:val="00FD10EC"/>
    <w:rsid w:val="00FD1BFE"/>
    <w:rsid w:val="00FD22FC"/>
    <w:rsid w:val="00FD27C8"/>
    <w:rsid w:val="00FD2D50"/>
    <w:rsid w:val="00FD3B20"/>
    <w:rsid w:val="00FD4CE4"/>
    <w:rsid w:val="00FD50DD"/>
    <w:rsid w:val="00FD6012"/>
    <w:rsid w:val="00FD619A"/>
    <w:rsid w:val="00FD7003"/>
    <w:rsid w:val="00FD78D9"/>
    <w:rsid w:val="00FD7A9C"/>
    <w:rsid w:val="00FE16FC"/>
    <w:rsid w:val="00FE2C06"/>
    <w:rsid w:val="00FE4002"/>
    <w:rsid w:val="00FE4A84"/>
    <w:rsid w:val="00FF086E"/>
    <w:rsid w:val="00FF0B2D"/>
    <w:rsid w:val="00FF1135"/>
    <w:rsid w:val="00FF19EC"/>
    <w:rsid w:val="00FF22E0"/>
    <w:rsid w:val="00FF311D"/>
    <w:rsid w:val="00FF3C2A"/>
    <w:rsid w:val="00FF4DE9"/>
    <w:rsid w:val="00FF5DBF"/>
    <w:rsid w:val="00FF6835"/>
    <w:rsid w:val="00FF6D38"/>
    <w:rsid w:val="3E4E2907"/>
    <w:rsid w:val="59758C87"/>
    <w:rsid w:val="7743F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8372"/>
  <w15:docId w15:val="{1EC7EEFD-3A3B-4CB8-A009-9F10622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4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265D"/>
    <w:pPr>
      <w:keepNext/>
      <w:keepLines/>
      <w:numPr>
        <w:numId w:val="1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265D"/>
    <w:pPr>
      <w:keepNext/>
      <w:keepLines/>
      <w:numPr>
        <w:ilvl w:val="1"/>
        <w:numId w:val="1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1B71"/>
    <w:pPr>
      <w:keepNext/>
      <w:keepLines/>
      <w:numPr>
        <w:ilvl w:val="2"/>
        <w:numId w:val="1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B1607"/>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1607"/>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B1607"/>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B1607"/>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B1607"/>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1607"/>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qFormat/>
    <w:rsid w:val="0078265D"/>
    <w:pPr>
      <w:spacing w:before="240" w:line="360" w:lineRule="auto"/>
    </w:pPr>
    <w:rPr>
      <w:i/>
      <w:lang w:val="en-GB" w:eastAsia="en-GB"/>
    </w:rPr>
  </w:style>
  <w:style w:type="paragraph" w:customStyle="1" w:styleId="Authornames">
    <w:name w:val="Author names"/>
    <w:basedOn w:val="Normal"/>
    <w:next w:val="Normal"/>
    <w:qFormat/>
    <w:rsid w:val="0078265D"/>
    <w:pPr>
      <w:spacing w:before="240" w:line="360" w:lineRule="auto"/>
    </w:pPr>
    <w:rPr>
      <w:sz w:val="28"/>
      <w:lang w:val="en-GB" w:eastAsia="en-GB"/>
    </w:rPr>
  </w:style>
  <w:style w:type="character" w:customStyle="1" w:styleId="Heading1Char">
    <w:name w:val="Heading 1 Char"/>
    <w:basedOn w:val="DefaultParagraphFont"/>
    <w:link w:val="Heading1"/>
    <w:uiPriority w:val="9"/>
    <w:rsid w:val="007826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265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45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45787"/>
    <w:pPr>
      <w:spacing w:after="200"/>
    </w:pPr>
    <w:rPr>
      <w:i/>
      <w:iCs/>
      <w:color w:val="44546A" w:themeColor="text2"/>
      <w:sz w:val="18"/>
      <w:szCs w:val="18"/>
    </w:rPr>
  </w:style>
  <w:style w:type="character" w:styleId="Hyperlink">
    <w:name w:val="Hyperlink"/>
    <w:basedOn w:val="DefaultParagraphFont"/>
    <w:uiPriority w:val="99"/>
    <w:unhideWhenUsed/>
    <w:rsid w:val="00FF311D"/>
    <w:rPr>
      <w:color w:val="0563C1" w:themeColor="hyperlink"/>
      <w:u w:val="single"/>
    </w:rPr>
  </w:style>
  <w:style w:type="paragraph" w:customStyle="1" w:styleId="Correspondencedetails">
    <w:name w:val="Correspondence details"/>
    <w:basedOn w:val="Normal"/>
    <w:qFormat/>
    <w:rsid w:val="00FF311D"/>
    <w:pPr>
      <w:spacing w:before="240" w:line="360" w:lineRule="auto"/>
    </w:pPr>
    <w:rPr>
      <w:lang w:val="en-GB" w:eastAsia="en-GB"/>
    </w:rPr>
  </w:style>
  <w:style w:type="paragraph" w:customStyle="1" w:styleId="xmsonormal">
    <w:name w:val="x_msonormal"/>
    <w:basedOn w:val="Normal"/>
    <w:rsid w:val="00FF311D"/>
    <w:pPr>
      <w:spacing w:before="100" w:beforeAutospacing="1" w:after="100" w:afterAutospacing="1"/>
    </w:pPr>
  </w:style>
  <w:style w:type="character" w:customStyle="1" w:styleId="locality">
    <w:name w:val="locality"/>
    <w:basedOn w:val="DefaultParagraphFont"/>
    <w:rsid w:val="0081716B"/>
  </w:style>
  <w:style w:type="character" w:customStyle="1" w:styleId="region">
    <w:name w:val="region"/>
    <w:basedOn w:val="DefaultParagraphFont"/>
    <w:rsid w:val="0081716B"/>
  </w:style>
  <w:style w:type="character" w:customStyle="1" w:styleId="Heading3Char">
    <w:name w:val="Heading 3 Char"/>
    <w:basedOn w:val="DefaultParagraphFont"/>
    <w:link w:val="Heading3"/>
    <w:uiPriority w:val="9"/>
    <w:rsid w:val="00381B71"/>
    <w:rPr>
      <w:rFonts w:asciiTheme="majorHAnsi" w:eastAsiaTheme="majorEastAsia" w:hAnsiTheme="majorHAnsi" w:cstheme="majorBidi"/>
      <w:color w:val="1F3763" w:themeColor="accent1" w:themeShade="7F"/>
      <w:sz w:val="24"/>
      <w:szCs w:val="24"/>
    </w:rPr>
  </w:style>
  <w:style w:type="paragraph" w:customStyle="1" w:styleId="Newparagraph">
    <w:name w:val="New paragraph"/>
    <w:basedOn w:val="Normal"/>
    <w:qFormat/>
    <w:rsid w:val="00C849DC"/>
    <w:pPr>
      <w:spacing w:line="480" w:lineRule="auto"/>
      <w:ind w:firstLine="720"/>
    </w:pPr>
    <w:rPr>
      <w:lang w:val="en-GB" w:eastAsia="en-GB"/>
    </w:rPr>
  </w:style>
  <w:style w:type="paragraph" w:styleId="ListParagraph">
    <w:name w:val="List Paragraph"/>
    <w:basedOn w:val="Normal"/>
    <w:uiPriority w:val="34"/>
    <w:qFormat/>
    <w:rsid w:val="00B82334"/>
    <w:pPr>
      <w:ind w:left="720"/>
      <w:contextualSpacing/>
    </w:pPr>
  </w:style>
  <w:style w:type="paragraph" w:styleId="TableofFigures">
    <w:name w:val="table of figures"/>
    <w:basedOn w:val="Normal"/>
    <w:next w:val="Normal"/>
    <w:uiPriority w:val="99"/>
    <w:unhideWhenUsed/>
    <w:rsid w:val="00FC61AE"/>
  </w:style>
  <w:style w:type="paragraph" w:styleId="Revision">
    <w:name w:val="Revision"/>
    <w:hidden/>
    <w:uiPriority w:val="99"/>
    <w:semiHidden/>
    <w:rsid w:val="00C04E7B"/>
    <w:pPr>
      <w:spacing w:after="0" w:line="240" w:lineRule="auto"/>
    </w:pPr>
  </w:style>
  <w:style w:type="character" w:styleId="CommentReference">
    <w:name w:val="annotation reference"/>
    <w:basedOn w:val="DefaultParagraphFont"/>
    <w:uiPriority w:val="99"/>
    <w:semiHidden/>
    <w:unhideWhenUsed/>
    <w:rsid w:val="003E2737"/>
    <w:rPr>
      <w:sz w:val="16"/>
      <w:szCs w:val="16"/>
    </w:rPr>
  </w:style>
  <w:style w:type="paragraph" w:styleId="CommentText">
    <w:name w:val="annotation text"/>
    <w:basedOn w:val="Normal"/>
    <w:link w:val="CommentTextChar"/>
    <w:uiPriority w:val="99"/>
    <w:unhideWhenUsed/>
    <w:rsid w:val="003E2737"/>
    <w:pPr>
      <w:spacing w:after="200"/>
    </w:pPr>
    <w:rPr>
      <w:sz w:val="20"/>
      <w:szCs w:val="20"/>
    </w:rPr>
  </w:style>
  <w:style w:type="character" w:customStyle="1" w:styleId="CommentTextChar">
    <w:name w:val="Comment Text Char"/>
    <w:basedOn w:val="DefaultParagraphFont"/>
    <w:link w:val="CommentText"/>
    <w:uiPriority w:val="99"/>
    <w:rsid w:val="003E2737"/>
    <w:rPr>
      <w:sz w:val="20"/>
      <w:szCs w:val="20"/>
    </w:rPr>
  </w:style>
  <w:style w:type="numbering" w:customStyle="1" w:styleId="Style1">
    <w:name w:val="Style1"/>
    <w:uiPriority w:val="99"/>
    <w:rsid w:val="005C7543"/>
    <w:pPr>
      <w:numPr>
        <w:numId w:val="8"/>
      </w:numPr>
    </w:pPr>
  </w:style>
  <w:style w:type="numbering" w:customStyle="1" w:styleId="Style2">
    <w:name w:val="Style2"/>
    <w:uiPriority w:val="99"/>
    <w:rsid w:val="005C7543"/>
    <w:pPr>
      <w:numPr>
        <w:numId w:val="9"/>
      </w:numPr>
    </w:pPr>
  </w:style>
  <w:style w:type="paragraph" w:styleId="NormalWeb">
    <w:name w:val="Normal (Web)"/>
    <w:basedOn w:val="Normal"/>
    <w:uiPriority w:val="99"/>
    <w:semiHidden/>
    <w:unhideWhenUsed/>
    <w:rsid w:val="00933CFE"/>
    <w:pPr>
      <w:spacing w:before="100" w:beforeAutospacing="1" w:after="100" w:afterAutospacing="1"/>
    </w:pPr>
  </w:style>
  <w:style w:type="numbering" w:customStyle="1" w:styleId="Style3">
    <w:name w:val="Style3"/>
    <w:uiPriority w:val="99"/>
    <w:rsid w:val="003B1607"/>
    <w:pPr>
      <w:numPr>
        <w:numId w:val="11"/>
      </w:numPr>
    </w:pPr>
  </w:style>
  <w:style w:type="character" w:customStyle="1" w:styleId="Heading4Char">
    <w:name w:val="Heading 4 Char"/>
    <w:basedOn w:val="DefaultParagraphFont"/>
    <w:link w:val="Heading4"/>
    <w:uiPriority w:val="9"/>
    <w:semiHidden/>
    <w:rsid w:val="003B160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3B160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3B160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3B1607"/>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3B16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1607"/>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707F23"/>
    <w:rPr>
      <w:color w:val="808080"/>
    </w:rPr>
  </w:style>
  <w:style w:type="paragraph" w:customStyle="1" w:styleId="Displayedequation">
    <w:name w:val="Displayed equation"/>
    <w:basedOn w:val="Normal"/>
    <w:next w:val="Normal"/>
    <w:qFormat/>
    <w:rsid w:val="00F94713"/>
    <w:pPr>
      <w:tabs>
        <w:tab w:val="center" w:pos="4253"/>
        <w:tab w:val="right" w:pos="8222"/>
      </w:tabs>
      <w:spacing w:before="240" w:after="240" w:line="480" w:lineRule="auto"/>
      <w:jc w:val="center"/>
    </w:pPr>
    <w:rPr>
      <w:lang w:val="en-GB" w:eastAsia="en-GB"/>
    </w:rPr>
  </w:style>
  <w:style w:type="paragraph" w:styleId="CommentSubject">
    <w:name w:val="annotation subject"/>
    <w:basedOn w:val="CommentText"/>
    <w:next w:val="CommentText"/>
    <w:link w:val="CommentSubjectChar"/>
    <w:uiPriority w:val="99"/>
    <w:semiHidden/>
    <w:unhideWhenUsed/>
    <w:rsid w:val="00F22E09"/>
    <w:pPr>
      <w:spacing w:after="0"/>
    </w:pPr>
    <w:rPr>
      <w:b/>
      <w:bCs/>
    </w:rPr>
  </w:style>
  <w:style w:type="character" w:customStyle="1" w:styleId="CommentSubjectChar">
    <w:name w:val="Comment Subject Char"/>
    <w:basedOn w:val="CommentTextChar"/>
    <w:link w:val="CommentSubject"/>
    <w:uiPriority w:val="99"/>
    <w:semiHidden/>
    <w:rsid w:val="00F22E09"/>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8E7AFF"/>
    <w:pPr>
      <w:tabs>
        <w:tab w:val="center" w:pos="4680"/>
        <w:tab w:val="right" w:pos="9360"/>
      </w:tabs>
    </w:pPr>
  </w:style>
  <w:style w:type="character" w:customStyle="1" w:styleId="HeaderChar">
    <w:name w:val="Header Char"/>
    <w:basedOn w:val="DefaultParagraphFont"/>
    <w:link w:val="Header"/>
    <w:uiPriority w:val="99"/>
    <w:semiHidden/>
    <w:rsid w:val="008E7AF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E7AFF"/>
    <w:pPr>
      <w:tabs>
        <w:tab w:val="center" w:pos="4680"/>
        <w:tab w:val="right" w:pos="9360"/>
      </w:tabs>
    </w:pPr>
  </w:style>
  <w:style w:type="character" w:customStyle="1" w:styleId="FooterChar">
    <w:name w:val="Footer Char"/>
    <w:basedOn w:val="DefaultParagraphFont"/>
    <w:link w:val="Footer"/>
    <w:uiPriority w:val="99"/>
    <w:semiHidden/>
    <w:rsid w:val="008E7AF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C2442"/>
    <w:rPr>
      <w:sz w:val="20"/>
      <w:szCs w:val="20"/>
    </w:rPr>
  </w:style>
  <w:style w:type="character" w:customStyle="1" w:styleId="FootnoteTextChar">
    <w:name w:val="Footnote Text Char"/>
    <w:basedOn w:val="DefaultParagraphFont"/>
    <w:link w:val="FootnoteText"/>
    <w:uiPriority w:val="99"/>
    <w:semiHidden/>
    <w:rsid w:val="009C24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C2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281">
      <w:bodyDiv w:val="1"/>
      <w:marLeft w:val="0"/>
      <w:marRight w:val="0"/>
      <w:marTop w:val="0"/>
      <w:marBottom w:val="0"/>
      <w:divBdr>
        <w:top w:val="none" w:sz="0" w:space="0" w:color="auto"/>
        <w:left w:val="none" w:sz="0" w:space="0" w:color="auto"/>
        <w:bottom w:val="none" w:sz="0" w:space="0" w:color="auto"/>
        <w:right w:val="none" w:sz="0" w:space="0" w:color="auto"/>
      </w:divBdr>
    </w:div>
    <w:div w:id="189077868">
      <w:bodyDiv w:val="1"/>
      <w:marLeft w:val="0"/>
      <w:marRight w:val="0"/>
      <w:marTop w:val="0"/>
      <w:marBottom w:val="0"/>
      <w:divBdr>
        <w:top w:val="none" w:sz="0" w:space="0" w:color="auto"/>
        <w:left w:val="none" w:sz="0" w:space="0" w:color="auto"/>
        <w:bottom w:val="none" w:sz="0" w:space="0" w:color="auto"/>
        <w:right w:val="none" w:sz="0" w:space="0" w:color="auto"/>
      </w:divBdr>
    </w:div>
    <w:div w:id="232356520">
      <w:bodyDiv w:val="1"/>
      <w:marLeft w:val="0"/>
      <w:marRight w:val="0"/>
      <w:marTop w:val="0"/>
      <w:marBottom w:val="0"/>
      <w:divBdr>
        <w:top w:val="none" w:sz="0" w:space="0" w:color="auto"/>
        <w:left w:val="none" w:sz="0" w:space="0" w:color="auto"/>
        <w:bottom w:val="none" w:sz="0" w:space="0" w:color="auto"/>
        <w:right w:val="none" w:sz="0" w:space="0" w:color="auto"/>
      </w:divBdr>
      <w:divsChild>
        <w:div w:id="1699966043">
          <w:marLeft w:val="0"/>
          <w:marRight w:val="0"/>
          <w:marTop w:val="0"/>
          <w:marBottom w:val="0"/>
          <w:divBdr>
            <w:top w:val="none" w:sz="0" w:space="0" w:color="auto"/>
            <w:left w:val="none" w:sz="0" w:space="0" w:color="auto"/>
            <w:bottom w:val="none" w:sz="0" w:space="0" w:color="auto"/>
            <w:right w:val="none" w:sz="0" w:space="0" w:color="auto"/>
          </w:divBdr>
        </w:div>
      </w:divsChild>
    </w:div>
    <w:div w:id="874929452">
      <w:bodyDiv w:val="1"/>
      <w:marLeft w:val="0"/>
      <w:marRight w:val="0"/>
      <w:marTop w:val="0"/>
      <w:marBottom w:val="0"/>
      <w:divBdr>
        <w:top w:val="none" w:sz="0" w:space="0" w:color="auto"/>
        <w:left w:val="none" w:sz="0" w:space="0" w:color="auto"/>
        <w:bottom w:val="none" w:sz="0" w:space="0" w:color="auto"/>
        <w:right w:val="none" w:sz="0" w:space="0" w:color="auto"/>
      </w:divBdr>
    </w:div>
    <w:div w:id="882212217">
      <w:bodyDiv w:val="1"/>
      <w:marLeft w:val="0"/>
      <w:marRight w:val="0"/>
      <w:marTop w:val="0"/>
      <w:marBottom w:val="0"/>
      <w:divBdr>
        <w:top w:val="none" w:sz="0" w:space="0" w:color="auto"/>
        <w:left w:val="none" w:sz="0" w:space="0" w:color="auto"/>
        <w:bottom w:val="none" w:sz="0" w:space="0" w:color="auto"/>
        <w:right w:val="none" w:sz="0" w:space="0" w:color="auto"/>
      </w:divBdr>
      <w:divsChild>
        <w:div w:id="879441264">
          <w:marLeft w:val="0"/>
          <w:marRight w:val="0"/>
          <w:marTop w:val="0"/>
          <w:marBottom w:val="0"/>
          <w:divBdr>
            <w:top w:val="none" w:sz="0" w:space="0" w:color="auto"/>
            <w:left w:val="none" w:sz="0" w:space="0" w:color="auto"/>
            <w:bottom w:val="none" w:sz="0" w:space="0" w:color="auto"/>
            <w:right w:val="none" w:sz="0" w:space="0" w:color="auto"/>
          </w:divBdr>
        </w:div>
      </w:divsChild>
    </w:div>
    <w:div w:id="1804735988">
      <w:bodyDiv w:val="1"/>
      <w:marLeft w:val="0"/>
      <w:marRight w:val="0"/>
      <w:marTop w:val="0"/>
      <w:marBottom w:val="0"/>
      <w:divBdr>
        <w:top w:val="none" w:sz="0" w:space="0" w:color="auto"/>
        <w:left w:val="none" w:sz="0" w:space="0" w:color="auto"/>
        <w:bottom w:val="none" w:sz="0" w:space="0" w:color="auto"/>
        <w:right w:val="none" w:sz="0" w:space="0" w:color="auto"/>
      </w:divBdr>
      <w:divsChild>
        <w:div w:id="1076513306">
          <w:marLeft w:val="0"/>
          <w:marRight w:val="0"/>
          <w:marTop w:val="0"/>
          <w:marBottom w:val="0"/>
          <w:divBdr>
            <w:top w:val="none" w:sz="0" w:space="0" w:color="auto"/>
            <w:left w:val="none" w:sz="0" w:space="0" w:color="auto"/>
            <w:bottom w:val="none" w:sz="0" w:space="0" w:color="auto"/>
            <w:right w:val="none" w:sz="0" w:space="0" w:color="auto"/>
          </w:divBdr>
        </w:div>
      </w:divsChild>
    </w:div>
    <w:div w:id="1910575916">
      <w:bodyDiv w:val="1"/>
      <w:marLeft w:val="0"/>
      <w:marRight w:val="0"/>
      <w:marTop w:val="0"/>
      <w:marBottom w:val="0"/>
      <w:divBdr>
        <w:top w:val="none" w:sz="0" w:space="0" w:color="auto"/>
        <w:left w:val="none" w:sz="0" w:space="0" w:color="auto"/>
        <w:bottom w:val="none" w:sz="0" w:space="0" w:color="auto"/>
        <w:right w:val="none" w:sz="0" w:space="0" w:color="auto"/>
      </w:divBdr>
      <w:divsChild>
        <w:div w:id="7010544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SKulkarni@cdc.gov" TargetMode="External"/><Relationship Id="rId13" Type="http://schemas.openxmlformats.org/officeDocument/2006/relationships/image" Target="media/image5.tiff"/><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51302-4D35-4061-97B5-EA038825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 Zervaki</dc:creator>
  <cp:keywords/>
  <dc:description/>
  <cp:lastModifiedBy>Zervaki, Orthodoxia (CDC/NIOSH/HELD/CBMB)</cp:lastModifiedBy>
  <cp:revision>12</cp:revision>
  <cp:lastPrinted>2022-12-20T23:18:00Z</cp:lastPrinted>
  <dcterms:created xsi:type="dcterms:W3CDTF">2024-07-31T15:05:00Z</dcterms:created>
  <dcterms:modified xsi:type="dcterms:W3CDTF">2024-08-08T14:42:00Z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http://www.zotero.org/styles/aerosol-science-and-technology</vt:lpwstr>
  </property>
  <property fmtid="{D5CDD505-2E9C-101B-9397-08002B2CF9AE}" pid="3" name="Mendeley Recent Style Name 0_1">
    <vt:lpwstr>Aerosol Science and Technology</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http://www.zotero.org/styles/environmental-science-and-technology</vt:lpwstr>
  </property>
  <property fmtid="{D5CDD505-2E9C-101B-9397-08002B2CF9AE}" pid="13" name="Mendeley Recent Style Name 5_1">
    <vt:lpwstr>Environmental Science &amp; Technology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http://www.zotero.org/styles/taylor-and-francis-chicago-b-author-date</vt:lpwstr>
  </property>
  <property fmtid="{D5CDD505-2E9C-101B-9397-08002B2CF9AE}" pid="19" name="Mendeley Recent Style Name 8_1">
    <vt:lpwstr>Taylor &amp; Francis - US Chicago Manual of Style B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d424ed3d-2e48-3df5-926a-a9a9e907b97b</vt:lpwstr>
  </property>
  <property fmtid="{D5CDD505-2E9C-101B-9397-08002B2CF9AE}" pid="24" name="Mendeley Citation Style_1">
    <vt:lpwstr>http://www.zotero.org/styles/aerosol-science-and-technology</vt:lpwstr>
  </property>
  <property fmtid="{D5CDD505-2E9C-101B-9397-08002B2CF9AE}" pid="25" name="MSIP_Label_7b94a7b8-f06c-4dfe-bdcc-9b548fd58c31_Enabled">
    <vt:lpwstr>true</vt:lpwstr>
  </property>
  <property fmtid="{D5CDD505-2E9C-101B-9397-08002B2CF9AE}" pid="26" name="MSIP_Label_7b94a7b8-f06c-4dfe-bdcc-9b548fd58c31_SetDate">
    <vt:lpwstr>2022-12-20T23:18:35Z</vt:lpwstr>
  </property>
  <property fmtid="{D5CDD505-2E9C-101B-9397-08002B2CF9AE}" pid="27" name="MSIP_Label_7b94a7b8-f06c-4dfe-bdcc-9b548fd58c31_Method">
    <vt:lpwstr>Privileged</vt:lpwstr>
  </property>
  <property fmtid="{D5CDD505-2E9C-101B-9397-08002B2CF9AE}" pid="28" name="MSIP_Label_7b94a7b8-f06c-4dfe-bdcc-9b548fd58c31_Name">
    <vt:lpwstr>7b94a7b8-f06c-4dfe-bdcc-9b548fd58c31</vt:lpwstr>
  </property>
  <property fmtid="{D5CDD505-2E9C-101B-9397-08002B2CF9AE}" pid="29" name="MSIP_Label_7b94a7b8-f06c-4dfe-bdcc-9b548fd58c31_SiteId">
    <vt:lpwstr>9ce70869-60db-44fd-abe8-d2767077fc8f</vt:lpwstr>
  </property>
  <property fmtid="{D5CDD505-2E9C-101B-9397-08002B2CF9AE}" pid="30" name="MSIP_Label_7b94a7b8-f06c-4dfe-bdcc-9b548fd58c31_ActionId">
    <vt:lpwstr>f64bca60-4ec9-4abb-9058-4fd93c2d9b04</vt:lpwstr>
  </property>
  <property fmtid="{D5CDD505-2E9C-101B-9397-08002B2CF9AE}" pid="31" name="MSIP_Label_7b94a7b8-f06c-4dfe-bdcc-9b548fd58c31_ContentBits">
    <vt:lpwstr>0</vt:lpwstr>
  </property>
</Properties>
</file>