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4A418" w14:textId="4776FF03" w:rsidR="00C3638A" w:rsidRPr="002D303A" w:rsidRDefault="00A02423" w:rsidP="00C3638A">
      <w:pPr>
        <w:pStyle w:val="MDPI13authornames"/>
        <w:jc w:val="center"/>
        <w:rPr>
          <w:rFonts w:ascii="Times New Roman" w:hAnsi="Times New Roman"/>
          <w:b w:val="0"/>
          <w:bCs/>
          <w:snapToGrid w:val="0"/>
          <w:sz w:val="22"/>
        </w:rPr>
      </w:pPr>
      <w:r>
        <w:rPr>
          <w:rFonts w:ascii="Times New Roman" w:hAnsi="Times New Roman"/>
          <w:b w:val="0"/>
          <w:bCs/>
          <w:snapToGrid w:val="0"/>
          <w:sz w:val="22"/>
        </w:rPr>
        <w:t>Supporting Information for Review</w:t>
      </w:r>
    </w:p>
    <w:p w14:paraId="53FE0F2B" w14:textId="680E8BE2" w:rsidR="00C3638A" w:rsidRPr="00B55E50" w:rsidRDefault="00D8251E" w:rsidP="002D303A">
      <w:pPr>
        <w:pStyle w:val="MDPI13authornames"/>
        <w:jc w:val="center"/>
        <w:rPr>
          <w:rFonts w:ascii="Times New Roman" w:hAnsi="Times New Roman"/>
          <w:snapToGrid w:val="0"/>
          <w:sz w:val="22"/>
        </w:rPr>
      </w:pPr>
      <w:r>
        <w:rPr>
          <w:rFonts w:ascii="Times New Roman" w:hAnsi="Times New Roman"/>
          <w:snapToGrid w:val="0"/>
          <w:sz w:val="22"/>
        </w:rPr>
        <w:t>P</w:t>
      </w:r>
      <w:r w:rsidR="000A27EE" w:rsidRPr="00B55E50">
        <w:rPr>
          <w:rFonts w:ascii="Times New Roman" w:hAnsi="Times New Roman"/>
          <w:snapToGrid w:val="0"/>
          <w:sz w:val="22"/>
        </w:rPr>
        <w:t xml:space="preserve">reparing the </w:t>
      </w:r>
      <w:r w:rsidR="001C685D" w:rsidRPr="00B55E50">
        <w:rPr>
          <w:rFonts w:ascii="Times New Roman" w:hAnsi="Times New Roman"/>
          <w:snapToGrid w:val="0"/>
          <w:sz w:val="22"/>
        </w:rPr>
        <w:t>Occupational Safety and Health</w:t>
      </w:r>
      <w:r w:rsidR="000A27EE" w:rsidRPr="00B55E50">
        <w:rPr>
          <w:rFonts w:ascii="Times New Roman" w:hAnsi="Times New Roman"/>
          <w:snapToGrid w:val="0"/>
          <w:sz w:val="22"/>
        </w:rPr>
        <w:t xml:space="preserve"> Workforce for Future Disruptions</w:t>
      </w:r>
    </w:p>
    <w:p w14:paraId="528B0436" w14:textId="7A9743DD" w:rsidR="00A02423" w:rsidRPr="006D65E2" w:rsidRDefault="00A02423" w:rsidP="00A02423">
      <w:pPr>
        <w:pStyle w:val="MDPI62BackMatter"/>
        <w:spacing w:after="0"/>
        <w:ind w:left="0"/>
        <w:rPr>
          <w:rFonts w:ascii="Times New Roman" w:eastAsiaTheme="minorEastAsia" w:hAnsi="Times New Roman"/>
          <w:sz w:val="24"/>
          <w:szCs w:val="24"/>
        </w:rPr>
      </w:pPr>
      <w:r w:rsidRPr="006D65E2">
        <w:rPr>
          <w:rFonts w:ascii="Times New Roman" w:hAnsi="Times New Roman"/>
          <w:b/>
          <w:bCs/>
          <w:sz w:val="24"/>
          <w:szCs w:val="24"/>
        </w:rPr>
        <w:t xml:space="preserve">Appendix A. NIOSH </w:t>
      </w:r>
      <w:r>
        <w:rPr>
          <w:rFonts w:ascii="Times New Roman" w:hAnsi="Times New Roman"/>
          <w:b/>
          <w:bCs/>
          <w:sz w:val="24"/>
          <w:szCs w:val="24"/>
        </w:rPr>
        <w:t>SDFP</w:t>
      </w:r>
      <w:r w:rsidRPr="006D65E2">
        <w:rPr>
          <w:rFonts w:ascii="Times New Roman" w:hAnsi="Times New Roman"/>
          <w:b/>
          <w:bCs/>
          <w:sz w:val="24"/>
          <w:szCs w:val="24"/>
        </w:rPr>
        <w:t xml:space="preserve"> Participants: </w:t>
      </w:r>
      <w:r w:rsidRPr="006D65E2">
        <w:rPr>
          <w:rFonts w:ascii="Times New Roman" w:eastAsiaTheme="minorEastAsia" w:hAnsi="Times New Roman"/>
          <w:sz w:val="24"/>
          <w:szCs w:val="24"/>
        </w:rPr>
        <w:t>The strategic foresight project (</w:t>
      </w:r>
      <w:r>
        <w:rPr>
          <w:rFonts w:ascii="Times New Roman" w:eastAsiaTheme="minorEastAsia" w:hAnsi="Times New Roman"/>
          <w:sz w:val="24"/>
          <w:szCs w:val="24"/>
        </w:rPr>
        <w:t>SDFP</w:t>
      </w:r>
      <w:r w:rsidRPr="006D65E2">
        <w:rPr>
          <w:rFonts w:ascii="Times New Roman" w:eastAsiaTheme="minorEastAsia" w:hAnsi="Times New Roman"/>
          <w:sz w:val="24"/>
          <w:szCs w:val="24"/>
        </w:rPr>
        <w:t>) described in this paper was completed by the following team of volunteers from the U.S. National Institute for Occupational Safety and Health (NIOSH) and the University of Houston Foresight Graduate Program:</w:t>
      </w:r>
    </w:p>
    <w:p w14:paraId="3A2D73D8" w14:textId="77777777" w:rsidR="00A02423" w:rsidRPr="006D65E2" w:rsidRDefault="00A02423" w:rsidP="00A02423">
      <w:pPr>
        <w:pStyle w:val="MDPI62BackMatter"/>
        <w:spacing w:after="0"/>
        <w:ind w:left="0"/>
        <w:rPr>
          <w:rFonts w:ascii="Times New Roman" w:eastAsiaTheme="minorEastAsia" w:hAnsi="Times New Roman"/>
          <w:sz w:val="24"/>
          <w:szCs w:val="24"/>
          <w:u w:val="single"/>
        </w:rPr>
      </w:pPr>
    </w:p>
    <w:p w14:paraId="7CC1F257" w14:textId="77777777" w:rsidR="00A02423" w:rsidRPr="006D65E2" w:rsidRDefault="00A02423" w:rsidP="00A02423">
      <w:pPr>
        <w:pStyle w:val="MDPI62BackMatter"/>
        <w:spacing w:after="0"/>
        <w:ind w:left="0"/>
        <w:rPr>
          <w:rFonts w:ascii="Times New Roman" w:eastAsiaTheme="minorEastAsia" w:hAnsi="Times New Roman"/>
          <w:sz w:val="24"/>
          <w:szCs w:val="24"/>
          <w:u w:val="single"/>
        </w:rPr>
      </w:pPr>
      <w:r w:rsidRPr="006D65E2">
        <w:rPr>
          <w:rFonts w:ascii="Times New Roman" w:eastAsiaTheme="minorEastAsia" w:hAnsi="Times New Roman"/>
          <w:sz w:val="24"/>
          <w:szCs w:val="24"/>
          <w:u w:val="single"/>
        </w:rPr>
        <w:t>NIOSH Team Members</w:t>
      </w:r>
    </w:p>
    <w:p w14:paraId="377B01BF" w14:textId="77777777" w:rsidR="00A02423" w:rsidRPr="006D65E2" w:rsidRDefault="00A02423" w:rsidP="00A02423">
      <w:pPr>
        <w:pStyle w:val="MDPI62BackMatter"/>
        <w:spacing w:after="0"/>
        <w:ind w:left="0"/>
        <w:rPr>
          <w:rFonts w:ascii="Times New Roman" w:eastAsiaTheme="minorEastAsia" w:hAnsi="Times New Roman"/>
          <w:sz w:val="24"/>
          <w:szCs w:val="24"/>
          <w:vertAlign w:val="superscript"/>
        </w:rPr>
      </w:pPr>
      <w:r w:rsidRPr="006D65E2">
        <w:rPr>
          <w:rFonts w:ascii="Times New Roman" w:eastAsiaTheme="minorEastAsia" w:hAnsi="Times New Roman"/>
          <w:sz w:val="24"/>
          <w:szCs w:val="24"/>
        </w:rPr>
        <w:t>David Caruso, Western States Division</w:t>
      </w:r>
    </w:p>
    <w:p w14:paraId="04FEC5E5" w14:textId="77777777" w:rsidR="00A02423" w:rsidRPr="006D65E2" w:rsidRDefault="00A02423" w:rsidP="00A02423">
      <w:pPr>
        <w:pStyle w:val="MDPI62BackMatter"/>
        <w:spacing w:after="0"/>
        <w:ind w:left="0"/>
        <w:rPr>
          <w:rFonts w:ascii="Times New Roman" w:eastAsiaTheme="minorEastAsia" w:hAnsi="Times New Roman"/>
          <w:sz w:val="24"/>
          <w:szCs w:val="24"/>
          <w:vertAlign w:val="superscript"/>
        </w:rPr>
      </w:pPr>
      <w:r w:rsidRPr="006D65E2">
        <w:rPr>
          <w:rFonts w:ascii="Times New Roman" w:eastAsiaTheme="minorEastAsia" w:hAnsi="Times New Roman"/>
          <w:sz w:val="24"/>
          <w:szCs w:val="24"/>
        </w:rPr>
        <w:t>Nicole Edwards, Office of Research Integration</w:t>
      </w:r>
    </w:p>
    <w:p w14:paraId="3CFA9CF0" w14:textId="77777777" w:rsidR="00A02423" w:rsidRPr="006D65E2" w:rsidRDefault="00A02423" w:rsidP="00A02423">
      <w:pPr>
        <w:pStyle w:val="MDPI62BackMatter"/>
        <w:spacing w:after="0"/>
        <w:ind w:left="0"/>
        <w:rPr>
          <w:rFonts w:ascii="Times New Roman" w:eastAsiaTheme="minorEastAsia" w:hAnsi="Times New Roman"/>
          <w:sz w:val="24"/>
          <w:szCs w:val="24"/>
          <w:vertAlign w:val="superscript"/>
        </w:rPr>
      </w:pPr>
      <w:r w:rsidRPr="006D65E2">
        <w:rPr>
          <w:rFonts w:ascii="Times New Roman" w:eastAsiaTheme="minorEastAsia" w:hAnsi="Times New Roman"/>
          <w:sz w:val="24"/>
          <w:szCs w:val="24"/>
        </w:rPr>
        <w:t>Sarah Felknor, Office of Research Integration</w:t>
      </w:r>
      <w:r w:rsidRPr="006D65E2">
        <w:rPr>
          <w:rFonts w:ascii="Times New Roman" w:eastAsiaTheme="minorEastAsia" w:hAnsi="Times New Roman"/>
          <w:sz w:val="24"/>
          <w:szCs w:val="24"/>
          <w:vertAlign w:val="superscript"/>
        </w:rPr>
        <w:t>1</w:t>
      </w:r>
    </w:p>
    <w:p w14:paraId="7563663F" w14:textId="77777777" w:rsidR="00A02423" w:rsidRPr="006D65E2" w:rsidRDefault="00A02423" w:rsidP="00A02423">
      <w:pPr>
        <w:pStyle w:val="MDPI62BackMatter"/>
        <w:spacing w:after="0"/>
        <w:ind w:left="0"/>
        <w:rPr>
          <w:rFonts w:ascii="Times New Roman" w:eastAsiaTheme="minorEastAsia" w:hAnsi="Times New Roman"/>
          <w:sz w:val="24"/>
          <w:szCs w:val="24"/>
          <w:vertAlign w:val="superscript"/>
        </w:rPr>
      </w:pPr>
      <w:r w:rsidRPr="006D65E2">
        <w:rPr>
          <w:rFonts w:ascii="Times New Roman" w:eastAsiaTheme="minorEastAsia" w:hAnsi="Times New Roman"/>
          <w:sz w:val="24"/>
          <w:szCs w:val="24"/>
        </w:rPr>
        <w:t>Dave Fosbroke, Division of Safety Research</w:t>
      </w:r>
    </w:p>
    <w:p w14:paraId="01566E89" w14:textId="77777777" w:rsidR="00A02423" w:rsidRPr="006D65E2" w:rsidRDefault="00A02423" w:rsidP="00A02423">
      <w:pPr>
        <w:pStyle w:val="MDPI62BackMatter"/>
        <w:spacing w:after="0"/>
        <w:ind w:left="0"/>
        <w:rPr>
          <w:rFonts w:ascii="Times New Roman" w:eastAsiaTheme="minorEastAsia" w:hAnsi="Times New Roman"/>
          <w:sz w:val="24"/>
          <w:szCs w:val="24"/>
          <w:vertAlign w:val="superscript"/>
        </w:rPr>
      </w:pPr>
      <w:r w:rsidRPr="006D65E2">
        <w:rPr>
          <w:rFonts w:ascii="Times New Roman" w:eastAsiaTheme="minorEastAsia" w:hAnsi="Times New Roman"/>
          <w:sz w:val="24"/>
          <w:szCs w:val="24"/>
        </w:rPr>
        <w:t>Kandyce Reeves, Office of the Director</w:t>
      </w:r>
      <w:r w:rsidRPr="006D65E2">
        <w:rPr>
          <w:rFonts w:ascii="Times New Roman" w:eastAsiaTheme="minorEastAsia" w:hAnsi="Times New Roman"/>
          <w:sz w:val="24"/>
          <w:szCs w:val="24"/>
          <w:vertAlign w:val="superscript"/>
        </w:rPr>
        <w:t>2</w:t>
      </w:r>
    </w:p>
    <w:p w14:paraId="6BDB23C1" w14:textId="77777777" w:rsidR="00A02423" w:rsidRPr="006D65E2" w:rsidRDefault="00A02423" w:rsidP="00A02423">
      <w:pPr>
        <w:pStyle w:val="MDPI62BackMatter"/>
        <w:spacing w:after="0"/>
        <w:ind w:left="0"/>
        <w:rPr>
          <w:rFonts w:ascii="Times New Roman" w:eastAsiaTheme="minorEastAsia" w:hAnsi="Times New Roman"/>
          <w:sz w:val="24"/>
          <w:szCs w:val="24"/>
          <w:vertAlign w:val="superscript"/>
        </w:rPr>
      </w:pPr>
      <w:r w:rsidRPr="006D65E2">
        <w:rPr>
          <w:rFonts w:ascii="Times New Roman" w:eastAsiaTheme="minorEastAsia" w:hAnsi="Times New Roman"/>
          <w:sz w:val="24"/>
          <w:szCs w:val="24"/>
        </w:rPr>
        <w:t>Gary Roth, Division of Science Integration</w:t>
      </w:r>
      <w:r w:rsidRPr="006D65E2">
        <w:rPr>
          <w:rFonts w:ascii="Times New Roman" w:eastAsiaTheme="minorEastAsia" w:hAnsi="Times New Roman"/>
          <w:sz w:val="24"/>
          <w:szCs w:val="24"/>
          <w:vertAlign w:val="superscript"/>
        </w:rPr>
        <w:t>2</w:t>
      </w:r>
    </w:p>
    <w:p w14:paraId="50F7A6D6" w14:textId="77777777" w:rsidR="00A02423" w:rsidRPr="006D65E2" w:rsidRDefault="00A02423" w:rsidP="00A02423">
      <w:pPr>
        <w:pStyle w:val="MDPI62BackMatter"/>
        <w:spacing w:after="0"/>
        <w:ind w:left="0"/>
        <w:rPr>
          <w:rFonts w:ascii="Times New Roman" w:eastAsiaTheme="minorEastAsia" w:hAnsi="Times New Roman"/>
          <w:sz w:val="24"/>
          <w:szCs w:val="24"/>
          <w:vertAlign w:val="superscript"/>
        </w:rPr>
      </w:pPr>
      <w:r w:rsidRPr="006D65E2">
        <w:rPr>
          <w:rFonts w:ascii="Times New Roman" w:eastAsiaTheme="minorEastAsia" w:hAnsi="Times New Roman"/>
          <w:sz w:val="24"/>
          <w:szCs w:val="24"/>
        </w:rPr>
        <w:t>Jessica Streit, Office of Research Integration</w:t>
      </w:r>
      <w:r w:rsidRPr="006D65E2">
        <w:rPr>
          <w:rFonts w:ascii="Times New Roman" w:eastAsiaTheme="minorEastAsia" w:hAnsi="Times New Roman"/>
          <w:sz w:val="24"/>
          <w:szCs w:val="24"/>
          <w:vertAlign w:val="superscript"/>
        </w:rPr>
        <w:t>1,2</w:t>
      </w:r>
    </w:p>
    <w:p w14:paraId="47C8518F" w14:textId="77777777" w:rsidR="00A02423" w:rsidRPr="006D65E2" w:rsidRDefault="00A02423" w:rsidP="00A02423">
      <w:pPr>
        <w:pStyle w:val="MDPI62BackMatter"/>
        <w:spacing w:before="120" w:after="0"/>
        <w:ind w:left="0"/>
        <w:rPr>
          <w:rFonts w:ascii="Times New Roman" w:hAnsi="Times New Roman"/>
          <w:color w:val="auto"/>
          <w:sz w:val="24"/>
          <w:szCs w:val="24"/>
          <w:u w:val="single"/>
        </w:rPr>
      </w:pPr>
      <w:r w:rsidRPr="006D65E2">
        <w:rPr>
          <w:rFonts w:ascii="Times New Roman" w:hAnsi="Times New Roman"/>
          <w:color w:val="auto"/>
          <w:sz w:val="24"/>
          <w:szCs w:val="24"/>
          <w:u w:val="single"/>
        </w:rPr>
        <w:t>University of Houston Team Members</w:t>
      </w:r>
    </w:p>
    <w:p w14:paraId="6AEDB16A" w14:textId="77777777" w:rsidR="00A02423" w:rsidRPr="006D65E2" w:rsidRDefault="00A02423" w:rsidP="00A02423">
      <w:pPr>
        <w:pStyle w:val="MDPI62BackMatter"/>
        <w:spacing w:after="0"/>
        <w:ind w:left="0"/>
        <w:rPr>
          <w:rFonts w:ascii="Times New Roman" w:hAnsi="Times New Roman"/>
          <w:color w:val="auto"/>
          <w:sz w:val="24"/>
          <w:szCs w:val="24"/>
        </w:rPr>
      </w:pPr>
      <w:r w:rsidRPr="006D65E2">
        <w:rPr>
          <w:rFonts w:ascii="Times New Roman" w:hAnsi="Times New Roman"/>
          <w:color w:val="auto"/>
          <w:sz w:val="24"/>
          <w:szCs w:val="24"/>
        </w:rPr>
        <w:t>Andy Hines, Foresight Program Coordinator and Executive-in-Residence</w:t>
      </w:r>
    </w:p>
    <w:p w14:paraId="3BBC20E0" w14:textId="77777777" w:rsidR="00A02423" w:rsidRPr="006D65E2" w:rsidRDefault="00A02423" w:rsidP="00A02423">
      <w:pPr>
        <w:pStyle w:val="MDPI62BackMatter"/>
        <w:spacing w:after="0"/>
        <w:ind w:left="0"/>
        <w:rPr>
          <w:rFonts w:ascii="Times New Roman" w:hAnsi="Times New Roman"/>
          <w:color w:val="auto"/>
          <w:sz w:val="24"/>
          <w:szCs w:val="24"/>
        </w:rPr>
      </w:pPr>
      <w:r w:rsidRPr="006D65E2">
        <w:rPr>
          <w:rFonts w:ascii="Times New Roman" w:hAnsi="Times New Roman"/>
          <w:color w:val="auto"/>
          <w:sz w:val="24"/>
          <w:szCs w:val="24"/>
        </w:rPr>
        <w:t>Ashley Chiarelli, Foresight Program</w:t>
      </w:r>
    </w:p>
    <w:p w14:paraId="3B460479" w14:textId="77777777" w:rsidR="00A02423" w:rsidRPr="006D65E2" w:rsidRDefault="00A02423" w:rsidP="00A02423">
      <w:pPr>
        <w:pStyle w:val="MDPI62BackMatter"/>
        <w:spacing w:after="0"/>
        <w:ind w:left="0"/>
        <w:rPr>
          <w:rFonts w:ascii="Times New Roman" w:hAnsi="Times New Roman"/>
          <w:color w:val="auto"/>
          <w:sz w:val="24"/>
          <w:szCs w:val="24"/>
        </w:rPr>
      </w:pPr>
      <w:r w:rsidRPr="006D65E2">
        <w:rPr>
          <w:rFonts w:ascii="Times New Roman" w:hAnsi="Times New Roman"/>
          <w:color w:val="auto"/>
          <w:sz w:val="24"/>
          <w:szCs w:val="24"/>
        </w:rPr>
        <w:t>Michael Spink, Foresight Program</w:t>
      </w:r>
    </w:p>
    <w:p w14:paraId="08265A4C" w14:textId="77777777" w:rsidR="00A02423" w:rsidRPr="006D65E2" w:rsidRDefault="00A02423" w:rsidP="00A02423">
      <w:pPr>
        <w:pStyle w:val="MDPI62BackMatter"/>
        <w:spacing w:after="0"/>
        <w:ind w:left="0"/>
        <w:rPr>
          <w:rFonts w:ascii="Times New Roman" w:eastAsiaTheme="minorEastAsia" w:hAnsi="Times New Roman"/>
          <w:sz w:val="24"/>
          <w:szCs w:val="24"/>
        </w:rPr>
      </w:pPr>
      <w:r w:rsidRPr="006D65E2">
        <w:rPr>
          <w:rFonts w:ascii="Times New Roman" w:eastAsiaTheme="minorEastAsia" w:hAnsi="Times New Roman"/>
          <w:sz w:val="24"/>
          <w:szCs w:val="24"/>
        </w:rPr>
        <w:t>Stephen DuPont, Foresight Program</w:t>
      </w:r>
      <w:r w:rsidRPr="006D65E2">
        <w:rPr>
          <w:rFonts w:ascii="Times New Roman" w:eastAsiaTheme="minorEastAsia" w:hAnsi="Times New Roman"/>
          <w:sz w:val="24"/>
          <w:szCs w:val="24"/>
          <w:vertAlign w:val="superscript"/>
        </w:rPr>
        <w:t xml:space="preserve"> 3</w:t>
      </w:r>
    </w:p>
    <w:p w14:paraId="4262BBE6" w14:textId="77777777" w:rsidR="00A02423" w:rsidRPr="006D65E2" w:rsidRDefault="00A02423" w:rsidP="00A02423">
      <w:pPr>
        <w:pStyle w:val="MDPI62BackMatter"/>
        <w:spacing w:after="0"/>
        <w:ind w:left="0"/>
        <w:rPr>
          <w:rFonts w:ascii="Times New Roman" w:eastAsiaTheme="minorEastAsia" w:hAnsi="Times New Roman"/>
          <w:sz w:val="24"/>
          <w:szCs w:val="24"/>
        </w:rPr>
      </w:pPr>
      <w:r w:rsidRPr="006D65E2">
        <w:rPr>
          <w:rFonts w:ascii="Times New Roman" w:eastAsiaTheme="minorEastAsia" w:hAnsi="Times New Roman"/>
          <w:sz w:val="24"/>
          <w:szCs w:val="24"/>
        </w:rPr>
        <w:t>James Murray, Foresight Program</w:t>
      </w:r>
      <w:r w:rsidRPr="006D65E2">
        <w:rPr>
          <w:rFonts w:ascii="Times New Roman" w:eastAsiaTheme="minorEastAsia" w:hAnsi="Times New Roman"/>
          <w:sz w:val="24"/>
          <w:szCs w:val="24"/>
          <w:vertAlign w:val="superscript"/>
        </w:rPr>
        <w:t xml:space="preserve"> 3</w:t>
      </w:r>
    </w:p>
    <w:p w14:paraId="60CF396C" w14:textId="77777777" w:rsidR="00A02423" w:rsidRPr="006D65E2" w:rsidRDefault="00A02423" w:rsidP="00A02423">
      <w:pPr>
        <w:pStyle w:val="MDPI62BackMatter"/>
        <w:spacing w:after="0"/>
        <w:ind w:left="0"/>
        <w:rPr>
          <w:rFonts w:ascii="Times New Roman" w:hAnsi="Times New Roman"/>
          <w:color w:val="auto"/>
          <w:sz w:val="24"/>
          <w:szCs w:val="24"/>
        </w:rPr>
      </w:pPr>
    </w:p>
    <w:p w14:paraId="08DAE065" w14:textId="77777777" w:rsidR="00A02423" w:rsidRPr="006D65E2" w:rsidRDefault="00A02423" w:rsidP="00A02423">
      <w:pPr>
        <w:pStyle w:val="MDPI62BackMatter"/>
        <w:spacing w:before="120" w:after="0"/>
        <w:ind w:left="0"/>
        <w:rPr>
          <w:rFonts w:ascii="Times New Roman" w:eastAsiaTheme="minorEastAsia" w:hAnsi="Times New Roman"/>
          <w:sz w:val="24"/>
          <w:szCs w:val="24"/>
        </w:rPr>
      </w:pPr>
      <w:r w:rsidRPr="006D65E2">
        <w:rPr>
          <w:rFonts w:ascii="Times New Roman" w:eastAsiaTheme="minorEastAsia" w:hAnsi="Times New Roman"/>
          <w:sz w:val="24"/>
          <w:szCs w:val="24"/>
        </w:rPr>
        <w:t>We also acknowledge the contributions of the following individuals</w:t>
      </w:r>
      <w:r>
        <w:rPr>
          <w:rFonts w:ascii="Times New Roman" w:eastAsiaTheme="minorEastAsia" w:hAnsi="Times New Roman"/>
          <w:sz w:val="24"/>
          <w:szCs w:val="24"/>
        </w:rPr>
        <w:t xml:space="preserve"> from NIOSH</w:t>
      </w:r>
      <w:r w:rsidRPr="006D65E2">
        <w:rPr>
          <w:rFonts w:ascii="Times New Roman" w:eastAsiaTheme="minorEastAsia" w:hAnsi="Times New Roman"/>
          <w:sz w:val="24"/>
          <w:szCs w:val="24"/>
        </w:rPr>
        <w:t xml:space="preserve">, who participated in the key informant interviews and subject matter expert workshops for </w:t>
      </w:r>
      <w:r>
        <w:rPr>
          <w:rFonts w:ascii="Times New Roman" w:eastAsiaTheme="minorEastAsia" w:hAnsi="Times New Roman"/>
          <w:sz w:val="24"/>
          <w:szCs w:val="24"/>
        </w:rPr>
        <w:t>SDFP</w:t>
      </w:r>
      <w:r w:rsidRPr="006D65E2">
        <w:rPr>
          <w:rFonts w:ascii="Times New Roman" w:eastAsiaTheme="minorEastAsia" w:hAnsi="Times New Roman"/>
          <w:sz w:val="24"/>
          <w:szCs w:val="24"/>
        </w:rPr>
        <w:t>:</w:t>
      </w:r>
    </w:p>
    <w:p w14:paraId="4FDF3558" w14:textId="77777777" w:rsidR="00A02423" w:rsidRPr="006D65E2" w:rsidRDefault="00A02423" w:rsidP="00A02423">
      <w:pPr>
        <w:pStyle w:val="MDPI62BackMatter"/>
        <w:spacing w:after="0"/>
        <w:ind w:left="0"/>
        <w:rPr>
          <w:rFonts w:ascii="Times New Roman" w:eastAsiaTheme="minorEastAsia" w:hAnsi="Times New Roman"/>
          <w:sz w:val="24"/>
          <w:szCs w:val="24"/>
        </w:rPr>
      </w:pPr>
      <w:r w:rsidRPr="006D65E2">
        <w:rPr>
          <w:rFonts w:ascii="Times New Roman" w:eastAsiaTheme="minorEastAsia" w:hAnsi="Times New Roman"/>
          <w:sz w:val="24"/>
          <w:szCs w:val="24"/>
        </w:rPr>
        <w:t>Margaret Banton, NIOSH Human Capital Management Office</w:t>
      </w:r>
    </w:p>
    <w:p w14:paraId="410E42B7" w14:textId="77777777" w:rsidR="00A02423" w:rsidRPr="006D65E2" w:rsidRDefault="00A02423" w:rsidP="00A02423">
      <w:pPr>
        <w:pStyle w:val="MDPI62BackMatter"/>
        <w:spacing w:after="0"/>
        <w:ind w:left="0"/>
        <w:rPr>
          <w:rFonts w:ascii="Times New Roman" w:eastAsiaTheme="minorEastAsia" w:hAnsi="Times New Roman"/>
          <w:sz w:val="24"/>
          <w:szCs w:val="24"/>
        </w:rPr>
      </w:pPr>
      <w:r w:rsidRPr="006D65E2">
        <w:rPr>
          <w:rFonts w:ascii="Times New Roman" w:eastAsiaTheme="minorEastAsia" w:hAnsi="Times New Roman"/>
          <w:sz w:val="24"/>
          <w:szCs w:val="24"/>
        </w:rPr>
        <w:t>Dawn Castillo, NIOSH Division of Safety Research</w:t>
      </w:r>
    </w:p>
    <w:p w14:paraId="5B2246D6" w14:textId="77777777" w:rsidR="00A02423" w:rsidRPr="006D65E2" w:rsidRDefault="00A02423" w:rsidP="00A02423">
      <w:pPr>
        <w:pStyle w:val="MDPI62BackMatter"/>
        <w:spacing w:after="0"/>
        <w:ind w:left="0"/>
        <w:rPr>
          <w:rFonts w:ascii="Times New Roman" w:eastAsiaTheme="minorEastAsia" w:hAnsi="Times New Roman"/>
          <w:sz w:val="24"/>
          <w:szCs w:val="24"/>
        </w:rPr>
      </w:pPr>
      <w:r w:rsidRPr="006D65E2">
        <w:rPr>
          <w:rFonts w:ascii="Times New Roman" w:eastAsiaTheme="minorEastAsia" w:hAnsi="Times New Roman"/>
          <w:sz w:val="24"/>
          <w:szCs w:val="24"/>
        </w:rPr>
        <w:t>Lisa Delaney, NIOSH Emergency Preparedness and Response Office</w:t>
      </w:r>
    </w:p>
    <w:p w14:paraId="4D047036" w14:textId="77777777" w:rsidR="00A02423" w:rsidRPr="006D65E2" w:rsidRDefault="00A02423" w:rsidP="00A02423">
      <w:pPr>
        <w:pStyle w:val="MDPI62BackMatter"/>
        <w:spacing w:after="0"/>
        <w:ind w:left="0"/>
        <w:rPr>
          <w:rFonts w:ascii="Times New Roman" w:eastAsiaTheme="minorEastAsia" w:hAnsi="Times New Roman"/>
          <w:sz w:val="24"/>
          <w:szCs w:val="24"/>
        </w:rPr>
      </w:pPr>
      <w:r w:rsidRPr="006D65E2">
        <w:rPr>
          <w:rFonts w:ascii="Times New Roman" w:eastAsiaTheme="minorEastAsia" w:hAnsi="Times New Roman"/>
          <w:sz w:val="24"/>
          <w:szCs w:val="24"/>
        </w:rPr>
        <w:t>Frank Hearl, NIOSH Chief of Staff</w:t>
      </w:r>
      <w:r w:rsidRPr="006D65E2">
        <w:rPr>
          <w:rFonts w:ascii="Times New Roman" w:eastAsiaTheme="minorEastAsia" w:hAnsi="Times New Roman"/>
          <w:sz w:val="24"/>
          <w:szCs w:val="24"/>
          <w:vertAlign w:val="superscript"/>
        </w:rPr>
        <w:t xml:space="preserve"> 4</w:t>
      </w:r>
    </w:p>
    <w:p w14:paraId="3E5193BF" w14:textId="77777777" w:rsidR="00A02423" w:rsidRPr="006D65E2" w:rsidRDefault="00A02423" w:rsidP="00A02423">
      <w:pPr>
        <w:pStyle w:val="MDPI62BackMatter"/>
        <w:spacing w:after="0"/>
        <w:ind w:left="0"/>
        <w:rPr>
          <w:rFonts w:ascii="Times New Roman" w:eastAsiaTheme="minorEastAsia" w:hAnsi="Times New Roman"/>
          <w:sz w:val="24"/>
          <w:szCs w:val="24"/>
        </w:rPr>
      </w:pPr>
      <w:r w:rsidRPr="006D65E2">
        <w:rPr>
          <w:rFonts w:ascii="Times New Roman" w:eastAsiaTheme="minorEastAsia" w:hAnsi="Times New Roman"/>
          <w:sz w:val="24"/>
          <w:szCs w:val="24"/>
        </w:rPr>
        <w:t>Ryan Hill, NIOSH Western States Division</w:t>
      </w:r>
    </w:p>
    <w:p w14:paraId="5A9DCED7" w14:textId="77777777" w:rsidR="00A02423" w:rsidRPr="006D65E2" w:rsidRDefault="00A02423" w:rsidP="00A02423">
      <w:pPr>
        <w:pStyle w:val="MDPI62BackMatter"/>
        <w:spacing w:after="0"/>
        <w:ind w:left="0"/>
        <w:rPr>
          <w:rFonts w:ascii="Times New Roman" w:eastAsiaTheme="minorEastAsia" w:hAnsi="Times New Roman"/>
          <w:sz w:val="24"/>
          <w:szCs w:val="24"/>
        </w:rPr>
      </w:pPr>
      <w:r w:rsidRPr="006D65E2">
        <w:rPr>
          <w:rFonts w:ascii="Times New Roman" w:eastAsiaTheme="minorEastAsia" w:hAnsi="Times New Roman"/>
          <w:sz w:val="24"/>
          <w:szCs w:val="24"/>
        </w:rPr>
        <w:t>Douglas Johns, NIOSH Spokane Mining Research Division</w:t>
      </w:r>
      <w:r w:rsidRPr="006D65E2">
        <w:rPr>
          <w:rFonts w:ascii="Times New Roman" w:eastAsiaTheme="minorEastAsia" w:hAnsi="Times New Roman"/>
          <w:sz w:val="24"/>
          <w:szCs w:val="24"/>
        </w:rPr>
        <w:tab/>
      </w:r>
    </w:p>
    <w:p w14:paraId="731500BE" w14:textId="77777777" w:rsidR="00A02423" w:rsidRPr="006D65E2" w:rsidRDefault="00A02423" w:rsidP="00A02423">
      <w:pPr>
        <w:pStyle w:val="MDPI62BackMatter"/>
        <w:spacing w:after="0"/>
        <w:ind w:left="0"/>
        <w:rPr>
          <w:rFonts w:ascii="Times New Roman" w:eastAsiaTheme="minorEastAsia" w:hAnsi="Times New Roman"/>
          <w:sz w:val="24"/>
          <w:szCs w:val="24"/>
        </w:rPr>
      </w:pPr>
      <w:r w:rsidRPr="006D65E2">
        <w:rPr>
          <w:rFonts w:ascii="Times New Roman" w:eastAsiaTheme="minorEastAsia" w:hAnsi="Times New Roman"/>
          <w:sz w:val="24"/>
          <w:szCs w:val="24"/>
        </w:rPr>
        <w:t>T.J. Lentz, NIOSH Division of Science Integration</w:t>
      </w:r>
    </w:p>
    <w:p w14:paraId="07CA75C8" w14:textId="77777777" w:rsidR="00A02423" w:rsidRPr="006D65E2" w:rsidRDefault="00A02423" w:rsidP="00A02423">
      <w:pPr>
        <w:pStyle w:val="MDPI62BackMatter"/>
        <w:spacing w:after="0"/>
        <w:ind w:left="0"/>
        <w:rPr>
          <w:rFonts w:ascii="Times New Roman" w:eastAsiaTheme="minorEastAsia" w:hAnsi="Times New Roman"/>
          <w:sz w:val="24"/>
          <w:szCs w:val="24"/>
        </w:rPr>
      </w:pPr>
      <w:r w:rsidRPr="006D65E2">
        <w:rPr>
          <w:rFonts w:ascii="Times New Roman" w:eastAsiaTheme="minorEastAsia" w:hAnsi="Times New Roman"/>
          <w:sz w:val="24"/>
          <w:szCs w:val="24"/>
        </w:rPr>
        <w:t>Rene Pana-</w:t>
      </w:r>
      <w:proofErr w:type="spellStart"/>
      <w:r w:rsidRPr="006D65E2">
        <w:rPr>
          <w:rFonts w:ascii="Times New Roman" w:eastAsiaTheme="minorEastAsia" w:hAnsi="Times New Roman"/>
          <w:sz w:val="24"/>
          <w:szCs w:val="24"/>
        </w:rPr>
        <w:t>Cryan</w:t>
      </w:r>
      <w:proofErr w:type="spellEnd"/>
      <w:r w:rsidRPr="006D65E2">
        <w:rPr>
          <w:rFonts w:ascii="Times New Roman" w:eastAsiaTheme="minorEastAsia" w:hAnsi="Times New Roman"/>
          <w:sz w:val="24"/>
          <w:szCs w:val="24"/>
        </w:rPr>
        <w:t>, NIOSH Economics Research and Support Office</w:t>
      </w:r>
    </w:p>
    <w:p w14:paraId="7D153DC3" w14:textId="77777777" w:rsidR="00A02423" w:rsidRPr="006D65E2" w:rsidRDefault="00A02423" w:rsidP="00A02423">
      <w:pPr>
        <w:pStyle w:val="MDPI62BackMatter"/>
        <w:spacing w:after="0"/>
        <w:ind w:left="0"/>
        <w:rPr>
          <w:rFonts w:ascii="Times New Roman" w:eastAsiaTheme="minorEastAsia" w:hAnsi="Times New Roman"/>
          <w:sz w:val="24"/>
          <w:szCs w:val="24"/>
        </w:rPr>
      </w:pPr>
      <w:r w:rsidRPr="006D65E2">
        <w:rPr>
          <w:rFonts w:ascii="Times New Roman" w:eastAsiaTheme="minorEastAsia" w:hAnsi="Times New Roman"/>
          <w:sz w:val="24"/>
          <w:szCs w:val="24"/>
        </w:rPr>
        <w:t>Sudha Pandalai, NIOSH Division of Science Integration</w:t>
      </w:r>
    </w:p>
    <w:p w14:paraId="32EF6650" w14:textId="77777777" w:rsidR="00A02423" w:rsidRPr="006D65E2" w:rsidRDefault="00A02423" w:rsidP="00A02423">
      <w:pPr>
        <w:pStyle w:val="MDPI62BackMatter"/>
        <w:spacing w:after="0"/>
        <w:ind w:left="0"/>
        <w:rPr>
          <w:rFonts w:ascii="Times New Roman" w:eastAsiaTheme="minorEastAsia" w:hAnsi="Times New Roman"/>
          <w:sz w:val="24"/>
          <w:szCs w:val="24"/>
        </w:rPr>
      </w:pPr>
      <w:r w:rsidRPr="006D65E2">
        <w:rPr>
          <w:rFonts w:ascii="Times New Roman" w:eastAsiaTheme="minorEastAsia" w:hAnsi="Times New Roman"/>
          <w:sz w:val="24"/>
          <w:szCs w:val="24"/>
        </w:rPr>
        <w:t>Rashaun Roberts, NIOSH Office for Diversity, Equity, and Inclusion</w:t>
      </w:r>
    </w:p>
    <w:p w14:paraId="2534EA4C" w14:textId="77777777" w:rsidR="00A02423" w:rsidRPr="006D65E2" w:rsidRDefault="00A02423" w:rsidP="00A02423">
      <w:pPr>
        <w:pStyle w:val="MDPI62BackMatter"/>
        <w:spacing w:after="0"/>
        <w:ind w:left="0"/>
        <w:rPr>
          <w:rFonts w:ascii="Times New Roman" w:eastAsiaTheme="minorEastAsia" w:hAnsi="Times New Roman"/>
          <w:sz w:val="24"/>
          <w:szCs w:val="24"/>
        </w:rPr>
      </w:pPr>
      <w:r w:rsidRPr="006D65E2">
        <w:rPr>
          <w:rFonts w:ascii="Times New Roman" w:eastAsiaTheme="minorEastAsia" w:hAnsi="Times New Roman"/>
          <w:sz w:val="24"/>
          <w:szCs w:val="24"/>
        </w:rPr>
        <w:t>Paul Schulte, NIOSH Office of the Director</w:t>
      </w:r>
    </w:p>
    <w:p w14:paraId="7A0D3A46" w14:textId="77777777" w:rsidR="00A02423" w:rsidRPr="006D65E2" w:rsidRDefault="00A02423" w:rsidP="00A02423">
      <w:pPr>
        <w:pStyle w:val="MDPI62BackMatter"/>
        <w:spacing w:after="0"/>
        <w:ind w:left="0"/>
        <w:rPr>
          <w:rFonts w:ascii="Times New Roman" w:eastAsiaTheme="minorEastAsia" w:hAnsi="Times New Roman"/>
          <w:sz w:val="24"/>
          <w:szCs w:val="24"/>
        </w:rPr>
      </w:pPr>
      <w:r w:rsidRPr="006D65E2">
        <w:rPr>
          <w:rFonts w:ascii="Times New Roman" w:eastAsiaTheme="minorEastAsia" w:hAnsi="Times New Roman"/>
          <w:sz w:val="24"/>
          <w:szCs w:val="24"/>
        </w:rPr>
        <w:t>David Weissman, NIOSH Respiratory Health Division</w:t>
      </w:r>
    </w:p>
    <w:p w14:paraId="6881995F" w14:textId="77777777" w:rsidR="00A02423" w:rsidRPr="006D65E2" w:rsidRDefault="00A02423" w:rsidP="00A02423">
      <w:pPr>
        <w:pStyle w:val="MDPI62BackMatter"/>
        <w:spacing w:after="0"/>
        <w:ind w:left="0"/>
        <w:rPr>
          <w:rFonts w:ascii="Times New Roman" w:eastAsiaTheme="minorEastAsia" w:hAnsi="Times New Roman"/>
          <w:sz w:val="24"/>
          <w:szCs w:val="24"/>
          <w:vertAlign w:val="superscript"/>
        </w:rPr>
      </w:pPr>
    </w:p>
    <w:p w14:paraId="4EE5BAC9" w14:textId="77777777" w:rsidR="00A02423" w:rsidRPr="006D65E2" w:rsidRDefault="00A02423" w:rsidP="00A02423">
      <w:pPr>
        <w:pStyle w:val="MDPI62BackMatter"/>
        <w:spacing w:after="0"/>
        <w:ind w:left="0"/>
        <w:rPr>
          <w:rFonts w:ascii="Times New Roman" w:eastAsiaTheme="minorEastAsia" w:hAnsi="Times New Roman"/>
          <w:sz w:val="24"/>
          <w:szCs w:val="24"/>
        </w:rPr>
      </w:pPr>
      <w:r w:rsidRPr="006D65E2">
        <w:rPr>
          <w:rFonts w:ascii="Times New Roman" w:eastAsiaTheme="minorEastAsia" w:hAnsi="Times New Roman"/>
          <w:sz w:val="24"/>
          <w:szCs w:val="24"/>
          <w:vertAlign w:val="superscript"/>
        </w:rPr>
        <w:t>1</w:t>
      </w:r>
      <w:r w:rsidRPr="006D65E2">
        <w:rPr>
          <w:rFonts w:ascii="Times New Roman" w:eastAsiaTheme="minorEastAsia" w:hAnsi="Times New Roman"/>
          <w:sz w:val="24"/>
          <w:szCs w:val="24"/>
        </w:rPr>
        <w:t xml:space="preserve"> Project co-lead</w:t>
      </w:r>
    </w:p>
    <w:p w14:paraId="5E3B92B9" w14:textId="77777777" w:rsidR="00A02423" w:rsidRPr="006D65E2" w:rsidRDefault="00A02423" w:rsidP="00A02423">
      <w:pPr>
        <w:pStyle w:val="MDPI62BackMatter"/>
        <w:spacing w:after="0"/>
        <w:ind w:left="0"/>
        <w:rPr>
          <w:rFonts w:ascii="Times New Roman" w:eastAsiaTheme="minorEastAsia" w:hAnsi="Times New Roman"/>
          <w:sz w:val="24"/>
          <w:szCs w:val="24"/>
        </w:rPr>
      </w:pPr>
      <w:r w:rsidRPr="006D65E2">
        <w:rPr>
          <w:rFonts w:ascii="Times New Roman" w:eastAsiaTheme="minorEastAsia" w:hAnsi="Times New Roman"/>
          <w:sz w:val="24"/>
          <w:szCs w:val="24"/>
          <w:vertAlign w:val="superscript"/>
        </w:rPr>
        <w:t>2</w:t>
      </w:r>
      <w:r w:rsidRPr="006D65E2">
        <w:rPr>
          <w:rFonts w:ascii="Times New Roman" w:eastAsiaTheme="minorEastAsia" w:hAnsi="Times New Roman"/>
          <w:sz w:val="24"/>
          <w:szCs w:val="24"/>
        </w:rPr>
        <w:t xml:space="preserve"> Primary author of the </w:t>
      </w:r>
      <w:r>
        <w:rPr>
          <w:rFonts w:ascii="Times New Roman" w:eastAsiaTheme="minorEastAsia" w:hAnsi="Times New Roman"/>
          <w:sz w:val="24"/>
          <w:szCs w:val="24"/>
        </w:rPr>
        <w:t>SDFP</w:t>
      </w:r>
      <w:r w:rsidRPr="006D65E2">
        <w:rPr>
          <w:rFonts w:ascii="Times New Roman" w:eastAsiaTheme="minorEastAsia" w:hAnsi="Times New Roman"/>
          <w:sz w:val="24"/>
          <w:szCs w:val="24"/>
        </w:rPr>
        <w:t xml:space="preserve"> scenarios</w:t>
      </w:r>
    </w:p>
    <w:p w14:paraId="2E78BE04" w14:textId="77777777" w:rsidR="00A02423" w:rsidRPr="006D65E2" w:rsidRDefault="00A02423" w:rsidP="00A02423">
      <w:pPr>
        <w:pStyle w:val="MDPI62BackMatter"/>
        <w:spacing w:after="0"/>
        <w:ind w:left="0"/>
        <w:rPr>
          <w:rFonts w:ascii="Times New Roman" w:eastAsiaTheme="minorEastAsia" w:hAnsi="Times New Roman"/>
          <w:sz w:val="24"/>
          <w:szCs w:val="24"/>
        </w:rPr>
      </w:pPr>
      <w:r w:rsidRPr="006D65E2">
        <w:rPr>
          <w:rFonts w:ascii="Times New Roman" w:eastAsiaTheme="minorEastAsia" w:hAnsi="Times New Roman"/>
          <w:sz w:val="24"/>
          <w:szCs w:val="24"/>
          <w:vertAlign w:val="superscript"/>
        </w:rPr>
        <w:t xml:space="preserve">3 </w:t>
      </w:r>
      <w:r w:rsidRPr="006D65E2">
        <w:rPr>
          <w:rFonts w:ascii="Times New Roman" w:eastAsiaTheme="minorEastAsia" w:hAnsi="Times New Roman"/>
          <w:sz w:val="24"/>
          <w:szCs w:val="24"/>
        </w:rPr>
        <w:t xml:space="preserve">Participation began in Summer 2022 as part of a NIOSH foresight </w:t>
      </w:r>
      <w:proofErr w:type="gramStart"/>
      <w:r w:rsidRPr="006D65E2">
        <w:rPr>
          <w:rFonts w:ascii="Times New Roman" w:eastAsiaTheme="minorEastAsia" w:hAnsi="Times New Roman"/>
          <w:sz w:val="24"/>
          <w:szCs w:val="24"/>
        </w:rPr>
        <w:t>internship</w:t>
      </w:r>
      <w:proofErr w:type="gramEnd"/>
    </w:p>
    <w:p w14:paraId="691E6E20" w14:textId="77777777" w:rsidR="00A02423" w:rsidRPr="006D65E2" w:rsidRDefault="00A02423" w:rsidP="00A02423">
      <w:pPr>
        <w:pStyle w:val="MDPI62BackMatter"/>
        <w:spacing w:after="0"/>
        <w:ind w:left="0"/>
        <w:rPr>
          <w:rFonts w:ascii="Times New Roman" w:eastAsiaTheme="majorEastAsia" w:hAnsi="Times New Roman"/>
          <w:sz w:val="24"/>
          <w:szCs w:val="24"/>
        </w:rPr>
      </w:pPr>
      <w:r w:rsidRPr="006D65E2">
        <w:rPr>
          <w:rFonts w:ascii="Times New Roman" w:eastAsiaTheme="minorEastAsia" w:hAnsi="Times New Roman"/>
          <w:sz w:val="24"/>
          <w:szCs w:val="24"/>
          <w:vertAlign w:val="superscript"/>
        </w:rPr>
        <w:t xml:space="preserve">4 </w:t>
      </w:r>
      <w:r w:rsidRPr="006D65E2">
        <w:rPr>
          <w:rFonts w:ascii="Times New Roman" w:eastAsiaTheme="minorEastAsia" w:hAnsi="Times New Roman"/>
          <w:sz w:val="24"/>
          <w:szCs w:val="24"/>
        </w:rPr>
        <w:t xml:space="preserve">Retired </w:t>
      </w:r>
      <w:r>
        <w:rPr>
          <w:rFonts w:ascii="Times New Roman" w:eastAsiaTheme="minorEastAsia" w:hAnsi="Times New Roman"/>
          <w:sz w:val="24"/>
          <w:szCs w:val="24"/>
        </w:rPr>
        <w:t xml:space="preserve">from NIOSH </w:t>
      </w:r>
      <w:r w:rsidRPr="006D65E2">
        <w:rPr>
          <w:rFonts w:ascii="Times New Roman" w:eastAsiaTheme="minorEastAsia" w:hAnsi="Times New Roman"/>
          <w:sz w:val="24"/>
          <w:szCs w:val="24"/>
        </w:rPr>
        <w:t>as of December 31, 2022</w:t>
      </w:r>
    </w:p>
    <w:p w14:paraId="0221F01E" w14:textId="77777777" w:rsidR="00A02423" w:rsidRDefault="00A02423">
      <w:pPr>
        <w:spacing w:line="240" w:lineRule="auto"/>
        <w:jc w:val="left"/>
        <w:rPr>
          <w:rFonts w:ascii="Times New Roman" w:eastAsia="Times New Roman" w:hAnsi="Times New Roman"/>
          <w:b/>
          <w:snapToGrid w:val="0"/>
          <w:sz w:val="22"/>
          <w:szCs w:val="22"/>
          <w:lang w:bidi="en-US"/>
        </w:rPr>
      </w:pPr>
      <w:r>
        <w:rPr>
          <w:rFonts w:ascii="Times New Roman" w:hAnsi="Times New Roman"/>
          <w:sz w:val="22"/>
        </w:rPr>
        <w:br w:type="page"/>
      </w:r>
    </w:p>
    <w:p w14:paraId="53AE3483" w14:textId="2DB4CD94" w:rsidR="00522304" w:rsidRPr="002D303A" w:rsidRDefault="00D8251E" w:rsidP="002F7120">
      <w:pPr>
        <w:pStyle w:val="MDPI21heading1"/>
        <w:ind w:left="0"/>
        <w:rPr>
          <w:rFonts w:ascii="Times New Roman" w:hAnsi="Times New Roman"/>
          <w:sz w:val="22"/>
          <w:lang w:eastAsia="zh-CN"/>
        </w:rPr>
      </w:pPr>
      <w:r>
        <w:rPr>
          <w:rFonts w:ascii="Times New Roman" w:hAnsi="Times New Roman"/>
          <w:sz w:val="22"/>
          <w:lang w:eastAsia="zh-CN"/>
        </w:rPr>
        <w:lastRenderedPageBreak/>
        <w:t>Table S1</w:t>
      </w:r>
      <w:r w:rsidR="002F7120" w:rsidRPr="002D303A">
        <w:rPr>
          <w:rFonts w:ascii="Times New Roman" w:hAnsi="Times New Roman"/>
          <w:sz w:val="22"/>
          <w:lang w:eastAsia="zh-CN"/>
        </w:rPr>
        <w:t>.</w:t>
      </w:r>
      <w:r w:rsidR="001C685D" w:rsidRPr="002D303A">
        <w:rPr>
          <w:rFonts w:ascii="Times New Roman" w:hAnsi="Times New Roman"/>
          <w:sz w:val="22"/>
          <w:lang w:eastAsia="zh-CN"/>
        </w:rPr>
        <w:t xml:space="preserve"> </w:t>
      </w:r>
      <w:r w:rsidR="00B3407E">
        <w:rPr>
          <w:rFonts w:ascii="Times New Roman" w:hAnsi="Times New Roman"/>
          <w:sz w:val="22"/>
          <w:lang w:eastAsia="zh-CN"/>
        </w:rPr>
        <w:t xml:space="preserve">Futures-focused </w:t>
      </w:r>
      <w:r w:rsidR="00B3407E">
        <w:rPr>
          <w:rFonts w:ascii="Times New Roman" w:hAnsi="Times New Roman"/>
          <w:b w:val="0"/>
          <w:bCs/>
          <w:sz w:val="22"/>
          <w:lang w:eastAsia="zh-CN"/>
        </w:rPr>
        <w:t>k</w:t>
      </w:r>
      <w:r w:rsidR="001C685D" w:rsidRPr="002D303A">
        <w:rPr>
          <w:rFonts w:ascii="Times New Roman" w:hAnsi="Times New Roman"/>
          <w:b w:val="0"/>
          <w:bCs/>
          <w:sz w:val="22"/>
          <w:lang w:eastAsia="zh-CN"/>
        </w:rPr>
        <w:t xml:space="preserve">ey </w:t>
      </w:r>
      <w:r w:rsidR="00E90EB4" w:rsidRPr="002D303A">
        <w:rPr>
          <w:rFonts w:ascii="Times New Roman" w:hAnsi="Times New Roman"/>
          <w:b w:val="0"/>
          <w:bCs/>
          <w:sz w:val="22"/>
          <w:lang w:eastAsia="zh-CN"/>
        </w:rPr>
        <w:t>i</w:t>
      </w:r>
      <w:r w:rsidR="001C685D" w:rsidRPr="002D303A">
        <w:rPr>
          <w:rFonts w:ascii="Times New Roman" w:hAnsi="Times New Roman"/>
          <w:b w:val="0"/>
          <w:bCs/>
          <w:sz w:val="22"/>
          <w:lang w:eastAsia="zh-CN"/>
        </w:rPr>
        <w:t xml:space="preserve">nformant </w:t>
      </w:r>
      <w:r w:rsidR="00E90EB4" w:rsidRPr="002D303A">
        <w:rPr>
          <w:rFonts w:ascii="Times New Roman" w:hAnsi="Times New Roman"/>
          <w:b w:val="0"/>
          <w:bCs/>
          <w:sz w:val="22"/>
          <w:lang w:eastAsia="zh-CN"/>
        </w:rPr>
        <w:t>i</w:t>
      </w:r>
      <w:r w:rsidR="001C685D" w:rsidRPr="002D303A">
        <w:rPr>
          <w:rFonts w:ascii="Times New Roman" w:hAnsi="Times New Roman"/>
          <w:b w:val="0"/>
          <w:bCs/>
          <w:sz w:val="22"/>
          <w:lang w:eastAsia="zh-CN"/>
        </w:rPr>
        <w:t xml:space="preserve">nterview </w:t>
      </w:r>
      <w:r w:rsidR="00E90EB4" w:rsidRPr="002D303A">
        <w:rPr>
          <w:rFonts w:ascii="Times New Roman" w:hAnsi="Times New Roman"/>
          <w:b w:val="0"/>
          <w:bCs/>
          <w:sz w:val="22"/>
          <w:lang w:eastAsia="zh-CN"/>
        </w:rPr>
        <w:t>q</w:t>
      </w:r>
      <w:r w:rsidR="001C685D" w:rsidRPr="002D303A">
        <w:rPr>
          <w:rFonts w:ascii="Times New Roman" w:hAnsi="Times New Roman"/>
          <w:b w:val="0"/>
          <w:bCs/>
          <w:sz w:val="22"/>
          <w:lang w:eastAsia="zh-CN"/>
        </w:rPr>
        <w:t>uestions</w:t>
      </w:r>
    </w:p>
    <w:tbl>
      <w:tblPr>
        <w:tblStyle w:val="TableGrid"/>
        <w:tblW w:w="0" w:type="auto"/>
        <w:tblBorders>
          <w:bottom w:val="none" w:sz="0" w:space="0" w:color="auto"/>
        </w:tblBorders>
        <w:tblLook w:val="04A0" w:firstRow="1" w:lastRow="0" w:firstColumn="1" w:lastColumn="0" w:noHBand="0" w:noVBand="1"/>
      </w:tblPr>
      <w:tblGrid>
        <w:gridCol w:w="10456"/>
      </w:tblGrid>
      <w:tr w:rsidR="002F7120" w:rsidRPr="002D303A" w14:paraId="40DE1048" w14:textId="77777777" w:rsidTr="002F7120">
        <w:tc>
          <w:tcPr>
            <w:tcW w:w="10456" w:type="dxa"/>
            <w:tcBorders>
              <w:left w:val="nil"/>
              <w:bottom w:val="nil"/>
              <w:right w:val="nil"/>
            </w:tcBorders>
          </w:tcPr>
          <w:p w14:paraId="34912FA8" w14:textId="68C582AA" w:rsidR="002F7120" w:rsidRPr="002D303A" w:rsidRDefault="002F7120" w:rsidP="00EF5B5A">
            <w:pPr>
              <w:pStyle w:val="MDPI31text"/>
              <w:numPr>
                <w:ilvl w:val="0"/>
                <w:numId w:val="25"/>
              </w:numPr>
              <w:spacing w:before="120" w:after="120"/>
              <w:ind w:left="345" w:hanging="288"/>
              <w:rPr>
                <w:rFonts w:ascii="Times New Roman" w:hAnsi="Times New Roman"/>
                <w:sz w:val="22"/>
              </w:rPr>
            </w:pPr>
            <w:r w:rsidRPr="002D303A">
              <w:rPr>
                <w:rFonts w:ascii="Times New Roman" w:hAnsi="Times New Roman"/>
                <w:sz w:val="22"/>
              </w:rPr>
              <w:t xml:space="preserve">Let’s pretend I have a crystal ball and can give you a peek into the future. If I could answer any question for you about preparing the OSH workforce for sudden disruptions, what would it be? </w:t>
            </w:r>
          </w:p>
        </w:tc>
      </w:tr>
      <w:tr w:rsidR="002F7120" w:rsidRPr="002D303A" w14:paraId="427C8DF5" w14:textId="77777777" w:rsidTr="002F7120">
        <w:tc>
          <w:tcPr>
            <w:tcW w:w="10456" w:type="dxa"/>
            <w:tcBorders>
              <w:top w:val="nil"/>
              <w:left w:val="nil"/>
              <w:bottom w:val="nil"/>
              <w:right w:val="nil"/>
            </w:tcBorders>
          </w:tcPr>
          <w:p w14:paraId="2223623D" w14:textId="71670736" w:rsidR="002F7120" w:rsidRPr="002D303A" w:rsidRDefault="002F7120" w:rsidP="00EF5B5A">
            <w:pPr>
              <w:pStyle w:val="MDPI31text"/>
              <w:numPr>
                <w:ilvl w:val="0"/>
                <w:numId w:val="25"/>
              </w:numPr>
              <w:spacing w:before="120" w:after="120"/>
              <w:ind w:left="345" w:hanging="288"/>
              <w:rPr>
                <w:rFonts w:ascii="Times New Roman" w:hAnsi="Times New Roman"/>
                <w:sz w:val="22"/>
              </w:rPr>
            </w:pPr>
            <w:r w:rsidRPr="002D303A">
              <w:rPr>
                <w:rFonts w:ascii="Times New Roman" w:hAnsi="Times New Roman"/>
                <w:sz w:val="22"/>
              </w:rPr>
              <w:t xml:space="preserve">If you looked back from 10 years into the future, and told us about NIOSH’s significant triumph in preparing the OSH workforce for sudden disruptions, what would it be? </w:t>
            </w:r>
          </w:p>
        </w:tc>
      </w:tr>
      <w:tr w:rsidR="002F7120" w:rsidRPr="002D303A" w14:paraId="35047787" w14:textId="77777777" w:rsidTr="002F7120">
        <w:tc>
          <w:tcPr>
            <w:tcW w:w="10456" w:type="dxa"/>
            <w:tcBorders>
              <w:top w:val="nil"/>
              <w:left w:val="nil"/>
              <w:bottom w:val="nil"/>
              <w:right w:val="nil"/>
            </w:tcBorders>
          </w:tcPr>
          <w:p w14:paraId="3F5EDB00" w14:textId="272FBE2A" w:rsidR="002F7120" w:rsidRPr="002D303A" w:rsidRDefault="002F7120" w:rsidP="00EF5B5A">
            <w:pPr>
              <w:pStyle w:val="MDPI31text"/>
              <w:numPr>
                <w:ilvl w:val="0"/>
                <w:numId w:val="25"/>
              </w:numPr>
              <w:spacing w:before="120" w:after="120"/>
              <w:ind w:left="345" w:hanging="288"/>
              <w:rPr>
                <w:rFonts w:ascii="Times New Roman" w:hAnsi="Times New Roman"/>
                <w:sz w:val="22"/>
              </w:rPr>
            </w:pPr>
            <w:r w:rsidRPr="002D303A">
              <w:rPr>
                <w:rFonts w:ascii="Times New Roman" w:hAnsi="Times New Roman"/>
                <w:sz w:val="22"/>
              </w:rPr>
              <w:t xml:space="preserve">If you looked back from 10 years into the future, and told us of a significant failure of NIOSH in preparing the OSH workforce for sudden disruptions, what would it be? </w:t>
            </w:r>
          </w:p>
        </w:tc>
      </w:tr>
      <w:tr w:rsidR="002F7120" w:rsidRPr="002D303A" w14:paraId="1103AB41" w14:textId="77777777" w:rsidTr="002F7120">
        <w:tc>
          <w:tcPr>
            <w:tcW w:w="10456" w:type="dxa"/>
            <w:tcBorders>
              <w:top w:val="nil"/>
              <w:left w:val="nil"/>
              <w:bottom w:val="nil"/>
              <w:right w:val="nil"/>
            </w:tcBorders>
          </w:tcPr>
          <w:p w14:paraId="076A386F" w14:textId="46758649" w:rsidR="002F7120" w:rsidRPr="002D303A" w:rsidRDefault="002F7120" w:rsidP="00EF5B5A">
            <w:pPr>
              <w:pStyle w:val="MDPI31text"/>
              <w:numPr>
                <w:ilvl w:val="0"/>
                <w:numId w:val="25"/>
              </w:numPr>
              <w:spacing w:before="120" w:after="120"/>
              <w:ind w:left="345" w:hanging="288"/>
              <w:rPr>
                <w:rFonts w:ascii="Times New Roman" w:hAnsi="Times New Roman"/>
                <w:sz w:val="22"/>
              </w:rPr>
            </w:pPr>
            <w:r w:rsidRPr="002D303A">
              <w:rPr>
                <w:rFonts w:ascii="Times New Roman" w:hAnsi="Times New Roman"/>
                <w:sz w:val="22"/>
              </w:rPr>
              <w:t xml:space="preserve">As we look to prepare the OSH workforce for sudden disruptions, is there anything that we should set aside or leave behind? Are there any perspectives or practices from the past that will hinder this process going forward? </w:t>
            </w:r>
          </w:p>
        </w:tc>
      </w:tr>
      <w:tr w:rsidR="002F7120" w:rsidRPr="002D303A" w14:paraId="70A14B8C" w14:textId="77777777" w:rsidTr="002F7120">
        <w:tc>
          <w:tcPr>
            <w:tcW w:w="10456" w:type="dxa"/>
            <w:tcBorders>
              <w:top w:val="nil"/>
              <w:left w:val="nil"/>
              <w:bottom w:val="nil"/>
              <w:right w:val="nil"/>
            </w:tcBorders>
          </w:tcPr>
          <w:p w14:paraId="54CDA78A" w14:textId="6666658D" w:rsidR="002F7120" w:rsidRPr="002D303A" w:rsidRDefault="002F7120" w:rsidP="00EF5B5A">
            <w:pPr>
              <w:pStyle w:val="MDPI31text"/>
              <w:numPr>
                <w:ilvl w:val="0"/>
                <w:numId w:val="25"/>
              </w:numPr>
              <w:spacing w:before="120" w:after="120"/>
              <w:ind w:left="345" w:hanging="288"/>
              <w:rPr>
                <w:rFonts w:ascii="Times New Roman" w:hAnsi="Times New Roman"/>
                <w:sz w:val="22"/>
              </w:rPr>
            </w:pPr>
            <w:r w:rsidRPr="002D303A">
              <w:rPr>
                <w:rFonts w:ascii="Times New Roman" w:hAnsi="Times New Roman"/>
                <w:sz w:val="22"/>
              </w:rPr>
              <w:t xml:space="preserve">What are </w:t>
            </w:r>
            <w:r w:rsidR="00EF5B5A" w:rsidRPr="002D303A">
              <w:rPr>
                <w:rFonts w:ascii="Times New Roman" w:hAnsi="Times New Roman"/>
                <w:sz w:val="22"/>
              </w:rPr>
              <w:t>one</w:t>
            </w:r>
            <w:r w:rsidRPr="002D303A">
              <w:rPr>
                <w:rFonts w:ascii="Times New Roman" w:hAnsi="Times New Roman"/>
                <w:sz w:val="22"/>
              </w:rPr>
              <w:t xml:space="preserve"> or </w:t>
            </w:r>
            <w:r w:rsidR="00EF5B5A" w:rsidRPr="002D303A">
              <w:rPr>
                <w:rFonts w:ascii="Times New Roman" w:hAnsi="Times New Roman"/>
                <w:sz w:val="22"/>
              </w:rPr>
              <w:t>two</w:t>
            </w:r>
            <w:r w:rsidRPr="002D303A">
              <w:rPr>
                <w:rFonts w:ascii="Times New Roman" w:hAnsi="Times New Roman"/>
                <w:sz w:val="22"/>
              </w:rPr>
              <w:t xml:space="preserve"> critical strategic decisions for NIOSH to consider when preparing the OSH workforce for sudden disruptions?</w:t>
            </w:r>
          </w:p>
        </w:tc>
      </w:tr>
      <w:tr w:rsidR="002F7120" w:rsidRPr="002D303A" w14:paraId="760613AA" w14:textId="77777777" w:rsidTr="002F7120">
        <w:tc>
          <w:tcPr>
            <w:tcW w:w="10456" w:type="dxa"/>
            <w:tcBorders>
              <w:top w:val="nil"/>
              <w:left w:val="nil"/>
              <w:bottom w:val="nil"/>
              <w:right w:val="nil"/>
            </w:tcBorders>
          </w:tcPr>
          <w:p w14:paraId="76DC21B5" w14:textId="3FC63AFE" w:rsidR="002F7120" w:rsidRPr="002D303A" w:rsidRDefault="002F7120" w:rsidP="00EF5B5A">
            <w:pPr>
              <w:pStyle w:val="MDPI21heading1"/>
              <w:numPr>
                <w:ilvl w:val="0"/>
                <w:numId w:val="25"/>
              </w:numPr>
              <w:spacing w:before="120" w:after="120"/>
              <w:ind w:left="345" w:hanging="280"/>
              <w:rPr>
                <w:rFonts w:ascii="Times New Roman" w:hAnsi="Times New Roman"/>
                <w:b w:val="0"/>
                <w:bCs/>
                <w:sz w:val="22"/>
                <w:lang w:eastAsia="zh-CN"/>
              </w:rPr>
            </w:pPr>
            <w:r w:rsidRPr="002D303A">
              <w:rPr>
                <w:rFonts w:ascii="Times New Roman" w:hAnsi="Times New Roman"/>
                <w:b w:val="0"/>
                <w:bCs/>
                <w:sz w:val="22"/>
                <w:lang w:eastAsia="zh-CN"/>
              </w:rPr>
              <w:t xml:space="preserve">What are the top </w:t>
            </w:r>
            <w:r w:rsidR="00EF5B5A" w:rsidRPr="002D303A">
              <w:rPr>
                <w:rFonts w:ascii="Times New Roman" w:hAnsi="Times New Roman"/>
                <w:b w:val="0"/>
                <w:bCs/>
                <w:sz w:val="22"/>
                <w:lang w:eastAsia="zh-CN"/>
              </w:rPr>
              <w:t>two or three</w:t>
            </w:r>
            <w:r w:rsidRPr="002D303A">
              <w:rPr>
                <w:rFonts w:ascii="Times New Roman" w:hAnsi="Times New Roman"/>
                <w:b w:val="0"/>
                <w:bCs/>
                <w:sz w:val="22"/>
                <w:lang w:eastAsia="zh-CN"/>
              </w:rPr>
              <w:t xml:space="preserve"> trends driving the future of preparing the OSH workforce for sudden disruptions?</w:t>
            </w:r>
          </w:p>
        </w:tc>
      </w:tr>
      <w:tr w:rsidR="002F7120" w:rsidRPr="002D303A" w14:paraId="7DB4BFBD" w14:textId="77777777" w:rsidTr="002F7120">
        <w:tc>
          <w:tcPr>
            <w:tcW w:w="10456" w:type="dxa"/>
            <w:tcBorders>
              <w:top w:val="nil"/>
              <w:left w:val="nil"/>
              <w:bottom w:val="nil"/>
              <w:right w:val="nil"/>
            </w:tcBorders>
          </w:tcPr>
          <w:p w14:paraId="622D44C9" w14:textId="50850A4D" w:rsidR="002F7120" w:rsidRPr="002D303A" w:rsidRDefault="002F7120" w:rsidP="00EF5B5A">
            <w:pPr>
              <w:pStyle w:val="MDPI31text"/>
              <w:numPr>
                <w:ilvl w:val="0"/>
                <w:numId w:val="25"/>
              </w:numPr>
              <w:spacing w:before="120" w:after="120"/>
              <w:ind w:left="345" w:hanging="280"/>
              <w:rPr>
                <w:rFonts w:ascii="Times New Roman" w:hAnsi="Times New Roman"/>
                <w:sz w:val="22"/>
              </w:rPr>
            </w:pPr>
            <w:r w:rsidRPr="002D303A">
              <w:rPr>
                <w:rFonts w:ascii="Times New Roman" w:hAnsi="Times New Roman"/>
                <w:sz w:val="22"/>
              </w:rPr>
              <w:t xml:space="preserve">What are the obstacles to progress in preparing the OSH workforce for sudden disruptions? </w:t>
            </w:r>
          </w:p>
        </w:tc>
      </w:tr>
      <w:tr w:rsidR="002F7120" w:rsidRPr="002D303A" w14:paraId="3DC2EE35" w14:textId="77777777" w:rsidTr="002F7120">
        <w:tc>
          <w:tcPr>
            <w:tcW w:w="10456" w:type="dxa"/>
            <w:tcBorders>
              <w:top w:val="nil"/>
              <w:left w:val="nil"/>
              <w:bottom w:val="single" w:sz="4" w:space="0" w:color="auto"/>
              <w:right w:val="nil"/>
            </w:tcBorders>
          </w:tcPr>
          <w:p w14:paraId="1A2CA502" w14:textId="06D72D9A" w:rsidR="002F7120" w:rsidRPr="002D303A" w:rsidRDefault="002F7120" w:rsidP="00EF5B5A">
            <w:pPr>
              <w:pStyle w:val="MDPI21heading1"/>
              <w:numPr>
                <w:ilvl w:val="0"/>
                <w:numId w:val="25"/>
              </w:numPr>
              <w:spacing w:before="120" w:after="120"/>
              <w:ind w:left="345" w:hanging="280"/>
              <w:rPr>
                <w:rFonts w:ascii="Times New Roman" w:hAnsi="Times New Roman"/>
                <w:b w:val="0"/>
                <w:bCs/>
                <w:sz w:val="22"/>
                <w:lang w:eastAsia="zh-CN"/>
              </w:rPr>
            </w:pPr>
            <w:r w:rsidRPr="002D303A">
              <w:rPr>
                <w:rFonts w:ascii="Times New Roman" w:hAnsi="Times New Roman"/>
                <w:b w:val="0"/>
                <w:bCs/>
                <w:sz w:val="22"/>
                <w:lang w:eastAsia="zh-CN"/>
              </w:rPr>
              <w:t>Before we end the interview, are there any other comments you would like to add?</w:t>
            </w:r>
          </w:p>
        </w:tc>
      </w:tr>
    </w:tbl>
    <w:p w14:paraId="29140453" w14:textId="106BC115" w:rsidR="001C685D" w:rsidRPr="00B55E50" w:rsidRDefault="001C685D">
      <w:pPr>
        <w:spacing w:line="240" w:lineRule="auto"/>
        <w:jc w:val="left"/>
        <w:rPr>
          <w:rFonts w:ascii="Times New Roman" w:eastAsia="Times New Roman" w:hAnsi="Times New Roman"/>
          <w:b/>
          <w:bCs/>
          <w:snapToGrid w:val="0"/>
          <w:sz w:val="22"/>
          <w:szCs w:val="22"/>
          <w:lang w:eastAsia="de-DE" w:bidi="en-US"/>
        </w:rPr>
      </w:pPr>
    </w:p>
    <w:p w14:paraId="744D3291" w14:textId="77777777" w:rsidR="002F7120" w:rsidRPr="00B55E50" w:rsidRDefault="002F7120" w:rsidP="002F7120">
      <w:pPr>
        <w:pStyle w:val="MDPI31text"/>
        <w:ind w:left="0" w:firstLine="0"/>
        <w:jc w:val="left"/>
        <w:rPr>
          <w:rFonts w:ascii="Times New Roman" w:hAnsi="Times New Roman"/>
          <w:b/>
          <w:bCs/>
          <w:sz w:val="22"/>
        </w:rPr>
        <w:sectPr w:rsidR="002F7120" w:rsidRPr="00B55E50" w:rsidSect="001C685D">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540" w:footer="340" w:gutter="0"/>
          <w:lnNumType w:countBy="1" w:restart="continuous"/>
          <w:pgNumType w:start="1"/>
          <w:cols w:space="425"/>
          <w:bidi/>
          <w:docGrid w:type="lines" w:linePitch="326"/>
        </w:sectPr>
      </w:pPr>
    </w:p>
    <w:p w14:paraId="02A7475E" w14:textId="4D973B79" w:rsidR="00570213" w:rsidRPr="002D303A" w:rsidRDefault="00D8251E">
      <w:pPr>
        <w:spacing w:line="240" w:lineRule="auto"/>
        <w:jc w:val="left"/>
        <w:rPr>
          <w:rFonts w:ascii="Times New Roman" w:eastAsia="Times New Roman" w:hAnsi="Times New Roman"/>
          <w:b/>
          <w:bCs/>
          <w:snapToGrid w:val="0"/>
          <w:sz w:val="22"/>
          <w:szCs w:val="22"/>
          <w:lang w:eastAsia="de-DE" w:bidi="en-US"/>
        </w:rPr>
      </w:pPr>
      <w:r>
        <w:rPr>
          <w:rFonts w:ascii="Times New Roman" w:hAnsi="Times New Roman"/>
          <w:b/>
          <w:bCs/>
          <w:sz w:val="22"/>
          <w:szCs w:val="22"/>
        </w:rPr>
        <w:lastRenderedPageBreak/>
        <w:t>Table S2</w:t>
      </w:r>
      <w:r w:rsidR="00570213" w:rsidRPr="002D303A">
        <w:rPr>
          <w:rFonts w:ascii="Times New Roman" w:hAnsi="Times New Roman"/>
          <w:b/>
          <w:bCs/>
          <w:sz w:val="22"/>
          <w:szCs w:val="22"/>
        </w:rPr>
        <w:t xml:space="preserve">. </w:t>
      </w:r>
      <w:r w:rsidR="00570213" w:rsidRPr="002D303A">
        <w:rPr>
          <w:rFonts w:ascii="Times New Roman" w:hAnsi="Times New Roman"/>
          <w:sz w:val="22"/>
          <w:szCs w:val="22"/>
        </w:rPr>
        <w:t xml:space="preserve">Defining </w:t>
      </w:r>
      <w:r w:rsidR="00E90EB4" w:rsidRPr="002D303A">
        <w:rPr>
          <w:rFonts w:ascii="Times New Roman" w:hAnsi="Times New Roman"/>
          <w:sz w:val="22"/>
          <w:szCs w:val="22"/>
        </w:rPr>
        <w:t>c</w:t>
      </w:r>
      <w:r w:rsidR="00570213" w:rsidRPr="002D303A">
        <w:rPr>
          <w:rFonts w:ascii="Times New Roman" w:hAnsi="Times New Roman"/>
          <w:sz w:val="22"/>
          <w:szCs w:val="22"/>
        </w:rPr>
        <w:t xml:space="preserve">oncepts for the </w:t>
      </w:r>
      <w:r w:rsidR="00E90EB4" w:rsidRPr="002D303A">
        <w:rPr>
          <w:rFonts w:ascii="Times New Roman" w:hAnsi="Times New Roman"/>
          <w:sz w:val="22"/>
          <w:szCs w:val="22"/>
        </w:rPr>
        <w:t>t</w:t>
      </w:r>
      <w:r w:rsidR="00570213" w:rsidRPr="002D303A">
        <w:rPr>
          <w:rFonts w:ascii="Times New Roman" w:hAnsi="Times New Roman"/>
          <w:sz w:val="22"/>
          <w:szCs w:val="22"/>
        </w:rPr>
        <w:t>hemes</w:t>
      </w:r>
      <w:r w:rsidR="00B3407E">
        <w:rPr>
          <w:rFonts w:ascii="Times New Roman" w:hAnsi="Times New Roman"/>
          <w:sz w:val="22"/>
          <w:szCs w:val="22"/>
        </w:rPr>
        <w:t xml:space="preserve"> derived from futures-focused key informant </w:t>
      </w:r>
      <w:proofErr w:type="gramStart"/>
      <w:r w:rsidR="00B3407E">
        <w:rPr>
          <w:rFonts w:ascii="Times New Roman" w:hAnsi="Times New Roman"/>
          <w:sz w:val="22"/>
          <w:szCs w:val="22"/>
        </w:rPr>
        <w:t>interviews</w:t>
      </w:r>
      <w:proofErr w:type="gramEnd"/>
    </w:p>
    <w:tbl>
      <w:tblPr>
        <w:tblStyle w:val="TableGrid"/>
        <w:tblW w:w="15501" w:type="dxa"/>
        <w:tblLook w:val="04A0" w:firstRow="1" w:lastRow="0" w:firstColumn="1" w:lastColumn="0" w:noHBand="0" w:noVBand="1"/>
      </w:tblPr>
      <w:tblGrid>
        <w:gridCol w:w="3780"/>
        <w:gridCol w:w="11721"/>
      </w:tblGrid>
      <w:tr w:rsidR="00570213" w:rsidRPr="002D303A" w14:paraId="4CC3B140" w14:textId="77777777" w:rsidTr="00B55E50">
        <w:trPr>
          <w:trHeight w:val="593"/>
        </w:trPr>
        <w:tc>
          <w:tcPr>
            <w:tcW w:w="3780" w:type="dxa"/>
            <w:tcBorders>
              <w:left w:val="nil"/>
            </w:tcBorders>
            <w:vAlign w:val="center"/>
          </w:tcPr>
          <w:p w14:paraId="2869ECF9" w14:textId="58DA04D6" w:rsidR="00570213" w:rsidRPr="002D303A" w:rsidRDefault="00570213" w:rsidP="00570213">
            <w:pPr>
              <w:pStyle w:val="MDPI42tablebody"/>
              <w:jc w:val="left"/>
              <w:rPr>
                <w:rFonts w:ascii="Times New Roman" w:hAnsi="Times New Roman"/>
                <w:b/>
                <w:sz w:val="22"/>
                <w:szCs w:val="22"/>
              </w:rPr>
            </w:pPr>
            <w:r w:rsidRPr="002D303A">
              <w:rPr>
                <w:rFonts w:ascii="Times New Roman" w:hAnsi="Times New Roman"/>
                <w:b/>
                <w:sz w:val="22"/>
                <w:szCs w:val="22"/>
              </w:rPr>
              <w:t>Key Informant Interview Theme</w:t>
            </w:r>
          </w:p>
        </w:tc>
        <w:tc>
          <w:tcPr>
            <w:tcW w:w="11721" w:type="dxa"/>
            <w:tcBorders>
              <w:right w:val="nil"/>
            </w:tcBorders>
            <w:vAlign w:val="center"/>
          </w:tcPr>
          <w:p w14:paraId="707828D7" w14:textId="76C9DEF7" w:rsidR="00570213" w:rsidRPr="002D303A" w:rsidRDefault="00570213" w:rsidP="004F6AF5">
            <w:pPr>
              <w:pStyle w:val="MDPI42tablebody"/>
              <w:rPr>
                <w:rFonts w:ascii="Times New Roman" w:hAnsi="Times New Roman"/>
                <w:b/>
                <w:sz w:val="22"/>
                <w:szCs w:val="22"/>
              </w:rPr>
            </w:pPr>
            <w:r w:rsidRPr="002D303A">
              <w:rPr>
                <w:rFonts w:ascii="Times New Roman" w:hAnsi="Times New Roman"/>
                <w:b/>
                <w:sz w:val="22"/>
                <w:szCs w:val="22"/>
              </w:rPr>
              <w:t>Defining Concepts</w:t>
            </w:r>
          </w:p>
        </w:tc>
      </w:tr>
      <w:tr w:rsidR="00570213" w:rsidRPr="002D303A" w14:paraId="0F2722B7" w14:textId="77777777" w:rsidTr="00B55E50">
        <w:trPr>
          <w:trHeight w:val="20"/>
        </w:trPr>
        <w:tc>
          <w:tcPr>
            <w:tcW w:w="3780" w:type="dxa"/>
            <w:tcBorders>
              <w:top w:val="single" w:sz="4" w:space="0" w:color="auto"/>
              <w:left w:val="nil"/>
            </w:tcBorders>
            <w:vAlign w:val="center"/>
          </w:tcPr>
          <w:p w14:paraId="0A73B972" w14:textId="05A3F1EF" w:rsidR="00570213" w:rsidRPr="002D303A" w:rsidRDefault="00570213" w:rsidP="00B55E50">
            <w:pPr>
              <w:pStyle w:val="MDPI42tablebody"/>
              <w:spacing w:before="40" w:after="40"/>
              <w:jc w:val="left"/>
              <w:rPr>
                <w:rFonts w:ascii="Times New Roman" w:hAnsi="Times New Roman"/>
                <w:b/>
                <w:sz w:val="22"/>
                <w:szCs w:val="22"/>
              </w:rPr>
            </w:pPr>
            <w:r w:rsidRPr="002D303A">
              <w:rPr>
                <w:rFonts w:ascii="Times New Roman" w:eastAsia="Calibri" w:hAnsi="Times New Roman"/>
                <w:sz w:val="22"/>
                <w:szCs w:val="22"/>
              </w:rPr>
              <w:t>Relationships</w:t>
            </w:r>
          </w:p>
        </w:tc>
        <w:tc>
          <w:tcPr>
            <w:tcW w:w="11721" w:type="dxa"/>
            <w:tcBorders>
              <w:top w:val="nil"/>
              <w:right w:val="nil"/>
            </w:tcBorders>
            <w:vAlign w:val="center"/>
          </w:tcPr>
          <w:p w14:paraId="149E120C" w14:textId="7CD2C67F" w:rsidR="00570213" w:rsidRPr="002D303A" w:rsidRDefault="00570213" w:rsidP="00B55E50">
            <w:pPr>
              <w:pStyle w:val="MDPI42tablebody"/>
              <w:spacing w:before="40" w:after="40"/>
              <w:jc w:val="left"/>
              <w:rPr>
                <w:rFonts w:ascii="Times New Roman" w:hAnsi="Times New Roman"/>
                <w:sz w:val="22"/>
                <w:szCs w:val="22"/>
              </w:rPr>
            </w:pPr>
            <w:r w:rsidRPr="002D303A">
              <w:rPr>
                <w:rFonts w:ascii="Times New Roman" w:hAnsi="Times New Roman"/>
                <w:sz w:val="22"/>
                <w:szCs w:val="22"/>
              </w:rPr>
              <w:t xml:space="preserve">Building new relationships; Collaboration; Industry connections; Organized labor connections; OSH connection to public health; Other government entity connections; Partnerships; Stakeholder connections; </w:t>
            </w:r>
            <w:proofErr w:type="spellStart"/>
            <w:r w:rsidRPr="002D303A">
              <w:rPr>
                <w:rFonts w:ascii="Times New Roman" w:hAnsi="Times New Roman"/>
                <w:sz w:val="22"/>
                <w:szCs w:val="22"/>
              </w:rPr>
              <w:t>Transdisciplinarity</w:t>
            </w:r>
            <w:proofErr w:type="spellEnd"/>
          </w:p>
        </w:tc>
      </w:tr>
      <w:tr w:rsidR="00570213" w:rsidRPr="002D303A" w14:paraId="0BF9A02D" w14:textId="77777777" w:rsidTr="00B55E50">
        <w:trPr>
          <w:trHeight w:val="20"/>
        </w:trPr>
        <w:tc>
          <w:tcPr>
            <w:tcW w:w="3780" w:type="dxa"/>
            <w:tcBorders>
              <w:top w:val="single" w:sz="4" w:space="0" w:color="auto"/>
              <w:left w:val="nil"/>
            </w:tcBorders>
            <w:vAlign w:val="center"/>
          </w:tcPr>
          <w:p w14:paraId="6B6B7D7A" w14:textId="7D850323" w:rsidR="00570213" w:rsidRPr="002D303A" w:rsidRDefault="00570213" w:rsidP="00B55E50">
            <w:pPr>
              <w:pStyle w:val="MDPI42tablebody"/>
              <w:spacing w:before="40" w:after="40"/>
              <w:jc w:val="left"/>
              <w:rPr>
                <w:rFonts w:ascii="Times New Roman" w:hAnsi="Times New Roman"/>
                <w:b/>
                <w:sz w:val="22"/>
                <w:szCs w:val="22"/>
              </w:rPr>
            </w:pPr>
            <w:r w:rsidRPr="002D303A">
              <w:rPr>
                <w:rFonts w:ascii="Times New Roman" w:eastAsia="Calibri" w:hAnsi="Times New Roman"/>
                <w:sz w:val="22"/>
                <w:szCs w:val="22"/>
              </w:rPr>
              <w:t>Adaptability</w:t>
            </w:r>
          </w:p>
        </w:tc>
        <w:tc>
          <w:tcPr>
            <w:tcW w:w="11721" w:type="dxa"/>
            <w:tcBorders>
              <w:top w:val="nil"/>
              <w:right w:val="nil"/>
            </w:tcBorders>
            <w:vAlign w:val="center"/>
          </w:tcPr>
          <w:p w14:paraId="15B9979A" w14:textId="4A061F6B" w:rsidR="00570213" w:rsidRPr="002D303A" w:rsidRDefault="00570213" w:rsidP="00B55E50">
            <w:pPr>
              <w:pStyle w:val="MDPI42tablebody"/>
              <w:spacing w:before="40" w:after="40"/>
              <w:jc w:val="left"/>
              <w:rPr>
                <w:rFonts w:ascii="Times New Roman" w:hAnsi="Times New Roman"/>
                <w:sz w:val="22"/>
                <w:szCs w:val="22"/>
              </w:rPr>
            </w:pPr>
            <w:r w:rsidRPr="002D303A">
              <w:rPr>
                <w:rFonts w:ascii="Times New Roman" w:hAnsi="Times New Roman"/>
                <w:sz w:val="22"/>
                <w:szCs w:val="22"/>
              </w:rPr>
              <w:t>Agility; Consequences of complete shutdown approach during COVID-19; Contingency planning; Evaluation metrics; Generating after-action reports; Improving response time; Readiness; Resilience; Shifting traditional mindsets; Stability</w:t>
            </w:r>
          </w:p>
        </w:tc>
      </w:tr>
      <w:tr w:rsidR="00570213" w:rsidRPr="002D303A" w14:paraId="250461A1" w14:textId="77777777" w:rsidTr="00B55E50">
        <w:trPr>
          <w:trHeight w:val="20"/>
        </w:trPr>
        <w:tc>
          <w:tcPr>
            <w:tcW w:w="3780" w:type="dxa"/>
            <w:tcBorders>
              <w:top w:val="single" w:sz="4" w:space="0" w:color="auto"/>
              <w:left w:val="nil"/>
            </w:tcBorders>
            <w:vAlign w:val="center"/>
          </w:tcPr>
          <w:p w14:paraId="02829ECA" w14:textId="72D64116" w:rsidR="00570213" w:rsidRPr="002D303A" w:rsidRDefault="00570213" w:rsidP="00B55E50">
            <w:pPr>
              <w:pStyle w:val="MDPI42tablebody"/>
              <w:spacing w:before="40" w:after="40"/>
              <w:jc w:val="left"/>
              <w:rPr>
                <w:rFonts w:ascii="Times New Roman" w:hAnsi="Times New Roman"/>
                <w:b/>
                <w:sz w:val="22"/>
                <w:szCs w:val="22"/>
              </w:rPr>
            </w:pPr>
            <w:r w:rsidRPr="002D303A">
              <w:rPr>
                <w:rFonts w:ascii="Times New Roman" w:eastAsia="Calibri" w:hAnsi="Times New Roman"/>
                <w:sz w:val="22"/>
                <w:szCs w:val="22"/>
              </w:rPr>
              <w:t>Mechanisms for building OSH capacity</w:t>
            </w:r>
          </w:p>
        </w:tc>
        <w:tc>
          <w:tcPr>
            <w:tcW w:w="11721" w:type="dxa"/>
            <w:tcBorders>
              <w:top w:val="nil"/>
              <w:right w:val="nil"/>
            </w:tcBorders>
            <w:vAlign w:val="center"/>
          </w:tcPr>
          <w:p w14:paraId="681266F3" w14:textId="208BF4A2" w:rsidR="00570213" w:rsidRPr="002D303A" w:rsidRDefault="00570213" w:rsidP="00B55E50">
            <w:pPr>
              <w:pStyle w:val="MDPI42tablebody"/>
              <w:spacing w:before="40" w:after="40"/>
              <w:jc w:val="left"/>
              <w:rPr>
                <w:rFonts w:ascii="Times New Roman" w:hAnsi="Times New Roman"/>
                <w:sz w:val="22"/>
                <w:szCs w:val="22"/>
              </w:rPr>
            </w:pPr>
            <w:r w:rsidRPr="002D303A">
              <w:rPr>
                <w:rFonts w:ascii="Times New Roman" w:hAnsi="Times New Roman"/>
                <w:sz w:val="22"/>
                <w:szCs w:val="22"/>
              </w:rPr>
              <w:t>Addressing workforce [un]availability; Building a reserve OSH workforce; Cross-training the OSH workforce; Improving planning tools; Increasing funding amount or flexibility; Increasing awareness about OSH sphere of influence; Integrating OSH into business practices; Upskilling the OSH workforce</w:t>
            </w:r>
          </w:p>
        </w:tc>
      </w:tr>
      <w:tr w:rsidR="00570213" w:rsidRPr="002D303A" w14:paraId="6F4A1C97" w14:textId="77777777" w:rsidTr="00B55E50">
        <w:trPr>
          <w:trHeight w:val="20"/>
        </w:trPr>
        <w:tc>
          <w:tcPr>
            <w:tcW w:w="3780" w:type="dxa"/>
            <w:tcBorders>
              <w:top w:val="single" w:sz="4" w:space="0" w:color="auto"/>
              <w:left w:val="nil"/>
            </w:tcBorders>
            <w:shd w:val="clear" w:color="auto" w:fill="auto"/>
            <w:vAlign w:val="center"/>
          </w:tcPr>
          <w:p w14:paraId="342236CE" w14:textId="208BCE13" w:rsidR="00570213" w:rsidRPr="002D303A" w:rsidRDefault="00570213" w:rsidP="00B55E50">
            <w:pPr>
              <w:pStyle w:val="MDPI42tablebody"/>
              <w:spacing w:before="40" w:after="40"/>
              <w:jc w:val="left"/>
              <w:rPr>
                <w:rFonts w:ascii="Times New Roman" w:hAnsi="Times New Roman"/>
                <w:b/>
                <w:sz w:val="22"/>
                <w:szCs w:val="22"/>
              </w:rPr>
            </w:pPr>
            <w:r w:rsidRPr="002D303A">
              <w:rPr>
                <w:rFonts w:ascii="Times New Roman" w:eastAsia="Calibri" w:hAnsi="Times New Roman"/>
                <w:sz w:val="22"/>
                <w:szCs w:val="22"/>
              </w:rPr>
              <w:t>Issues conveying information</w:t>
            </w:r>
          </w:p>
        </w:tc>
        <w:tc>
          <w:tcPr>
            <w:tcW w:w="11721" w:type="dxa"/>
            <w:tcBorders>
              <w:top w:val="nil"/>
              <w:right w:val="nil"/>
            </w:tcBorders>
            <w:vAlign w:val="center"/>
          </w:tcPr>
          <w:p w14:paraId="1F9D4418" w14:textId="3700801A" w:rsidR="00570213" w:rsidRPr="002D303A" w:rsidRDefault="00570213" w:rsidP="00B55E50">
            <w:pPr>
              <w:pStyle w:val="MDPI42tablebody"/>
              <w:spacing w:before="40" w:after="40"/>
              <w:jc w:val="left"/>
              <w:rPr>
                <w:rFonts w:ascii="Times New Roman" w:hAnsi="Times New Roman"/>
                <w:sz w:val="22"/>
                <w:szCs w:val="22"/>
              </w:rPr>
            </w:pPr>
            <w:r w:rsidRPr="002D303A">
              <w:rPr>
                <w:rFonts w:ascii="Times New Roman" w:hAnsi="Times New Roman"/>
                <w:sz w:val="22"/>
                <w:szCs w:val="22"/>
              </w:rPr>
              <w:t>Building a business case for OSH; Communication (strengths and challenges); Developing integrated communication strategies; Dissemination strategies; Mistrust and distrust; Offering guidance</w:t>
            </w:r>
          </w:p>
        </w:tc>
      </w:tr>
      <w:tr w:rsidR="00570213" w:rsidRPr="002D303A" w14:paraId="4F77D842" w14:textId="77777777" w:rsidTr="00B55E50">
        <w:trPr>
          <w:trHeight w:val="20"/>
        </w:trPr>
        <w:tc>
          <w:tcPr>
            <w:tcW w:w="3780" w:type="dxa"/>
            <w:tcBorders>
              <w:top w:val="single" w:sz="4" w:space="0" w:color="auto"/>
              <w:left w:val="nil"/>
            </w:tcBorders>
            <w:shd w:val="clear" w:color="auto" w:fill="auto"/>
            <w:vAlign w:val="center"/>
          </w:tcPr>
          <w:p w14:paraId="3AA062C5" w14:textId="2E6D63BA" w:rsidR="00570213" w:rsidRPr="002D303A" w:rsidRDefault="00570213" w:rsidP="00B55E50">
            <w:pPr>
              <w:pStyle w:val="MDPI42tablebody"/>
              <w:spacing w:before="40" w:after="40"/>
              <w:jc w:val="left"/>
              <w:rPr>
                <w:rFonts w:ascii="Times New Roman" w:hAnsi="Times New Roman"/>
                <w:b/>
                <w:sz w:val="22"/>
                <w:szCs w:val="22"/>
              </w:rPr>
            </w:pPr>
            <w:r w:rsidRPr="002D303A">
              <w:rPr>
                <w:rFonts w:ascii="Times New Roman" w:eastAsia="Calibri" w:hAnsi="Times New Roman"/>
                <w:sz w:val="22"/>
                <w:szCs w:val="22"/>
              </w:rPr>
              <w:t>Organization of work</w:t>
            </w:r>
          </w:p>
        </w:tc>
        <w:tc>
          <w:tcPr>
            <w:tcW w:w="11721" w:type="dxa"/>
            <w:tcBorders>
              <w:top w:val="nil"/>
              <w:right w:val="nil"/>
            </w:tcBorders>
            <w:vAlign w:val="center"/>
          </w:tcPr>
          <w:p w14:paraId="35F9E94C" w14:textId="28250C7A" w:rsidR="00570213" w:rsidRPr="002D303A" w:rsidRDefault="00570213" w:rsidP="00B55E50">
            <w:pPr>
              <w:pStyle w:val="MDPI42tablebody"/>
              <w:spacing w:before="40" w:after="40"/>
              <w:jc w:val="left"/>
              <w:rPr>
                <w:rFonts w:ascii="Times New Roman" w:hAnsi="Times New Roman"/>
                <w:sz w:val="22"/>
                <w:szCs w:val="22"/>
              </w:rPr>
            </w:pPr>
            <w:r w:rsidRPr="002D303A">
              <w:rPr>
                <w:rFonts w:ascii="Times New Roman" w:hAnsi="Times New Roman"/>
                <w:sz w:val="22"/>
                <w:szCs w:val="22"/>
              </w:rPr>
              <w:t xml:space="preserve">Employee engagement; New work arrangements; Organizational structures; Sector-based approach to OSH; Siloed approach to OSH; Work and life; Workplace efficiencies; Workplace flexibilities; Worker supports; </w:t>
            </w:r>
          </w:p>
        </w:tc>
      </w:tr>
      <w:tr w:rsidR="00570213" w:rsidRPr="002D303A" w14:paraId="54ACE445" w14:textId="77777777" w:rsidTr="00B55E50">
        <w:trPr>
          <w:trHeight w:val="20"/>
        </w:trPr>
        <w:tc>
          <w:tcPr>
            <w:tcW w:w="3780" w:type="dxa"/>
            <w:tcBorders>
              <w:top w:val="single" w:sz="4" w:space="0" w:color="auto"/>
              <w:left w:val="nil"/>
            </w:tcBorders>
            <w:shd w:val="clear" w:color="auto" w:fill="auto"/>
            <w:vAlign w:val="center"/>
          </w:tcPr>
          <w:p w14:paraId="43B0390A" w14:textId="3597B295" w:rsidR="00570213" w:rsidRPr="002D303A" w:rsidRDefault="00570213" w:rsidP="00B55E50">
            <w:pPr>
              <w:pStyle w:val="MDPI42tablebody"/>
              <w:spacing w:before="40" w:after="40"/>
              <w:jc w:val="left"/>
              <w:rPr>
                <w:rFonts w:ascii="Times New Roman" w:hAnsi="Times New Roman"/>
                <w:b/>
                <w:sz w:val="22"/>
                <w:szCs w:val="22"/>
              </w:rPr>
            </w:pPr>
            <w:r w:rsidRPr="002D303A">
              <w:rPr>
                <w:rFonts w:ascii="Times New Roman" w:eastAsia="Calibri" w:hAnsi="Times New Roman"/>
                <w:sz w:val="22"/>
                <w:szCs w:val="22"/>
              </w:rPr>
              <w:t>Potential future disruptions</w:t>
            </w:r>
          </w:p>
        </w:tc>
        <w:tc>
          <w:tcPr>
            <w:tcW w:w="11721" w:type="dxa"/>
            <w:tcBorders>
              <w:top w:val="nil"/>
              <w:right w:val="nil"/>
            </w:tcBorders>
            <w:vAlign w:val="center"/>
          </w:tcPr>
          <w:p w14:paraId="5A88FF09" w14:textId="13FE933A" w:rsidR="00570213" w:rsidRPr="002D303A" w:rsidRDefault="00570213" w:rsidP="00B55E50">
            <w:pPr>
              <w:pStyle w:val="MDPI42tablebody"/>
              <w:spacing w:before="40" w:after="40"/>
              <w:jc w:val="left"/>
              <w:rPr>
                <w:rFonts w:ascii="Times New Roman" w:hAnsi="Times New Roman"/>
                <w:sz w:val="22"/>
                <w:szCs w:val="22"/>
              </w:rPr>
            </w:pPr>
            <w:r w:rsidRPr="002D303A">
              <w:rPr>
                <w:rFonts w:ascii="Times New Roman" w:hAnsi="Times New Roman"/>
                <w:sz w:val="22"/>
                <w:szCs w:val="22"/>
              </w:rPr>
              <w:t>Advanced information on details of future disruptions; Climate change; Cultural influences on health; Demographic shifts; Energy crises; Geographic specificity; Global travel; Immigration; Inequality; Natural disasters; Pandemics; Supply chain; War</w:t>
            </w:r>
          </w:p>
        </w:tc>
      </w:tr>
      <w:tr w:rsidR="00570213" w:rsidRPr="002D303A" w14:paraId="3D3E8078" w14:textId="77777777" w:rsidTr="00B55E50">
        <w:trPr>
          <w:trHeight w:val="20"/>
        </w:trPr>
        <w:tc>
          <w:tcPr>
            <w:tcW w:w="3780" w:type="dxa"/>
            <w:tcBorders>
              <w:top w:val="single" w:sz="4" w:space="0" w:color="auto"/>
              <w:left w:val="nil"/>
            </w:tcBorders>
            <w:shd w:val="clear" w:color="auto" w:fill="auto"/>
            <w:vAlign w:val="center"/>
          </w:tcPr>
          <w:p w14:paraId="07BE0968" w14:textId="17AADA12" w:rsidR="00570213" w:rsidRPr="002D303A" w:rsidRDefault="00570213" w:rsidP="00B55E50">
            <w:pPr>
              <w:pStyle w:val="MDPI42tablebody"/>
              <w:spacing w:before="40" w:after="40"/>
              <w:jc w:val="left"/>
              <w:rPr>
                <w:rFonts w:ascii="Times New Roman" w:hAnsi="Times New Roman"/>
                <w:b/>
                <w:sz w:val="22"/>
                <w:szCs w:val="22"/>
              </w:rPr>
            </w:pPr>
            <w:r w:rsidRPr="002D303A">
              <w:rPr>
                <w:rFonts w:ascii="Times New Roman" w:eastAsia="Calibri" w:hAnsi="Times New Roman"/>
                <w:sz w:val="22"/>
                <w:szCs w:val="22"/>
              </w:rPr>
              <w:t>Research priorities</w:t>
            </w:r>
          </w:p>
        </w:tc>
        <w:tc>
          <w:tcPr>
            <w:tcW w:w="11721" w:type="dxa"/>
            <w:tcBorders>
              <w:top w:val="nil"/>
              <w:right w:val="nil"/>
            </w:tcBorders>
            <w:vAlign w:val="center"/>
          </w:tcPr>
          <w:p w14:paraId="207B8232" w14:textId="3B9AB12C" w:rsidR="00570213" w:rsidRPr="002D303A" w:rsidRDefault="00570213" w:rsidP="00B55E50">
            <w:pPr>
              <w:pStyle w:val="MDPI42tablebody"/>
              <w:spacing w:before="40" w:after="40"/>
              <w:jc w:val="left"/>
              <w:rPr>
                <w:rFonts w:ascii="Times New Roman" w:hAnsi="Times New Roman"/>
                <w:sz w:val="22"/>
                <w:szCs w:val="22"/>
              </w:rPr>
            </w:pPr>
            <w:r w:rsidRPr="002D303A">
              <w:rPr>
                <w:rFonts w:ascii="Times New Roman" w:hAnsi="Times New Roman"/>
                <w:sz w:val="22"/>
                <w:szCs w:val="22"/>
              </w:rPr>
              <w:t>Reconsidering OSH research priorities; Strengthening foundational OSH</w:t>
            </w:r>
          </w:p>
        </w:tc>
      </w:tr>
      <w:tr w:rsidR="00570213" w:rsidRPr="002D303A" w14:paraId="49888E2C" w14:textId="77777777" w:rsidTr="00B55E50">
        <w:trPr>
          <w:trHeight w:val="20"/>
        </w:trPr>
        <w:tc>
          <w:tcPr>
            <w:tcW w:w="3780" w:type="dxa"/>
            <w:tcBorders>
              <w:top w:val="single" w:sz="4" w:space="0" w:color="auto"/>
              <w:left w:val="nil"/>
              <w:bottom w:val="single" w:sz="4" w:space="0" w:color="auto"/>
            </w:tcBorders>
            <w:vAlign w:val="center"/>
          </w:tcPr>
          <w:p w14:paraId="21D3604D" w14:textId="107C9326" w:rsidR="00570213" w:rsidRPr="002D303A" w:rsidRDefault="00570213" w:rsidP="00B55E50">
            <w:pPr>
              <w:pStyle w:val="MDPI42tablebody"/>
              <w:spacing w:before="40" w:after="40"/>
              <w:jc w:val="left"/>
              <w:rPr>
                <w:rFonts w:ascii="Times New Roman" w:hAnsi="Times New Roman"/>
                <w:b/>
                <w:sz w:val="22"/>
                <w:szCs w:val="22"/>
              </w:rPr>
            </w:pPr>
            <w:r w:rsidRPr="002D303A">
              <w:rPr>
                <w:rFonts w:ascii="Times New Roman" w:eastAsia="Calibri" w:hAnsi="Times New Roman"/>
                <w:sz w:val="22"/>
                <w:szCs w:val="22"/>
              </w:rPr>
              <w:t>New technologies</w:t>
            </w:r>
          </w:p>
        </w:tc>
        <w:tc>
          <w:tcPr>
            <w:tcW w:w="11721" w:type="dxa"/>
            <w:tcBorders>
              <w:top w:val="nil"/>
              <w:bottom w:val="single" w:sz="4" w:space="0" w:color="auto"/>
              <w:right w:val="nil"/>
            </w:tcBorders>
            <w:vAlign w:val="center"/>
          </w:tcPr>
          <w:p w14:paraId="4522223E" w14:textId="312B13DF" w:rsidR="00570213" w:rsidRPr="002D303A" w:rsidRDefault="00570213" w:rsidP="00B55E50">
            <w:pPr>
              <w:pStyle w:val="MDPI42tablebody"/>
              <w:spacing w:before="40" w:after="40"/>
              <w:jc w:val="left"/>
              <w:rPr>
                <w:rFonts w:ascii="Times New Roman" w:hAnsi="Times New Roman"/>
                <w:sz w:val="22"/>
                <w:szCs w:val="22"/>
              </w:rPr>
            </w:pPr>
            <w:r w:rsidRPr="002D303A">
              <w:rPr>
                <w:rFonts w:ascii="Times New Roman" w:hAnsi="Times New Roman"/>
                <w:sz w:val="22"/>
                <w:szCs w:val="22"/>
              </w:rPr>
              <w:t>Artificial intelligence; Automation; Robotics; Role of technology in work</w:t>
            </w:r>
          </w:p>
        </w:tc>
      </w:tr>
      <w:tr w:rsidR="00570213" w:rsidRPr="002D303A" w14:paraId="231D7634" w14:textId="77777777" w:rsidTr="00B55E50">
        <w:trPr>
          <w:trHeight w:val="20"/>
        </w:trPr>
        <w:tc>
          <w:tcPr>
            <w:tcW w:w="3780" w:type="dxa"/>
            <w:tcBorders>
              <w:top w:val="single" w:sz="4" w:space="0" w:color="auto"/>
              <w:left w:val="nil"/>
              <w:bottom w:val="single" w:sz="4" w:space="0" w:color="auto"/>
            </w:tcBorders>
            <w:vAlign w:val="center"/>
          </w:tcPr>
          <w:p w14:paraId="16C30C2C" w14:textId="1625CB89" w:rsidR="00570213" w:rsidRPr="002D303A" w:rsidRDefault="00570213" w:rsidP="00B55E50">
            <w:pPr>
              <w:pStyle w:val="MDPI42tablebody"/>
              <w:spacing w:before="40" w:after="40"/>
              <w:jc w:val="left"/>
              <w:rPr>
                <w:rFonts w:ascii="Times New Roman" w:hAnsi="Times New Roman"/>
                <w:b/>
                <w:sz w:val="22"/>
                <w:szCs w:val="22"/>
              </w:rPr>
            </w:pPr>
            <w:r w:rsidRPr="002D303A">
              <w:rPr>
                <w:rFonts w:ascii="Times New Roman" w:eastAsia="Calibri" w:hAnsi="Times New Roman"/>
                <w:sz w:val="22"/>
                <w:szCs w:val="22"/>
              </w:rPr>
              <w:t>Data quality</w:t>
            </w:r>
          </w:p>
        </w:tc>
        <w:tc>
          <w:tcPr>
            <w:tcW w:w="11721" w:type="dxa"/>
            <w:tcBorders>
              <w:top w:val="single" w:sz="4" w:space="0" w:color="auto"/>
              <w:bottom w:val="single" w:sz="4" w:space="0" w:color="auto"/>
              <w:right w:val="nil"/>
            </w:tcBorders>
            <w:vAlign w:val="center"/>
          </w:tcPr>
          <w:p w14:paraId="53B6B3D3" w14:textId="3124C5F0" w:rsidR="00570213" w:rsidRPr="002D303A" w:rsidRDefault="00570213" w:rsidP="00B55E50">
            <w:pPr>
              <w:pStyle w:val="MDPI42tablebody"/>
              <w:spacing w:before="40" w:after="40"/>
              <w:jc w:val="left"/>
              <w:rPr>
                <w:rFonts w:ascii="Times New Roman" w:hAnsi="Times New Roman"/>
                <w:sz w:val="22"/>
                <w:szCs w:val="22"/>
              </w:rPr>
            </w:pPr>
            <w:r w:rsidRPr="002D303A">
              <w:rPr>
                <w:rFonts w:ascii="Times New Roman" w:hAnsi="Times New Roman"/>
                <w:sz w:val="22"/>
                <w:szCs w:val="22"/>
              </w:rPr>
              <w:t>Lagging and leading indicators; Surveillance and tracking systems</w:t>
            </w:r>
          </w:p>
        </w:tc>
      </w:tr>
      <w:tr w:rsidR="00570213" w:rsidRPr="002D303A" w14:paraId="753E4FEA" w14:textId="77777777" w:rsidTr="00B55E50">
        <w:trPr>
          <w:trHeight w:val="20"/>
        </w:trPr>
        <w:tc>
          <w:tcPr>
            <w:tcW w:w="3780" w:type="dxa"/>
            <w:tcBorders>
              <w:top w:val="single" w:sz="4" w:space="0" w:color="auto"/>
              <w:left w:val="nil"/>
              <w:bottom w:val="single" w:sz="4" w:space="0" w:color="auto"/>
            </w:tcBorders>
            <w:vAlign w:val="center"/>
          </w:tcPr>
          <w:p w14:paraId="3C4C667B" w14:textId="42FDF91F" w:rsidR="00570213" w:rsidRPr="002D303A" w:rsidRDefault="00570213" w:rsidP="00B55E50">
            <w:pPr>
              <w:pStyle w:val="MDPI42tablebody"/>
              <w:spacing w:before="40" w:after="40"/>
              <w:jc w:val="left"/>
              <w:rPr>
                <w:rFonts w:ascii="Times New Roman" w:hAnsi="Times New Roman"/>
                <w:b/>
                <w:sz w:val="22"/>
                <w:szCs w:val="22"/>
              </w:rPr>
            </w:pPr>
            <w:r w:rsidRPr="002D303A">
              <w:rPr>
                <w:rFonts w:ascii="Times New Roman" w:eastAsia="Calibri" w:hAnsi="Times New Roman"/>
                <w:sz w:val="22"/>
                <w:szCs w:val="22"/>
              </w:rPr>
              <w:t>Leadership</w:t>
            </w:r>
          </w:p>
        </w:tc>
        <w:tc>
          <w:tcPr>
            <w:tcW w:w="11721" w:type="dxa"/>
            <w:tcBorders>
              <w:top w:val="single" w:sz="4" w:space="0" w:color="auto"/>
              <w:bottom w:val="single" w:sz="4" w:space="0" w:color="auto"/>
              <w:right w:val="nil"/>
            </w:tcBorders>
            <w:vAlign w:val="center"/>
          </w:tcPr>
          <w:p w14:paraId="5A04625C" w14:textId="72908658" w:rsidR="00570213" w:rsidRPr="002D303A" w:rsidRDefault="00570213" w:rsidP="00B55E50">
            <w:pPr>
              <w:pStyle w:val="MDPI42tablebody"/>
              <w:spacing w:before="40" w:after="40"/>
              <w:jc w:val="left"/>
              <w:rPr>
                <w:rFonts w:ascii="Times New Roman" w:hAnsi="Times New Roman"/>
                <w:sz w:val="22"/>
                <w:szCs w:val="22"/>
              </w:rPr>
            </w:pPr>
            <w:r w:rsidRPr="002D303A">
              <w:rPr>
                <w:rFonts w:ascii="Times New Roman" w:hAnsi="Times New Roman"/>
                <w:sz w:val="22"/>
                <w:szCs w:val="22"/>
              </w:rPr>
              <w:t>Proactive leadership; Support from OSH decision-makers</w:t>
            </w:r>
          </w:p>
        </w:tc>
      </w:tr>
      <w:tr w:rsidR="00570213" w:rsidRPr="002D303A" w14:paraId="17B6A859" w14:textId="77777777" w:rsidTr="00B55E50">
        <w:trPr>
          <w:trHeight w:val="20"/>
        </w:trPr>
        <w:tc>
          <w:tcPr>
            <w:tcW w:w="3780" w:type="dxa"/>
            <w:tcBorders>
              <w:top w:val="single" w:sz="4" w:space="0" w:color="auto"/>
              <w:left w:val="nil"/>
              <w:bottom w:val="single" w:sz="4" w:space="0" w:color="auto"/>
            </w:tcBorders>
            <w:vAlign w:val="center"/>
          </w:tcPr>
          <w:p w14:paraId="728CC4CF" w14:textId="244AF680" w:rsidR="00570213" w:rsidRPr="002D303A" w:rsidRDefault="00570213" w:rsidP="00B55E50">
            <w:pPr>
              <w:pStyle w:val="MDPI42tablebody"/>
              <w:spacing w:before="40" w:after="40"/>
              <w:jc w:val="left"/>
              <w:rPr>
                <w:rFonts w:ascii="Times New Roman" w:hAnsi="Times New Roman"/>
                <w:kern w:val="24"/>
                <w:sz w:val="22"/>
                <w:szCs w:val="22"/>
              </w:rPr>
            </w:pPr>
            <w:r w:rsidRPr="002D303A">
              <w:rPr>
                <w:rFonts w:ascii="Times New Roman" w:eastAsia="Calibri" w:hAnsi="Times New Roman"/>
                <w:sz w:val="22"/>
                <w:szCs w:val="22"/>
              </w:rPr>
              <w:t>IT infrastructure</w:t>
            </w:r>
          </w:p>
        </w:tc>
        <w:tc>
          <w:tcPr>
            <w:tcW w:w="11721" w:type="dxa"/>
            <w:tcBorders>
              <w:top w:val="single" w:sz="4" w:space="0" w:color="auto"/>
              <w:bottom w:val="single" w:sz="4" w:space="0" w:color="auto"/>
              <w:right w:val="nil"/>
            </w:tcBorders>
            <w:vAlign w:val="center"/>
          </w:tcPr>
          <w:p w14:paraId="1D671C55" w14:textId="179D7719" w:rsidR="00570213" w:rsidRPr="002D303A" w:rsidRDefault="00570213" w:rsidP="00B55E50">
            <w:pPr>
              <w:pStyle w:val="MDPI42tablebody"/>
              <w:spacing w:before="40" w:after="40"/>
              <w:jc w:val="left"/>
              <w:rPr>
                <w:rFonts w:ascii="Times New Roman" w:hAnsi="Times New Roman"/>
                <w:sz w:val="22"/>
                <w:szCs w:val="22"/>
              </w:rPr>
            </w:pPr>
            <w:r w:rsidRPr="002D303A">
              <w:rPr>
                <w:rFonts w:ascii="Times New Roman" w:hAnsi="Times New Roman"/>
                <w:sz w:val="22"/>
                <w:szCs w:val="22"/>
              </w:rPr>
              <w:t>Data security; IT requirements</w:t>
            </w:r>
          </w:p>
        </w:tc>
      </w:tr>
      <w:tr w:rsidR="00570213" w:rsidRPr="002D303A" w14:paraId="4D0109A0" w14:textId="77777777" w:rsidTr="00B55E50">
        <w:trPr>
          <w:trHeight w:val="20"/>
        </w:trPr>
        <w:tc>
          <w:tcPr>
            <w:tcW w:w="3780" w:type="dxa"/>
            <w:tcBorders>
              <w:top w:val="single" w:sz="4" w:space="0" w:color="auto"/>
              <w:left w:val="nil"/>
              <w:bottom w:val="single" w:sz="4" w:space="0" w:color="auto"/>
            </w:tcBorders>
            <w:vAlign w:val="center"/>
          </w:tcPr>
          <w:p w14:paraId="386ABDC2" w14:textId="6ADF56FA" w:rsidR="00570213" w:rsidRPr="002D303A" w:rsidRDefault="00570213" w:rsidP="00B55E50">
            <w:pPr>
              <w:pStyle w:val="MDPI42tablebody"/>
              <w:spacing w:before="40" w:after="40"/>
              <w:jc w:val="left"/>
              <w:rPr>
                <w:rFonts w:ascii="Times New Roman" w:hAnsi="Times New Roman"/>
                <w:kern w:val="24"/>
                <w:sz w:val="22"/>
                <w:szCs w:val="22"/>
              </w:rPr>
            </w:pPr>
            <w:r w:rsidRPr="002D303A">
              <w:rPr>
                <w:rFonts w:ascii="Times New Roman" w:eastAsia="Calibri" w:hAnsi="Times New Roman"/>
                <w:sz w:val="22"/>
                <w:szCs w:val="22"/>
              </w:rPr>
              <w:t>New risks and hazards</w:t>
            </w:r>
          </w:p>
        </w:tc>
        <w:tc>
          <w:tcPr>
            <w:tcW w:w="11721" w:type="dxa"/>
            <w:tcBorders>
              <w:top w:val="single" w:sz="4" w:space="0" w:color="auto"/>
              <w:bottom w:val="single" w:sz="4" w:space="0" w:color="auto"/>
              <w:right w:val="nil"/>
            </w:tcBorders>
            <w:vAlign w:val="center"/>
          </w:tcPr>
          <w:p w14:paraId="71FE8A00" w14:textId="0444DE42" w:rsidR="00570213" w:rsidRPr="002D303A" w:rsidRDefault="00570213" w:rsidP="00B55E50">
            <w:pPr>
              <w:pStyle w:val="MDPI42tablebody"/>
              <w:spacing w:before="40" w:after="40"/>
              <w:jc w:val="left"/>
              <w:rPr>
                <w:rFonts w:ascii="Times New Roman" w:hAnsi="Times New Roman"/>
                <w:sz w:val="22"/>
                <w:szCs w:val="22"/>
              </w:rPr>
            </w:pPr>
            <w:r w:rsidRPr="002D303A">
              <w:rPr>
                <w:rFonts w:ascii="Times New Roman" w:hAnsi="Times New Roman"/>
                <w:sz w:val="22"/>
                <w:szCs w:val="22"/>
              </w:rPr>
              <w:t>Cumulative risk assessment; Ecological models; Increased turnover; Mental health; Multiple risk factors; New frontline workers during disruptions; Psychosocial risks and hazards</w:t>
            </w:r>
          </w:p>
        </w:tc>
      </w:tr>
      <w:tr w:rsidR="00570213" w:rsidRPr="002D303A" w14:paraId="4195390C" w14:textId="77777777" w:rsidTr="00B55E50">
        <w:trPr>
          <w:trHeight w:val="20"/>
        </w:trPr>
        <w:tc>
          <w:tcPr>
            <w:tcW w:w="3780" w:type="dxa"/>
            <w:tcBorders>
              <w:top w:val="single" w:sz="4" w:space="0" w:color="auto"/>
              <w:left w:val="nil"/>
              <w:bottom w:val="single" w:sz="4" w:space="0" w:color="auto"/>
            </w:tcBorders>
            <w:vAlign w:val="center"/>
          </w:tcPr>
          <w:p w14:paraId="3379ED34" w14:textId="1518A3CB" w:rsidR="00570213" w:rsidRPr="002D303A" w:rsidRDefault="00570213" w:rsidP="00B55E50">
            <w:pPr>
              <w:pStyle w:val="MDPI42tablebody"/>
              <w:spacing w:before="40" w:after="40"/>
              <w:jc w:val="left"/>
              <w:rPr>
                <w:rFonts w:ascii="Times New Roman" w:hAnsi="Times New Roman"/>
                <w:kern w:val="24"/>
                <w:sz w:val="22"/>
                <w:szCs w:val="22"/>
              </w:rPr>
            </w:pPr>
            <w:r w:rsidRPr="002D303A">
              <w:rPr>
                <w:rFonts w:ascii="Times New Roman" w:eastAsia="Calibri" w:hAnsi="Times New Roman"/>
                <w:sz w:val="22"/>
                <w:szCs w:val="22"/>
              </w:rPr>
              <w:t>Policy and regulation</w:t>
            </w:r>
          </w:p>
        </w:tc>
        <w:tc>
          <w:tcPr>
            <w:tcW w:w="11721" w:type="dxa"/>
            <w:tcBorders>
              <w:top w:val="single" w:sz="4" w:space="0" w:color="auto"/>
              <w:bottom w:val="single" w:sz="4" w:space="0" w:color="auto"/>
              <w:right w:val="nil"/>
            </w:tcBorders>
            <w:vAlign w:val="center"/>
          </w:tcPr>
          <w:p w14:paraId="678DAF91" w14:textId="51F8DC92" w:rsidR="00570213" w:rsidRPr="002D303A" w:rsidRDefault="00570213" w:rsidP="00B55E50">
            <w:pPr>
              <w:pStyle w:val="MDPI42tablebody"/>
              <w:spacing w:before="40" w:after="40"/>
              <w:jc w:val="left"/>
              <w:rPr>
                <w:rFonts w:ascii="Times New Roman" w:hAnsi="Times New Roman"/>
                <w:sz w:val="22"/>
                <w:szCs w:val="22"/>
              </w:rPr>
            </w:pPr>
            <w:r w:rsidRPr="002D303A">
              <w:rPr>
                <w:rFonts w:ascii="Times New Roman" w:hAnsi="Times New Roman"/>
                <w:sz w:val="22"/>
                <w:szCs w:val="22"/>
              </w:rPr>
              <w:t>Policy; Regulatory limitations; Risk management strategies</w:t>
            </w:r>
          </w:p>
        </w:tc>
      </w:tr>
      <w:tr w:rsidR="00570213" w:rsidRPr="002D303A" w14:paraId="44B2373D" w14:textId="77777777" w:rsidTr="00B55E50">
        <w:trPr>
          <w:trHeight w:val="20"/>
        </w:trPr>
        <w:tc>
          <w:tcPr>
            <w:tcW w:w="3780" w:type="dxa"/>
            <w:tcBorders>
              <w:top w:val="single" w:sz="4" w:space="0" w:color="auto"/>
              <w:left w:val="nil"/>
              <w:bottom w:val="single" w:sz="4" w:space="0" w:color="auto"/>
            </w:tcBorders>
            <w:vAlign w:val="center"/>
          </w:tcPr>
          <w:p w14:paraId="2AA7A251" w14:textId="6D5056AB" w:rsidR="00570213" w:rsidRPr="002D303A" w:rsidRDefault="00570213" w:rsidP="00B55E50">
            <w:pPr>
              <w:pStyle w:val="MDPI42tablebody"/>
              <w:spacing w:before="40" w:after="40"/>
              <w:jc w:val="left"/>
              <w:rPr>
                <w:rFonts w:ascii="Times New Roman" w:hAnsi="Times New Roman"/>
                <w:kern w:val="24"/>
                <w:sz w:val="22"/>
                <w:szCs w:val="22"/>
              </w:rPr>
            </w:pPr>
            <w:r w:rsidRPr="002D303A">
              <w:rPr>
                <w:rFonts w:ascii="Times New Roman" w:eastAsia="Calibri" w:hAnsi="Times New Roman"/>
                <w:sz w:val="22"/>
                <w:szCs w:val="22"/>
              </w:rPr>
              <w:t>Politicized public health</w:t>
            </w:r>
          </w:p>
        </w:tc>
        <w:tc>
          <w:tcPr>
            <w:tcW w:w="11721" w:type="dxa"/>
            <w:tcBorders>
              <w:top w:val="single" w:sz="4" w:space="0" w:color="auto"/>
              <w:bottom w:val="single" w:sz="4" w:space="0" w:color="auto"/>
              <w:right w:val="nil"/>
            </w:tcBorders>
            <w:vAlign w:val="center"/>
          </w:tcPr>
          <w:p w14:paraId="7C0AC847" w14:textId="6BA48D88" w:rsidR="00570213" w:rsidRPr="002D303A" w:rsidRDefault="00C940BE" w:rsidP="00B55E50">
            <w:pPr>
              <w:pStyle w:val="MDPI42tablebody"/>
              <w:spacing w:before="40" w:after="40"/>
              <w:jc w:val="left"/>
              <w:rPr>
                <w:rFonts w:ascii="Times New Roman" w:hAnsi="Times New Roman"/>
                <w:sz w:val="22"/>
                <w:szCs w:val="22"/>
              </w:rPr>
            </w:pPr>
            <w:r w:rsidRPr="002D303A">
              <w:rPr>
                <w:rFonts w:ascii="Times New Roman" w:hAnsi="Times New Roman"/>
                <w:sz w:val="22"/>
                <w:szCs w:val="22"/>
              </w:rPr>
              <w:t>Politicized public health during COVID-19</w:t>
            </w:r>
          </w:p>
        </w:tc>
      </w:tr>
      <w:tr w:rsidR="00570213" w:rsidRPr="002D303A" w14:paraId="16B77EF0" w14:textId="77777777" w:rsidTr="00B55E50">
        <w:trPr>
          <w:trHeight w:val="20"/>
        </w:trPr>
        <w:tc>
          <w:tcPr>
            <w:tcW w:w="3780" w:type="dxa"/>
            <w:tcBorders>
              <w:top w:val="single" w:sz="4" w:space="0" w:color="auto"/>
              <w:left w:val="nil"/>
              <w:bottom w:val="single" w:sz="4" w:space="0" w:color="auto"/>
            </w:tcBorders>
            <w:vAlign w:val="center"/>
          </w:tcPr>
          <w:p w14:paraId="0328DDBD" w14:textId="3E19D99A" w:rsidR="00570213" w:rsidRPr="002D303A" w:rsidRDefault="00570213" w:rsidP="00B55E50">
            <w:pPr>
              <w:pStyle w:val="MDPI42tablebody"/>
              <w:spacing w:before="40" w:after="40"/>
              <w:jc w:val="left"/>
              <w:rPr>
                <w:rFonts w:ascii="Times New Roman" w:hAnsi="Times New Roman"/>
                <w:kern w:val="24"/>
                <w:sz w:val="22"/>
                <w:szCs w:val="22"/>
              </w:rPr>
            </w:pPr>
            <w:r w:rsidRPr="002D303A">
              <w:rPr>
                <w:rFonts w:ascii="Times New Roman" w:eastAsia="Calibri" w:hAnsi="Times New Roman"/>
                <w:sz w:val="22"/>
                <w:szCs w:val="22"/>
              </w:rPr>
              <w:t>Threat perceptions</w:t>
            </w:r>
          </w:p>
        </w:tc>
        <w:tc>
          <w:tcPr>
            <w:tcW w:w="11721" w:type="dxa"/>
            <w:tcBorders>
              <w:top w:val="single" w:sz="4" w:space="0" w:color="auto"/>
              <w:bottom w:val="single" w:sz="4" w:space="0" w:color="auto"/>
              <w:right w:val="nil"/>
            </w:tcBorders>
            <w:vAlign w:val="center"/>
          </w:tcPr>
          <w:p w14:paraId="51CF3F2D" w14:textId="1D7BEB42" w:rsidR="00570213" w:rsidRPr="002D303A" w:rsidRDefault="00C940BE" w:rsidP="00B55E50">
            <w:pPr>
              <w:pStyle w:val="MDPI42tablebody"/>
              <w:spacing w:before="40" w:after="40"/>
              <w:jc w:val="left"/>
              <w:rPr>
                <w:rFonts w:ascii="Times New Roman" w:hAnsi="Times New Roman"/>
                <w:sz w:val="22"/>
                <w:szCs w:val="22"/>
              </w:rPr>
            </w:pPr>
            <w:r w:rsidRPr="002D303A">
              <w:rPr>
                <w:rFonts w:ascii="Times New Roman" w:hAnsi="Times New Roman"/>
                <w:sz w:val="22"/>
                <w:szCs w:val="22"/>
              </w:rPr>
              <w:t>False sense of security; Fear</w:t>
            </w:r>
          </w:p>
        </w:tc>
      </w:tr>
      <w:tr w:rsidR="00570213" w:rsidRPr="002D303A" w14:paraId="60F34DEA" w14:textId="77777777" w:rsidTr="00B55E50">
        <w:trPr>
          <w:trHeight w:val="20"/>
        </w:trPr>
        <w:tc>
          <w:tcPr>
            <w:tcW w:w="3780" w:type="dxa"/>
            <w:tcBorders>
              <w:top w:val="single" w:sz="4" w:space="0" w:color="auto"/>
              <w:left w:val="nil"/>
              <w:bottom w:val="single" w:sz="4" w:space="0" w:color="auto"/>
            </w:tcBorders>
            <w:vAlign w:val="center"/>
          </w:tcPr>
          <w:p w14:paraId="252B980C" w14:textId="00BDCFFA" w:rsidR="00570213" w:rsidRPr="002D303A" w:rsidRDefault="00570213" w:rsidP="00B55E50">
            <w:pPr>
              <w:pStyle w:val="MDPI42tablebody"/>
              <w:spacing w:before="40" w:after="40"/>
              <w:jc w:val="left"/>
              <w:rPr>
                <w:rFonts w:ascii="Times New Roman" w:hAnsi="Times New Roman"/>
                <w:kern w:val="24"/>
                <w:sz w:val="22"/>
                <w:szCs w:val="22"/>
              </w:rPr>
            </w:pPr>
            <w:r w:rsidRPr="002D303A">
              <w:rPr>
                <w:rFonts w:ascii="Times New Roman" w:eastAsia="Calibri" w:hAnsi="Times New Roman"/>
                <w:sz w:val="22"/>
                <w:szCs w:val="22"/>
              </w:rPr>
              <w:t>Innovation</w:t>
            </w:r>
          </w:p>
        </w:tc>
        <w:tc>
          <w:tcPr>
            <w:tcW w:w="11721" w:type="dxa"/>
            <w:tcBorders>
              <w:top w:val="single" w:sz="4" w:space="0" w:color="auto"/>
              <w:bottom w:val="single" w:sz="4" w:space="0" w:color="auto"/>
              <w:right w:val="nil"/>
            </w:tcBorders>
            <w:vAlign w:val="center"/>
          </w:tcPr>
          <w:p w14:paraId="1474D3F0" w14:textId="24D0831A" w:rsidR="00570213" w:rsidRPr="002D303A" w:rsidRDefault="00C940BE" w:rsidP="00B55E50">
            <w:pPr>
              <w:pStyle w:val="MDPI42tablebody"/>
              <w:spacing w:before="40" w:after="40"/>
              <w:jc w:val="left"/>
              <w:rPr>
                <w:rFonts w:ascii="Times New Roman" w:hAnsi="Times New Roman"/>
                <w:sz w:val="22"/>
                <w:szCs w:val="22"/>
              </w:rPr>
            </w:pPr>
            <w:r w:rsidRPr="002D303A">
              <w:rPr>
                <w:rFonts w:ascii="Times New Roman" w:hAnsi="Times New Roman"/>
                <w:sz w:val="22"/>
                <w:szCs w:val="22"/>
              </w:rPr>
              <w:t>Differences between disruption and innovation</w:t>
            </w:r>
          </w:p>
        </w:tc>
      </w:tr>
      <w:tr w:rsidR="00570213" w:rsidRPr="002D303A" w14:paraId="2D373B59" w14:textId="77777777" w:rsidTr="00B55E50">
        <w:trPr>
          <w:trHeight w:val="20"/>
        </w:trPr>
        <w:tc>
          <w:tcPr>
            <w:tcW w:w="3780" w:type="dxa"/>
            <w:tcBorders>
              <w:top w:val="single" w:sz="4" w:space="0" w:color="auto"/>
              <w:left w:val="nil"/>
              <w:bottom w:val="single" w:sz="4" w:space="0" w:color="auto"/>
            </w:tcBorders>
            <w:vAlign w:val="center"/>
          </w:tcPr>
          <w:p w14:paraId="4470C01B" w14:textId="0CE053EF" w:rsidR="00570213" w:rsidRPr="002D303A" w:rsidRDefault="00570213" w:rsidP="00B55E50">
            <w:pPr>
              <w:pStyle w:val="MDPI42tablebody"/>
              <w:spacing w:before="40" w:after="40"/>
              <w:jc w:val="left"/>
              <w:rPr>
                <w:rFonts w:ascii="Times New Roman" w:hAnsi="Times New Roman"/>
                <w:kern w:val="24"/>
                <w:sz w:val="22"/>
                <w:szCs w:val="22"/>
              </w:rPr>
            </w:pPr>
            <w:r w:rsidRPr="002D303A">
              <w:rPr>
                <w:rFonts w:ascii="Times New Roman" w:eastAsia="Calibri" w:hAnsi="Times New Roman"/>
                <w:sz w:val="22"/>
                <w:szCs w:val="22"/>
              </w:rPr>
              <w:t>Faulty assumptions</w:t>
            </w:r>
          </w:p>
        </w:tc>
        <w:tc>
          <w:tcPr>
            <w:tcW w:w="11721" w:type="dxa"/>
            <w:tcBorders>
              <w:top w:val="single" w:sz="4" w:space="0" w:color="auto"/>
              <w:bottom w:val="single" w:sz="4" w:space="0" w:color="auto"/>
              <w:right w:val="nil"/>
            </w:tcBorders>
            <w:vAlign w:val="center"/>
          </w:tcPr>
          <w:p w14:paraId="3486AA12" w14:textId="0233DF9A" w:rsidR="00570213" w:rsidRPr="002D303A" w:rsidRDefault="00C940BE" w:rsidP="00B55E50">
            <w:pPr>
              <w:pStyle w:val="MDPI42tablebody"/>
              <w:spacing w:before="40" w:after="40"/>
              <w:jc w:val="left"/>
              <w:rPr>
                <w:rFonts w:ascii="Times New Roman" w:hAnsi="Times New Roman"/>
                <w:sz w:val="22"/>
                <w:szCs w:val="22"/>
              </w:rPr>
            </w:pPr>
            <w:r w:rsidRPr="002D303A">
              <w:rPr>
                <w:rFonts w:ascii="Times New Roman" w:hAnsi="Times New Roman"/>
                <w:sz w:val="22"/>
                <w:szCs w:val="22"/>
              </w:rPr>
              <w:t>Learn where assumptions were faulty during past disruptions</w:t>
            </w:r>
          </w:p>
        </w:tc>
      </w:tr>
    </w:tbl>
    <w:p w14:paraId="491DB387" w14:textId="77777777" w:rsidR="00570213" w:rsidRPr="00B55E50" w:rsidRDefault="00570213">
      <w:pPr>
        <w:spacing w:line="240" w:lineRule="auto"/>
        <w:jc w:val="left"/>
        <w:rPr>
          <w:rFonts w:ascii="Times New Roman" w:eastAsia="Times New Roman" w:hAnsi="Times New Roman"/>
          <w:b/>
          <w:bCs/>
          <w:snapToGrid w:val="0"/>
          <w:sz w:val="22"/>
          <w:szCs w:val="22"/>
          <w:lang w:eastAsia="de-DE" w:bidi="en-US"/>
        </w:rPr>
      </w:pPr>
      <w:r w:rsidRPr="00B55E50">
        <w:rPr>
          <w:rFonts w:ascii="Times New Roman" w:hAnsi="Times New Roman"/>
          <w:b/>
          <w:bCs/>
          <w:sz w:val="22"/>
          <w:szCs w:val="22"/>
        </w:rPr>
        <w:br w:type="page"/>
      </w:r>
    </w:p>
    <w:p w14:paraId="686F9334" w14:textId="08C21F07" w:rsidR="0040486A" w:rsidRPr="0059796C" w:rsidRDefault="0040486A" w:rsidP="0040486A">
      <w:pPr>
        <w:spacing w:line="240" w:lineRule="auto"/>
        <w:jc w:val="left"/>
        <w:rPr>
          <w:rFonts w:ascii="Times New Roman" w:hAnsi="Times New Roman"/>
          <w:sz w:val="22"/>
          <w:szCs w:val="22"/>
        </w:rPr>
      </w:pPr>
      <w:r w:rsidRPr="0059796C">
        <w:rPr>
          <w:rFonts w:ascii="Times New Roman" w:hAnsi="Times New Roman"/>
          <w:b/>
          <w:bCs/>
          <w:sz w:val="22"/>
          <w:szCs w:val="22"/>
        </w:rPr>
        <w:lastRenderedPageBreak/>
        <w:t xml:space="preserve">Table S3. </w:t>
      </w:r>
      <w:r w:rsidRPr="0059796C">
        <w:rPr>
          <w:rFonts w:ascii="Times New Roman" w:hAnsi="Times New Roman"/>
          <w:sz w:val="22"/>
          <w:szCs w:val="22"/>
        </w:rPr>
        <w:t xml:space="preserve">Sample worksheet for SME small group discussion of uncertainties and drivers in each </w:t>
      </w:r>
      <w:r w:rsidR="00110E67">
        <w:rPr>
          <w:rFonts w:ascii="Times New Roman" w:hAnsi="Times New Roman"/>
          <w:sz w:val="22"/>
          <w:szCs w:val="22"/>
        </w:rPr>
        <w:t xml:space="preserve">future </w:t>
      </w:r>
      <w:r w:rsidRPr="0059796C">
        <w:rPr>
          <w:rFonts w:ascii="Times New Roman" w:hAnsi="Times New Roman"/>
          <w:sz w:val="22"/>
          <w:szCs w:val="22"/>
        </w:rPr>
        <w:t>scenario</w:t>
      </w:r>
    </w:p>
    <w:p w14:paraId="74BE02FB" w14:textId="77777777" w:rsidR="0059796C" w:rsidRPr="0059796C" w:rsidRDefault="0059796C" w:rsidP="0040486A">
      <w:pPr>
        <w:spacing w:line="240" w:lineRule="auto"/>
        <w:jc w:val="left"/>
        <w:rPr>
          <w:rFonts w:ascii="Times New Roman" w:hAnsi="Times New Roman"/>
          <w:sz w:val="22"/>
          <w:szCs w:val="22"/>
        </w:rPr>
      </w:pPr>
    </w:p>
    <w:p w14:paraId="289443A2" w14:textId="7970BADF" w:rsidR="0040486A" w:rsidRPr="0059796C" w:rsidRDefault="0040486A" w:rsidP="0040486A">
      <w:pPr>
        <w:spacing w:line="240" w:lineRule="auto"/>
        <w:jc w:val="left"/>
        <w:rPr>
          <w:rFonts w:ascii="Times New Roman" w:hAnsi="Times New Roman"/>
          <w:sz w:val="22"/>
          <w:szCs w:val="22"/>
        </w:rPr>
      </w:pPr>
      <w:r w:rsidRPr="0059796C">
        <w:rPr>
          <w:rFonts w:ascii="Times New Roman" w:hAnsi="Times New Roman"/>
          <w:sz w:val="22"/>
          <w:szCs w:val="22"/>
        </w:rPr>
        <w:t>Scenario A: Trusted Partnerships__________________________</w:t>
      </w:r>
    </w:p>
    <w:p w14:paraId="4514287E" w14:textId="77777777" w:rsidR="0059796C" w:rsidRPr="0059796C" w:rsidRDefault="0059796C" w:rsidP="0040486A">
      <w:pPr>
        <w:spacing w:line="240" w:lineRule="auto"/>
        <w:jc w:val="left"/>
        <w:rPr>
          <w:rFonts w:ascii="Times New Roman" w:hAnsi="Times New Roman"/>
          <w:sz w:val="22"/>
          <w:szCs w:val="22"/>
        </w:rPr>
      </w:pPr>
    </w:p>
    <w:p w14:paraId="33914A3F" w14:textId="4E84FFA0" w:rsidR="0059796C" w:rsidRPr="0059796C" w:rsidRDefault="0040486A" w:rsidP="0040486A">
      <w:pPr>
        <w:spacing w:line="240" w:lineRule="auto"/>
        <w:jc w:val="left"/>
        <w:rPr>
          <w:rFonts w:ascii="Times New Roman" w:hAnsi="Times New Roman"/>
          <w:sz w:val="22"/>
          <w:szCs w:val="22"/>
        </w:rPr>
      </w:pPr>
      <w:r w:rsidRPr="0059796C">
        <w:rPr>
          <w:rFonts w:ascii="Times New Roman" w:hAnsi="Times New Roman"/>
          <w:sz w:val="22"/>
          <w:szCs w:val="22"/>
        </w:rPr>
        <w:t>Y-axis defining pole: 3. Trust in government - Government regains</w:t>
      </w:r>
      <w:r w:rsidR="0059796C" w:rsidRPr="0059796C">
        <w:rPr>
          <w:rFonts w:ascii="Times New Roman" w:hAnsi="Times New Roman"/>
          <w:sz w:val="22"/>
          <w:szCs w:val="22"/>
        </w:rPr>
        <w:t xml:space="preserve"> its</w:t>
      </w:r>
      <w:r w:rsidRPr="0059796C">
        <w:rPr>
          <w:rFonts w:ascii="Times New Roman" w:hAnsi="Times New Roman"/>
          <w:sz w:val="22"/>
          <w:szCs w:val="22"/>
        </w:rPr>
        <w:t xml:space="preserve"> </w:t>
      </w:r>
      <w:proofErr w:type="gramStart"/>
      <w:r w:rsidRPr="0059796C">
        <w:rPr>
          <w:rFonts w:ascii="Times New Roman" w:hAnsi="Times New Roman"/>
          <w:sz w:val="22"/>
          <w:szCs w:val="22"/>
        </w:rPr>
        <w:t>reputation</w:t>
      </w:r>
      <w:proofErr w:type="gramEnd"/>
    </w:p>
    <w:p w14:paraId="0F0DA170" w14:textId="06078699" w:rsidR="0040486A" w:rsidRPr="0059796C" w:rsidRDefault="0040486A" w:rsidP="0040486A">
      <w:pPr>
        <w:spacing w:line="240" w:lineRule="auto"/>
        <w:jc w:val="left"/>
        <w:rPr>
          <w:rFonts w:ascii="Times New Roman" w:hAnsi="Times New Roman"/>
          <w:sz w:val="22"/>
          <w:szCs w:val="22"/>
        </w:rPr>
      </w:pPr>
      <w:r w:rsidRPr="0059796C">
        <w:rPr>
          <w:rFonts w:ascii="Times New Roman" w:hAnsi="Times New Roman"/>
          <w:sz w:val="22"/>
          <w:szCs w:val="22"/>
        </w:rPr>
        <w:t xml:space="preserve">X-axis defining pole: 8. Workforce health and safety </w:t>
      </w:r>
      <w:r w:rsidR="0059796C" w:rsidRPr="0059796C">
        <w:rPr>
          <w:rFonts w:ascii="Times New Roman" w:hAnsi="Times New Roman"/>
          <w:sz w:val="22"/>
          <w:szCs w:val="22"/>
        </w:rPr>
        <w:t>–</w:t>
      </w:r>
      <w:r w:rsidRPr="0059796C">
        <w:rPr>
          <w:rFonts w:ascii="Times New Roman" w:hAnsi="Times New Roman"/>
          <w:sz w:val="22"/>
          <w:szCs w:val="22"/>
        </w:rPr>
        <w:t xml:space="preserve"> </w:t>
      </w:r>
      <w:r w:rsidR="0059796C" w:rsidRPr="0059796C">
        <w:rPr>
          <w:rFonts w:ascii="Times New Roman" w:hAnsi="Times New Roman"/>
          <w:sz w:val="22"/>
          <w:szCs w:val="22"/>
        </w:rPr>
        <w:t>OSH r</w:t>
      </w:r>
      <w:r w:rsidRPr="0059796C">
        <w:rPr>
          <w:rFonts w:ascii="Times New Roman" w:hAnsi="Times New Roman"/>
          <w:sz w:val="22"/>
          <w:szCs w:val="22"/>
        </w:rPr>
        <w:t>emains</w:t>
      </w:r>
      <w:r w:rsidR="0059796C" w:rsidRPr="0059796C">
        <w:rPr>
          <w:rFonts w:ascii="Times New Roman" w:hAnsi="Times New Roman"/>
          <w:sz w:val="22"/>
          <w:szCs w:val="22"/>
        </w:rPr>
        <w:t xml:space="preserve"> an</w:t>
      </w:r>
      <w:r w:rsidRPr="0059796C">
        <w:rPr>
          <w:rFonts w:ascii="Times New Roman" w:hAnsi="Times New Roman"/>
          <w:sz w:val="22"/>
          <w:szCs w:val="22"/>
        </w:rPr>
        <w:t xml:space="preserve"> employer </w:t>
      </w:r>
      <w:proofErr w:type="gramStart"/>
      <w:r w:rsidRPr="0059796C">
        <w:rPr>
          <w:rFonts w:ascii="Times New Roman" w:hAnsi="Times New Roman"/>
          <w:sz w:val="22"/>
          <w:szCs w:val="22"/>
        </w:rPr>
        <w:t>responsibility</w:t>
      </w:r>
      <w:proofErr w:type="gramEnd"/>
    </w:p>
    <w:p w14:paraId="08024E53" w14:textId="77777777" w:rsidR="0040486A" w:rsidRPr="0059796C" w:rsidRDefault="0040486A" w:rsidP="0040486A">
      <w:pPr>
        <w:spacing w:line="240" w:lineRule="auto"/>
        <w:jc w:val="left"/>
        <w:rPr>
          <w:rFonts w:ascii="Times New Roman" w:eastAsia="Times New Roman" w:hAnsi="Times New Roman"/>
          <w:b/>
          <w:bCs/>
          <w:snapToGrid w:val="0"/>
          <w:sz w:val="22"/>
          <w:szCs w:val="22"/>
          <w:lang w:eastAsia="de-DE" w:bidi="en-US"/>
        </w:rPr>
      </w:pPr>
    </w:p>
    <w:tbl>
      <w:tblPr>
        <w:tblStyle w:val="TableGrid"/>
        <w:tblW w:w="15552" w:type="dxa"/>
        <w:tblLook w:val="04A0" w:firstRow="1" w:lastRow="0" w:firstColumn="1" w:lastColumn="0" w:noHBand="0" w:noVBand="1"/>
      </w:tblPr>
      <w:tblGrid>
        <w:gridCol w:w="3420"/>
        <w:gridCol w:w="4050"/>
        <w:gridCol w:w="3960"/>
        <w:gridCol w:w="4122"/>
      </w:tblGrid>
      <w:tr w:rsidR="0059796C" w:rsidRPr="0059796C" w14:paraId="38EF543E" w14:textId="77777777" w:rsidTr="0059796C">
        <w:trPr>
          <w:trHeight w:val="593"/>
        </w:trPr>
        <w:tc>
          <w:tcPr>
            <w:tcW w:w="3420" w:type="dxa"/>
            <w:tcBorders>
              <w:left w:val="nil"/>
            </w:tcBorders>
            <w:vAlign w:val="center"/>
          </w:tcPr>
          <w:p w14:paraId="1B6F2A01" w14:textId="78505578" w:rsidR="0040486A" w:rsidRPr="0059796C" w:rsidRDefault="0059796C" w:rsidP="0059796C">
            <w:pPr>
              <w:pStyle w:val="MDPI42tablebody"/>
              <w:rPr>
                <w:rFonts w:ascii="Times New Roman" w:hAnsi="Times New Roman"/>
                <w:b/>
                <w:iCs/>
                <w:sz w:val="22"/>
              </w:rPr>
            </w:pPr>
            <w:r w:rsidRPr="0059796C">
              <w:rPr>
                <w:rFonts w:ascii="Times New Roman" w:hAnsi="Times New Roman"/>
                <w:b/>
                <w:iCs/>
                <w:sz w:val="22"/>
              </w:rPr>
              <w:t>Uncertainty</w:t>
            </w:r>
          </w:p>
        </w:tc>
        <w:tc>
          <w:tcPr>
            <w:tcW w:w="4050" w:type="dxa"/>
            <w:tcBorders>
              <w:right w:val="nil"/>
            </w:tcBorders>
            <w:vAlign w:val="center"/>
          </w:tcPr>
          <w:p w14:paraId="12AB225C" w14:textId="7E0B2906" w:rsidR="0040486A" w:rsidRPr="0059796C" w:rsidRDefault="0059796C" w:rsidP="0059796C">
            <w:pPr>
              <w:pStyle w:val="MDPI42tablebody"/>
              <w:rPr>
                <w:rFonts w:ascii="Times New Roman" w:hAnsi="Times New Roman"/>
                <w:b/>
                <w:iCs/>
                <w:sz w:val="22"/>
              </w:rPr>
            </w:pPr>
            <w:r w:rsidRPr="0059796C">
              <w:rPr>
                <w:rFonts w:ascii="Times New Roman" w:hAnsi="Times New Roman"/>
                <w:b/>
                <w:iCs/>
                <w:sz w:val="22"/>
              </w:rPr>
              <w:t>Associated Driver</w:t>
            </w:r>
            <w:r>
              <w:rPr>
                <w:rFonts w:ascii="Times New Roman" w:hAnsi="Times New Roman"/>
                <w:b/>
                <w:iCs/>
                <w:sz w:val="22"/>
              </w:rPr>
              <w:t>*</w:t>
            </w:r>
          </w:p>
        </w:tc>
        <w:tc>
          <w:tcPr>
            <w:tcW w:w="3960" w:type="dxa"/>
            <w:tcBorders>
              <w:right w:val="nil"/>
            </w:tcBorders>
            <w:vAlign w:val="center"/>
          </w:tcPr>
          <w:p w14:paraId="58F667FC" w14:textId="03A93D16" w:rsidR="0040486A" w:rsidRPr="0059796C" w:rsidRDefault="0059796C" w:rsidP="0059796C">
            <w:pPr>
              <w:pStyle w:val="MDPI42tablebody"/>
              <w:rPr>
                <w:rFonts w:ascii="Times New Roman" w:hAnsi="Times New Roman"/>
                <w:b/>
                <w:iCs/>
                <w:sz w:val="22"/>
              </w:rPr>
            </w:pPr>
            <w:r w:rsidRPr="0059796C">
              <w:rPr>
                <w:rFonts w:ascii="Times New Roman" w:hAnsi="Times New Roman"/>
                <w:b/>
                <w:iCs/>
                <w:sz w:val="22"/>
              </w:rPr>
              <w:t>Relevant to Scenario (Yes/No)*</w:t>
            </w:r>
            <w:r>
              <w:rPr>
                <w:rFonts w:ascii="Times New Roman" w:hAnsi="Times New Roman"/>
                <w:b/>
                <w:iCs/>
                <w:sz w:val="22"/>
              </w:rPr>
              <w:t>*</w:t>
            </w:r>
          </w:p>
        </w:tc>
        <w:tc>
          <w:tcPr>
            <w:tcW w:w="4122" w:type="dxa"/>
            <w:tcBorders>
              <w:right w:val="nil"/>
            </w:tcBorders>
            <w:vAlign w:val="center"/>
          </w:tcPr>
          <w:p w14:paraId="778D3A14" w14:textId="5C062B3F" w:rsidR="0059796C" w:rsidRPr="0059796C" w:rsidRDefault="0059796C" w:rsidP="0059796C">
            <w:pPr>
              <w:pStyle w:val="MDPI42tablebody"/>
              <w:rPr>
                <w:rFonts w:ascii="Times New Roman" w:hAnsi="Times New Roman"/>
                <w:b/>
                <w:iCs/>
                <w:sz w:val="22"/>
              </w:rPr>
            </w:pPr>
            <w:r w:rsidRPr="0059796C">
              <w:rPr>
                <w:rFonts w:ascii="Times New Roman" w:hAnsi="Times New Roman"/>
                <w:b/>
                <w:iCs/>
                <w:sz w:val="22"/>
              </w:rPr>
              <w:t xml:space="preserve">If </w:t>
            </w:r>
            <w:proofErr w:type="gramStart"/>
            <w:r w:rsidRPr="0059796C">
              <w:rPr>
                <w:rFonts w:ascii="Times New Roman" w:hAnsi="Times New Roman"/>
                <w:b/>
                <w:iCs/>
                <w:sz w:val="22"/>
              </w:rPr>
              <w:t>Yes</w:t>
            </w:r>
            <w:proofErr w:type="gramEnd"/>
            <w:r w:rsidRPr="0059796C">
              <w:rPr>
                <w:rFonts w:ascii="Times New Roman" w:hAnsi="Times New Roman"/>
                <w:b/>
                <w:iCs/>
                <w:sz w:val="22"/>
              </w:rPr>
              <w:t>, please describe how this</w:t>
            </w:r>
          </w:p>
          <w:p w14:paraId="4BFFDEC6" w14:textId="2E43332E" w:rsidR="0040486A" w:rsidRPr="0059796C" w:rsidRDefault="0059796C" w:rsidP="0059796C">
            <w:pPr>
              <w:pStyle w:val="MDPI42tablebody"/>
              <w:rPr>
                <w:rFonts w:ascii="Times New Roman" w:hAnsi="Times New Roman"/>
                <w:b/>
                <w:iCs/>
                <w:sz w:val="22"/>
              </w:rPr>
            </w:pPr>
            <w:r w:rsidRPr="0059796C">
              <w:rPr>
                <w:rFonts w:ascii="Times New Roman" w:hAnsi="Times New Roman"/>
                <w:b/>
                <w:iCs/>
                <w:sz w:val="22"/>
              </w:rPr>
              <w:t>uncertainty plays out in this scenario*</w:t>
            </w:r>
            <w:r>
              <w:rPr>
                <w:rFonts w:ascii="Times New Roman" w:hAnsi="Times New Roman"/>
                <w:b/>
                <w:iCs/>
                <w:sz w:val="22"/>
              </w:rPr>
              <w:t>*</w:t>
            </w:r>
          </w:p>
        </w:tc>
      </w:tr>
      <w:tr w:rsidR="0059796C" w:rsidRPr="0059796C" w14:paraId="24575549" w14:textId="77777777" w:rsidTr="0059796C">
        <w:trPr>
          <w:trHeight w:val="20"/>
        </w:trPr>
        <w:tc>
          <w:tcPr>
            <w:tcW w:w="3420" w:type="dxa"/>
            <w:tcBorders>
              <w:top w:val="single" w:sz="4" w:space="0" w:color="auto"/>
              <w:left w:val="nil"/>
            </w:tcBorders>
          </w:tcPr>
          <w:p w14:paraId="4412202C" w14:textId="054540AC" w:rsidR="0059796C" w:rsidRPr="0059796C" w:rsidRDefault="0059796C" w:rsidP="0059796C">
            <w:pPr>
              <w:pStyle w:val="MDPI42tablebody"/>
              <w:spacing w:before="40" w:after="40"/>
              <w:jc w:val="left"/>
              <w:rPr>
                <w:rFonts w:ascii="Times New Roman" w:hAnsi="Times New Roman"/>
                <w:b/>
                <w:iCs/>
                <w:sz w:val="22"/>
              </w:rPr>
            </w:pPr>
            <w:r w:rsidRPr="0059796C">
              <w:rPr>
                <w:rFonts w:ascii="Times New Roman" w:hAnsi="Times New Roman"/>
                <w:iCs/>
                <w:kern w:val="24"/>
                <w:sz w:val="22"/>
              </w:rPr>
              <w:t>1. Training of the OSH workforce</w:t>
            </w:r>
          </w:p>
        </w:tc>
        <w:tc>
          <w:tcPr>
            <w:tcW w:w="4050" w:type="dxa"/>
            <w:tcBorders>
              <w:top w:val="nil"/>
              <w:right w:val="nil"/>
            </w:tcBorders>
          </w:tcPr>
          <w:p w14:paraId="06690072" w14:textId="527881A8" w:rsidR="0059796C" w:rsidRPr="0059796C" w:rsidRDefault="0059796C" w:rsidP="0059796C">
            <w:pPr>
              <w:pStyle w:val="MDPI42tablebody"/>
              <w:spacing w:before="40" w:after="40"/>
              <w:jc w:val="left"/>
              <w:rPr>
                <w:rFonts w:ascii="Times New Roman" w:hAnsi="Times New Roman"/>
                <w:iCs/>
                <w:sz w:val="22"/>
              </w:rPr>
            </w:pPr>
            <w:r w:rsidRPr="0059796C">
              <w:rPr>
                <w:rFonts w:ascii="Times New Roman" w:hAnsi="Times New Roman"/>
                <w:iCs/>
                <w:kern w:val="24"/>
                <w:sz w:val="22"/>
              </w:rPr>
              <w:t>Fast education</w:t>
            </w:r>
          </w:p>
        </w:tc>
        <w:tc>
          <w:tcPr>
            <w:tcW w:w="3960" w:type="dxa"/>
            <w:tcBorders>
              <w:top w:val="nil"/>
              <w:right w:val="nil"/>
            </w:tcBorders>
          </w:tcPr>
          <w:p w14:paraId="1E3CF965" w14:textId="77777777" w:rsidR="0059796C" w:rsidRPr="0059796C" w:rsidRDefault="0059796C" w:rsidP="0059796C">
            <w:pPr>
              <w:pStyle w:val="MDPI42tablebody"/>
              <w:spacing w:before="40" w:after="40"/>
              <w:jc w:val="left"/>
              <w:rPr>
                <w:rFonts w:ascii="Times New Roman" w:hAnsi="Times New Roman"/>
                <w:iCs/>
                <w:sz w:val="22"/>
              </w:rPr>
            </w:pPr>
          </w:p>
        </w:tc>
        <w:tc>
          <w:tcPr>
            <w:tcW w:w="4122" w:type="dxa"/>
            <w:tcBorders>
              <w:top w:val="nil"/>
              <w:right w:val="nil"/>
            </w:tcBorders>
          </w:tcPr>
          <w:p w14:paraId="7CA4C791" w14:textId="77777777" w:rsidR="0059796C" w:rsidRPr="0059796C" w:rsidRDefault="0059796C" w:rsidP="0059796C">
            <w:pPr>
              <w:pStyle w:val="MDPI42tablebody"/>
              <w:spacing w:before="40" w:after="40"/>
              <w:jc w:val="left"/>
              <w:rPr>
                <w:rFonts w:ascii="Times New Roman" w:hAnsi="Times New Roman"/>
                <w:iCs/>
                <w:sz w:val="22"/>
              </w:rPr>
            </w:pPr>
          </w:p>
        </w:tc>
      </w:tr>
      <w:tr w:rsidR="0059796C" w:rsidRPr="0059796C" w14:paraId="5CD91AE9" w14:textId="77777777" w:rsidTr="0059796C">
        <w:trPr>
          <w:trHeight w:val="20"/>
        </w:trPr>
        <w:tc>
          <w:tcPr>
            <w:tcW w:w="3420" w:type="dxa"/>
            <w:tcBorders>
              <w:top w:val="single" w:sz="4" w:space="0" w:color="auto"/>
              <w:left w:val="nil"/>
            </w:tcBorders>
          </w:tcPr>
          <w:p w14:paraId="6C195BE8" w14:textId="4CCEC5CC" w:rsidR="0059796C" w:rsidRPr="0059796C" w:rsidRDefault="0059796C" w:rsidP="0059796C">
            <w:pPr>
              <w:pStyle w:val="MDPI42tablebody"/>
              <w:spacing w:before="40" w:after="40"/>
              <w:jc w:val="left"/>
              <w:rPr>
                <w:rFonts w:ascii="Times New Roman" w:hAnsi="Times New Roman"/>
                <w:b/>
                <w:iCs/>
                <w:sz w:val="22"/>
              </w:rPr>
            </w:pPr>
            <w:r w:rsidRPr="0059796C">
              <w:rPr>
                <w:rFonts w:ascii="Times New Roman" w:hAnsi="Times New Roman"/>
                <w:iCs/>
                <w:kern w:val="24"/>
                <w:sz w:val="22"/>
              </w:rPr>
              <w:t>2. Influence of organized labor</w:t>
            </w:r>
          </w:p>
        </w:tc>
        <w:tc>
          <w:tcPr>
            <w:tcW w:w="4050" w:type="dxa"/>
            <w:tcBorders>
              <w:top w:val="nil"/>
              <w:right w:val="nil"/>
            </w:tcBorders>
          </w:tcPr>
          <w:p w14:paraId="23E7BDAE" w14:textId="3B7E91DD" w:rsidR="0059796C" w:rsidRPr="0059796C" w:rsidRDefault="0059796C" w:rsidP="0059796C">
            <w:pPr>
              <w:pStyle w:val="NormalWeb"/>
              <w:spacing w:line="256" w:lineRule="auto"/>
              <w:rPr>
                <w:rFonts w:ascii="Times New Roman" w:hAnsi="Times New Roman"/>
                <w:iCs/>
                <w:sz w:val="22"/>
                <w:szCs w:val="22"/>
              </w:rPr>
            </w:pPr>
            <w:r w:rsidRPr="0059796C">
              <w:rPr>
                <w:rFonts w:ascii="Times New Roman" w:hAnsi="Times New Roman"/>
                <w:iCs/>
                <w:kern w:val="24"/>
                <w:sz w:val="22"/>
                <w:szCs w:val="22"/>
              </w:rPr>
              <w:t>Reformation of the labor movement</w:t>
            </w:r>
          </w:p>
        </w:tc>
        <w:tc>
          <w:tcPr>
            <w:tcW w:w="3960" w:type="dxa"/>
            <w:tcBorders>
              <w:top w:val="nil"/>
              <w:right w:val="nil"/>
            </w:tcBorders>
          </w:tcPr>
          <w:p w14:paraId="2199AE33" w14:textId="77777777" w:rsidR="0059796C" w:rsidRPr="0059796C" w:rsidRDefault="0059796C" w:rsidP="0059796C">
            <w:pPr>
              <w:pStyle w:val="MDPI42tablebody"/>
              <w:spacing w:before="40" w:after="40"/>
              <w:jc w:val="left"/>
              <w:rPr>
                <w:rFonts w:ascii="Times New Roman" w:hAnsi="Times New Roman"/>
                <w:iCs/>
                <w:sz w:val="22"/>
              </w:rPr>
            </w:pPr>
          </w:p>
        </w:tc>
        <w:tc>
          <w:tcPr>
            <w:tcW w:w="4122" w:type="dxa"/>
            <w:tcBorders>
              <w:top w:val="nil"/>
              <w:right w:val="nil"/>
            </w:tcBorders>
          </w:tcPr>
          <w:p w14:paraId="1827035B" w14:textId="77777777" w:rsidR="0059796C" w:rsidRPr="0059796C" w:rsidRDefault="0059796C" w:rsidP="0059796C">
            <w:pPr>
              <w:pStyle w:val="MDPI42tablebody"/>
              <w:spacing w:before="40" w:after="40"/>
              <w:jc w:val="left"/>
              <w:rPr>
                <w:rFonts w:ascii="Times New Roman" w:hAnsi="Times New Roman"/>
                <w:iCs/>
                <w:sz w:val="22"/>
              </w:rPr>
            </w:pPr>
          </w:p>
        </w:tc>
      </w:tr>
      <w:tr w:rsidR="0059796C" w:rsidRPr="0059796C" w14:paraId="49CE4C38" w14:textId="77777777" w:rsidTr="0059796C">
        <w:trPr>
          <w:trHeight w:val="20"/>
        </w:trPr>
        <w:tc>
          <w:tcPr>
            <w:tcW w:w="3420" w:type="dxa"/>
            <w:tcBorders>
              <w:top w:val="single" w:sz="4" w:space="0" w:color="auto"/>
              <w:left w:val="nil"/>
            </w:tcBorders>
          </w:tcPr>
          <w:p w14:paraId="0975C70E" w14:textId="33870F9B" w:rsidR="0059796C" w:rsidRPr="0059796C" w:rsidRDefault="0059796C" w:rsidP="0059796C">
            <w:pPr>
              <w:pStyle w:val="MDPI42tablebody"/>
              <w:spacing w:before="40" w:after="40"/>
              <w:jc w:val="left"/>
              <w:rPr>
                <w:rFonts w:ascii="Times New Roman" w:hAnsi="Times New Roman"/>
                <w:b/>
                <w:iCs/>
                <w:sz w:val="22"/>
              </w:rPr>
            </w:pPr>
            <w:r w:rsidRPr="0059796C">
              <w:rPr>
                <w:rFonts w:ascii="Times New Roman" w:hAnsi="Times New Roman"/>
                <w:iCs/>
                <w:kern w:val="24"/>
                <w:sz w:val="22"/>
              </w:rPr>
              <w:t>3. Trust in government</w:t>
            </w:r>
          </w:p>
        </w:tc>
        <w:tc>
          <w:tcPr>
            <w:tcW w:w="4050" w:type="dxa"/>
            <w:tcBorders>
              <w:top w:val="nil"/>
              <w:right w:val="nil"/>
            </w:tcBorders>
          </w:tcPr>
          <w:p w14:paraId="06621205" w14:textId="034500F3" w:rsidR="0059796C" w:rsidRPr="0059796C" w:rsidRDefault="0059796C" w:rsidP="0059796C">
            <w:pPr>
              <w:rPr>
                <w:rFonts w:ascii="Times New Roman" w:hAnsi="Times New Roman"/>
                <w:iCs/>
                <w:sz w:val="22"/>
                <w:szCs w:val="22"/>
              </w:rPr>
            </w:pPr>
            <w:r w:rsidRPr="0059796C">
              <w:rPr>
                <w:rFonts w:ascii="Times New Roman" w:hAnsi="Times New Roman"/>
                <w:iCs/>
                <w:kern w:val="24"/>
                <w:sz w:val="22"/>
                <w:szCs w:val="22"/>
              </w:rPr>
              <w:t>Who’s really in charge?</w:t>
            </w:r>
          </w:p>
        </w:tc>
        <w:tc>
          <w:tcPr>
            <w:tcW w:w="3960" w:type="dxa"/>
            <w:tcBorders>
              <w:top w:val="nil"/>
              <w:right w:val="nil"/>
            </w:tcBorders>
          </w:tcPr>
          <w:p w14:paraId="21277C73" w14:textId="77777777" w:rsidR="0059796C" w:rsidRPr="0059796C" w:rsidRDefault="0059796C" w:rsidP="0059796C">
            <w:pPr>
              <w:pStyle w:val="MDPI42tablebody"/>
              <w:spacing w:before="40" w:after="40"/>
              <w:jc w:val="left"/>
              <w:rPr>
                <w:rFonts w:ascii="Times New Roman" w:hAnsi="Times New Roman"/>
                <w:iCs/>
                <w:sz w:val="22"/>
              </w:rPr>
            </w:pPr>
          </w:p>
        </w:tc>
        <w:tc>
          <w:tcPr>
            <w:tcW w:w="4122" w:type="dxa"/>
            <w:tcBorders>
              <w:top w:val="nil"/>
              <w:right w:val="nil"/>
            </w:tcBorders>
          </w:tcPr>
          <w:p w14:paraId="5DF88ACF" w14:textId="77777777" w:rsidR="0059796C" w:rsidRPr="0059796C" w:rsidRDefault="0059796C" w:rsidP="0059796C">
            <w:pPr>
              <w:pStyle w:val="MDPI42tablebody"/>
              <w:spacing w:before="40" w:after="40"/>
              <w:jc w:val="left"/>
              <w:rPr>
                <w:rFonts w:ascii="Times New Roman" w:hAnsi="Times New Roman"/>
                <w:iCs/>
                <w:sz w:val="22"/>
              </w:rPr>
            </w:pPr>
          </w:p>
        </w:tc>
      </w:tr>
      <w:tr w:rsidR="0059796C" w:rsidRPr="0059796C" w14:paraId="1AF2387B" w14:textId="77777777" w:rsidTr="0059796C">
        <w:trPr>
          <w:trHeight w:val="20"/>
        </w:trPr>
        <w:tc>
          <w:tcPr>
            <w:tcW w:w="3420" w:type="dxa"/>
            <w:tcBorders>
              <w:top w:val="single" w:sz="4" w:space="0" w:color="auto"/>
              <w:left w:val="nil"/>
            </w:tcBorders>
            <w:shd w:val="clear" w:color="auto" w:fill="auto"/>
          </w:tcPr>
          <w:p w14:paraId="4853C107" w14:textId="5F6E87BF" w:rsidR="0059796C" w:rsidRPr="0059796C" w:rsidRDefault="0059796C" w:rsidP="0059796C">
            <w:pPr>
              <w:pStyle w:val="MDPI42tablebody"/>
              <w:spacing w:before="40" w:after="40"/>
              <w:jc w:val="left"/>
              <w:rPr>
                <w:rFonts w:ascii="Times New Roman" w:hAnsi="Times New Roman"/>
                <w:b/>
                <w:iCs/>
                <w:sz w:val="22"/>
              </w:rPr>
            </w:pPr>
            <w:r w:rsidRPr="0059796C">
              <w:rPr>
                <w:rFonts w:ascii="Times New Roman" w:hAnsi="Times New Roman"/>
                <w:iCs/>
                <w:kern w:val="24"/>
                <w:sz w:val="22"/>
              </w:rPr>
              <w:t>4. Global supply chain</w:t>
            </w:r>
          </w:p>
        </w:tc>
        <w:tc>
          <w:tcPr>
            <w:tcW w:w="4050" w:type="dxa"/>
            <w:tcBorders>
              <w:top w:val="nil"/>
              <w:right w:val="nil"/>
            </w:tcBorders>
          </w:tcPr>
          <w:p w14:paraId="5021027B" w14:textId="502A5AFB" w:rsidR="0059796C" w:rsidRPr="0059796C" w:rsidRDefault="0059796C" w:rsidP="0059796C">
            <w:pPr>
              <w:pStyle w:val="MDPI42tablebody"/>
              <w:spacing w:before="40" w:after="40"/>
              <w:jc w:val="left"/>
              <w:rPr>
                <w:rFonts w:ascii="Times New Roman" w:hAnsi="Times New Roman"/>
                <w:iCs/>
                <w:sz w:val="22"/>
              </w:rPr>
            </w:pPr>
            <w:r w:rsidRPr="0059796C">
              <w:rPr>
                <w:rFonts w:ascii="Times New Roman" w:hAnsi="Times New Roman"/>
                <w:iCs/>
                <w:kern w:val="24"/>
                <w:sz w:val="22"/>
              </w:rPr>
              <w:t>The great reshoring</w:t>
            </w:r>
          </w:p>
        </w:tc>
        <w:tc>
          <w:tcPr>
            <w:tcW w:w="3960" w:type="dxa"/>
            <w:tcBorders>
              <w:top w:val="nil"/>
              <w:right w:val="nil"/>
            </w:tcBorders>
          </w:tcPr>
          <w:p w14:paraId="1B2A6533" w14:textId="77777777" w:rsidR="0059796C" w:rsidRPr="0059796C" w:rsidRDefault="0059796C" w:rsidP="0059796C">
            <w:pPr>
              <w:pStyle w:val="MDPI42tablebody"/>
              <w:spacing w:before="40" w:after="40"/>
              <w:jc w:val="left"/>
              <w:rPr>
                <w:rFonts w:ascii="Times New Roman" w:hAnsi="Times New Roman"/>
                <w:iCs/>
                <w:sz w:val="22"/>
              </w:rPr>
            </w:pPr>
          </w:p>
        </w:tc>
        <w:tc>
          <w:tcPr>
            <w:tcW w:w="4122" w:type="dxa"/>
            <w:tcBorders>
              <w:top w:val="nil"/>
              <w:right w:val="nil"/>
            </w:tcBorders>
          </w:tcPr>
          <w:p w14:paraId="3CDBE33D" w14:textId="77777777" w:rsidR="0059796C" w:rsidRPr="0059796C" w:rsidRDefault="0059796C" w:rsidP="0059796C">
            <w:pPr>
              <w:pStyle w:val="MDPI42tablebody"/>
              <w:spacing w:before="40" w:after="40"/>
              <w:jc w:val="left"/>
              <w:rPr>
                <w:rFonts w:ascii="Times New Roman" w:hAnsi="Times New Roman"/>
                <w:iCs/>
                <w:sz w:val="22"/>
              </w:rPr>
            </w:pPr>
          </w:p>
        </w:tc>
      </w:tr>
      <w:tr w:rsidR="0059796C" w:rsidRPr="0059796C" w14:paraId="6F0F9A1C" w14:textId="77777777" w:rsidTr="0059796C">
        <w:trPr>
          <w:trHeight w:val="20"/>
        </w:trPr>
        <w:tc>
          <w:tcPr>
            <w:tcW w:w="3420" w:type="dxa"/>
            <w:tcBorders>
              <w:top w:val="single" w:sz="4" w:space="0" w:color="auto"/>
              <w:left w:val="nil"/>
            </w:tcBorders>
            <w:shd w:val="clear" w:color="auto" w:fill="auto"/>
          </w:tcPr>
          <w:p w14:paraId="64109821" w14:textId="2E5A8D71" w:rsidR="0059796C" w:rsidRPr="0059796C" w:rsidRDefault="0059796C" w:rsidP="0059796C">
            <w:pPr>
              <w:pStyle w:val="MDPI42tablebody"/>
              <w:spacing w:before="40" w:after="40"/>
              <w:jc w:val="left"/>
              <w:rPr>
                <w:rFonts w:ascii="Times New Roman" w:hAnsi="Times New Roman"/>
                <w:b/>
                <w:iCs/>
                <w:sz w:val="22"/>
              </w:rPr>
            </w:pPr>
            <w:r w:rsidRPr="0059796C">
              <w:rPr>
                <w:rFonts w:ascii="Times New Roman" w:hAnsi="Times New Roman"/>
                <w:iCs/>
                <w:kern w:val="24"/>
                <w:sz w:val="22"/>
              </w:rPr>
              <w:t>5. Regulatory policy &amp; practice</w:t>
            </w:r>
          </w:p>
        </w:tc>
        <w:tc>
          <w:tcPr>
            <w:tcW w:w="4050" w:type="dxa"/>
            <w:tcBorders>
              <w:top w:val="nil"/>
              <w:right w:val="nil"/>
            </w:tcBorders>
          </w:tcPr>
          <w:p w14:paraId="6BA91A14" w14:textId="03F12F8C" w:rsidR="0059796C" w:rsidRPr="0059796C" w:rsidRDefault="0059796C" w:rsidP="0059796C">
            <w:pPr>
              <w:pStyle w:val="MDPI42tablebody"/>
              <w:spacing w:before="40" w:after="40"/>
              <w:jc w:val="left"/>
              <w:rPr>
                <w:rFonts w:ascii="Times New Roman" w:hAnsi="Times New Roman"/>
                <w:iCs/>
                <w:sz w:val="22"/>
              </w:rPr>
            </w:pPr>
            <w:r w:rsidRPr="0059796C">
              <w:rPr>
                <w:rFonts w:ascii="Times New Roman" w:hAnsi="Times New Roman"/>
                <w:iCs/>
                <w:kern w:val="24"/>
                <w:sz w:val="22"/>
              </w:rPr>
              <w:t>Break from tradition</w:t>
            </w:r>
          </w:p>
        </w:tc>
        <w:tc>
          <w:tcPr>
            <w:tcW w:w="3960" w:type="dxa"/>
            <w:tcBorders>
              <w:top w:val="nil"/>
              <w:right w:val="nil"/>
            </w:tcBorders>
          </w:tcPr>
          <w:p w14:paraId="7335CA35" w14:textId="77777777" w:rsidR="0059796C" w:rsidRPr="0059796C" w:rsidRDefault="0059796C" w:rsidP="0059796C">
            <w:pPr>
              <w:pStyle w:val="MDPI42tablebody"/>
              <w:spacing w:before="40" w:after="40"/>
              <w:jc w:val="left"/>
              <w:rPr>
                <w:rFonts w:ascii="Times New Roman" w:hAnsi="Times New Roman"/>
                <w:iCs/>
                <w:sz w:val="22"/>
              </w:rPr>
            </w:pPr>
          </w:p>
        </w:tc>
        <w:tc>
          <w:tcPr>
            <w:tcW w:w="4122" w:type="dxa"/>
            <w:tcBorders>
              <w:top w:val="nil"/>
              <w:right w:val="nil"/>
            </w:tcBorders>
          </w:tcPr>
          <w:p w14:paraId="33396451" w14:textId="77777777" w:rsidR="0059796C" w:rsidRPr="0059796C" w:rsidRDefault="0059796C" w:rsidP="0059796C">
            <w:pPr>
              <w:pStyle w:val="MDPI42tablebody"/>
              <w:spacing w:before="40" w:after="40"/>
              <w:jc w:val="left"/>
              <w:rPr>
                <w:rFonts w:ascii="Times New Roman" w:hAnsi="Times New Roman"/>
                <w:iCs/>
                <w:sz w:val="22"/>
              </w:rPr>
            </w:pPr>
          </w:p>
        </w:tc>
      </w:tr>
      <w:tr w:rsidR="0059796C" w:rsidRPr="0059796C" w14:paraId="09A80DF1" w14:textId="77777777" w:rsidTr="0059796C">
        <w:trPr>
          <w:trHeight w:val="20"/>
        </w:trPr>
        <w:tc>
          <w:tcPr>
            <w:tcW w:w="3420" w:type="dxa"/>
            <w:tcBorders>
              <w:top w:val="single" w:sz="4" w:space="0" w:color="auto"/>
              <w:left w:val="nil"/>
            </w:tcBorders>
            <w:shd w:val="clear" w:color="auto" w:fill="auto"/>
          </w:tcPr>
          <w:p w14:paraId="1438EBEF" w14:textId="62F106D5" w:rsidR="0059796C" w:rsidRPr="0059796C" w:rsidRDefault="0059796C" w:rsidP="0059796C">
            <w:pPr>
              <w:pStyle w:val="MDPI42tablebody"/>
              <w:spacing w:before="40" w:after="40"/>
              <w:jc w:val="left"/>
              <w:rPr>
                <w:rFonts w:ascii="Times New Roman" w:hAnsi="Times New Roman"/>
                <w:b/>
                <w:iCs/>
                <w:sz w:val="22"/>
              </w:rPr>
            </w:pPr>
            <w:r w:rsidRPr="0059796C">
              <w:rPr>
                <w:rFonts w:ascii="Times New Roman" w:hAnsi="Times New Roman"/>
                <w:iCs/>
                <w:kern w:val="24"/>
                <w:sz w:val="22"/>
              </w:rPr>
              <w:t>6. Social connectedness</w:t>
            </w:r>
          </w:p>
        </w:tc>
        <w:tc>
          <w:tcPr>
            <w:tcW w:w="4050" w:type="dxa"/>
            <w:tcBorders>
              <w:top w:val="nil"/>
              <w:right w:val="nil"/>
            </w:tcBorders>
          </w:tcPr>
          <w:p w14:paraId="66BFDAD5" w14:textId="56B9B199" w:rsidR="0059796C" w:rsidRPr="0059796C" w:rsidRDefault="0059796C" w:rsidP="0059796C">
            <w:pPr>
              <w:pStyle w:val="MDPI42tablebody"/>
              <w:spacing w:before="40" w:after="40"/>
              <w:jc w:val="left"/>
              <w:rPr>
                <w:rFonts w:ascii="Times New Roman" w:hAnsi="Times New Roman"/>
                <w:iCs/>
                <w:sz w:val="22"/>
              </w:rPr>
            </w:pPr>
            <w:r w:rsidRPr="0059796C">
              <w:rPr>
                <w:rFonts w:ascii="Times New Roman" w:hAnsi="Times New Roman"/>
                <w:iCs/>
                <w:kern w:val="24"/>
                <w:sz w:val="22"/>
              </w:rPr>
              <w:t>The big (social) rip</w:t>
            </w:r>
          </w:p>
        </w:tc>
        <w:tc>
          <w:tcPr>
            <w:tcW w:w="3960" w:type="dxa"/>
            <w:tcBorders>
              <w:top w:val="nil"/>
              <w:right w:val="nil"/>
            </w:tcBorders>
          </w:tcPr>
          <w:p w14:paraId="6C7EFC76" w14:textId="77777777" w:rsidR="0059796C" w:rsidRPr="0059796C" w:rsidRDefault="0059796C" w:rsidP="0059796C">
            <w:pPr>
              <w:pStyle w:val="MDPI42tablebody"/>
              <w:spacing w:before="40" w:after="40"/>
              <w:jc w:val="left"/>
              <w:rPr>
                <w:rFonts w:ascii="Times New Roman" w:hAnsi="Times New Roman"/>
                <w:iCs/>
                <w:sz w:val="22"/>
              </w:rPr>
            </w:pPr>
          </w:p>
        </w:tc>
        <w:tc>
          <w:tcPr>
            <w:tcW w:w="4122" w:type="dxa"/>
            <w:tcBorders>
              <w:top w:val="nil"/>
              <w:right w:val="nil"/>
            </w:tcBorders>
          </w:tcPr>
          <w:p w14:paraId="5BFB4B1B" w14:textId="77777777" w:rsidR="0059796C" w:rsidRPr="0059796C" w:rsidRDefault="0059796C" w:rsidP="0059796C">
            <w:pPr>
              <w:pStyle w:val="MDPI42tablebody"/>
              <w:spacing w:before="40" w:after="40"/>
              <w:jc w:val="left"/>
              <w:rPr>
                <w:rFonts w:ascii="Times New Roman" w:hAnsi="Times New Roman"/>
                <w:iCs/>
                <w:sz w:val="22"/>
              </w:rPr>
            </w:pPr>
          </w:p>
        </w:tc>
      </w:tr>
      <w:tr w:rsidR="0059796C" w:rsidRPr="0059796C" w14:paraId="2A92B7F9" w14:textId="77777777" w:rsidTr="0059796C">
        <w:trPr>
          <w:trHeight w:val="20"/>
        </w:trPr>
        <w:tc>
          <w:tcPr>
            <w:tcW w:w="3420" w:type="dxa"/>
            <w:tcBorders>
              <w:top w:val="single" w:sz="4" w:space="0" w:color="auto"/>
              <w:left w:val="nil"/>
            </w:tcBorders>
            <w:shd w:val="clear" w:color="auto" w:fill="auto"/>
          </w:tcPr>
          <w:p w14:paraId="17AC1FB0" w14:textId="53A010F7" w:rsidR="0059796C" w:rsidRPr="0059796C" w:rsidRDefault="0059796C" w:rsidP="0059796C">
            <w:pPr>
              <w:pStyle w:val="MDPI42tablebody"/>
              <w:spacing w:before="40" w:after="40"/>
              <w:jc w:val="left"/>
              <w:rPr>
                <w:rFonts w:ascii="Times New Roman" w:hAnsi="Times New Roman"/>
                <w:b/>
                <w:iCs/>
                <w:sz w:val="22"/>
              </w:rPr>
            </w:pPr>
            <w:r w:rsidRPr="0059796C">
              <w:rPr>
                <w:rFonts w:ascii="Times New Roman" w:hAnsi="Times New Roman"/>
                <w:iCs/>
                <w:kern w:val="24"/>
                <w:sz w:val="22"/>
              </w:rPr>
              <w:t>7. The human element</w:t>
            </w:r>
          </w:p>
        </w:tc>
        <w:tc>
          <w:tcPr>
            <w:tcW w:w="4050" w:type="dxa"/>
            <w:tcBorders>
              <w:top w:val="nil"/>
              <w:right w:val="nil"/>
            </w:tcBorders>
          </w:tcPr>
          <w:p w14:paraId="41486D31" w14:textId="435D1B31" w:rsidR="0059796C" w:rsidRPr="0059796C" w:rsidRDefault="0059796C" w:rsidP="0059796C">
            <w:pPr>
              <w:rPr>
                <w:rFonts w:ascii="Times New Roman" w:hAnsi="Times New Roman"/>
                <w:iCs/>
                <w:sz w:val="22"/>
                <w:szCs w:val="22"/>
              </w:rPr>
            </w:pPr>
            <w:r w:rsidRPr="0059796C">
              <w:rPr>
                <w:rFonts w:ascii="Times New Roman" w:hAnsi="Times New Roman"/>
                <w:iCs/>
                <w:kern w:val="24"/>
                <w:sz w:val="22"/>
                <w:szCs w:val="22"/>
              </w:rPr>
              <w:t>Human is more human</w:t>
            </w:r>
          </w:p>
        </w:tc>
        <w:tc>
          <w:tcPr>
            <w:tcW w:w="3960" w:type="dxa"/>
            <w:tcBorders>
              <w:top w:val="nil"/>
              <w:right w:val="nil"/>
            </w:tcBorders>
          </w:tcPr>
          <w:p w14:paraId="74F50A0B" w14:textId="77777777" w:rsidR="0059796C" w:rsidRPr="0059796C" w:rsidRDefault="0059796C" w:rsidP="0059796C">
            <w:pPr>
              <w:pStyle w:val="MDPI42tablebody"/>
              <w:spacing w:before="40" w:after="40"/>
              <w:jc w:val="left"/>
              <w:rPr>
                <w:rFonts w:ascii="Times New Roman" w:hAnsi="Times New Roman"/>
                <w:iCs/>
                <w:sz w:val="22"/>
              </w:rPr>
            </w:pPr>
          </w:p>
        </w:tc>
        <w:tc>
          <w:tcPr>
            <w:tcW w:w="4122" w:type="dxa"/>
            <w:tcBorders>
              <w:top w:val="nil"/>
              <w:right w:val="nil"/>
            </w:tcBorders>
          </w:tcPr>
          <w:p w14:paraId="2880489F" w14:textId="77777777" w:rsidR="0059796C" w:rsidRPr="0059796C" w:rsidRDefault="0059796C" w:rsidP="0059796C">
            <w:pPr>
              <w:pStyle w:val="MDPI42tablebody"/>
              <w:spacing w:before="40" w:after="40"/>
              <w:jc w:val="left"/>
              <w:rPr>
                <w:rFonts w:ascii="Times New Roman" w:hAnsi="Times New Roman"/>
                <w:iCs/>
                <w:sz w:val="22"/>
              </w:rPr>
            </w:pPr>
          </w:p>
        </w:tc>
      </w:tr>
      <w:tr w:rsidR="0059796C" w:rsidRPr="0059796C" w14:paraId="10F19432" w14:textId="77777777" w:rsidTr="0059796C">
        <w:trPr>
          <w:trHeight w:val="20"/>
        </w:trPr>
        <w:tc>
          <w:tcPr>
            <w:tcW w:w="3420" w:type="dxa"/>
            <w:tcBorders>
              <w:top w:val="single" w:sz="4" w:space="0" w:color="auto"/>
              <w:left w:val="nil"/>
              <w:bottom w:val="single" w:sz="4" w:space="0" w:color="auto"/>
            </w:tcBorders>
          </w:tcPr>
          <w:p w14:paraId="7E2066DC" w14:textId="3EB7A9AC" w:rsidR="0059796C" w:rsidRPr="0059796C" w:rsidRDefault="0059796C" w:rsidP="0059796C">
            <w:pPr>
              <w:pStyle w:val="MDPI42tablebody"/>
              <w:spacing w:before="40" w:after="40"/>
              <w:jc w:val="left"/>
              <w:rPr>
                <w:rFonts w:ascii="Times New Roman" w:hAnsi="Times New Roman"/>
                <w:b/>
                <w:iCs/>
                <w:sz w:val="22"/>
              </w:rPr>
            </w:pPr>
            <w:r w:rsidRPr="0059796C">
              <w:rPr>
                <w:rFonts w:ascii="Times New Roman" w:hAnsi="Times New Roman"/>
                <w:iCs/>
                <w:kern w:val="24"/>
                <w:sz w:val="22"/>
              </w:rPr>
              <w:t xml:space="preserve">8. Workforce health &amp; safety </w:t>
            </w:r>
          </w:p>
        </w:tc>
        <w:tc>
          <w:tcPr>
            <w:tcW w:w="4050" w:type="dxa"/>
            <w:tcBorders>
              <w:top w:val="nil"/>
              <w:bottom w:val="single" w:sz="4" w:space="0" w:color="auto"/>
              <w:right w:val="nil"/>
            </w:tcBorders>
          </w:tcPr>
          <w:p w14:paraId="3C16F950" w14:textId="542167B3" w:rsidR="0059796C" w:rsidRPr="0059796C" w:rsidRDefault="0059796C" w:rsidP="0059796C">
            <w:pPr>
              <w:pStyle w:val="MDPI42tablebody"/>
              <w:spacing w:before="40" w:after="40"/>
              <w:jc w:val="left"/>
              <w:rPr>
                <w:rFonts w:ascii="Times New Roman" w:hAnsi="Times New Roman"/>
                <w:iCs/>
                <w:sz w:val="22"/>
              </w:rPr>
            </w:pPr>
            <w:r w:rsidRPr="0059796C">
              <w:rPr>
                <w:rFonts w:ascii="Times New Roman" w:hAnsi="Times New Roman"/>
                <w:iCs/>
                <w:kern w:val="24"/>
                <w:sz w:val="22"/>
              </w:rPr>
              <w:t>The self-reliant career</w:t>
            </w:r>
          </w:p>
        </w:tc>
        <w:tc>
          <w:tcPr>
            <w:tcW w:w="3960" w:type="dxa"/>
            <w:tcBorders>
              <w:top w:val="nil"/>
              <w:bottom w:val="single" w:sz="4" w:space="0" w:color="auto"/>
              <w:right w:val="nil"/>
            </w:tcBorders>
          </w:tcPr>
          <w:p w14:paraId="4F41B94E" w14:textId="77777777" w:rsidR="0059796C" w:rsidRPr="0059796C" w:rsidRDefault="0059796C" w:rsidP="0059796C">
            <w:pPr>
              <w:pStyle w:val="MDPI42tablebody"/>
              <w:spacing w:before="40" w:after="40"/>
              <w:jc w:val="left"/>
              <w:rPr>
                <w:rFonts w:ascii="Times New Roman" w:hAnsi="Times New Roman"/>
                <w:iCs/>
                <w:sz w:val="22"/>
              </w:rPr>
            </w:pPr>
          </w:p>
        </w:tc>
        <w:tc>
          <w:tcPr>
            <w:tcW w:w="4122" w:type="dxa"/>
            <w:tcBorders>
              <w:top w:val="nil"/>
              <w:bottom w:val="single" w:sz="4" w:space="0" w:color="auto"/>
              <w:right w:val="nil"/>
            </w:tcBorders>
          </w:tcPr>
          <w:p w14:paraId="20BDC0DF" w14:textId="77777777" w:rsidR="0059796C" w:rsidRPr="0059796C" w:rsidRDefault="0059796C" w:rsidP="0059796C">
            <w:pPr>
              <w:pStyle w:val="MDPI42tablebody"/>
              <w:spacing w:before="40" w:after="40"/>
              <w:jc w:val="left"/>
              <w:rPr>
                <w:rFonts w:ascii="Times New Roman" w:hAnsi="Times New Roman"/>
                <w:iCs/>
                <w:sz w:val="22"/>
              </w:rPr>
            </w:pPr>
          </w:p>
        </w:tc>
      </w:tr>
      <w:tr w:rsidR="0059796C" w:rsidRPr="0059796C" w14:paraId="6853874A" w14:textId="77777777" w:rsidTr="0059796C">
        <w:trPr>
          <w:trHeight w:val="20"/>
        </w:trPr>
        <w:tc>
          <w:tcPr>
            <w:tcW w:w="3420" w:type="dxa"/>
            <w:tcBorders>
              <w:top w:val="single" w:sz="4" w:space="0" w:color="auto"/>
              <w:left w:val="nil"/>
              <w:bottom w:val="single" w:sz="4" w:space="0" w:color="auto"/>
            </w:tcBorders>
          </w:tcPr>
          <w:p w14:paraId="0C4540B3" w14:textId="51D58A3E" w:rsidR="0059796C" w:rsidRPr="0059796C" w:rsidRDefault="0059796C" w:rsidP="0059796C">
            <w:pPr>
              <w:pStyle w:val="MDPI42tablebody"/>
              <w:spacing w:before="40" w:after="40"/>
              <w:jc w:val="left"/>
              <w:rPr>
                <w:rFonts w:ascii="Times New Roman" w:hAnsi="Times New Roman"/>
                <w:b/>
                <w:iCs/>
                <w:sz w:val="22"/>
              </w:rPr>
            </w:pPr>
            <w:r w:rsidRPr="0059796C">
              <w:rPr>
                <w:rFonts w:ascii="Times New Roman" w:hAnsi="Times New Roman"/>
                <w:iCs/>
                <w:kern w:val="24"/>
                <w:sz w:val="22"/>
              </w:rPr>
              <w:t>9. Remote economy</w:t>
            </w:r>
          </w:p>
        </w:tc>
        <w:tc>
          <w:tcPr>
            <w:tcW w:w="4050" w:type="dxa"/>
            <w:tcBorders>
              <w:top w:val="single" w:sz="4" w:space="0" w:color="auto"/>
              <w:bottom w:val="single" w:sz="4" w:space="0" w:color="auto"/>
              <w:right w:val="nil"/>
            </w:tcBorders>
          </w:tcPr>
          <w:p w14:paraId="57CFC78D" w14:textId="2D9ADE3C" w:rsidR="0059796C" w:rsidRPr="0059796C" w:rsidRDefault="0059796C" w:rsidP="0059796C">
            <w:pPr>
              <w:pStyle w:val="MDPI42tablebody"/>
              <w:spacing w:before="40" w:after="40"/>
              <w:jc w:val="left"/>
              <w:rPr>
                <w:rFonts w:ascii="Times New Roman" w:hAnsi="Times New Roman"/>
                <w:iCs/>
                <w:sz w:val="22"/>
              </w:rPr>
            </w:pPr>
            <w:r w:rsidRPr="0059796C">
              <w:rPr>
                <w:rFonts w:ascii="Times New Roman" w:hAnsi="Times New Roman"/>
                <w:iCs/>
                <w:kern w:val="24"/>
                <w:sz w:val="22"/>
              </w:rPr>
              <w:t>Tech-</w:t>
            </w:r>
            <w:proofErr w:type="spellStart"/>
            <w:r w:rsidRPr="0059796C">
              <w:rPr>
                <w:rFonts w:ascii="Times New Roman" w:hAnsi="Times New Roman"/>
                <w:iCs/>
                <w:kern w:val="24"/>
                <w:sz w:val="22"/>
              </w:rPr>
              <w:t>ccessibility</w:t>
            </w:r>
            <w:proofErr w:type="spellEnd"/>
          </w:p>
        </w:tc>
        <w:tc>
          <w:tcPr>
            <w:tcW w:w="3960" w:type="dxa"/>
            <w:tcBorders>
              <w:top w:val="single" w:sz="4" w:space="0" w:color="auto"/>
              <w:bottom w:val="single" w:sz="4" w:space="0" w:color="auto"/>
              <w:right w:val="nil"/>
            </w:tcBorders>
          </w:tcPr>
          <w:p w14:paraId="5F9A6828" w14:textId="77777777" w:rsidR="0059796C" w:rsidRPr="0059796C" w:rsidRDefault="0059796C" w:rsidP="0059796C">
            <w:pPr>
              <w:pStyle w:val="MDPI42tablebody"/>
              <w:spacing w:before="40" w:after="40"/>
              <w:jc w:val="left"/>
              <w:rPr>
                <w:rFonts w:ascii="Times New Roman" w:hAnsi="Times New Roman"/>
                <w:iCs/>
                <w:sz w:val="22"/>
              </w:rPr>
            </w:pPr>
          </w:p>
        </w:tc>
        <w:tc>
          <w:tcPr>
            <w:tcW w:w="4122" w:type="dxa"/>
            <w:tcBorders>
              <w:top w:val="single" w:sz="4" w:space="0" w:color="auto"/>
              <w:bottom w:val="single" w:sz="4" w:space="0" w:color="auto"/>
              <w:right w:val="nil"/>
            </w:tcBorders>
          </w:tcPr>
          <w:p w14:paraId="63A21E72" w14:textId="77777777" w:rsidR="0059796C" w:rsidRPr="0059796C" w:rsidRDefault="0059796C" w:rsidP="0059796C">
            <w:pPr>
              <w:pStyle w:val="MDPI42tablebody"/>
              <w:spacing w:before="40" w:after="40"/>
              <w:jc w:val="left"/>
              <w:rPr>
                <w:rFonts w:ascii="Times New Roman" w:hAnsi="Times New Roman"/>
                <w:iCs/>
                <w:sz w:val="22"/>
              </w:rPr>
            </w:pPr>
          </w:p>
        </w:tc>
      </w:tr>
      <w:tr w:rsidR="0059796C" w:rsidRPr="0059796C" w14:paraId="3ED39EB1" w14:textId="77777777" w:rsidTr="0059796C">
        <w:trPr>
          <w:trHeight w:val="20"/>
        </w:trPr>
        <w:tc>
          <w:tcPr>
            <w:tcW w:w="3420" w:type="dxa"/>
            <w:tcBorders>
              <w:top w:val="single" w:sz="4" w:space="0" w:color="auto"/>
              <w:left w:val="nil"/>
              <w:bottom w:val="single" w:sz="4" w:space="0" w:color="auto"/>
            </w:tcBorders>
          </w:tcPr>
          <w:p w14:paraId="549D6FA1" w14:textId="08253EB9" w:rsidR="0059796C" w:rsidRPr="0059796C" w:rsidRDefault="0059796C" w:rsidP="0059796C">
            <w:pPr>
              <w:pStyle w:val="MDPI42tablebody"/>
              <w:spacing w:before="40" w:after="40"/>
              <w:jc w:val="left"/>
              <w:rPr>
                <w:rFonts w:ascii="Times New Roman" w:hAnsi="Times New Roman"/>
                <w:b/>
                <w:iCs/>
                <w:sz w:val="22"/>
              </w:rPr>
            </w:pPr>
            <w:r w:rsidRPr="0059796C">
              <w:rPr>
                <w:rFonts w:ascii="Times New Roman" w:hAnsi="Times New Roman"/>
                <w:iCs/>
                <w:kern w:val="24"/>
                <w:sz w:val="22"/>
              </w:rPr>
              <w:t>N/A</w:t>
            </w:r>
          </w:p>
        </w:tc>
        <w:tc>
          <w:tcPr>
            <w:tcW w:w="4050" w:type="dxa"/>
            <w:tcBorders>
              <w:top w:val="single" w:sz="4" w:space="0" w:color="auto"/>
              <w:bottom w:val="single" w:sz="4" w:space="0" w:color="auto"/>
              <w:right w:val="nil"/>
            </w:tcBorders>
          </w:tcPr>
          <w:p w14:paraId="36D046F6" w14:textId="294C7625" w:rsidR="0059796C" w:rsidRPr="0059796C" w:rsidRDefault="0059796C" w:rsidP="0059796C">
            <w:pPr>
              <w:pStyle w:val="MDPI42tablebody"/>
              <w:spacing w:before="40" w:after="40"/>
              <w:jc w:val="left"/>
              <w:rPr>
                <w:rFonts w:ascii="Times New Roman" w:hAnsi="Times New Roman"/>
                <w:iCs/>
                <w:sz w:val="22"/>
              </w:rPr>
            </w:pPr>
            <w:r w:rsidRPr="0059796C">
              <w:rPr>
                <w:rFonts w:ascii="Times New Roman" w:hAnsi="Times New Roman"/>
                <w:iCs/>
                <w:kern w:val="24"/>
                <w:sz w:val="22"/>
              </w:rPr>
              <w:t xml:space="preserve">Bye </w:t>
            </w:r>
            <w:proofErr w:type="spellStart"/>
            <w:r w:rsidRPr="0059796C">
              <w:rPr>
                <w:rFonts w:ascii="Times New Roman" w:hAnsi="Times New Roman"/>
                <w:iCs/>
                <w:kern w:val="24"/>
                <w:sz w:val="22"/>
              </w:rPr>
              <w:t>bye</w:t>
            </w:r>
            <w:proofErr w:type="spellEnd"/>
            <w:r w:rsidRPr="0059796C">
              <w:rPr>
                <w:rFonts w:ascii="Times New Roman" w:hAnsi="Times New Roman"/>
                <w:iCs/>
                <w:kern w:val="24"/>
                <w:sz w:val="22"/>
              </w:rPr>
              <w:t xml:space="preserve"> boundaries</w:t>
            </w:r>
          </w:p>
        </w:tc>
        <w:tc>
          <w:tcPr>
            <w:tcW w:w="3960" w:type="dxa"/>
            <w:tcBorders>
              <w:top w:val="single" w:sz="4" w:space="0" w:color="auto"/>
              <w:bottom w:val="single" w:sz="4" w:space="0" w:color="auto"/>
              <w:right w:val="nil"/>
            </w:tcBorders>
          </w:tcPr>
          <w:p w14:paraId="63D37082" w14:textId="77777777" w:rsidR="0059796C" w:rsidRPr="0059796C" w:rsidRDefault="0059796C" w:rsidP="0059796C">
            <w:pPr>
              <w:pStyle w:val="MDPI42tablebody"/>
              <w:spacing w:before="40" w:after="40"/>
              <w:jc w:val="left"/>
              <w:rPr>
                <w:rFonts w:ascii="Times New Roman" w:hAnsi="Times New Roman"/>
                <w:iCs/>
                <w:sz w:val="22"/>
              </w:rPr>
            </w:pPr>
          </w:p>
        </w:tc>
        <w:tc>
          <w:tcPr>
            <w:tcW w:w="4122" w:type="dxa"/>
            <w:tcBorders>
              <w:top w:val="single" w:sz="4" w:space="0" w:color="auto"/>
              <w:bottom w:val="single" w:sz="4" w:space="0" w:color="auto"/>
              <w:right w:val="nil"/>
            </w:tcBorders>
          </w:tcPr>
          <w:p w14:paraId="3469BE92" w14:textId="77777777" w:rsidR="0059796C" w:rsidRPr="0059796C" w:rsidRDefault="0059796C" w:rsidP="0059796C">
            <w:pPr>
              <w:pStyle w:val="MDPI42tablebody"/>
              <w:spacing w:before="40" w:after="40"/>
              <w:jc w:val="left"/>
              <w:rPr>
                <w:rFonts w:ascii="Times New Roman" w:hAnsi="Times New Roman"/>
                <w:iCs/>
                <w:sz w:val="22"/>
              </w:rPr>
            </w:pPr>
          </w:p>
        </w:tc>
      </w:tr>
      <w:tr w:rsidR="0059796C" w:rsidRPr="0059796C" w14:paraId="70D233B0" w14:textId="77777777" w:rsidTr="0059796C">
        <w:trPr>
          <w:trHeight w:val="20"/>
        </w:trPr>
        <w:tc>
          <w:tcPr>
            <w:tcW w:w="3420" w:type="dxa"/>
            <w:tcBorders>
              <w:top w:val="single" w:sz="4" w:space="0" w:color="auto"/>
              <w:left w:val="nil"/>
              <w:bottom w:val="single" w:sz="4" w:space="0" w:color="auto"/>
            </w:tcBorders>
          </w:tcPr>
          <w:p w14:paraId="60C31F1E" w14:textId="17E3FCA7" w:rsidR="0059796C" w:rsidRPr="0059796C" w:rsidRDefault="0059796C" w:rsidP="0059796C">
            <w:pPr>
              <w:pStyle w:val="MDPI42tablebody"/>
              <w:spacing w:before="40" w:after="40"/>
              <w:jc w:val="left"/>
              <w:rPr>
                <w:rFonts w:ascii="Times New Roman" w:hAnsi="Times New Roman"/>
                <w:iCs/>
                <w:kern w:val="24"/>
                <w:sz w:val="22"/>
              </w:rPr>
            </w:pPr>
            <w:r w:rsidRPr="0059796C">
              <w:rPr>
                <w:rFonts w:ascii="Times New Roman" w:hAnsi="Times New Roman"/>
                <w:iCs/>
                <w:kern w:val="24"/>
                <w:sz w:val="22"/>
              </w:rPr>
              <w:t>N/A</w:t>
            </w:r>
          </w:p>
        </w:tc>
        <w:tc>
          <w:tcPr>
            <w:tcW w:w="4050" w:type="dxa"/>
            <w:tcBorders>
              <w:top w:val="single" w:sz="4" w:space="0" w:color="auto"/>
              <w:bottom w:val="single" w:sz="4" w:space="0" w:color="auto"/>
              <w:right w:val="nil"/>
            </w:tcBorders>
          </w:tcPr>
          <w:p w14:paraId="388DBD02" w14:textId="755D34D1" w:rsidR="0059796C" w:rsidRPr="0059796C" w:rsidRDefault="0059796C" w:rsidP="0059796C">
            <w:pPr>
              <w:pStyle w:val="MDPI42tablebody"/>
              <w:spacing w:before="40" w:after="40"/>
              <w:jc w:val="left"/>
              <w:rPr>
                <w:rFonts w:ascii="Times New Roman" w:hAnsi="Times New Roman"/>
                <w:iCs/>
                <w:sz w:val="22"/>
              </w:rPr>
            </w:pPr>
            <w:r w:rsidRPr="0059796C">
              <w:rPr>
                <w:rFonts w:ascii="Times New Roman" w:hAnsi="Times New Roman"/>
                <w:iCs/>
                <w:kern w:val="24"/>
                <w:sz w:val="22"/>
              </w:rPr>
              <w:t>Growth of automation</w:t>
            </w:r>
          </w:p>
        </w:tc>
        <w:tc>
          <w:tcPr>
            <w:tcW w:w="3960" w:type="dxa"/>
            <w:tcBorders>
              <w:top w:val="single" w:sz="4" w:space="0" w:color="auto"/>
              <w:bottom w:val="single" w:sz="4" w:space="0" w:color="auto"/>
              <w:right w:val="nil"/>
            </w:tcBorders>
          </w:tcPr>
          <w:p w14:paraId="526BF1CE" w14:textId="77777777" w:rsidR="0059796C" w:rsidRPr="0059796C" w:rsidRDefault="0059796C" w:rsidP="0059796C">
            <w:pPr>
              <w:pStyle w:val="MDPI42tablebody"/>
              <w:spacing w:before="40" w:after="40"/>
              <w:jc w:val="left"/>
              <w:rPr>
                <w:rFonts w:ascii="Times New Roman" w:hAnsi="Times New Roman"/>
                <w:iCs/>
                <w:sz w:val="22"/>
              </w:rPr>
            </w:pPr>
          </w:p>
        </w:tc>
        <w:tc>
          <w:tcPr>
            <w:tcW w:w="4122" w:type="dxa"/>
            <w:tcBorders>
              <w:top w:val="single" w:sz="4" w:space="0" w:color="auto"/>
              <w:bottom w:val="single" w:sz="4" w:space="0" w:color="auto"/>
              <w:right w:val="nil"/>
            </w:tcBorders>
          </w:tcPr>
          <w:p w14:paraId="148419A7" w14:textId="77777777" w:rsidR="0059796C" w:rsidRPr="0059796C" w:rsidRDefault="0059796C" w:rsidP="0059796C">
            <w:pPr>
              <w:pStyle w:val="MDPI42tablebody"/>
              <w:spacing w:before="40" w:after="40"/>
              <w:jc w:val="left"/>
              <w:rPr>
                <w:rFonts w:ascii="Times New Roman" w:hAnsi="Times New Roman"/>
                <w:iCs/>
                <w:sz w:val="22"/>
              </w:rPr>
            </w:pPr>
          </w:p>
        </w:tc>
      </w:tr>
    </w:tbl>
    <w:p w14:paraId="38EC05BE" w14:textId="02794B7C" w:rsidR="0059796C" w:rsidRDefault="0059796C" w:rsidP="002F7120">
      <w:pPr>
        <w:pStyle w:val="MDPI31text"/>
        <w:ind w:left="0" w:firstLine="0"/>
        <w:jc w:val="left"/>
        <w:rPr>
          <w:rFonts w:ascii="Times New Roman" w:hAnsi="Times New Roman"/>
          <w:sz w:val="22"/>
        </w:rPr>
      </w:pPr>
      <w:r>
        <w:rPr>
          <w:rFonts w:ascii="Times New Roman" w:hAnsi="Times New Roman"/>
          <w:sz w:val="22"/>
        </w:rPr>
        <w:t xml:space="preserve"> * SME small groups were provided with a copy of driver definitions, which are summarized in Table III of the main manuscript.</w:t>
      </w:r>
    </w:p>
    <w:p w14:paraId="6E554505" w14:textId="389F812B" w:rsidR="0040486A" w:rsidRPr="0059796C" w:rsidRDefault="0059796C" w:rsidP="002F7120">
      <w:pPr>
        <w:pStyle w:val="MDPI31text"/>
        <w:ind w:left="0" w:firstLine="0"/>
        <w:jc w:val="left"/>
        <w:rPr>
          <w:rFonts w:ascii="Times New Roman" w:hAnsi="Times New Roman"/>
          <w:sz w:val="22"/>
        </w:rPr>
      </w:pPr>
      <w:r w:rsidRPr="0059796C">
        <w:rPr>
          <w:rFonts w:ascii="Times New Roman" w:hAnsi="Times New Roman"/>
          <w:sz w:val="22"/>
        </w:rPr>
        <w:t>*</w:t>
      </w:r>
      <w:r>
        <w:rPr>
          <w:rFonts w:ascii="Times New Roman" w:hAnsi="Times New Roman"/>
          <w:sz w:val="22"/>
        </w:rPr>
        <w:t>*</w:t>
      </w:r>
      <w:r w:rsidRPr="0059796C">
        <w:rPr>
          <w:rFonts w:ascii="Times New Roman" w:hAnsi="Times New Roman"/>
          <w:sz w:val="22"/>
        </w:rPr>
        <w:t xml:space="preserve"> Blank cells were completed by the SME small group during Day 2 of the June 2022 workshop</w:t>
      </w:r>
      <w:r>
        <w:rPr>
          <w:rFonts w:ascii="Times New Roman" w:hAnsi="Times New Roman"/>
          <w:sz w:val="22"/>
        </w:rPr>
        <w:t>.</w:t>
      </w:r>
      <w:r w:rsidR="0040486A" w:rsidRPr="0059796C">
        <w:rPr>
          <w:rFonts w:ascii="Times New Roman" w:hAnsi="Times New Roman"/>
          <w:sz w:val="22"/>
        </w:rPr>
        <w:br w:type="page"/>
      </w:r>
    </w:p>
    <w:p w14:paraId="661E34D0" w14:textId="583689FD" w:rsidR="001C685D" w:rsidRPr="00A02423" w:rsidRDefault="00D8251E" w:rsidP="002F7120">
      <w:pPr>
        <w:pStyle w:val="MDPI31text"/>
        <w:ind w:left="0" w:firstLine="0"/>
        <w:jc w:val="left"/>
        <w:rPr>
          <w:rFonts w:ascii="Times New Roman" w:hAnsi="Times New Roman"/>
          <w:b/>
          <w:bCs/>
          <w:sz w:val="22"/>
        </w:rPr>
      </w:pPr>
      <w:r>
        <w:rPr>
          <w:rFonts w:ascii="Times New Roman" w:hAnsi="Times New Roman"/>
          <w:b/>
          <w:bCs/>
          <w:sz w:val="22"/>
        </w:rPr>
        <w:lastRenderedPageBreak/>
        <w:t>Table S</w:t>
      </w:r>
      <w:r w:rsidR="0040486A">
        <w:rPr>
          <w:rFonts w:ascii="Times New Roman" w:hAnsi="Times New Roman"/>
          <w:b/>
          <w:bCs/>
          <w:sz w:val="22"/>
        </w:rPr>
        <w:t>4</w:t>
      </w:r>
      <w:r w:rsidR="002F7120" w:rsidRPr="00A02423">
        <w:rPr>
          <w:rFonts w:ascii="Times New Roman" w:hAnsi="Times New Roman"/>
          <w:b/>
          <w:bCs/>
          <w:sz w:val="22"/>
        </w:rPr>
        <w:t xml:space="preserve">. </w:t>
      </w:r>
      <w:r w:rsidR="00F30DEF" w:rsidRPr="00A02423">
        <w:rPr>
          <w:rFonts w:ascii="Times New Roman" w:hAnsi="Times New Roman"/>
          <w:sz w:val="22"/>
        </w:rPr>
        <w:t xml:space="preserve">Uncertainty and </w:t>
      </w:r>
      <w:r w:rsidR="00E90EB4" w:rsidRPr="00A02423">
        <w:rPr>
          <w:rFonts w:ascii="Times New Roman" w:hAnsi="Times New Roman"/>
          <w:sz w:val="22"/>
        </w:rPr>
        <w:t>d</w:t>
      </w:r>
      <w:r w:rsidR="00F30DEF" w:rsidRPr="00A02423">
        <w:rPr>
          <w:rFonts w:ascii="Times New Roman" w:hAnsi="Times New Roman"/>
          <w:sz w:val="22"/>
        </w:rPr>
        <w:t xml:space="preserve">river </w:t>
      </w:r>
      <w:r w:rsidR="00E90EB4" w:rsidRPr="00A02423">
        <w:rPr>
          <w:rFonts w:ascii="Times New Roman" w:hAnsi="Times New Roman"/>
          <w:sz w:val="22"/>
        </w:rPr>
        <w:t>m</w:t>
      </w:r>
      <w:r w:rsidR="00F30DEF" w:rsidRPr="00A02423">
        <w:rPr>
          <w:rFonts w:ascii="Times New Roman" w:hAnsi="Times New Roman"/>
          <w:sz w:val="22"/>
        </w:rPr>
        <w:t xml:space="preserve">apping </w:t>
      </w:r>
      <w:r w:rsidR="00E90EB4" w:rsidRPr="00A02423">
        <w:rPr>
          <w:rFonts w:ascii="Times New Roman" w:hAnsi="Times New Roman"/>
          <w:sz w:val="22"/>
        </w:rPr>
        <w:t>r</w:t>
      </w:r>
      <w:r w:rsidR="00F30DEF" w:rsidRPr="00A02423">
        <w:rPr>
          <w:rFonts w:ascii="Times New Roman" w:hAnsi="Times New Roman"/>
          <w:sz w:val="22"/>
        </w:rPr>
        <w:t xml:space="preserve">esults </w:t>
      </w:r>
      <w:r w:rsidR="0059796C">
        <w:rPr>
          <w:rFonts w:ascii="Times New Roman" w:hAnsi="Times New Roman"/>
          <w:sz w:val="22"/>
        </w:rPr>
        <w:t>from the</w:t>
      </w:r>
      <w:r w:rsidR="0059796C" w:rsidRPr="00A02423">
        <w:rPr>
          <w:rFonts w:ascii="Times New Roman" w:hAnsi="Times New Roman"/>
          <w:sz w:val="22"/>
        </w:rPr>
        <w:t xml:space="preserve"> </w:t>
      </w:r>
      <w:r w:rsidR="00F30DEF" w:rsidRPr="00A02423">
        <w:rPr>
          <w:rFonts w:ascii="Times New Roman" w:hAnsi="Times New Roman"/>
          <w:sz w:val="22"/>
        </w:rPr>
        <w:t xml:space="preserve">June 2022 SME </w:t>
      </w:r>
      <w:r w:rsidR="00250774">
        <w:rPr>
          <w:rFonts w:ascii="Times New Roman" w:hAnsi="Times New Roman"/>
          <w:sz w:val="22"/>
        </w:rPr>
        <w:t xml:space="preserve">sudden disruptions </w:t>
      </w:r>
      <w:r w:rsidR="00E90EB4" w:rsidRPr="00A02423">
        <w:rPr>
          <w:rFonts w:ascii="Times New Roman" w:hAnsi="Times New Roman"/>
          <w:sz w:val="22"/>
        </w:rPr>
        <w:t>s</w:t>
      </w:r>
      <w:r w:rsidR="00F30DEF" w:rsidRPr="00A02423">
        <w:rPr>
          <w:rFonts w:ascii="Times New Roman" w:hAnsi="Times New Roman"/>
          <w:sz w:val="22"/>
        </w:rPr>
        <w:t>cenario</w:t>
      </w:r>
      <w:r w:rsidR="00250774">
        <w:rPr>
          <w:rFonts w:ascii="Times New Roman" w:hAnsi="Times New Roman"/>
          <w:sz w:val="22"/>
        </w:rPr>
        <w:t>-</w:t>
      </w:r>
      <w:r w:rsidR="00E90EB4" w:rsidRPr="00A02423">
        <w:rPr>
          <w:rFonts w:ascii="Times New Roman" w:hAnsi="Times New Roman"/>
          <w:sz w:val="22"/>
        </w:rPr>
        <w:t>b</w:t>
      </w:r>
      <w:r w:rsidR="00F30DEF" w:rsidRPr="00A02423">
        <w:rPr>
          <w:rFonts w:ascii="Times New Roman" w:hAnsi="Times New Roman"/>
          <w:sz w:val="22"/>
        </w:rPr>
        <w:t xml:space="preserve">uilding </w:t>
      </w:r>
      <w:r w:rsidR="00E90EB4" w:rsidRPr="00A02423">
        <w:rPr>
          <w:rFonts w:ascii="Times New Roman" w:hAnsi="Times New Roman"/>
          <w:sz w:val="22"/>
        </w:rPr>
        <w:t>w</w:t>
      </w:r>
      <w:r w:rsidR="00F30DEF" w:rsidRPr="00A02423">
        <w:rPr>
          <w:rFonts w:ascii="Times New Roman" w:hAnsi="Times New Roman"/>
          <w:sz w:val="22"/>
        </w:rPr>
        <w:t>orkshop</w:t>
      </w:r>
    </w:p>
    <w:tbl>
      <w:tblPr>
        <w:tblStyle w:val="TableGrid"/>
        <w:tblW w:w="15501" w:type="dxa"/>
        <w:tblLook w:val="04A0" w:firstRow="1" w:lastRow="0" w:firstColumn="1" w:lastColumn="0" w:noHBand="0" w:noVBand="1"/>
      </w:tblPr>
      <w:tblGrid>
        <w:gridCol w:w="1710"/>
        <w:gridCol w:w="3330"/>
        <w:gridCol w:w="3690"/>
        <w:gridCol w:w="3690"/>
        <w:gridCol w:w="3081"/>
      </w:tblGrid>
      <w:tr w:rsidR="0073362A" w:rsidRPr="002D303A" w14:paraId="04491836" w14:textId="77777777" w:rsidTr="0073362A">
        <w:trPr>
          <w:trHeight w:val="359"/>
        </w:trPr>
        <w:tc>
          <w:tcPr>
            <w:tcW w:w="1710" w:type="dxa"/>
            <w:tcBorders>
              <w:left w:val="nil"/>
            </w:tcBorders>
            <w:vAlign w:val="center"/>
          </w:tcPr>
          <w:p w14:paraId="2C4C759A" w14:textId="77777777" w:rsidR="0073362A" w:rsidRPr="002D303A" w:rsidRDefault="0073362A" w:rsidP="00C04FEC">
            <w:pPr>
              <w:pStyle w:val="MDPI42tablebody"/>
              <w:rPr>
                <w:rFonts w:ascii="Times New Roman" w:hAnsi="Times New Roman"/>
                <w:b/>
                <w:sz w:val="22"/>
                <w:szCs w:val="22"/>
              </w:rPr>
            </w:pPr>
          </w:p>
        </w:tc>
        <w:tc>
          <w:tcPr>
            <w:tcW w:w="3330" w:type="dxa"/>
            <w:vAlign w:val="center"/>
          </w:tcPr>
          <w:p w14:paraId="0C48523D" w14:textId="153A9A34" w:rsidR="0073362A" w:rsidRPr="002D303A" w:rsidRDefault="0073362A" w:rsidP="00C04FEC">
            <w:pPr>
              <w:pStyle w:val="MDPI42tablebody"/>
              <w:rPr>
                <w:rFonts w:ascii="Times New Roman" w:hAnsi="Times New Roman"/>
                <w:b/>
                <w:sz w:val="22"/>
                <w:szCs w:val="22"/>
              </w:rPr>
            </w:pPr>
            <w:r w:rsidRPr="002D303A">
              <w:rPr>
                <w:rFonts w:ascii="Times New Roman" w:hAnsi="Times New Roman"/>
                <w:b/>
                <w:sz w:val="22"/>
                <w:szCs w:val="22"/>
              </w:rPr>
              <w:t>Scenario A</w:t>
            </w:r>
          </w:p>
        </w:tc>
        <w:tc>
          <w:tcPr>
            <w:tcW w:w="3690" w:type="dxa"/>
            <w:vAlign w:val="center"/>
          </w:tcPr>
          <w:p w14:paraId="4D87B7F7" w14:textId="5D8DB8A2" w:rsidR="0073362A" w:rsidRPr="002D303A" w:rsidRDefault="0073362A" w:rsidP="00C04FEC">
            <w:pPr>
              <w:pStyle w:val="MDPI42tablebody"/>
              <w:rPr>
                <w:rFonts w:ascii="Times New Roman" w:hAnsi="Times New Roman"/>
                <w:b/>
                <w:sz w:val="22"/>
                <w:szCs w:val="22"/>
              </w:rPr>
            </w:pPr>
            <w:r w:rsidRPr="002D303A">
              <w:rPr>
                <w:rFonts w:ascii="Times New Roman" w:hAnsi="Times New Roman"/>
                <w:b/>
                <w:sz w:val="22"/>
                <w:szCs w:val="22"/>
              </w:rPr>
              <w:t>Scenario B</w:t>
            </w:r>
          </w:p>
        </w:tc>
        <w:tc>
          <w:tcPr>
            <w:tcW w:w="3690" w:type="dxa"/>
            <w:vAlign w:val="center"/>
          </w:tcPr>
          <w:p w14:paraId="6AA95558" w14:textId="5E042860" w:rsidR="0073362A" w:rsidRPr="002D303A" w:rsidRDefault="0073362A" w:rsidP="00C04FEC">
            <w:pPr>
              <w:pStyle w:val="MDPI42tablebody"/>
              <w:rPr>
                <w:rFonts w:ascii="Times New Roman" w:hAnsi="Times New Roman"/>
                <w:b/>
                <w:sz w:val="22"/>
                <w:szCs w:val="22"/>
              </w:rPr>
            </w:pPr>
            <w:r w:rsidRPr="002D303A">
              <w:rPr>
                <w:rFonts w:ascii="Times New Roman" w:hAnsi="Times New Roman"/>
                <w:b/>
                <w:sz w:val="22"/>
                <w:szCs w:val="22"/>
              </w:rPr>
              <w:t>Scenario C</w:t>
            </w:r>
          </w:p>
        </w:tc>
        <w:tc>
          <w:tcPr>
            <w:tcW w:w="3081" w:type="dxa"/>
            <w:tcBorders>
              <w:right w:val="nil"/>
            </w:tcBorders>
            <w:vAlign w:val="center"/>
          </w:tcPr>
          <w:p w14:paraId="7D3C1045" w14:textId="76397496" w:rsidR="0073362A" w:rsidRPr="002D303A" w:rsidRDefault="0073362A" w:rsidP="00C04FEC">
            <w:pPr>
              <w:pStyle w:val="MDPI42tablebody"/>
              <w:rPr>
                <w:rFonts w:ascii="Times New Roman" w:hAnsi="Times New Roman"/>
                <w:b/>
                <w:sz w:val="22"/>
                <w:szCs w:val="22"/>
              </w:rPr>
            </w:pPr>
            <w:r w:rsidRPr="002D303A">
              <w:rPr>
                <w:rFonts w:ascii="Times New Roman" w:hAnsi="Times New Roman"/>
                <w:b/>
                <w:sz w:val="22"/>
                <w:szCs w:val="22"/>
              </w:rPr>
              <w:t>Scenario D</w:t>
            </w:r>
          </w:p>
        </w:tc>
      </w:tr>
      <w:tr w:rsidR="00C04FEC" w:rsidRPr="002D303A" w14:paraId="71A378D1" w14:textId="77777777" w:rsidTr="006F31F6">
        <w:trPr>
          <w:trHeight w:val="593"/>
        </w:trPr>
        <w:tc>
          <w:tcPr>
            <w:tcW w:w="1710" w:type="dxa"/>
            <w:tcBorders>
              <w:left w:val="nil"/>
            </w:tcBorders>
            <w:vAlign w:val="center"/>
          </w:tcPr>
          <w:p w14:paraId="40233D07" w14:textId="3A17E17E" w:rsidR="002F7120" w:rsidRPr="002D303A" w:rsidRDefault="002F7120" w:rsidP="00C04FEC">
            <w:pPr>
              <w:pStyle w:val="MDPI42tablebody"/>
              <w:rPr>
                <w:rFonts w:ascii="Times New Roman" w:hAnsi="Times New Roman"/>
                <w:b/>
                <w:sz w:val="22"/>
                <w:szCs w:val="22"/>
              </w:rPr>
            </w:pPr>
            <w:r w:rsidRPr="002D303A">
              <w:rPr>
                <w:rFonts w:ascii="Times New Roman" w:hAnsi="Times New Roman"/>
                <w:b/>
                <w:sz w:val="22"/>
                <w:szCs w:val="22"/>
              </w:rPr>
              <w:t>Defining Axis</w:t>
            </w:r>
            <w:r w:rsidR="00F30DEF" w:rsidRPr="002D303A">
              <w:rPr>
                <w:rFonts w:ascii="Times New Roman" w:hAnsi="Times New Roman"/>
                <w:b/>
                <w:sz w:val="22"/>
                <w:szCs w:val="22"/>
              </w:rPr>
              <w:t>*</w:t>
            </w:r>
            <w:r w:rsidRPr="002D303A">
              <w:rPr>
                <w:rFonts w:ascii="Times New Roman" w:hAnsi="Times New Roman"/>
                <w:b/>
                <w:sz w:val="22"/>
                <w:szCs w:val="22"/>
              </w:rPr>
              <w:t xml:space="preserve"> Values</w:t>
            </w:r>
          </w:p>
        </w:tc>
        <w:tc>
          <w:tcPr>
            <w:tcW w:w="3330" w:type="dxa"/>
            <w:vAlign w:val="center"/>
          </w:tcPr>
          <w:p w14:paraId="52502E7F" w14:textId="7F8CD2BD" w:rsidR="002F7120" w:rsidRPr="002D303A" w:rsidRDefault="00F30DEF" w:rsidP="00C04FEC">
            <w:pPr>
              <w:pStyle w:val="MDPI42tablebody"/>
              <w:rPr>
                <w:rFonts w:ascii="Times New Roman" w:hAnsi="Times New Roman"/>
                <w:b/>
                <w:sz w:val="22"/>
                <w:szCs w:val="22"/>
              </w:rPr>
            </w:pPr>
            <w:r w:rsidRPr="002D303A">
              <w:rPr>
                <w:rFonts w:ascii="Times New Roman" w:hAnsi="Times New Roman"/>
                <w:b/>
                <w:sz w:val="22"/>
                <w:szCs w:val="22"/>
              </w:rPr>
              <w:t>X: E</w:t>
            </w:r>
            <w:r w:rsidR="002F7120" w:rsidRPr="002D303A">
              <w:rPr>
                <w:rFonts w:ascii="Times New Roman" w:hAnsi="Times New Roman"/>
                <w:b/>
                <w:sz w:val="22"/>
                <w:szCs w:val="22"/>
              </w:rPr>
              <w:t>mployer responsibility</w:t>
            </w:r>
          </w:p>
          <w:p w14:paraId="01D855CE" w14:textId="77777777" w:rsidR="00B55E50" w:rsidRPr="002D303A" w:rsidRDefault="00F30DEF" w:rsidP="00C04FEC">
            <w:pPr>
              <w:pStyle w:val="MDPI42tablebody"/>
              <w:rPr>
                <w:rFonts w:ascii="Times New Roman" w:hAnsi="Times New Roman"/>
                <w:b/>
                <w:sz w:val="22"/>
                <w:szCs w:val="22"/>
              </w:rPr>
            </w:pPr>
            <w:r w:rsidRPr="002D303A">
              <w:rPr>
                <w:rFonts w:ascii="Times New Roman" w:hAnsi="Times New Roman"/>
                <w:b/>
                <w:sz w:val="22"/>
                <w:szCs w:val="22"/>
              </w:rPr>
              <w:t xml:space="preserve">Y: </w:t>
            </w:r>
            <w:r w:rsidR="002F7120" w:rsidRPr="002D303A">
              <w:rPr>
                <w:rFonts w:ascii="Times New Roman" w:hAnsi="Times New Roman"/>
                <w:b/>
                <w:sz w:val="22"/>
                <w:szCs w:val="22"/>
              </w:rPr>
              <w:t xml:space="preserve">Government regains </w:t>
            </w:r>
          </w:p>
          <w:p w14:paraId="22E91754" w14:textId="6FE01025" w:rsidR="002F7120" w:rsidRPr="002D303A" w:rsidRDefault="002F7120" w:rsidP="00C04FEC">
            <w:pPr>
              <w:pStyle w:val="MDPI42tablebody"/>
              <w:rPr>
                <w:rFonts w:ascii="Times New Roman" w:hAnsi="Times New Roman"/>
                <w:b/>
                <w:sz w:val="22"/>
                <w:szCs w:val="22"/>
              </w:rPr>
            </w:pPr>
            <w:r w:rsidRPr="002D303A">
              <w:rPr>
                <w:rFonts w:ascii="Times New Roman" w:hAnsi="Times New Roman"/>
                <w:b/>
                <w:sz w:val="22"/>
                <w:szCs w:val="22"/>
              </w:rPr>
              <w:t>reputation</w:t>
            </w:r>
          </w:p>
        </w:tc>
        <w:tc>
          <w:tcPr>
            <w:tcW w:w="3690" w:type="dxa"/>
            <w:vAlign w:val="center"/>
          </w:tcPr>
          <w:p w14:paraId="74F745CF" w14:textId="64B2CAB8" w:rsidR="002F7120" w:rsidRPr="002D303A" w:rsidRDefault="00F30DEF" w:rsidP="00C04FEC">
            <w:pPr>
              <w:pStyle w:val="MDPI42tablebody"/>
              <w:rPr>
                <w:rFonts w:ascii="Times New Roman" w:hAnsi="Times New Roman"/>
                <w:b/>
                <w:sz w:val="22"/>
                <w:szCs w:val="22"/>
              </w:rPr>
            </w:pPr>
            <w:r w:rsidRPr="002D303A">
              <w:rPr>
                <w:rFonts w:ascii="Times New Roman" w:hAnsi="Times New Roman"/>
                <w:b/>
                <w:sz w:val="22"/>
                <w:szCs w:val="22"/>
              </w:rPr>
              <w:t>X: E</w:t>
            </w:r>
            <w:r w:rsidR="002F7120" w:rsidRPr="002D303A">
              <w:rPr>
                <w:rFonts w:ascii="Times New Roman" w:hAnsi="Times New Roman"/>
                <w:b/>
                <w:sz w:val="22"/>
                <w:szCs w:val="22"/>
              </w:rPr>
              <w:t>mployer responsibility</w:t>
            </w:r>
          </w:p>
          <w:p w14:paraId="6330A690" w14:textId="30E19D79" w:rsidR="002F7120" w:rsidRPr="002D303A" w:rsidRDefault="00F30DEF" w:rsidP="00C04FEC">
            <w:pPr>
              <w:pStyle w:val="MDPI42tablebody"/>
              <w:rPr>
                <w:rFonts w:ascii="Times New Roman" w:hAnsi="Times New Roman"/>
                <w:b/>
                <w:sz w:val="22"/>
                <w:szCs w:val="22"/>
              </w:rPr>
            </w:pPr>
            <w:r w:rsidRPr="002D303A">
              <w:rPr>
                <w:rFonts w:ascii="Times New Roman" w:hAnsi="Times New Roman"/>
                <w:b/>
                <w:sz w:val="22"/>
                <w:szCs w:val="22"/>
              </w:rPr>
              <w:t xml:space="preserve">Y: </w:t>
            </w:r>
            <w:r w:rsidR="002F7120" w:rsidRPr="002D303A">
              <w:rPr>
                <w:rFonts w:ascii="Times New Roman" w:hAnsi="Times New Roman"/>
                <w:b/>
                <w:sz w:val="22"/>
                <w:szCs w:val="22"/>
              </w:rPr>
              <w:t>Individual influencers dominant voice</w:t>
            </w:r>
          </w:p>
        </w:tc>
        <w:tc>
          <w:tcPr>
            <w:tcW w:w="3690" w:type="dxa"/>
            <w:vAlign w:val="center"/>
          </w:tcPr>
          <w:p w14:paraId="7417C25B" w14:textId="36FF9E30" w:rsidR="002F7120" w:rsidRPr="002D303A" w:rsidRDefault="00F30DEF" w:rsidP="00C04FEC">
            <w:pPr>
              <w:pStyle w:val="MDPI42tablebody"/>
              <w:rPr>
                <w:rFonts w:ascii="Times New Roman" w:hAnsi="Times New Roman"/>
                <w:b/>
                <w:sz w:val="22"/>
                <w:szCs w:val="22"/>
              </w:rPr>
            </w:pPr>
            <w:r w:rsidRPr="002D303A">
              <w:rPr>
                <w:rFonts w:ascii="Times New Roman" w:hAnsi="Times New Roman"/>
                <w:b/>
                <w:sz w:val="22"/>
                <w:szCs w:val="22"/>
              </w:rPr>
              <w:t>X: I</w:t>
            </w:r>
            <w:r w:rsidR="002F7120" w:rsidRPr="002D303A">
              <w:rPr>
                <w:rFonts w:ascii="Times New Roman" w:hAnsi="Times New Roman"/>
                <w:b/>
                <w:sz w:val="22"/>
                <w:szCs w:val="22"/>
              </w:rPr>
              <w:t>ndividual responsibility</w:t>
            </w:r>
          </w:p>
          <w:p w14:paraId="5C72D33A" w14:textId="4830ED90" w:rsidR="002F7120" w:rsidRPr="002D303A" w:rsidRDefault="00F30DEF" w:rsidP="00C04FEC">
            <w:pPr>
              <w:pStyle w:val="MDPI42tablebody"/>
              <w:rPr>
                <w:rFonts w:ascii="Times New Roman" w:hAnsi="Times New Roman"/>
                <w:b/>
                <w:sz w:val="22"/>
                <w:szCs w:val="22"/>
              </w:rPr>
            </w:pPr>
            <w:r w:rsidRPr="002D303A">
              <w:rPr>
                <w:rFonts w:ascii="Times New Roman" w:hAnsi="Times New Roman"/>
                <w:b/>
                <w:sz w:val="22"/>
                <w:szCs w:val="22"/>
              </w:rPr>
              <w:t xml:space="preserve">Y: </w:t>
            </w:r>
            <w:r w:rsidR="002F7120" w:rsidRPr="002D303A">
              <w:rPr>
                <w:rFonts w:ascii="Times New Roman" w:hAnsi="Times New Roman"/>
                <w:b/>
                <w:sz w:val="22"/>
                <w:szCs w:val="22"/>
              </w:rPr>
              <w:t>Individual influencers dominant voice</w:t>
            </w:r>
          </w:p>
        </w:tc>
        <w:tc>
          <w:tcPr>
            <w:tcW w:w="3081" w:type="dxa"/>
            <w:tcBorders>
              <w:right w:val="nil"/>
            </w:tcBorders>
            <w:vAlign w:val="center"/>
          </w:tcPr>
          <w:p w14:paraId="4E8D2504" w14:textId="7C53B7BC" w:rsidR="002F7120" w:rsidRPr="002D303A" w:rsidRDefault="00F30DEF" w:rsidP="00C04FEC">
            <w:pPr>
              <w:pStyle w:val="MDPI42tablebody"/>
              <w:rPr>
                <w:rFonts w:ascii="Times New Roman" w:hAnsi="Times New Roman"/>
                <w:b/>
                <w:sz w:val="22"/>
                <w:szCs w:val="22"/>
              </w:rPr>
            </w:pPr>
            <w:r w:rsidRPr="002D303A">
              <w:rPr>
                <w:rFonts w:ascii="Times New Roman" w:hAnsi="Times New Roman"/>
                <w:b/>
                <w:sz w:val="22"/>
                <w:szCs w:val="22"/>
              </w:rPr>
              <w:t>X: I</w:t>
            </w:r>
            <w:r w:rsidR="002F7120" w:rsidRPr="002D303A">
              <w:rPr>
                <w:rFonts w:ascii="Times New Roman" w:hAnsi="Times New Roman"/>
                <w:b/>
                <w:sz w:val="22"/>
                <w:szCs w:val="22"/>
              </w:rPr>
              <w:t>ndividual responsibility</w:t>
            </w:r>
          </w:p>
          <w:p w14:paraId="1904FEE7" w14:textId="77777777" w:rsidR="00B55E50" w:rsidRPr="002D303A" w:rsidRDefault="00F30DEF" w:rsidP="00C04FEC">
            <w:pPr>
              <w:pStyle w:val="MDPI42tablebody"/>
              <w:rPr>
                <w:rFonts w:ascii="Times New Roman" w:hAnsi="Times New Roman"/>
                <w:b/>
                <w:sz w:val="22"/>
                <w:szCs w:val="22"/>
              </w:rPr>
            </w:pPr>
            <w:r w:rsidRPr="002D303A">
              <w:rPr>
                <w:rFonts w:ascii="Times New Roman" w:hAnsi="Times New Roman"/>
                <w:b/>
                <w:sz w:val="22"/>
                <w:szCs w:val="22"/>
              </w:rPr>
              <w:t xml:space="preserve">Y: </w:t>
            </w:r>
            <w:r w:rsidR="002F7120" w:rsidRPr="002D303A">
              <w:rPr>
                <w:rFonts w:ascii="Times New Roman" w:hAnsi="Times New Roman"/>
                <w:b/>
                <w:sz w:val="22"/>
                <w:szCs w:val="22"/>
              </w:rPr>
              <w:t xml:space="preserve">Government regains </w:t>
            </w:r>
          </w:p>
          <w:p w14:paraId="3C1E4E02" w14:textId="0406EED4" w:rsidR="002F7120" w:rsidRPr="002D303A" w:rsidRDefault="002F7120" w:rsidP="00C04FEC">
            <w:pPr>
              <w:pStyle w:val="MDPI42tablebody"/>
              <w:rPr>
                <w:rFonts w:ascii="Times New Roman" w:hAnsi="Times New Roman"/>
                <w:b/>
                <w:sz w:val="22"/>
                <w:szCs w:val="22"/>
              </w:rPr>
            </w:pPr>
            <w:r w:rsidRPr="002D303A">
              <w:rPr>
                <w:rFonts w:ascii="Times New Roman" w:hAnsi="Times New Roman"/>
                <w:b/>
                <w:sz w:val="22"/>
                <w:szCs w:val="22"/>
              </w:rPr>
              <w:t>reputation</w:t>
            </w:r>
          </w:p>
        </w:tc>
      </w:tr>
      <w:tr w:rsidR="006F31F6" w:rsidRPr="002D303A" w14:paraId="7ED2FE9F" w14:textId="77777777" w:rsidTr="006F31F6">
        <w:trPr>
          <w:trHeight w:val="20"/>
        </w:trPr>
        <w:tc>
          <w:tcPr>
            <w:tcW w:w="1710" w:type="dxa"/>
            <w:tcBorders>
              <w:top w:val="single" w:sz="4" w:space="0" w:color="auto"/>
              <w:left w:val="nil"/>
            </w:tcBorders>
          </w:tcPr>
          <w:p w14:paraId="79BAF077" w14:textId="5C157FBD" w:rsidR="00B55E50" w:rsidRPr="002D303A" w:rsidRDefault="00B55E50" w:rsidP="00B55E50">
            <w:pPr>
              <w:pStyle w:val="MDPI42tablebody"/>
              <w:jc w:val="left"/>
              <w:rPr>
                <w:rFonts w:ascii="Times New Roman" w:hAnsi="Times New Roman"/>
                <w:kern w:val="24"/>
                <w:sz w:val="22"/>
                <w:szCs w:val="22"/>
              </w:rPr>
            </w:pPr>
            <w:r w:rsidRPr="002D303A">
              <w:rPr>
                <w:rFonts w:ascii="Times New Roman" w:hAnsi="Times New Roman"/>
                <w:kern w:val="24"/>
                <w:sz w:val="22"/>
                <w:szCs w:val="22"/>
              </w:rPr>
              <w:t xml:space="preserve">1. </w:t>
            </w:r>
            <w:r w:rsidR="006F31F6" w:rsidRPr="002D303A">
              <w:rPr>
                <w:rFonts w:ascii="Times New Roman" w:hAnsi="Times New Roman"/>
                <w:kern w:val="24"/>
                <w:sz w:val="22"/>
                <w:szCs w:val="22"/>
              </w:rPr>
              <w:t xml:space="preserve">Training of the OSH </w:t>
            </w:r>
          </w:p>
          <w:p w14:paraId="7D96B92F" w14:textId="5B0569DB" w:rsidR="006F31F6" w:rsidRPr="002D303A" w:rsidRDefault="006F31F6" w:rsidP="00B55E50">
            <w:pPr>
              <w:pStyle w:val="MDPI42tablebody"/>
              <w:jc w:val="left"/>
              <w:rPr>
                <w:rFonts w:ascii="Times New Roman" w:hAnsi="Times New Roman"/>
                <w:b/>
                <w:sz w:val="22"/>
                <w:szCs w:val="22"/>
              </w:rPr>
            </w:pPr>
            <w:r w:rsidRPr="002D303A">
              <w:rPr>
                <w:rFonts w:ascii="Times New Roman" w:hAnsi="Times New Roman"/>
                <w:kern w:val="24"/>
                <w:sz w:val="22"/>
                <w:szCs w:val="22"/>
              </w:rPr>
              <w:t>workforce</w:t>
            </w:r>
          </w:p>
        </w:tc>
        <w:tc>
          <w:tcPr>
            <w:tcW w:w="3330" w:type="dxa"/>
            <w:tcBorders>
              <w:top w:val="nil"/>
            </w:tcBorders>
          </w:tcPr>
          <w:p w14:paraId="1A4B484C" w14:textId="0FBCDD42"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Training is a critical foundation for the government to maintain its status as a  trusted source of information. Overall, things are ‘Business as usual,’ but with new resources available. Trainings are available as needed, and new models of training (e.g., subscription services) add to training opportunities.</w:t>
            </w:r>
          </w:p>
        </w:tc>
        <w:tc>
          <w:tcPr>
            <w:tcW w:w="3690" w:type="dxa"/>
            <w:tcBorders>
              <w:top w:val="nil"/>
            </w:tcBorders>
          </w:tcPr>
          <w:p w14:paraId="552147C7" w14:textId="7EC20477"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Training includes a mix of on-the-job and traditional methods. Training content will be driven by employer needs and interests. Big industry becomes the default leader of training, leaving a risk of OSH falling behind. Individual influencers become surrogate voices for information.</w:t>
            </w:r>
          </w:p>
        </w:tc>
        <w:tc>
          <w:tcPr>
            <w:tcW w:w="3690" w:type="dxa"/>
            <w:tcBorders>
              <w:top w:val="nil"/>
            </w:tcBorders>
          </w:tcPr>
          <w:p w14:paraId="78CB71A9" w14:textId="377CEC82"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There is a clear distinction between the ‘have’ and ‘have nots’ with respect to training opportunities. A lack of standards contributes to this discrepancy. Certificate-based training is available.</w:t>
            </w:r>
          </w:p>
        </w:tc>
        <w:tc>
          <w:tcPr>
            <w:tcW w:w="3081" w:type="dxa"/>
            <w:tcBorders>
              <w:top w:val="single" w:sz="4" w:space="0" w:color="auto"/>
              <w:right w:val="nil"/>
            </w:tcBorders>
          </w:tcPr>
          <w:p w14:paraId="2FD44E77" w14:textId="24B9AADB"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OSH workforce training needs to be more adaptive to different environments/industry, with a focus on translating government resources.</w:t>
            </w:r>
          </w:p>
        </w:tc>
      </w:tr>
      <w:tr w:rsidR="006F31F6" w:rsidRPr="002D303A" w14:paraId="477B350A" w14:textId="77777777" w:rsidTr="006F31F6">
        <w:trPr>
          <w:trHeight w:val="20"/>
        </w:trPr>
        <w:tc>
          <w:tcPr>
            <w:tcW w:w="1710" w:type="dxa"/>
            <w:tcBorders>
              <w:top w:val="single" w:sz="4" w:space="0" w:color="auto"/>
              <w:left w:val="nil"/>
            </w:tcBorders>
          </w:tcPr>
          <w:p w14:paraId="16757397" w14:textId="5EC18432" w:rsidR="006F31F6" w:rsidRPr="002D303A" w:rsidRDefault="006F31F6" w:rsidP="00B55E50">
            <w:pPr>
              <w:pStyle w:val="MDPI42tablebody"/>
              <w:jc w:val="left"/>
              <w:rPr>
                <w:rFonts w:ascii="Times New Roman" w:hAnsi="Times New Roman"/>
                <w:b/>
                <w:sz w:val="22"/>
                <w:szCs w:val="22"/>
              </w:rPr>
            </w:pPr>
            <w:r w:rsidRPr="002D303A">
              <w:rPr>
                <w:rFonts w:ascii="Times New Roman" w:hAnsi="Times New Roman"/>
                <w:kern w:val="24"/>
                <w:sz w:val="22"/>
                <w:szCs w:val="22"/>
              </w:rPr>
              <w:t>2. Influence of   organized labor</w:t>
            </w:r>
          </w:p>
        </w:tc>
        <w:tc>
          <w:tcPr>
            <w:tcW w:w="3330" w:type="dxa"/>
            <w:tcBorders>
              <w:top w:val="nil"/>
            </w:tcBorders>
          </w:tcPr>
          <w:p w14:paraId="32E03688" w14:textId="4AB82552"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Labor works hand</w:t>
            </w:r>
            <w:r w:rsidR="00B55E50" w:rsidRPr="002D303A">
              <w:rPr>
                <w:rFonts w:ascii="Times New Roman" w:hAnsi="Times New Roman"/>
                <w:sz w:val="22"/>
                <w:szCs w:val="22"/>
              </w:rPr>
              <w:t xml:space="preserve"> </w:t>
            </w:r>
            <w:r w:rsidRPr="002D303A">
              <w:rPr>
                <w:rFonts w:ascii="Times New Roman" w:hAnsi="Times New Roman"/>
                <w:sz w:val="22"/>
                <w:szCs w:val="22"/>
              </w:rPr>
              <w:t>in</w:t>
            </w:r>
            <w:r w:rsidR="00B55E50" w:rsidRPr="002D303A">
              <w:rPr>
                <w:rFonts w:ascii="Times New Roman" w:hAnsi="Times New Roman"/>
                <w:sz w:val="22"/>
                <w:szCs w:val="22"/>
              </w:rPr>
              <w:t xml:space="preserve"> </w:t>
            </w:r>
            <w:r w:rsidRPr="002D303A">
              <w:rPr>
                <w:rFonts w:ascii="Times New Roman" w:hAnsi="Times New Roman"/>
                <w:sz w:val="22"/>
                <w:szCs w:val="22"/>
              </w:rPr>
              <w:t>hand with employers to ensure the health and safety of the U.S. workforce.</w:t>
            </w:r>
          </w:p>
        </w:tc>
        <w:tc>
          <w:tcPr>
            <w:tcW w:w="3690" w:type="dxa"/>
            <w:tcBorders>
              <w:top w:val="nil"/>
            </w:tcBorders>
          </w:tcPr>
          <w:p w14:paraId="5E98CE9B" w14:textId="237093FB"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Organized labor and other labor forces are factors that keep employers responsible for OSH in certain sectors.</w:t>
            </w:r>
          </w:p>
        </w:tc>
        <w:tc>
          <w:tcPr>
            <w:tcW w:w="3690" w:type="dxa"/>
            <w:tcBorders>
              <w:top w:val="nil"/>
            </w:tcBorders>
          </w:tcPr>
          <w:p w14:paraId="273AE9ED" w14:textId="4E89FFC2"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Labor continues to advocate for OSH despite waning employer attention and interest.</w:t>
            </w:r>
          </w:p>
        </w:tc>
        <w:tc>
          <w:tcPr>
            <w:tcW w:w="3081" w:type="dxa"/>
            <w:tcBorders>
              <w:top w:val="single" w:sz="4" w:space="0" w:color="auto"/>
              <w:right w:val="nil"/>
            </w:tcBorders>
          </w:tcPr>
          <w:p w14:paraId="1A2CE5DE" w14:textId="3924D2C4"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Organized labor is more of an information dissemination network than a source of bargaining power.</w:t>
            </w:r>
          </w:p>
        </w:tc>
      </w:tr>
      <w:tr w:rsidR="006F31F6" w:rsidRPr="002D303A" w14:paraId="1B055B68" w14:textId="77777777" w:rsidTr="006F31F6">
        <w:trPr>
          <w:trHeight w:val="20"/>
        </w:trPr>
        <w:tc>
          <w:tcPr>
            <w:tcW w:w="1710" w:type="dxa"/>
            <w:tcBorders>
              <w:top w:val="single" w:sz="4" w:space="0" w:color="auto"/>
              <w:left w:val="nil"/>
            </w:tcBorders>
          </w:tcPr>
          <w:p w14:paraId="657BD977" w14:textId="3FD678B9" w:rsidR="006F31F6" w:rsidRPr="002D303A" w:rsidRDefault="006F31F6" w:rsidP="00B55E50">
            <w:pPr>
              <w:pStyle w:val="MDPI42tablebody"/>
              <w:jc w:val="left"/>
              <w:rPr>
                <w:rFonts w:ascii="Times New Roman" w:hAnsi="Times New Roman"/>
                <w:b/>
                <w:sz w:val="22"/>
                <w:szCs w:val="22"/>
              </w:rPr>
            </w:pPr>
            <w:r w:rsidRPr="002D303A">
              <w:rPr>
                <w:rFonts w:ascii="Times New Roman" w:hAnsi="Times New Roman"/>
                <w:kern w:val="24"/>
                <w:sz w:val="22"/>
                <w:szCs w:val="22"/>
              </w:rPr>
              <w:t>3. Trust in      government*</w:t>
            </w:r>
          </w:p>
        </w:tc>
        <w:tc>
          <w:tcPr>
            <w:tcW w:w="3330" w:type="dxa"/>
            <w:tcBorders>
              <w:top w:val="nil"/>
            </w:tcBorders>
          </w:tcPr>
          <w:p w14:paraId="5B52857E" w14:textId="02990E45"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Government regains its reputation as trusted source of health information. The degree of science literacy is high among the public.</w:t>
            </w:r>
          </w:p>
        </w:tc>
        <w:tc>
          <w:tcPr>
            <w:tcW w:w="3690" w:type="dxa"/>
            <w:tcBorders>
              <w:top w:val="nil"/>
            </w:tcBorders>
          </w:tcPr>
          <w:p w14:paraId="07D815C2" w14:textId="41454F07"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Individual influencers become the dominant voice. The public looks to them for health information.</w:t>
            </w:r>
          </w:p>
        </w:tc>
        <w:tc>
          <w:tcPr>
            <w:tcW w:w="3690" w:type="dxa"/>
            <w:tcBorders>
              <w:top w:val="nil"/>
            </w:tcBorders>
          </w:tcPr>
          <w:p w14:paraId="07C764EF" w14:textId="1F2588B9"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Individual influencers become the dominant voice. The public looks to them for health information. Support for NIOSH is threatened.</w:t>
            </w:r>
          </w:p>
        </w:tc>
        <w:tc>
          <w:tcPr>
            <w:tcW w:w="3081" w:type="dxa"/>
            <w:tcBorders>
              <w:top w:val="single" w:sz="4" w:space="0" w:color="auto"/>
              <w:right w:val="nil"/>
            </w:tcBorders>
          </w:tcPr>
          <w:p w14:paraId="0777D3CF" w14:textId="1C106901"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The government regains its reputation as a trusted source of health information.</w:t>
            </w:r>
          </w:p>
        </w:tc>
      </w:tr>
      <w:tr w:rsidR="006F31F6" w:rsidRPr="002D303A" w14:paraId="0EE9E8FC" w14:textId="77777777" w:rsidTr="006F31F6">
        <w:trPr>
          <w:trHeight w:val="20"/>
        </w:trPr>
        <w:tc>
          <w:tcPr>
            <w:tcW w:w="1710" w:type="dxa"/>
            <w:tcBorders>
              <w:top w:val="single" w:sz="4" w:space="0" w:color="auto"/>
              <w:left w:val="nil"/>
            </w:tcBorders>
            <w:shd w:val="clear" w:color="auto" w:fill="auto"/>
          </w:tcPr>
          <w:p w14:paraId="3A14D0F0" w14:textId="2CFB814E" w:rsidR="006F31F6" w:rsidRPr="002D303A" w:rsidRDefault="006F31F6" w:rsidP="00B55E50">
            <w:pPr>
              <w:pStyle w:val="MDPI42tablebody"/>
              <w:jc w:val="left"/>
              <w:rPr>
                <w:rFonts w:ascii="Times New Roman" w:hAnsi="Times New Roman"/>
                <w:b/>
                <w:sz w:val="22"/>
                <w:szCs w:val="22"/>
              </w:rPr>
            </w:pPr>
            <w:r w:rsidRPr="002D303A">
              <w:rPr>
                <w:rFonts w:ascii="Times New Roman" w:hAnsi="Times New Roman"/>
                <w:kern w:val="24"/>
                <w:sz w:val="22"/>
                <w:szCs w:val="22"/>
              </w:rPr>
              <w:t>4. Global supply chain</w:t>
            </w:r>
          </w:p>
        </w:tc>
        <w:tc>
          <w:tcPr>
            <w:tcW w:w="3330" w:type="dxa"/>
            <w:tcBorders>
              <w:top w:val="nil"/>
            </w:tcBorders>
          </w:tcPr>
          <w:p w14:paraId="4BA0666C" w14:textId="4E1FB701"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OSH practice in the U.S. corresponds to and informs practices around the world. There are strong global OSH connections and interactions.</w:t>
            </w:r>
          </w:p>
        </w:tc>
        <w:tc>
          <w:tcPr>
            <w:tcW w:w="3690" w:type="dxa"/>
            <w:tcBorders>
              <w:top w:val="nil"/>
            </w:tcBorders>
          </w:tcPr>
          <w:p w14:paraId="638611E7" w14:textId="495B40DF"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Not critical to this scenario.</w:t>
            </w:r>
          </w:p>
        </w:tc>
        <w:tc>
          <w:tcPr>
            <w:tcW w:w="3690" w:type="dxa"/>
            <w:tcBorders>
              <w:top w:val="nil"/>
            </w:tcBorders>
          </w:tcPr>
          <w:p w14:paraId="2969AE80" w14:textId="7DFAF37A"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Businesses race to the bottom to obtain the cheapest labor possible. A complete collapse of regulatory structures further challenges the ability to improve OSH products or supplies that impact the workplace, which has reverberating effects throughout the supply chain.</w:t>
            </w:r>
          </w:p>
        </w:tc>
        <w:tc>
          <w:tcPr>
            <w:tcW w:w="3081" w:type="dxa"/>
            <w:tcBorders>
              <w:top w:val="single" w:sz="4" w:space="0" w:color="auto"/>
              <w:right w:val="nil"/>
            </w:tcBorders>
            <w:shd w:val="clear" w:color="auto" w:fill="auto"/>
          </w:tcPr>
          <w:p w14:paraId="56582756" w14:textId="43A2A31F"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Not critical to this scenario.</w:t>
            </w:r>
          </w:p>
        </w:tc>
      </w:tr>
      <w:tr w:rsidR="006F31F6" w:rsidRPr="002D303A" w14:paraId="3C15B4A3" w14:textId="77777777" w:rsidTr="006F31F6">
        <w:trPr>
          <w:trHeight w:val="20"/>
        </w:trPr>
        <w:tc>
          <w:tcPr>
            <w:tcW w:w="1710" w:type="dxa"/>
            <w:tcBorders>
              <w:top w:val="single" w:sz="4" w:space="0" w:color="auto"/>
              <w:left w:val="nil"/>
            </w:tcBorders>
            <w:shd w:val="clear" w:color="auto" w:fill="auto"/>
          </w:tcPr>
          <w:p w14:paraId="29C12D87" w14:textId="77777777" w:rsidR="006F31F6" w:rsidRPr="002D303A" w:rsidRDefault="006F31F6" w:rsidP="00B55E50">
            <w:pPr>
              <w:pStyle w:val="MDPI42tablebody"/>
              <w:jc w:val="left"/>
              <w:rPr>
                <w:rFonts w:ascii="Times New Roman" w:hAnsi="Times New Roman"/>
                <w:kern w:val="24"/>
                <w:sz w:val="22"/>
                <w:szCs w:val="22"/>
              </w:rPr>
            </w:pPr>
            <w:r w:rsidRPr="002D303A">
              <w:rPr>
                <w:rFonts w:ascii="Times New Roman" w:hAnsi="Times New Roman"/>
                <w:kern w:val="24"/>
                <w:sz w:val="22"/>
                <w:szCs w:val="22"/>
              </w:rPr>
              <w:t xml:space="preserve">5. Regulatory </w:t>
            </w:r>
          </w:p>
          <w:p w14:paraId="37C836DC" w14:textId="77777777" w:rsidR="00B55E50" w:rsidRPr="002D303A" w:rsidRDefault="006F31F6" w:rsidP="00B55E50">
            <w:pPr>
              <w:pStyle w:val="MDPI42tablebody"/>
              <w:jc w:val="left"/>
              <w:rPr>
                <w:rFonts w:ascii="Times New Roman" w:hAnsi="Times New Roman"/>
                <w:kern w:val="24"/>
                <w:sz w:val="22"/>
                <w:szCs w:val="22"/>
              </w:rPr>
            </w:pPr>
            <w:r w:rsidRPr="002D303A">
              <w:rPr>
                <w:rFonts w:ascii="Times New Roman" w:hAnsi="Times New Roman"/>
                <w:kern w:val="24"/>
                <w:sz w:val="22"/>
                <w:szCs w:val="22"/>
              </w:rPr>
              <w:t xml:space="preserve">policy &amp; </w:t>
            </w:r>
          </w:p>
          <w:p w14:paraId="4AF1EE71" w14:textId="34583A7A" w:rsidR="006F31F6" w:rsidRPr="002D303A" w:rsidRDefault="006F31F6" w:rsidP="00B55E50">
            <w:pPr>
              <w:pStyle w:val="MDPI42tablebody"/>
              <w:jc w:val="left"/>
              <w:rPr>
                <w:rFonts w:ascii="Times New Roman" w:hAnsi="Times New Roman"/>
                <w:b/>
                <w:sz w:val="22"/>
                <w:szCs w:val="22"/>
              </w:rPr>
            </w:pPr>
            <w:r w:rsidRPr="002D303A">
              <w:rPr>
                <w:rFonts w:ascii="Times New Roman" w:hAnsi="Times New Roman"/>
                <w:kern w:val="24"/>
                <w:sz w:val="22"/>
                <w:szCs w:val="22"/>
              </w:rPr>
              <w:t>practice</w:t>
            </w:r>
          </w:p>
        </w:tc>
        <w:tc>
          <w:tcPr>
            <w:tcW w:w="3330" w:type="dxa"/>
            <w:tcBorders>
              <w:top w:val="nil"/>
            </w:tcBorders>
          </w:tcPr>
          <w:p w14:paraId="3E555345" w14:textId="2D1A25C7"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Regulatory practice and policy are stronger and supported by the public. The courts sustain regulatory actions. This landscape encourages employer acceptance of workplace OSH.</w:t>
            </w:r>
          </w:p>
        </w:tc>
        <w:tc>
          <w:tcPr>
            <w:tcW w:w="3690" w:type="dxa"/>
            <w:tcBorders>
              <w:top w:val="nil"/>
            </w:tcBorders>
          </w:tcPr>
          <w:p w14:paraId="411DC426" w14:textId="549A9FA0"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Regulation may not keep up with changing times.</w:t>
            </w:r>
          </w:p>
        </w:tc>
        <w:tc>
          <w:tcPr>
            <w:tcW w:w="3690" w:type="dxa"/>
            <w:tcBorders>
              <w:top w:val="nil"/>
            </w:tcBorders>
          </w:tcPr>
          <w:p w14:paraId="2DFACD35" w14:textId="1F5B7A18"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Policies are not respected, leading to their irrelevance. This leaves no clear avenue for a coordinated, science-based approach to implement OSH. There is a lack of leadership and vision for OSH in industry.</w:t>
            </w:r>
          </w:p>
        </w:tc>
        <w:tc>
          <w:tcPr>
            <w:tcW w:w="3081" w:type="dxa"/>
            <w:tcBorders>
              <w:top w:val="single" w:sz="4" w:space="0" w:color="auto"/>
              <w:right w:val="nil"/>
            </w:tcBorders>
            <w:shd w:val="clear" w:color="auto" w:fill="auto"/>
          </w:tcPr>
          <w:p w14:paraId="099F3735" w14:textId="64F48643"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Government has experimented successfully with new regulatory frameworks, bolstering public trust.</w:t>
            </w:r>
          </w:p>
        </w:tc>
      </w:tr>
      <w:tr w:rsidR="006F31F6" w:rsidRPr="002D303A" w14:paraId="15E8823D" w14:textId="77777777" w:rsidTr="006F31F6">
        <w:trPr>
          <w:trHeight w:val="20"/>
        </w:trPr>
        <w:tc>
          <w:tcPr>
            <w:tcW w:w="1710" w:type="dxa"/>
            <w:tcBorders>
              <w:top w:val="single" w:sz="4" w:space="0" w:color="auto"/>
              <w:left w:val="nil"/>
            </w:tcBorders>
            <w:shd w:val="clear" w:color="auto" w:fill="auto"/>
          </w:tcPr>
          <w:p w14:paraId="7BFE6D31" w14:textId="609C90A3" w:rsidR="006F31F6" w:rsidRPr="002D303A" w:rsidRDefault="006F31F6" w:rsidP="00B55E50">
            <w:pPr>
              <w:pStyle w:val="MDPI42tablebody"/>
              <w:jc w:val="left"/>
              <w:rPr>
                <w:rFonts w:ascii="Times New Roman" w:hAnsi="Times New Roman"/>
                <w:b/>
                <w:sz w:val="22"/>
                <w:szCs w:val="22"/>
              </w:rPr>
            </w:pPr>
            <w:r w:rsidRPr="002D303A">
              <w:rPr>
                <w:rFonts w:ascii="Times New Roman" w:hAnsi="Times New Roman"/>
                <w:kern w:val="24"/>
                <w:sz w:val="22"/>
                <w:szCs w:val="22"/>
              </w:rPr>
              <w:lastRenderedPageBreak/>
              <w:t>6. Social       connectedness</w:t>
            </w:r>
          </w:p>
        </w:tc>
        <w:tc>
          <w:tcPr>
            <w:tcW w:w="3330" w:type="dxa"/>
            <w:tcBorders>
              <w:top w:val="nil"/>
            </w:tcBorders>
          </w:tcPr>
          <w:p w14:paraId="6AAFDAD2" w14:textId="1BE1B627"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 xml:space="preserve">OSH professionals </w:t>
            </w:r>
            <w:r w:rsidR="0073362A" w:rsidRPr="002D303A">
              <w:rPr>
                <w:rFonts w:ascii="Times New Roman" w:hAnsi="Times New Roman"/>
                <w:sz w:val="22"/>
                <w:szCs w:val="22"/>
              </w:rPr>
              <w:t xml:space="preserve">and employers use technology </w:t>
            </w:r>
            <w:r w:rsidRPr="002D303A">
              <w:rPr>
                <w:rFonts w:ascii="Times New Roman" w:hAnsi="Times New Roman"/>
                <w:sz w:val="22"/>
                <w:szCs w:val="22"/>
              </w:rPr>
              <w:t>to</w:t>
            </w:r>
            <w:r w:rsidR="0073362A" w:rsidRPr="002D303A">
              <w:rPr>
                <w:rFonts w:ascii="Times New Roman" w:hAnsi="Times New Roman"/>
                <w:sz w:val="22"/>
                <w:szCs w:val="22"/>
              </w:rPr>
              <w:t xml:space="preserve"> effectively</w:t>
            </w:r>
            <w:r w:rsidRPr="002D303A">
              <w:rPr>
                <w:rFonts w:ascii="Times New Roman" w:hAnsi="Times New Roman"/>
                <w:sz w:val="22"/>
                <w:szCs w:val="22"/>
              </w:rPr>
              <w:t xml:space="preserve"> reach those in need of OSH information. Employers meet challenge of meeting OSH needs of remote workforce.</w:t>
            </w:r>
          </w:p>
        </w:tc>
        <w:tc>
          <w:tcPr>
            <w:tcW w:w="3690" w:type="dxa"/>
            <w:tcBorders>
              <w:top w:val="nil"/>
            </w:tcBorders>
          </w:tcPr>
          <w:p w14:paraId="776AAB63" w14:textId="5B024745"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Individual influencers using multiple communication platforms become a nexus of exchange of ideas. This creates distinct power bases.</w:t>
            </w:r>
          </w:p>
        </w:tc>
        <w:tc>
          <w:tcPr>
            <w:tcW w:w="3690" w:type="dxa"/>
            <w:tcBorders>
              <w:top w:val="nil"/>
            </w:tcBorders>
          </w:tcPr>
          <w:p w14:paraId="523DF3E5" w14:textId="1367BE6B"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A lack of arbiters results in inconsistent information. This makes it difficult for people to obtain accurate OSH information and mobilize to control OSH hazards.</w:t>
            </w:r>
          </w:p>
        </w:tc>
        <w:tc>
          <w:tcPr>
            <w:tcW w:w="3081" w:type="dxa"/>
            <w:tcBorders>
              <w:top w:val="single" w:sz="4" w:space="0" w:color="auto"/>
              <w:right w:val="nil"/>
            </w:tcBorders>
            <w:shd w:val="clear" w:color="auto" w:fill="auto"/>
          </w:tcPr>
          <w:p w14:paraId="2DC266A5" w14:textId="3F9726D9"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Bifurcations in regulatory frameworks meets the needs of knowledge work, while other sectors and industries feel left behind.</w:t>
            </w:r>
          </w:p>
        </w:tc>
      </w:tr>
      <w:tr w:rsidR="006F31F6" w:rsidRPr="002D303A" w14:paraId="639B5A51" w14:textId="77777777" w:rsidTr="006F31F6">
        <w:trPr>
          <w:trHeight w:val="20"/>
        </w:trPr>
        <w:tc>
          <w:tcPr>
            <w:tcW w:w="1710" w:type="dxa"/>
            <w:tcBorders>
              <w:top w:val="single" w:sz="4" w:space="0" w:color="auto"/>
              <w:left w:val="nil"/>
            </w:tcBorders>
            <w:shd w:val="clear" w:color="auto" w:fill="auto"/>
          </w:tcPr>
          <w:p w14:paraId="0B5816F0" w14:textId="2096AE1A" w:rsidR="006F31F6" w:rsidRPr="002D303A" w:rsidRDefault="006F31F6" w:rsidP="00B55E50">
            <w:pPr>
              <w:pStyle w:val="MDPI42tablebody"/>
              <w:jc w:val="left"/>
              <w:rPr>
                <w:rFonts w:ascii="Times New Roman" w:hAnsi="Times New Roman"/>
                <w:b/>
                <w:sz w:val="22"/>
                <w:szCs w:val="22"/>
              </w:rPr>
            </w:pPr>
            <w:r w:rsidRPr="002D303A">
              <w:rPr>
                <w:rFonts w:ascii="Times New Roman" w:hAnsi="Times New Roman"/>
                <w:kern w:val="24"/>
                <w:sz w:val="22"/>
                <w:szCs w:val="22"/>
              </w:rPr>
              <w:t>7. The human   element</w:t>
            </w:r>
          </w:p>
        </w:tc>
        <w:tc>
          <w:tcPr>
            <w:tcW w:w="3330" w:type="dxa"/>
            <w:tcBorders>
              <w:top w:val="nil"/>
            </w:tcBorders>
          </w:tcPr>
          <w:p w14:paraId="12D5ACA3" w14:textId="7DCE1BF4"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There is stronger support for social work and mental health. All workers— including OSH professionals— can upskill and reskill. There is increased collaboration with service providers, which improves their capacity to serve as sources of accurate and evidence-based OSH information.</w:t>
            </w:r>
          </w:p>
        </w:tc>
        <w:tc>
          <w:tcPr>
            <w:tcW w:w="3690" w:type="dxa"/>
            <w:tcBorders>
              <w:top w:val="nil"/>
            </w:tcBorders>
          </w:tcPr>
          <w:p w14:paraId="2A4C938D" w14:textId="3473B1EC"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Not critical to this scenario.</w:t>
            </w:r>
          </w:p>
        </w:tc>
        <w:tc>
          <w:tcPr>
            <w:tcW w:w="3690" w:type="dxa"/>
            <w:tcBorders>
              <w:top w:val="nil"/>
            </w:tcBorders>
          </w:tcPr>
          <w:p w14:paraId="56C553C0" w14:textId="0E00BE3B"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A lack of formalized protections leads to OSH stalls and setbacks.</w:t>
            </w:r>
          </w:p>
        </w:tc>
        <w:tc>
          <w:tcPr>
            <w:tcW w:w="3081" w:type="dxa"/>
            <w:tcBorders>
              <w:top w:val="single" w:sz="4" w:space="0" w:color="auto"/>
              <w:right w:val="nil"/>
            </w:tcBorders>
            <w:shd w:val="clear" w:color="auto" w:fill="auto"/>
          </w:tcPr>
          <w:p w14:paraId="6B2ACA2F" w14:textId="11200D80" w:rsidR="006F31F6" w:rsidRPr="002D303A" w:rsidRDefault="006F31F6" w:rsidP="00B55E50">
            <w:pPr>
              <w:pStyle w:val="MDPI42tablebody"/>
              <w:jc w:val="both"/>
              <w:rPr>
                <w:rFonts w:ascii="Times New Roman" w:eastAsiaTheme="minorHAnsi" w:hAnsi="Times New Roman"/>
                <w:sz w:val="22"/>
                <w:szCs w:val="22"/>
              </w:rPr>
            </w:pPr>
            <w:r w:rsidRPr="002D303A">
              <w:rPr>
                <w:rFonts w:ascii="Times New Roman" w:hAnsi="Times New Roman"/>
                <w:sz w:val="22"/>
                <w:szCs w:val="22"/>
              </w:rPr>
              <w:t>Not critical to this scenario.</w:t>
            </w:r>
          </w:p>
        </w:tc>
      </w:tr>
      <w:tr w:rsidR="006F31F6" w:rsidRPr="002D303A" w14:paraId="4FFDA525" w14:textId="77777777" w:rsidTr="006F31F6">
        <w:trPr>
          <w:trHeight w:val="20"/>
        </w:trPr>
        <w:tc>
          <w:tcPr>
            <w:tcW w:w="1710" w:type="dxa"/>
            <w:tcBorders>
              <w:top w:val="single" w:sz="4" w:space="0" w:color="auto"/>
              <w:left w:val="nil"/>
              <w:bottom w:val="single" w:sz="4" w:space="0" w:color="auto"/>
            </w:tcBorders>
          </w:tcPr>
          <w:p w14:paraId="39F2DE06" w14:textId="56B9D187" w:rsidR="006F31F6" w:rsidRPr="002D303A" w:rsidRDefault="006F31F6" w:rsidP="00B55E50">
            <w:pPr>
              <w:pStyle w:val="MDPI42tablebody"/>
              <w:jc w:val="left"/>
              <w:rPr>
                <w:rFonts w:ascii="Times New Roman" w:hAnsi="Times New Roman"/>
                <w:b/>
                <w:sz w:val="22"/>
                <w:szCs w:val="22"/>
              </w:rPr>
            </w:pPr>
            <w:r w:rsidRPr="002D303A">
              <w:rPr>
                <w:rFonts w:ascii="Times New Roman" w:hAnsi="Times New Roman"/>
                <w:kern w:val="24"/>
                <w:sz w:val="22"/>
                <w:szCs w:val="22"/>
              </w:rPr>
              <w:t>8. Workforce health &amp; safety*</w:t>
            </w:r>
          </w:p>
        </w:tc>
        <w:tc>
          <w:tcPr>
            <w:tcW w:w="3330" w:type="dxa"/>
            <w:tcBorders>
              <w:top w:val="nil"/>
              <w:bottom w:val="single" w:sz="4" w:space="0" w:color="auto"/>
            </w:tcBorders>
          </w:tcPr>
          <w:p w14:paraId="353C6678" w14:textId="2421A848"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Workforce health and safety remain an employer responsibility.  Employers, unions, and government work together to improve OSH. Issues and challenges remain in reaching small business, independent contractors, and gig workers, who comprise most of the workforce. Employers and professional associations assist in reaching these groups.</w:t>
            </w:r>
          </w:p>
        </w:tc>
        <w:tc>
          <w:tcPr>
            <w:tcW w:w="3690" w:type="dxa"/>
            <w:tcBorders>
              <w:top w:val="nil"/>
              <w:bottom w:val="single" w:sz="4" w:space="0" w:color="auto"/>
            </w:tcBorders>
          </w:tcPr>
          <w:p w14:paraId="6933DEB6" w14:textId="7EBC5605"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Workforce health and safety remain an employer responsibility.</w:t>
            </w:r>
          </w:p>
        </w:tc>
        <w:tc>
          <w:tcPr>
            <w:tcW w:w="3690" w:type="dxa"/>
            <w:tcBorders>
              <w:top w:val="nil"/>
              <w:bottom w:val="single" w:sz="4" w:space="0" w:color="auto"/>
            </w:tcBorders>
          </w:tcPr>
          <w:p w14:paraId="05F3D326" w14:textId="4D8E891E"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Workforce health and safety become an individual responsibility. This results in a ‘haves’ vs. ‘have nots’ situation because access to useful and accurate information is costly.</w:t>
            </w:r>
          </w:p>
        </w:tc>
        <w:tc>
          <w:tcPr>
            <w:tcW w:w="3081" w:type="dxa"/>
            <w:tcBorders>
              <w:top w:val="single" w:sz="4" w:space="0" w:color="auto"/>
              <w:bottom w:val="single" w:sz="4" w:space="0" w:color="auto"/>
              <w:right w:val="nil"/>
            </w:tcBorders>
          </w:tcPr>
          <w:p w14:paraId="4694A7FE" w14:textId="4AB5C264"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Workforce health and safety become an individualized responsibility.</w:t>
            </w:r>
          </w:p>
        </w:tc>
      </w:tr>
      <w:tr w:rsidR="006F31F6" w:rsidRPr="002D303A" w14:paraId="271E1624" w14:textId="77777777" w:rsidTr="006F31F6">
        <w:trPr>
          <w:trHeight w:val="20"/>
        </w:trPr>
        <w:tc>
          <w:tcPr>
            <w:tcW w:w="1710" w:type="dxa"/>
            <w:tcBorders>
              <w:top w:val="single" w:sz="4" w:space="0" w:color="auto"/>
              <w:left w:val="nil"/>
              <w:bottom w:val="single" w:sz="4" w:space="0" w:color="auto"/>
            </w:tcBorders>
          </w:tcPr>
          <w:p w14:paraId="32BF0989" w14:textId="43399A76" w:rsidR="006F31F6" w:rsidRPr="002D303A" w:rsidRDefault="006F31F6" w:rsidP="00B55E50">
            <w:pPr>
              <w:pStyle w:val="MDPI42tablebody"/>
              <w:jc w:val="left"/>
              <w:rPr>
                <w:rFonts w:ascii="Times New Roman" w:hAnsi="Times New Roman"/>
                <w:b/>
                <w:sz w:val="22"/>
                <w:szCs w:val="22"/>
              </w:rPr>
            </w:pPr>
            <w:r w:rsidRPr="002D303A">
              <w:rPr>
                <w:rFonts w:ascii="Times New Roman" w:hAnsi="Times New Roman"/>
                <w:kern w:val="24"/>
                <w:sz w:val="22"/>
                <w:szCs w:val="22"/>
              </w:rPr>
              <w:t>9. Remote    economy</w:t>
            </w:r>
          </w:p>
        </w:tc>
        <w:tc>
          <w:tcPr>
            <w:tcW w:w="3330" w:type="dxa"/>
            <w:tcBorders>
              <w:top w:val="single" w:sz="4" w:space="0" w:color="auto"/>
              <w:bottom w:val="single" w:sz="4" w:space="0" w:color="auto"/>
            </w:tcBorders>
          </w:tcPr>
          <w:p w14:paraId="65DD9C44" w14:textId="0C132B49"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The use of technology for work promotes greater workforce diversity, equity, inclusion, acceptance, and belonging (DEIAB).</w:t>
            </w:r>
          </w:p>
        </w:tc>
        <w:tc>
          <w:tcPr>
            <w:tcW w:w="3690" w:type="dxa"/>
            <w:tcBorders>
              <w:top w:val="single" w:sz="4" w:space="0" w:color="auto"/>
              <w:bottom w:val="single" w:sz="4" w:space="0" w:color="auto"/>
            </w:tcBorders>
          </w:tcPr>
          <w:p w14:paraId="01C0D232" w14:textId="0E59BA46"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 xml:space="preserve">Some sectors use technology </w:t>
            </w:r>
            <w:proofErr w:type="gramStart"/>
            <w:r w:rsidRPr="002D303A">
              <w:rPr>
                <w:rFonts w:ascii="Times New Roman" w:hAnsi="Times New Roman"/>
                <w:sz w:val="22"/>
                <w:szCs w:val="22"/>
              </w:rPr>
              <w:t>in an effort to</w:t>
            </w:r>
            <w:proofErr w:type="gramEnd"/>
            <w:r w:rsidRPr="002D303A">
              <w:rPr>
                <w:rFonts w:ascii="Times New Roman" w:hAnsi="Times New Roman"/>
                <w:sz w:val="22"/>
                <w:szCs w:val="22"/>
              </w:rPr>
              <w:t xml:space="preserve"> minimize exposure to hazards. This creates different experiences for different target audiences by different influencers.</w:t>
            </w:r>
          </w:p>
        </w:tc>
        <w:tc>
          <w:tcPr>
            <w:tcW w:w="3690" w:type="dxa"/>
            <w:tcBorders>
              <w:top w:val="single" w:sz="4" w:space="0" w:color="auto"/>
              <w:bottom w:val="single" w:sz="4" w:space="0" w:color="auto"/>
            </w:tcBorders>
          </w:tcPr>
          <w:p w14:paraId="5D4C7472" w14:textId="702F19C3"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Greater access to technology is challenged by less direction and information overload. Employers use technology to monitor employees, which adds to job stress and the prevalence of stress-related disorders. In addition, there is no consensus on what constitutes the best, most reliable OSH information.</w:t>
            </w:r>
          </w:p>
        </w:tc>
        <w:tc>
          <w:tcPr>
            <w:tcW w:w="3081" w:type="dxa"/>
            <w:tcBorders>
              <w:top w:val="single" w:sz="4" w:space="0" w:color="auto"/>
              <w:bottom w:val="single" w:sz="4" w:space="0" w:color="auto"/>
              <w:right w:val="nil"/>
            </w:tcBorders>
          </w:tcPr>
          <w:p w14:paraId="591C20AB" w14:textId="36A395C3"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The shift to a remote economy played a large role in enabling a shift to individual responsibility for OSH in some sectors.</w:t>
            </w:r>
          </w:p>
        </w:tc>
      </w:tr>
      <w:tr w:rsidR="006F31F6" w:rsidRPr="002D303A" w14:paraId="0FADA13D" w14:textId="77777777" w:rsidTr="006F31F6">
        <w:trPr>
          <w:trHeight w:val="20"/>
        </w:trPr>
        <w:tc>
          <w:tcPr>
            <w:tcW w:w="1710" w:type="dxa"/>
            <w:tcBorders>
              <w:top w:val="single" w:sz="4" w:space="0" w:color="auto"/>
              <w:left w:val="nil"/>
              <w:bottom w:val="single" w:sz="4" w:space="0" w:color="auto"/>
            </w:tcBorders>
          </w:tcPr>
          <w:p w14:paraId="6A85B7D0" w14:textId="7C20F7AE" w:rsidR="006F31F6" w:rsidRPr="002D303A" w:rsidRDefault="0073362A" w:rsidP="00B55E50">
            <w:pPr>
              <w:pStyle w:val="MDPI42tablebody"/>
              <w:jc w:val="left"/>
              <w:rPr>
                <w:rFonts w:ascii="Times New Roman" w:hAnsi="Times New Roman"/>
                <w:b/>
                <w:sz w:val="22"/>
                <w:szCs w:val="22"/>
              </w:rPr>
            </w:pPr>
            <w:r w:rsidRPr="002D303A">
              <w:rPr>
                <w:rFonts w:ascii="Times New Roman" w:hAnsi="Times New Roman"/>
                <w:kern w:val="24"/>
                <w:sz w:val="22"/>
                <w:szCs w:val="22"/>
              </w:rPr>
              <w:lastRenderedPageBreak/>
              <w:t xml:space="preserve">10. </w:t>
            </w:r>
            <w:r w:rsidR="006F31F6" w:rsidRPr="002D303A">
              <w:rPr>
                <w:rFonts w:ascii="Times New Roman" w:hAnsi="Times New Roman"/>
                <w:kern w:val="24"/>
                <w:sz w:val="22"/>
                <w:szCs w:val="22"/>
              </w:rPr>
              <w:t xml:space="preserve">Bye </w:t>
            </w:r>
            <w:proofErr w:type="spellStart"/>
            <w:r w:rsidR="006F31F6" w:rsidRPr="002D303A">
              <w:rPr>
                <w:rFonts w:ascii="Times New Roman" w:hAnsi="Times New Roman"/>
                <w:kern w:val="24"/>
                <w:sz w:val="22"/>
                <w:szCs w:val="22"/>
              </w:rPr>
              <w:t>bye</w:t>
            </w:r>
            <w:proofErr w:type="spellEnd"/>
            <w:r w:rsidR="006F31F6" w:rsidRPr="002D303A">
              <w:rPr>
                <w:rFonts w:ascii="Times New Roman" w:hAnsi="Times New Roman"/>
                <w:kern w:val="24"/>
                <w:sz w:val="22"/>
                <w:szCs w:val="22"/>
              </w:rPr>
              <w:t xml:space="preserve">    boundaries</w:t>
            </w:r>
          </w:p>
        </w:tc>
        <w:tc>
          <w:tcPr>
            <w:tcW w:w="3330" w:type="dxa"/>
            <w:tcBorders>
              <w:top w:val="single" w:sz="4" w:space="0" w:color="auto"/>
              <w:bottom w:val="single" w:sz="4" w:space="0" w:color="auto"/>
            </w:tcBorders>
          </w:tcPr>
          <w:p w14:paraId="26E99875" w14:textId="292E39B7"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Not critical to this scenario.</w:t>
            </w:r>
          </w:p>
        </w:tc>
        <w:tc>
          <w:tcPr>
            <w:tcW w:w="3690" w:type="dxa"/>
            <w:tcBorders>
              <w:top w:val="single" w:sz="4" w:space="0" w:color="auto"/>
              <w:bottom w:val="single" w:sz="4" w:space="0" w:color="auto"/>
            </w:tcBorders>
          </w:tcPr>
          <w:p w14:paraId="6A8A7793" w14:textId="26E411CD"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Not critical to this scenario.</w:t>
            </w:r>
          </w:p>
        </w:tc>
        <w:tc>
          <w:tcPr>
            <w:tcW w:w="3690" w:type="dxa"/>
            <w:tcBorders>
              <w:top w:val="single" w:sz="4" w:space="0" w:color="auto"/>
              <w:bottom w:val="single" w:sz="4" w:space="0" w:color="auto"/>
            </w:tcBorders>
          </w:tcPr>
          <w:p w14:paraId="5D1A2FA5" w14:textId="59FC542F"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Employer-sponsored work-life benefits and assistance are weakened to the point of near nonexistence.</w:t>
            </w:r>
          </w:p>
        </w:tc>
        <w:tc>
          <w:tcPr>
            <w:tcW w:w="3081" w:type="dxa"/>
            <w:tcBorders>
              <w:top w:val="single" w:sz="4" w:space="0" w:color="auto"/>
              <w:bottom w:val="single" w:sz="4" w:space="0" w:color="auto"/>
              <w:right w:val="nil"/>
            </w:tcBorders>
          </w:tcPr>
          <w:p w14:paraId="50A2C6B3" w14:textId="76751CFF"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Not critical to this scenario.</w:t>
            </w:r>
          </w:p>
        </w:tc>
      </w:tr>
      <w:tr w:rsidR="006F31F6" w:rsidRPr="002D303A" w14:paraId="13FCCD69" w14:textId="77777777" w:rsidTr="006F31F6">
        <w:trPr>
          <w:trHeight w:val="20"/>
        </w:trPr>
        <w:tc>
          <w:tcPr>
            <w:tcW w:w="1710" w:type="dxa"/>
            <w:tcBorders>
              <w:top w:val="single" w:sz="4" w:space="0" w:color="auto"/>
              <w:left w:val="nil"/>
              <w:bottom w:val="single" w:sz="4" w:space="0" w:color="auto"/>
            </w:tcBorders>
          </w:tcPr>
          <w:p w14:paraId="24DF7090" w14:textId="14A362D9" w:rsidR="006F31F6" w:rsidRPr="002D303A" w:rsidRDefault="0073362A" w:rsidP="00B55E50">
            <w:pPr>
              <w:pStyle w:val="MDPI42tablebody"/>
              <w:jc w:val="left"/>
              <w:rPr>
                <w:rFonts w:ascii="Times New Roman" w:hAnsi="Times New Roman"/>
                <w:kern w:val="24"/>
                <w:sz w:val="22"/>
                <w:szCs w:val="22"/>
              </w:rPr>
            </w:pPr>
            <w:r w:rsidRPr="002D303A">
              <w:rPr>
                <w:rFonts w:ascii="Times New Roman" w:hAnsi="Times New Roman"/>
                <w:kern w:val="24"/>
                <w:sz w:val="22"/>
                <w:szCs w:val="22"/>
              </w:rPr>
              <w:t xml:space="preserve">11. </w:t>
            </w:r>
            <w:r w:rsidR="006F31F6" w:rsidRPr="002D303A">
              <w:rPr>
                <w:rFonts w:ascii="Times New Roman" w:hAnsi="Times New Roman"/>
                <w:kern w:val="24"/>
                <w:sz w:val="22"/>
                <w:szCs w:val="22"/>
              </w:rPr>
              <w:t>Tech-</w:t>
            </w:r>
            <w:r w:rsidRPr="002D303A">
              <w:rPr>
                <w:rFonts w:ascii="Times New Roman" w:hAnsi="Times New Roman"/>
                <w:kern w:val="24"/>
                <w:sz w:val="22"/>
                <w:szCs w:val="22"/>
              </w:rPr>
              <w:t xml:space="preserve">      </w:t>
            </w:r>
            <w:proofErr w:type="spellStart"/>
            <w:r w:rsidR="006F31F6" w:rsidRPr="002D303A">
              <w:rPr>
                <w:rFonts w:ascii="Times New Roman" w:hAnsi="Times New Roman"/>
                <w:kern w:val="24"/>
                <w:sz w:val="22"/>
                <w:szCs w:val="22"/>
              </w:rPr>
              <w:t>cessibility</w:t>
            </w:r>
            <w:proofErr w:type="spellEnd"/>
          </w:p>
        </w:tc>
        <w:tc>
          <w:tcPr>
            <w:tcW w:w="3330" w:type="dxa"/>
            <w:tcBorders>
              <w:top w:val="single" w:sz="4" w:space="0" w:color="auto"/>
              <w:bottom w:val="nil"/>
            </w:tcBorders>
          </w:tcPr>
          <w:p w14:paraId="2AEE0D12" w14:textId="312F787D"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Not critical to this scenario.</w:t>
            </w:r>
          </w:p>
        </w:tc>
        <w:tc>
          <w:tcPr>
            <w:tcW w:w="3690" w:type="dxa"/>
            <w:tcBorders>
              <w:top w:val="single" w:sz="4" w:space="0" w:color="auto"/>
              <w:bottom w:val="nil"/>
            </w:tcBorders>
          </w:tcPr>
          <w:p w14:paraId="09782D54" w14:textId="18FD2532"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Not critical to this scenario.</w:t>
            </w:r>
          </w:p>
        </w:tc>
        <w:tc>
          <w:tcPr>
            <w:tcW w:w="3690" w:type="dxa"/>
            <w:tcBorders>
              <w:top w:val="single" w:sz="4" w:space="0" w:color="auto"/>
              <w:bottom w:val="nil"/>
            </w:tcBorders>
          </w:tcPr>
          <w:p w14:paraId="626FB56C" w14:textId="40368323"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It is unclear if machines are driving humans, or if humans are driving machines.</w:t>
            </w:r>
          </w:p>
        </w:tc>
        <w:tc>
          <w:tcPr>
            <w:tcW w:w="3081" w:type="dxa"/>
            <w:tcBorders>
              <w:top w:val="single" w:sz="4" w:space="0" w:color="auto"/>
              <w:bottom w:val="single" w:sz="4" w:space="0" w:color="auto"/>
              <w:right w:val="nil"/>
            </w:tcBorders>
          </w:tcPr>
          <w:p w14:paraId="728FDC21" w14:textId="1768F058" w:rsidR="006F31F6" w:rsidRPr="002D303A" w:rsidRDefault="006F31F6" w:rsidP="00B55E50">
            <w:pPr>
              <w:pStyle w:val="MDPI42tablebody"/>
              <w:jc w:val="both"/>
              <w:rPr>
                <w:rFonts w:ascii="Times New Roman" w:hAnsi="Times New Roman"/>
                <w:sz w:val="22"/>
                <w:szCs w:val="22"/>
              </w:rPr>
            </w:pPr>
            <w:r w:rsidRPr="002D303A">
              <w:rPr>
                <w:rFonts w:ascii="Times New Roman" w:hAnsi="Times New Roman"/>
                <w:sz w:val="22"/>
                <w:szCs w:val="22"/>
              </w:rPr>
              <w:t>Not critical to this scenario.</w:t>
            </w:r>
          </w:p>
        </w:tc>
      </w:tr>
      <w:tr w:rsidR="006F31F6" w:rsidRPr="002D303A" w14:paraId="79381BEB" w14:textId="77777777" w:rsidTr="00C04FEC">
        <w:trPr>
          <w:trHeight w:val="20"/>
        </w:trPr>
        <w:tc>
          <w:tcPr>
            <w:tcW w:w="15501" w:type="dxa"/>
            <w:gridSpan w:val="5"/>
            <w:tcBorders>
              <w:top w:val="single" w:sz="4" w:space="0" w:color="auto"/>
              <w:left w:val="nil"/>
              <w:bottom w:val="nil"/>
              <w:right w:val="nil"/>
            </w:tcBorders>
          </w:tcPr>
          <w:p w14:paraId="3222B9A1" w14:textId="37085AA7" w:rsidR="006F31F6" w:rsidRPr="002D303A" w:rsidRDefault="006F31F6" w:rsidP="00B55E50">
            <w:pPr>
              <w:pStyle w:val="MDPI42tablebody"/>
              <w:ind w:left="165" w:hanging="165"/>
              <w:jc w:val="left"/>
              <w:rPr>
                <w:rFonts w:ascii="Times New Roman" w:hAnsi="Times New Roman"/>
              </w:rPr>
            </w:pPr>
            <w:r w:rsidRPr="002D303A">
              <w:rPr>
                <w:rFonts w:ascii="Times New Roman" w:hAnsi="Times New Roman"/>
              </w:rPr>
              <w:t xml:space="preserve">* The X-axis was defined by the </w:t>
            </w:r>
            <w:r w:rsidRPr="002D303A">
              <w:rPr>
                <w:rFonts w:ascii="Times New Roman" w:eastAsiaTheme="minorEastAsia" w:hAnsi="Times New Roman"/>
                <w:i/>
                <w:iCs/>
              </w:rPr>
              <w:t>8. Workforce health and safety</w:t>
            </w:r>
            <w:r w:rsidRPr="002D303A">
              <w:rPr>
                <w:rFonts w:ascii="Times New Roman" w:eastAsiaTheme="minorEastAsia" w:hAnsi="Times New Roman"/>
              </w:rPr>
              <w:t xml:space="preserve"> uncertainty: </w:t>
            </w:r>
            <w:r w:rsidRPr="002D303A">
              <w:rPr>
                <w:rFonts w:ascii="Times New Roman" w:eastAsia="Calibri" w:hAnsi="Times New Roman"/>
              </w:rPr>
              <w:t>As the workforce becomes more mobile and distributed, does health and safety remain an employer responsibility or does it become an individual responsibility? T</w:t>
            </w:r>
            <w:r w:rsidRPr="002D303A">
              <w:rPr>
                <w:rFonts w:ascii="Times New Roman" w:eastAsiaTheme="minorEastAsia" w:hAnsi="Times New Roman"/>
              </w:rPr>
              <w:t xml:space="preserve">he Y-axis was defined by the </w:t>
            </w:r>
            <w:r w:rsidRPr="002D303A">
              <w:rPr>
                <w:rFonts w:ascii="Times New Roman" w:eastAsiaTheme="minorEastAsia" w:hAnsi="Times New Roman"/>
                <w:i/>
                <w:iCs/>
              </w:rPr>
              <w:t xml:space="preserve">3. Trust in government </w:t>
            </w:r>
            <w:r w:rsidRPr="002D303A">
              <w:rPr>
                <w:rFonts w:ascii="Times New Roman" w:eastAsiaTheme="minorEastAsia" w:hAnsi="Times New Roman"/>
              </w:rPr>
              <w:t>uncertainty: Do government agencies regain their reputation as a trusted source of health information or does the public turn to individual influencers who become the dominant voice?</w:t>
            </w:r>
          </w:p>
        </w:tc>
      </w:tr>
    </w:tbl>
    <w:p w14:paraId="41222749" w14:textId="77777777" w:rsidR="002F7120" w:rsidRPr="001C685D" w:rsidRDefault="002F7120" w:rsidP="002F7120">
      <w:pPr>
        <w:pStyle w:val="MDPI31text"/>
        <w:ind w:left="0" w:firstLine="0"/>
        <w:jc w:val="left"/>
        <w:rPr>
          <w:b/>
          <w:bCs/>
        </w:rPr>
      </w:pPr>
    </w:p>
    <w:sectPr w:rsidR="002F7120" w:rsidRPr="001C685D" w:rsidSect="002F7120">
      <w:headerReference w:type="default" r:id="rId13"/>
      <w:pgSz w:w="16838" w:h="11906" w:orient="landscape" w:code="9"/>
      <w:pgMar w:top="720" w:right="720" w:bottom="720" w:left="720" w:header="540" w:footer="340" w:gutter="0"/>
      <w:lnNumType w:countBy="1" w:restart="continuous"/>
      <w:pgNumType w:start="2"/>
      <w:cols w:space="425"/>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3BB94" w14:textId="77777777" w:rsidR="00AB12E6" w:rsidRDefault="00AB12E6">
      <w:pPr>
        <w:spacing w:line="240" w:lineRule="auto"/>
      </w:pPr>
      <w:r>
        <w:separator/>
      </w:r>
    </w:p>
  </w:endnote>
  <w:endnote w:type="continuationSeparator" w:id="0">
    <w:p w14:paraId="4D14088F" w14:textId="77777777" w:rsidR="00AB12E6" w:rsidRDefault="00AB1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3645" w14:textId="77777777" w:rsidR="002D303A" w:rsidRDefault="002D30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FE8B" w14:textId="77777777" w:rsidR="00E90986" w:rsidRPr="00590BF9" w:rsidRDefault="00E90986" w:rsidP="00E90986">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58F60" w14:textId="77777777" w:rsidR="00953C94" w:rsidRDefault="00953C94" w:rsidP="00F32F04">
    <w:pPr>
      <w:pStyle w:val="MDPIfooterfirstpage"/>
      <w:pBdr>
        <w:top w:val="single" w:sz="4" w:space="0" w:color="000000"/>
      </w:pBdr>
      <w:adjustRightInd w:val="0"/>
      <w:snapToGrid w:val="0"/>
      <w:spacing w:before="480" w:line="100" w:lineRule="exact"/>
      <w:rPr>
        <w:i/>
        <w:szCs w:val="16"/>
      </w:rPr>
    </w:pPr>
  </w:p>
  <w:p w14:paraId="630A25E6" w14:textId="77777777" w:rsidR="00E90986" w:rsidRPr="008B308E" w:rsidRDefault="00E90986" w:rsidP="00B200C8">
    <w:pPr>
      <w:pStyle w:val="MDPIfooterfirstpage"/>
      <w:tabs>
        <w:tab w:val="clear" w:pos="8845"/>
        <w:tab w:val="right" w:pos="10466"/>
      </w:tabs>
      <w:spacing w:line="240" w:lineRule="auto"/>
      <w:jc w:val="both"/>
      <w:rPr>
        <w:lang w:val="fr-CH"/>
      </w:rPr>
    </w:pPr>
    <w:r w:rsidRPr="009231ED">
      <w:rPr>
        <w:i/>
        <w:szCs w:val="16"/>
      </w:rPr>
      <w:t>Int. J. Environ. Res. Public Health</w:t>
    </w:r>
    <w:r w:rsidRPr="009231ED">
      <w:rPr>
        <w:szCs w:val="16"/>
      </w:rPr>
      <w:t xml:space="preserve"> </w:t>
    </w:r>
    <w:r w:rsidR="0006442A">
      <w:rPr>
        <w:b/>
        <w:szCs w:val="16"/>
      </w:rPr>
      <w:t>2022</w:t>
    </w:r>
    <w:r w:rsidR="00AE348C" w:rsidRPr="00AE348C">
      <w:rPr>
        <w:szCs w:val="16"/>
      </w:rPr>
      <w:t>,</w:t>
    </w:r>
    <w:r w:rsidR="0006442A">
      <w:rPr>
        <w:i/>
        <w:szCs w:val="16"/>
      </w:rPr>
      <w:t xml:space="preserve"> 19</w:t>
    </w:r>
    <w:r w:rsidR="00AE348C" w:rsidRPr="00AE348C">
      <w:rPr>
        <w:szCs w:val="16"/>
      </w:rPr>
      <w:t xml:space="preserve">, </w:t>
    </w:r>
    <w:r w:rsidR="001F0C32">
      <w:rPr>
        <w:szCs w:val="16"/>
      </w:rPr>
      <w:t>x</w:t>
    </w:r>
    <w:r w:rsidR="00953C94">
      <w:rPr>
        <w:szCs w:val="16"/>
      </w:rPr>
      <w:t>. https://doi.org/10.3390/xxxxx</w:t>
    </w:r>
    <w:r w:rsidR="00B200C8" w:rsidRPr="008B308E">
      <w:rPr>
        <w:lang w:val="fr-CH"/>
      </w:rPr>
      <w:tab/>
    </w:r>
    <w:r w:rsidRPr="008B308E">
      <w:rPr>
        <w:lang w:val="fr-CH"/>
      </w:rPr>
      <w:t>www.mdpi.com/journal/</w:t>
    </w:r>
    <w:proofErr w:type="spellStart"/>
    <w:r>
      <w:t>ijerph</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10B61" w14:textId="77777777" w:rsidR="00AB12E6" w:rsidRDefault="00AB12E6">
      <w:pPr>
        <w:spacing w:line="240" w:lineRule="auto"/>
      </w:pPr>
      <w:r>
        <w:separator/>
      </w:r>
    </w:p>
  </w:footnote>
  <w:footnote w:type="continuationSeparator" w:id="0">
    <w:p w14:paraId="70ECDBE0" w14:textId="77777777" w:rsidR="00AB12E6" w:rsidRDefault="00AB12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DA926" w14:textId="77777777" w:rsidR="00E90986" w:rsidRDefault="00E90986" w:rsidP="00E9098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66DC1" w14:textId="169F73B2" w:rsidR="00E90986" w:rsidRPr="002D303A" w:rsidRDefault="001F0C32" w:rsidP="002D303A">
    <w:pPr>
      <w:tabs>
        <w:tab w:val="right" w:pos="10466"/>
      </w:tabs>
      <w:adjustRightInd w:val="0"/>
      <w:snapToGrid w:val="0"/>
      <w:spacing w:line="240" w:lineRule="auto"/>
      <w:jc w:val="right"/>
      <w:rPr>
        <w:rFonts w:ascii="Times New Roman" w:hAnsi="Times New Roman"/>
        <w:sz w:val="22"/>
        <w:szCs w:val="28"/>
      </w:rPr>
    </w:pPr>
    <w:r w:rsidRPr="002D303A">
      <w:rPr>
        <w:rFonts w:ascii="Times New Roman" w:hAnsi="Times New Roman"/>
        <w:sz w:val="22"/>
        <w:szCs w:val="28"/>
      </w:rPr>
      <w:fldChar w:fldCharType="begin"/>
    </w:r>
    <w:r w:rsidRPr="002D303A">
      <w:rPr>
        <w:rFonts w:ascii="Times New Roman" w:hAnsi="Times New Roman"/>
        <w:sz w:val="22"/>
        <w:szCs w:val="28"/>
      </w:rPr>
      <w:instrText xml:space="preserve"> PAGE   \* MERGEFORMAT </w:instrText>
    </w:r>
    <w:r w:rsidRPr="002D303A">
      <w:rPr>
        <w:rFonts w:ascii="Times New Roman" w:hAnsi="Times New Roman"/>
        <w:sz w:val="22"/>
        <w:szCs w:val="28"/>
      </w:rPr>
      <w:fldChar w:fldCharType="separate"/>
    </w:r>
    <w:r w:rsidR="009313EF" w:rsidRPr="002D303A">
      <w:rPr>
        <w:rFonts w:ascii="Times New Roman" w:hAnsi="Times New Roman"/>
        <w:sz w:val="22"/>
        <w:szCs w:val="28"/>
      </w:rPr>
      <w:t>5</w:t>
    </w:r>
    <w:r w:rsidRPr="002D303A">
      <w:rPr>
        <w:rFonts w:ascii="Times New Roman" w:hAnsi="Times New Roman"/>
        <w:sz w:val="22"/>
        <w:szCs w:val="28"/>
      </w:rPr>
      <w:fldChar w:fldCharType="end"/>
    </w:r>
    <w:r w:rsidRPr="002D303A">
      <w:rPr>
        <w:rFonts w:ascii="Times New Roman" w:hAnsi="Times New Roman"/>
        <w:sz w:val="22"/>
        <w:szCs w:val="28"/>
      </w:rPr>
      <w:t xml:space="preserve"> of </w:t>
    </w:r>
    <w:r w:rsidRPr="002D303A">
      <w:rPr>
        <w:rFonts w:ascii="Times New Roman" w:hAnsi="Times New Roman"/>
        <w:sz w:val="22"/>
        <w:szCs w:val="28"/>
      </w:rPr>
      <w:fldChar w:fldCharType="begin"/>
    </w:r>
    <w:r w:rsidRPr="002D303A">
      <w:rPr>
        <w:rFonts w:ascii="Times New Roman" w:hAnsi="Times New Roman"/>
        <w:sz w:val="22"/>
        <w:szCs w:val="28"/>
      </w:rPr>
      <w:instrText xml:space="preserve"> NUMPAGES   \* MERGEFORMAT </w:instrText>
    </w:r>
    <w:r w:rsidRPr="002D303A">
      <w:rPr>
        <w:rFonts w:ascii="Times New Roman" w:hAnsi="Times New Roman"/>
        <w:sz w:val="22"/>
        <w:szCs w:val="28"/>
      </w:rPr>
      <w:fldChar w:fldCharType="separate"/>
    </w:r>
    <w:r w:rsidR="009313EF" w:rsidRPr="002D303A">
      <w:rPr>
        <w:rFonts w:ascii="Times New Roman" w:hAnsi="Times New Roman"/>
        <w:sz w:val="22"/>
        <w:szCs w:val="28"/>
      </w:rPr>
      <w:t>5</w:t>
    </w:r>
    <w:r w:rsidRPr="002D303A">
      <w:rPr>
        <w:rFonts w:ascii="Times New Roman" w:hAnsi="Times New Roman"/>
        <w:sz w:val="22"/>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AA5E5" w14:textId="77777777" w:rsidR="002D303A" w:rsidRDefault="002D30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436A" w14:textId="31539328" w:rsidR="002F7120" w:rsidRDefault="002F7120" w:rsidP="00B200C8">
    <w:pPr>
      <w:tabs>
        <w:tab w:val="right" w:pos="10466"/>
      </w:tabs>
      <w:adjustRightInd w:val="0"/>
      <w:snapToGrid w:val="0"/>
      <w:spacing w:line="240" w:lineRule="auto"/>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fldChar w:fldCharType="begin"/>
    </w:r>
    <w:r>
      <w:rPr>
        <w:sz w:val="16"/>
      </w:rPr>
      <w:instrText xml:space="preserve"> PAGE   \* MERGEFORMAT </w:instrText>
    </w:r>
    <w:r>
      <w:rPr>
        <w:sz w:val="16"/>
      </w:rPr>
      <w:fldChar w:fldCharType="separate"/>
    </w:r>
    <w:r>
      <w:rPr>
        <w:sz w:val="16"/>
      </w:rPr>
      <w:t>5</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5</w:t>
    </w:r>
    <w:r>
      <w:rPr>
        <w:sz w:val="16"/>
      </w:rPr>
      <w:fldChar w:fldCharType="end"/>
    </w:r>
  </w:p>
  <w:p w14:paraId="6182172B" w14:textId="77777777" w:rsidR="002F7120" w:rsidRPr="00305CED" w:rsidRDefault="002F7120" w:rsidP="00F32F04">
    <w:pPr>
      <w:pBdr>
        <w:bottom w:val="single" w:sz="4" w:space="1" w:color="000000"/>
      </w:pBdr>
      <w:tabs>
        <w:tab w:val="right" w:pos="8844"/>
      </w:tabs>
      <w:adjustRightInd w:val="0"/>
      <w:snapToGrid w:val="0"/>
      <w:spacing w:after="480" w:line="100" w:lineRule="exact"/>
      <w:jc w:val="lef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A2B4C"/>
    <w:multiLevelType w:val="hybridMultilevel"/>
    <w:tmpl w:val="79CC1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5375C"/>
    <w:multiLevelType w:val="hybridMultilevel"/>
    <w:tmpl w:val="3790FA6A"/>
    <w:lvl w:ilvl="0" w:tplc="16262748">
      <w:start w:val="1"/>
      <w:numFmt w:val="decimal"/>
      <w:lvlText w:val="%1."/>
      <w:lvlJc w:val="left"/>
      <w:pPr>
        <w:ind w:left="1025" w:hanging="60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16B12E6D"/>
    <w:multiLevelType w:val="hybridMultilevel"/>
    <w:tmpl w:val="89DE7AB4"/>
    <w:lvl w:ilvl="0" w:tplc="F270330A">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B2DD1"/>
    <w:multiLevelType w:val="hybridMultilevel"/>
    <w:tmpl w:val="AFFE23E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468F5"/>
    <w:multiLevelType w:val="hybridMultilevel"/>
    <w:tmpl w:val="E4EA68C0"/>
    <w:lvl w:ilvl="0" w:tplc="76342416">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2701E"/>
    <w:multiLevelType w:val="hybridMultilevel"/>
    <w:tmpl w:val="39B0A6FE"/>
    <w:lvl w:ilvl="0" w:tplc="BB589C64">
      <w:start w:val="1"/>
      <w:numFmt w:val="decimal"/>
      <w:lvlText w:val="%1."/>
      <w:lvlJc w:val="left"/>
      <w:pPr>
        <w:ind w:left="72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7"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9"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765FF"/>
    <w:multiLevelType w:val="hybridMultilevel"/>
    <w:tmpl w:val="8026A068"/>
    <w:lvl w:ilvl="0" w:tplc="44FCCE22">
      <w:start w:val="1"/>
      <w:numFmt w:val="decimal"/>
      <w:lvlText w:val="%1."/>
      <w:lvlJc w:val="left"/>
      <w:pPr>
        <w:ind w:left="72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EB46A9"/>
    <w:multiLevelType w:val="hybridMultilevel"/>
    <w:tmpl w:val="0F36FAF2"/>
    <w:lvl w:ilvl="0" w:tplc="278A602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2"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3" w15:restartNumberingAfterBreak="0">
    <w:nsid w:val="3AFF09DB"/>
    <w:multiLevelType w:val="hybridMultilevel"/>
    <w:tmpl w:val="E018B5A4"/>
    <w:lvl w:ilvl="0" w:tplc="A4D4D354">
      <w:start w:val="1"/>
      <w:numFmt w:val="decimal"/>
      <w:lvlText w:val="%1."/>
      <w:lvlJc w:val="left"/>
      <w:pPr>
        <w:ind w:left="72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0B2247"/>
    <w:multiLevelType w:val="hybridMultilevel"/>
    <w:tmpl w:val="4DFE7AB6"/>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5"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C440C7"/>
    <w:multiLevelType w:val="hybridMultilevel"/>
    <w:tmpl w:val="77241A6A"/>
    <w:lvl w:ilvl="0" w:tplc="D92C0296">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8" w15:restartNumberingAfterBreak="0">
    <w:nsid w:val="572331F6"/>
    <w:multiLevelType w:val="hybridMultilevel"/>
    <w:tmpl w:val="44A61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25067"/>
    <w:multiLevelType w:val="hybridMultilevel"/>
    <w:tmpl w:val="98F2E1D4"/>
    <w:lvl w:ilvl="0" w:tplc="FFFFFFFF">
      <w:start w:val="1"/>
      <w:numFmt w:val="decimal"/>
      <w:lvlText w:val="%1."/>
      <w:lvlJc w:val="left"/>
      <w:pPr>
        <w:ind w:left="1025" w:hanging="60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0"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1736639">
    <w:abstractNumId w:val="8"/>
  </w:num>
  <w:num w:numId="2" w16cid:durableId="58749870">
    <w:abstractNumId w:val="12"/>
  </w:num>
  <w:num w:numId="3" w16cid:durableId="974218033">
    <w:abstractNumId w:val="7"/>
  </w:num>
  <w:num w:numId="4" w16cid:durableId="3008892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0309118">
    <w:abstractNumId w:val="9"/>
  </w:num>
  <w:num w:numId="6" w16cid:durableId="1130174901">
    <w:abstractNumId w:val="17"/>
  </w:num>
  <w:num w:numId="7" w16cid:durableId="2090418355">
    <w:abstractNumId w:val="6"/>
  </w:num>
  <w:num w:numId="8" w16cid:durableId="1069881458">
    <w:abstractNumId w:val="17"/>
  </w:num>
  <w:num w:numId="9" w16cid:durableId="1367027515">
    <w:abstractNumId w:val="6"/>
  </w:num>
  <w:num w:numId="10" w16cid:durableId="757675001">
    <w:abstractNumId w:val="17"/>
  </w:num>
  <w:num w:numId="11" w16cid:durableId="1929075749">
    <w:abstractNumId w:val="6"/>
  </w:num>
  <w:num w:numId="12" w16cid:durableId="491145506">
    <w:abstractNumId w:val="20"/>
  </w:num>
  <w:num w:numId="13" w16cid:durableId="615672477">
    <w:abstractNumId w:val="17"/>
  </w:num>
  <w:num w:numId="14" w16cid:durableId="1336762352">
    <w:abstractNumId w:val="6"/>
  </w:num>
  <w:num w:numId="15" w16cid:durableId="778135928">
    <w:abstractNumId w:val="4"/>
  </w:num>
  <w:num w:numId="16" w16cid:durableId="1118525451">
    <w:abstractNumId w:val="15"/>
  </w:num>
  <w:num w:numId="17" w16cid:durableId="1458379129">
    <w:abstractNumId w:val="2"/>
  </w:num>
  <w:num w:numId="18" w16cid:durableId="991444596">
    <w:abstractNumId w:val="17"/>
  </w:num>
  <w:num w:numId="19" w16cid:durableId="1958489052">
    <w:abstractNumId w:val="6"/>
  </w:num>
  <w:num w:numId="20" w16cid:durableId="510030666">
    <w:abstractNumId w:val="4"/>
  </w:num>
  <w:num w:numId="21" w16cid:durableId="1800412246">
    <w:abstractNumId w:val="16"/>
  </w:num>
  <w:num w:numId="22" w16cid:durableId="2102481405">
    <w:abstractNumId w:val="11"/>
  </w:num>
  <w:num w:numId="23" w16cid:durableId="1539582147">
    <w:abstractNumId w:val="2"/>
  </w:num>
  <w:num w:numId="24" w16cid:durableId="601718169">
    <w:abstractNumId w:val="14"/>
  </w:num>
  <w:num w:numId="25" w16cid:durableId="1304968279">
    <w:abstractNumId w:val="1"/>
  </w:num>
  <w:num w:numId="26" w16cid:durableId="956831972">
    <w:abstractNumId w:val="0"/>
  </w:num>
  <w:num w:numId="27" w16cid:durableId="964694396">
    <w:abstractNumId w:val="19"/>
  </w:num>
  <w:num w:numId="28" w16cid:durableId="1070352073">
    <w:abstractNumId w:val="13"/>
  </w:num>
  <w:num w:numId="29" w16cid:durableId="1573389827">
    <w:abstractNumId w:val="5"/>
  </w:num>
  <w:num w:numId="30" w16cid:durableId="1471365444">
    <w:abstractNumId w:val="10"/>
  </w:num>
  <w:num w:numId="31" w16cid:durableId="1166552882">
    <w:abstractNumId w:val="3"/>
  </w:num>
  <w:num w:numId="32" w16cid:durableId="12211324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D2"/>
    <w:rsid w:val="00003590"/>
    <w:rsid w:val="0002554A"/>
    <w:rsid w:val="0003183D"/>
    <w:rsid w:val="00041937"/>
    <w:rsid w:val="00047C14"/>
    <w:rsid w:val="00062D64"/>
    <w:rsid w:val="0006442A"/>
    <w:rsid w:val="00070BC3"/>
    <w:rsid w:val="00072F70"/>
    <w:rsid w:val="000946E3"/>
    <w:rsid w:val="000A27EE"/>
    <w:rsid w:val="000A3883"/>
    <w:rsid w:val="000B3E9B"/>
    <w:rsid w:val="000C3D95"/>
    <w:rsid w:val="000D4CAC"/>
    <w:rsid w:val="001035B5"/>
    <w:rsid w:val="001059AA"/>
    <w:rsid w:val="00110E67"/>
    <w:rsid w:val="00113A18"/>
    <w:rsid w:val="00121956"/>
    <w:rsid w:val="001228BC"/>
    <w:rsid w:val="00156BF2"/>
    <w:rsid w:val="00164202"/>
    <w:rsid w:val="00171BD2"/>
    <w:rsid w:val="00173576"/>
    <w:rsid w:val="00177995"/>
    <w:rsid w:val="00183AB8"/>
    <w:rsid w:val="00187A46"/>
    <w:rsid w:val="00194C32"/>
    <w:rsid w:val="001957FA"/>
    <w:rsid w:val="001B1254"/>
    <w:rsid w:val="001C3A2B"/>
    <w:rsid w:val="001C685D"/>
    <w:rsid w:val="001D41F9"/>
    <w:rsid w:val="001E2AEB"/>
    <w:rsid w:val="001F0C32"/>
    <w:rsid w:val="001F53CA"/>
    <w:rsid w:val="001F6D18"/>
    <w:rsid w:val="002019E5"/>
    <w:rsid w:val="0020566A"/>
    <w:rsid w:val="00205AC7"/>
    <w:rsid w:val="0020625A"/>
    <w:rsid w:val="00214A6A"/>
    <w:rsid w:val="00223336"/>
    <w:rsid w:val="0022675A"/>
    <w:rsid w:val="00250774"/>
    <w:rsid w:val="00251331"/>
    <w:rsid w:val="00257BA9"/>
    <w:rsid w:val="00262314"/>
    <w:rsid w:val="00284BEB"/>
    <w:rsid w:val="002859A6"/>
    <w:rsid w:val="0028607E"/>
    <w:rsid w:val="002C4CD4"/>
    <w:rsid w:val="002D303A"/>
    <w:rsid w:val="002D57A5"/>
    <w:rsid w:val="002E3019"/>
    <w:rsid w:val="002F3D49"/>
    <w:rsid w:val="002F7120"/>
    <w:rsid w:val="00306807"/>
    <w:rsid w:val="00322BD2"/>
    <w:rsid w:val="00326141"/>
    <w:rsid w:val="00362D6C"/>
    <w:rsid w:val="003663D4"/>
    <w:rsid w:val="003854B6"/>
    <w:rsid w:val="0039002C"/>
    <w:rsid w:val="003938DA"/>
    <w:rsid w:val="00401B3A"/>
    <w:rsid w:val="00401D30"/>
    <w:rsid w:val="0040486A"/>
    <w:rsid w:val="00404FC7"/>
    <w:rsid w:val="00407587"/>
    <w:rsid w:val="00414DE1"/>
    <w:rsid w:val="00417958"/>
    <w:rsid w:val="00421077"/>
    <w:rsid w:val="0042738E"/>
    <w:rsid w:val="0046726B"/>
    <w:rsid w:val="00484C66"/>
    <w:rsid w:val="004A751A"/>
    <w:rsid w:val="004B5280"/>
    <w:rsid w:val="004D0D3D"/>
    <w:rsid w:val="004D5A80"/>
    <w:rsid w:val="004D6B8D"/>
    <w:rsid w:val="004F656B"/>
    <w:rsid w:val="00510707"/>
    <w:rsid w:val="00514646"/>
    <w:rsid w:val="00522304"/>
    <w:rsid w:val="00522EBB"/>
    <w:rsid w:val="00527484"/>
    <w:rsid w:val="00546F85"/>
    <w:rsid w:val="00547C19"/>
    <w:rsid w:val="00570213"/>
    <w:rsid w:val="00576272"/>
    <w:rsid w:val="00576421"/>
    <w:rsid w:val="005940DE"/>
    <w:rsid w:val="0059796C"/>
    <w:rsid w:val="005B0E8A"/>
    <w:rsid w:val="005B3F4C"/>
    <w:rsid w:val="005B6C3D"/>
    <w:rsid w:val="005C388C"/>
    <w:rsid w:val="005D71B5"/>
    <w:rsid w:val="005E04FC"/>
    <w:rsid w:val="005E213E"/>
    <w:rsid w:val="005E3FF7"/>
    <w:rsid w:val="00615FFE"/>
    <w:rsid w:val="006211DD"/>
    <w:rsid w:val="006331AD"/>
    <w:rsid w:val="0065133F"/>
    <w:rsid w:val="00662E41"/>
    <w:rsid w:val="006822FA"/>
    <w:rsid w:val="00686327"/>
    <w:rsid w:val="00686F8A"/>
    <w:rsid w:val="00692393"/>
    <w:rsid w:val="006C61EE"/>
    <w:rsid w:val="006D6E13"/>
    <w:rsid w:val="006E415B"/>
    <w:rsid w:val="006E434D"/>
    <w:rsid w:val="006F1164"/>
    <w:rsid w:val="006F31F6"/>
    <w:rsid w:val="00711C0C"/>
    <w:rsid w:val="00713758"/>
    <w:rsid w:val="007267FB"/>
    <w:rsid w:val="0073362A"/>
    <w:rsid w:val="00733AF9"/>
    <w:rsid w:val="00752E91"/>
    <w:rsid w:val="007A0755"/>
    <w:rsid w:val="007A37FE"/>
    <w:rsid w:val="007B3E14"/>
    <w:rsid w:val="007C437A"/>
    <w:rsid w:val="007D1435"/>
    <w:rsid w:val="007E5A5B"/>
    <w:rsid w:val="00826149"/>
    <w:rsid w:val="0085599C"/>
    <w:rsid w:val="0088318A"/>
    <w:rsid w:val="008B4E46"/>
    <w:rsid w:val="008B5ADF"/>
    <w:rsid w:val="008C5CBF"/>
    <w:rsid w:val="008E00B4"/>
    <w:rsid w:val="008E10AE"/>
    <w:rsid w:val="008E3B5E"/>
    <w:rsid w:val="00902BBA"/>
    <w:rsid w:val="00904094"/>
    <w:rsid w:val="009076E7"/>
    <w:rsid w:val="00917FC0"/>
    <w:rsid w:val="009313EF"/>
    <w:rsid w:val="00950618"/>
    <w:rsid w:val="00953A24"/>
    <w:rsid w:val="00953C94"/>
    <w:rsid w:val="00985746"/>
    <w:rsid w:val="00997B86"/>
    <w:rsid w:val="009A52C8"/>
    <w:rsid w:val="009B03B9"/>
    <w:rsid w:val="009B152D"/>
    <w:rsid w:val="009F274E"/>
    <w:rsid w:val="009F30AA"/>
    <w:rsid w:val="009F70E6"/>
    <w:rsid w:val="00A0136F"/>
    <w:rsid w:val="00A02301"/>
    <w:rsid w:val="00A02423"/>
    <w:rsid w:val="00A146C0"/>
    <w:rsid w:val="00A16C28"/>
    <w:rsid w:val="00A41EC8"/>
    <w:rsid w:val="00A44186"/>
    <w:rsid w:val="00A64950"/>
    <w:rsid w:val="00AA4EA9"/>
    <w:rsid w:val="00AB12E6"/>
    <w:rsid w:val="00AC61B4"/>
    <w:rsid w:val="00AD2D7B"/>
    <w:rsid w:val="00AD72FA"/>
    <w:rsid w:val="00AE0E14"/>
    <w:rsid w:val="00AE348C"/>
    <w:rsid w:val="00AF18A5"/>
    <w:rsid w:val="00AF44C1"/>
    <w:rsid w:val="00B00E09"/>
    <w:rsid w:val="00B06823"/>
    <w:rsid w:val="00B13490"/>
    <w:rsid w:val="00B200C8"/>
    <w:rsid w:val="00B20515"/>
    <w:rsid w:val="00B230E1"/>
    <w:rsid w:val="00B3407E"/>
    <w:rsid w:val="00B432DE"/>
    <w:rsid w:val="00B55E50"/>
    <w:rsid w:val="00B62946"/>
    <w:rsid w:val="00B670B5"/>
    <w:rsid w:val="00B91113"/>
    <w:rsid w:val="00BB4760"/>
    <w:rsid w:val="00BE3826"/>
    <w:rsid w:val="00BE6750"/>
    <w:rsid w:val="00BF437C"/>
    <w:rsid w:val="00C04FEC"/>
    <w:rsid w:val="00C0729B"/>
    <w:rsid w:val="00C13470"/>
    <w:rsid w:val="00C22823"/>
    <w:rsid w:val="00C243C9"/>
    <w:rsid w:val="00C3638A"/>
    <w:rsid w:val="00C639EA"/>
    <w:rsid w:val="00C657DD"/>
    <w:rsid w:val="00C65B0B"/>
    <w:rsid w:val="00C82596"/>
    <w:rsid w:val="00C940BE"/>
    <w:rsid w:val="00CA7505"/>
    <w:rsid w:val="00CB12C8"/>
    <w:rsid w:val="00CB597B"/>
    <w:rsid w:val="00CC19EC"/>
    <w:rsid w:val="00CC3BD2"/>
    <w:rsid w:val="00CC57CC"/>
    <w:rsid w:val="00CD56CF"/>
    <w:rsid w:val="00D1351A"/>
    <w:rsid w:val="00D412C1"/>
    <w:rsid w:val="00D508AF"/>
    <w:rsid w:val="00D62DDC"/>
    <w:rsid w:val="00D70634"/>
    <w:rsid w:val="00D75394"/>
    <w:rsid w:val="00D81521"/>
    <w:rsid w:val="00D8251E"/>
    <w:rsid w:val="00D84E70"/>
    <w:rsid w:val="00D96023"/>
    <w:rsid w:val="00DA27DD"/>
    <w:rsid w:val="00DC6661"/>
    <w:rsid w:val="00DC7CD8"/>
    <w:rsid w:val="00DC7F54"/>
    <w:rsid w:val="00DD5900"/>
    <w:rsid w:val="00E04E7D"/>
    <w:rsid w:val="00E136D0"/>
    <w:rsid w:val="00E47E5F"/>
    <w:rsid w:val="00E64C5A"/>
    <w:rsid w:val="00E66088"/>
    <w:rsid w:val="00E706A1"/>
    <w:rsid w:val="00E755FF"/>
    <w:rsid w:val="00E90986"/>
    <w:rsid w:val="00E90EB4"/>
    <w:rsid w:val="00ED062A"/>
    <w:rsid w:val="00ED1BAB"/>
    <w:rsid w:val="00EF5B5A"/>
    <w:rsid w:val="00F005AA"/>
    <w:rsid w:val="00F01EEE"/>
    <w:rsid w:val="00F22F3D"/>
    <w:rsid w:val="00F30DEF"/>
    <w:rsid w:val="00F32F04"/>
    <w:rsid w:val="00F35C92"/>
    <w:rsid w:val="00F453F0"/>
    <w:rsid w:val="00F54900"/>
    <w:rsid w:val="00F62C5C"/>
    <w:rsid w:val="00F64E5E"/>
    <w:rsid w:val="00F71EC5"/>
    <w:rsid w:val="00FA6084"/>
    <w:rsid w:val="00FB0D48"/>
    <w:rsid w:val="00FC7AF6"/>
    <w:rsid w:val="00FE6577"/>
    <w:rsid w:val="00FF17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A9700"/>
  <w15:chartTrackingRefBased/>
  <w15:docId w15:val="{A5EDFA63-F669-4B1E-845A-190EA963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86A"/>
    <w:pPr>
      <w:spacing w:line="260" w:lineRule="atLeast"/>
      <w:jc w:val="both"/>
    </w:pPr>
    <w:rPr>
      <w:rFonts w:ascii="Palatino Linotype" w:hAnsi="Palatino Linotyp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522304"/>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10707"/>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510707"/>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187A46"/>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styleId="UnresolvedMention">
    <w:name w:val="Unresolved Mention"/>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522304"/>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52230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pPr>
      <w:spacing w:line="240" w:lineRule="auto"/>
    </w:pPr>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pPr>
      <w:spacing w:line="240" w:lineRule="auto"/>
    </w:pPr>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rPr>
      <w:szCs w:val="24"/>
    </w:rPr>
  </w:style>
  <w:style w:type="paragraph" w:customStyle="1" w:styleId="MsoFootnoteText0">
    <w:name w:val="MsoFootnoteText"/>
    <w:basedOn w:val="NormalWeb"/>
    <w:qFormat/>
    <w:rsid w:val="00522304"/>
    <w:rPr>
      <w:rFonts w:ascii="Times New Roman" w:hAnsi="Times New Roman"/>
    </w:rPr>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262314"/>
    <w:pPr>
      <w:numPr>
        <w:numId w:val="21"/>
      </w:numPr>
      <w:adjustRightInd w:val="0"/>
      <w:snapToGrid w:val="0"/>
      <w:spacing w:line="228" w:lineRule="auto"/>
    </w:pPr>
    <w:rPr>
      <w:rFonts w:ascii="Palatino Linotype" w:eastAsiaTheme="minorEastAsia" w:hAnsi="Palatino Linotype"/>
      <w:noProof/>
      <w:color w:val="000000"/>
      <w:sz w:val="18"/>
    </w:rPr>
  </w:style>
  <w:style w:type="paragraph" w:styleId="Revision">
    <w:name w:val="Revision"/>
    <w:hidden/>
    <w:uiPriority w:val="99"/>
    <w:semiHidden/>
    <w:rsid w:val="009076E7"/>
    <w:rPr>
      <w:rFonts w:ascii="Palatino Linotype" w:hAnsi="Palatino Linotype"/>
      <w:noProof/>
      <w:color w:val="000000"/>
    </w:rPr>
  </w:style>
  <w:style w:type="paragraph" w:styleId="ListParagraph">
    <w:name w:val="List Paragraph"/>
    <w:basedOn w:val="Normal"/>
    <w:uiPriority w:val="34"/>
    <w:qFormat/>
    <w:rsid w:val="00F30D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c3\Downloads\ijerph-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ijerph-template</Template>
  <TotalTime>108</TotalTime>
  <Pages>7</Pages>
  <Words>2054</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Streit, Jessica M. K. (CDC/NIOSH/DSI/SSTRB)</dc:creator>
  <cp:keywords/>
  <dc:description/>
  <cp:lastModifiedBy>Streit, Jessica M. K. (CDC/NIOSH/OD)</cp:lastModifiedBy>
  <cp:revision>26</cp:revision>
  <dcterms:created xsi:type="dcterms:W3CDTF">2022-11-21T15:32:00Z</dcterms:created>
  <dcterms:modified xsi:type="dcterms:W3CDTF">2023-08-10T20:24:00Z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2022-10-05T15:30:40Z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4a1578b1-4486-4628-8757-a4b85baa5fe0</vt:lpwstr>
  </property>
  <property fmtid="{D5CDD505-2E9C-101B-9397-08002B2CF9AE}" pid="8" name="MSIP_Label_7b94a7b8-f06c-4dfe-bdcc-9b548fd58c31_ContentBits">
    <vt:lpwstr>0</vt:lpwstr>
  </property>
</Properties>
</file>