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65E7" w14:textId="77777777" w:rsidR="000643C5" w:rsidRPr="000643C5" w:rsidRDefault="000643C5" w:rsidP="000643C5">
      <w:pPr>
        <w:spacing w:line="480" w:lineRule="auto"/>
      </w:pPr>
      <w:r w:rsidRPr="000643C5">
        <w:rPr>
          <w:b/>
          <w:bCs/>
        </w:rPr>
        <w:t>Supplemental Figure 1.</w:t>
      </w:r>
      <w:r w:rsidRPr="000643C5">
        <w:t xml:space="preserve"> Directed Acyclic Graph for Active Tuberculosis Disease (TB) and Chronic Hepatitis B Virus Infection (</w:t>
      </w:r>
      <w:proofErr w:type="spellStart"/>
      <w:r w:rsidRPr="000643C5">
        <w:t>cHBV</w:t>
      </w:r>
      <w:proofErr w:type="spellEnd"/>
      <w:r w:rsidRPr="000643C5">
        <w:t xml:space="preserve">) Treatment Outcome Analysis, California 2016–2020. </w:t>
      </w:r>
    </w:p>
    <w:p w14:paraId="780D42C1" w14:textId="77777777" w:rsidR="000643C5" w:rsidRPr="000643C5" w:rsidRDefault="000643C5" w:rsidP="000643C5">
      <w:pPr>
        <w:spacing w:line="480" w:lineRule="auto"/>
      </w:pPr>
      <w:r w:rsidRPr="000643C5">
        <w:rPr>
          <w:noProof/>
        </w:rPr>
        <w:drawing>
          <wp:inline distT="0" distB="0" distL="0" distR="0" wp14:anchorId="56CFD9F3" wp14:editId="7EE914D8">
            <wp:extent cx="5943600" cy="3700780"/>
            <wp:effectExtent l="0" t="0" r="0" b="0"/>
            <wp:docPr id="3" name="Picture 3"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radar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700780"/>
                    </a:xfrm>
                    <a:prstGeom prst="rect">
                      <a:avLst/>
                    </a:prstGeom>
                  </pic:spPr>
                </pic:pic>
              </a:graphicData>
            </a:graphic>
          </wp:inline>
        </w:drawing>
      </w:r>
    </w:p>
    <w:p w14:paraId="2FC6DF46" w14:textId="77777777" w:rsidR="000643C5" w:rsidRPr="000643C5" w:rsidRDefault="000643C5" w:rsidP="000643C5">
      <w:pPr>
        <w:spacing w:line="480" w:lineRule="auto"/>
      </w:pPr>
      <w:r w:rsidRPr="000643C5">
        <w:t xml:space="preserve">Supplemental Figure 1 Legend: The exposure was TB and </w:t>
      </w:r>
      <w:proofErr w:type="spellStart"/>
      <w:r w:rsidRPr="000643C5">
        <w:t>cHBV</w:t>
      </w:r>
      <w:proofErr w:type="spellEnd"/>
      <w:r w:rsidRPr="000643C5">
        <w:t xml:space="preserve"> (green circle with triangle) with death during treatment, incomplete treatment, and treatment duration as the outcomes (blue circle with I). Confounders are in red, mediators are in blue, and unmeasured variables are in grey</w:t>
      </w:r>
    </w:p>
    <w:p w14:paraId="7B704F53" w14:textId="77777777" w:rsidR="000643C5" w:rsidRPr="000643C5" w:rsidRDefault="000643C5" w:rsidP="000643C5">
      <w:pPr>
        <w:spacing w:line="480" w:lineRule="auto"/>
      </w:pPr>
      <w:r w:rsidRPr="000643C5">
        <w:t>ESRD = end-stage renal disease. HIV = human Immunodeficiency virus.</w:t>
      </w:r>
    </w:p>
    <w:p w14:paraId="1EA02D9F" w14:textId="77777777" w:rsidR="000643C5" w:rsidRPr="000643C5" w:rsidRDefault="000643C5" w:rsidP="000643C5">
      <w:pPr>
        <w:spacing w:line="480" w:lineRule="auto"/>
      </w:pPr>
      <w:r w:rsidRPr="000643C5">
        <w:t>*Highly correlated variables (i.e., &gt;0.3 phi-coefficient) and variables which accounted for &lt;5% of persons with coinfection were not included in the model: California Health Places Index (correlated with race and ethnicity), place of birth (correlated with race and ethnicity), homelessness (correlated with substance use), incarceration at time of diagnosis (&lt;5% of persons), and multidrug resistance (&lt;5% of persons)</w:t>
      </w:r>
    </w:p>
    <w:p w14:paraId="0202FA04" w14:textId="77777777" w:rsidR="000643C5" w:rsidRPr="000643C5" w:rsidRDefault="000643C5" w:rsidP="000643C5">
      <w:pPr>
        <w:spacing w:line="480" w:lineRule="auto"/>
        <w:rPr>
          <w:rFonts w:ascii="Calibri" w:eastAsia="Calibri" w:hAnsi="Calibri" w:cs="Calibri"/>
          <w:color w:val="212121"/>
        </w:rPr>
      </w:pPr>
      <w:r w:rsidRPr="000643C5">
        <w:br w:type="page"/>
      </w:r>
      <w:r w:rsidRPr="000643C5">
        <w:rPr>
          <w:b/>
          <w:bCs/>
        </w:rPr>
        <w:lastRenderedPageBreak/>
        <w:t>Supplemental Figure 2</w:t>
      </w:r>
      <w:r w:rsidRPr="000643C5">
        <w:t>. Una</w:t>
      </w:r>
      <w:r w:rsidRPr="000643C5">
        <w:rPr>
          <w:rFonts w:ascii="Calibri" w:eastAsia="Calibri" w:hAnsi="Calibri" w:cs="Calibri"/>
          <w:color w:val="212121"/>
        </w:rPr>
        <w:t>djusted Relative Risk Ratios for Active tuberculosis Disease (TB) Treatment Outcomes for TB and Chronic Hepatitis B Virus Infection (</w:t>
      </w:r>
      <w:proofErr w:type="spellStart"/>
      <w:r w:rsidRPr="000643C5">
        <w:rPr>
          <w:rFonts w:ascii="Calibri" w:eastAsia="Calibri" w:hAnsi="Calibri" w:cs="Calibri"/>
          <w:color w:val="212121"/>
        </w:rPr>
        <w:t>cHBV</w:t>
      </w:r>
      <w:proofErr w:type="spellEnd"/>
      <w:r w:rsidRPr="000643C5">
        <w:rPr>
          <w:rFonts w:ascii="Calibri" w:eastAsia="Calibri" w:hAnsi="Calibri" w:cs="Calibri"/>
          <w:color w:val="212121"/>
        </w:rPr>
        <w:t>) Cases vs TB Only Cases, California, 2016–2020.</w:t>
      </w:r>
    </w:p>
    <w:p w14:paraId="3699CABB" w14:textId="29DA4877" w:rsidR="000643C5" w:rsidRPr="000643C5" w:rsidRDefault="000643C5" w:rsidP="00081AB1">
      <w:pPr>
        <w:spacing w:line="480" w:lineRule="auto"/>
      </w:pPr>
      <w:r w:rsidRPr="000643C5">
        <w:rPr>
          <w:noProof/>
        </w:rPr>
        <w:drawing>
          <wp:inline distT="0" distB="0" distL="0" distR="0" wp14:anchorId="4ED18CF1" wp14:editId="5818D7BC">
            <wp:extent cx="5829300" cy="3679746"/>
            <wp:effectExtent l="0" t="0" r="0" b="0"/>
            <wp:docPr id="1064833578" name="Picture 106483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29300" cy="3679746"/>
                    </a:xfrm>
                    <a:prstGeom prst="rect">
                      <a:avLst/>
                    </a:prstGeom>
                  </pic:spPr>
                </pic:pic>
              </a:graphicData>
            </a:graphic>
          </wp:inline>
        </w:drawing>
      </w:r>
    </w:p>
    <w:sectPr w:rsidR="000643C5" w:rsidRPr="00064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3385" w14:textId="77777777" w:rsidR="000643C5" w:rsidRDefault="000643C5" w:rsidP="000643C5">
      <w:pPr>
        <w:spacing w:after="0" w:line="240" w:lineRule="auto"/>
      </w:pPr>
      <w:r>
        <w:separator/>
      </w:r>
    </w:p>
  </w:endnote>
  <w:endnote w:type="continuationSeparator" w:id="0">
    <w:p w14:paraId="49119DFB" w14:textId="77777777" w:rsidR="000643C5" w:rsidRDefault="000643C5" w:rsidP="0006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958F" w14:textId="77777777" w:rsidR="000643C5" w:rsidRDefault="000643C5" w:rsidP="000643C5">
      <w:pPr>
        <w:spacing w:after="0" w:line="240" w:lineRule="auto"/>
      </w:pPr>
      <w:r>
        <w:separator/>
      </w:r>
    </w:p>
  </w:footnote>
  <w:footnote w:type="continuationSeparator" w:id="0">
    <w:p w14:paraId="62C67DB3" w14:textId="77777777" w:rsidR="000643C5" w:rsidRDefault="000643C5" w:rsidP="0006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55F9"/>
    <w:multiLevelType w:val="hybridMultilevel"/>
    <w:tmpl w:val="EF6E0A54"/>
    <w:lvl w:ilvl="0" w:tplc="AEAEBA50">
      <w:start w:val="1"/>
      <w:numFmt w:val="decimal"/>
      <w:lvlText w:val="(%1)"/>
      <w:lvlJc w:val="left"/>
      <w:pPr>
        <w:ind w:left="720" w:hanging="360"/>
      </w:pPr>
    </w:lvl>
    <w:lvl w:ilvl="1" w:tplc="41BEA99E">
      <w:start w:val="1"/>
      <w:numFmt w:val="lowerLetter"/>
      <w:lvlText w:val="%2."/>
      <w:lvlJc w:val="left"/>
      <w:pPr>
        <w:ind w:left="1440" w:hanging="360"/>
      </w:pPr>
    </w:lvl>
    <w:lvl w:ilvl="2" w:tplc="9828A318">
      <w:start w:val="1"/>
      <w:numFmt w:val="lowerRoman"/>
      <w:lvlText w:val="%3."/>
      <w:lvlJc w:val="right"/>
      <w:pPr>
        <w:ind w:left="2160" w:hanging="180"/>
      </w:pPr>
    </w:lvl>
    <w:lvl w:ilvl="3" w:tplc="5D3A185E">
      <w:start w:val="1"/>
      <w:numFmt w:val="decimal"/>
      <w:lvlText w:val="%4."/>
      <w:lvlJc w:val="left"/>
      <w:pPr>
        <w:ind w:left="2880" w:hanging="360"/>
      </w:pPr>
    </w:lvl>
    <w:lvl w:ilvl="4" w:tplc="31002060">
      <w:start w:val="1"/>
      <w:numFmt w:val="lowerLetter"/>
      <w:lvlText w:val="%5."/>
      <w:lvlJc w:val="left"/>
      <w:pPr>
        <w:ind w:left="3600" w:hanging="360"/>
      </w:pPr>
    </w:lvl>
    <w:lvl w:ilvl="5" w:tplc="82184550">
      <w:start w:val="1"/>
      <w:numFmt w:val="lowerRoman"/>
      <w:lvlText w:val="%6."/>
      <w:lvlJc w:val="right"/>
      <w:pPr>
        <w:ind w:left="4320" w:hanging="180"/>
      </w:pPr>
    </w:lvl>
    <w:lvl w:ilvl="6" w:tplc="8A1CFFD8">
      <w:start w:val="1"/>
      <w:numFmt w:val="decimal"/>
      <w:lvlText w:val="%7."/>
      <w:lvlJc w:val="left"/>
      <w:pPr>
        <w:ind w:left="5040" w:hanging="360"/>
      </w:pPr>
    </w:lvl>
    <w:lvl w:ilvl="7" w:tplc="8E689DC8">
      <w:start w:val="1"/>
      <w:numFmt w:val="lowerLetter"/>
      <w:lvlText w:val="%8."/>
      <w:lvlJc w:val="left"/>
      <w:pPr>
        <w:ind w:left="5760" w:hanging="360"/>
      </w:pPr>
    </w:lvl>
    <w:lvl w:ilvl="8" w:tplc="B0CAB324">
      <w:start w:val="1"/>
      <w:numFmt w:val="lowerRoman"/>
      <w:lvlText w:val="%9."/>
      <w:lvlJc w:val="right"/>
      <w:pPr>
        <w:ind w:left="6480" w:hanging="180"/>
      </w:pPr>
    </w:lvl>
  </w:abstractNum>
  <w:abstractNum w:abstractNumId="1" w15:restartNumberingAfterBreak="0">
    <w:nsid w:val="6D2530AF"/>
    <w:multiLevelType w:val="hybridMultilevel"/>
    <w:tmpl w:val="3B0820EA"/>
    <w:lvl w:ilvl="0" w:tplc="2A08DA7E">
      <w:start w:val="1"/>
      <w:numFmt w:val="decimal"/>
      <w:lvlText w:val="%1."/>
      <w:lvlJc w:val="left"/>
      <w:pPr>
        <w:ind w:left="720" w:hanging="360"/>
      </w:pPr>
    </w:lvl>
    <w:lvl w:ilvl="1" w:tplc="D37A7F04">
      <w:start w:val="1"/>
      <w:numFmt w:val="lowerLetter"/>
      <w:lvlText w:val="%2."/>
      <w:lvlJc w:val="left"/>
      <w:pPr>
        <w:ind w:left="1440" w:hanging="360"/>
      </w:pPr>
    </w:lvl>
    <w:lvl w:ilvl="2" w:tplc="1A34C036">
      <w:start w:val="1"/>
      <w:numFmt w:val="lowerRoman"/>
      <w:lvlText w:val="%3."/>
      <w:lvlJc w:val="right"/>
      <w:pPr>
        <w:ind w:left="2160" w:hanging="180"/>
      </w:pPr>
    </w:lvl>
    <w:lvl w:ilvl="3" w:tplc="6026030A">
      <w:start w:val="1"/>
      <w:numFmt w:val="decimal"/>
      <w:lvlText w:val="%4."/>
      <w:lvlJc w:val="left"/>
      <w:pPr>
        <w:ind w:left="2880" w:hanging="360"/>
      </w:pPr>
    </w:lvl>
    <w:lvl w:ilvl="4" w:tplc="00FAF05A">
      <w:start w:val="1"/>
      <w:numFmt w:val="lowerLetter"/>
      <w:lvlText w:val="%5."/>
      <w:lvlJc w:val="left"/>
      <w:pPr>
        <w:ind w:left="3600" w:hanging="360"/>
      </w:pPr>
    </w:lvl>
    <w:lvl w:ilvl="5" w:tplc="551EF776">
      <w:start w:val="1"/>
      <w:numFmt w:val="lowerRoman"/>
      <w:lvlText w:val="%6."/>
      <w:lvlJc w:val="right"/>
      <w:pPr>
        <w:ind w:left="4320" w:hanging="180"/>
      </w:pPr>
    </w:lvl>
    <w:lvl w:ilvl="6" w:tplc="EEE6AD68">
      <w:start w:val="1"/>
      <w:numFmt w:val="decimal"/>
      <w:lvlText w:val="%7."/>
      <w:lvlJc w:val="left"/>
      <w:pPr>
        <w:ind w:left="5040" w:hanging="360"/>
      </w:pPr>
    </w:lvl>
    <w:lvl w:ilvl="7" w:tplc="FDBE00D2">
      <w:start w:val="1"/>
      <w:numFmt w:val="lowerLetter"/>
      <w:lvlText w:val="%8."/>
      <w:lvlJc w:val="left"/>
      <w:pPr>
        <w:ind w:left="5760" w:hanging="360"/>
      </w:pPr>
    </w:lvl>
    <w:lvl w:ilvl="8" w:tplc="EAC08944">
      <w:start w:val="1"/>
      <w:numFmt w:val="lowerRoman"/>
      <w:lvlText w:val="%9."/>
      <w:lvlJc w:val="right"/>
      <w:pPr>
        <w:ind w:left="6480" w:hanging="180"/>
      </w:pPr>
    </w:lvl>
  </w:abstractNum>
  <w:abstractNum w:abstractNumId="2" w15:restartNumberingAfterBreak="0">
    <w:nsid w:val="733AF974"/>
    <w:multiLevelType w:val="hybridMultilevel"/>
    <w:tmpl w:val="73AC0044"/>
    <w:lvl w:ilvl="0" w:tplc="6BF037C4">
      <w:start w:val="1"/>
      <w:numFmt w:val="decimal"/>
      <w:lvlText w:val="%1)"/>
      <w:lvlJc w:val="left"/>
      <w:pPr>
        <w:ind w:left="720" w:hanging="360"/>
      </w:pPr>
    </w:lvl>
    <w:lvl w:ilvl="1" w:tplc="C29EAA14">
      <w:start w:val="1"/>
      <w:numFmt w:val="lowerLetter"/>
      <w:lvlText w:val="%2."/>
      <w:lvlJc w:val="left"/>
      <w:pPr>
        <w:ind w:left="1440" w:hanging="360"/>
      </w:pPr>
    </w:lvl>
    <w:lvl w:ilvl="2" w:tplc="55C00F60">
      <w:start w:val="1"/>
      <w:numFmt w:val="lowerRoman"/>
      <w:lvlText w:val="%3."/>
      <w:lvlJc w:val="right"/>
      <w:pPr>
        <w:ind w:left="2160" w:hanging="180"/>
      </w:pPr>
    </w:lvl>
    <w:lvl w:ilvl="3" w:tplc="1D62885E">
      <w:start w:val="1"/>
      <w:numFmt w:val="decimal"/>
      <w:lvlText w:val="%4."/>
      <w:lvlJc w:val="left"/>
      <w:pPr>
        <w:ind w:left="2880" w:hanging="360"/>
      </w:pPr>
    </w:lvl>
    <w:lvl w:ilvl="4" w:tplc="EF2868EA">
      <w:start w:val="1"/>
      <w:numFmt w:val="lowerLetter"/>
      <w:lvlText w:val="%5."/>
      <w:lvlJc w:val="left"/>
      <w:pPr>
        <w:ind w:left="3600" w:hanging="360"/>
      </w:pPr>
    </w:lvl>
    <w:lvl w:ilvl="5" w:tplc="2F506668">
      <w:start w:val="1"/>
      <w:numFmt w:val="lowerRoman"/>
      <w:lvlText w:val="%6."/>
      <w:lvlJc w:val="right"/>
      <w:pPr>
        <w:ind w:left="4320" w:hanging="180"/>
      </w:pPr>
    </w:lvl>
    <w:lvl w:ilvl="6" w:tplc="19EEFE54">
      <w:start w:val="1"/>
      <w:numFmt w:val="decimal"/>
      <w:lvlText w:val="%7."/>
      <w:lvlJc w:val="left"/>
      <w:pPr>
        <w:ind w:left="5040" w:hanging="360"/>
      </w:pPr>
    </w:lvl>
    <w:lvl w:ilvl="7" w:tplc="A8AA2E70">
      <w:start w:val="1"/>
      <w:numFmt w:val="lowerLetter"/>
      <w:lvlText w:val="%8."/>
      <w:lvlJc w:val="left"/>
      <w:pPr>
        <w:ind w:left="5760" w:hanging="360"/>
      </w:pPr>
    </w:lvl>
    <w:lvl w:ilvl="8" w:tplc="D9948F6C">
      <w:start w:val="1"/>
      <w:numFmt w:val="lowerRoman"/>
      <w:lvlText w:val="%9."/>
      <w:lvlJc w:val="right"/>
      <w:pPr>
        <w:ind w:left="6480" w:hanging="180"/>
      </w:pPr>
    </w:lvl>
  </w:abstractNum>
  <w:num w:numId="1" w16cid:durableId="362022968">
    <w:abstractNumId w:val="0"/>
  </w:num>
  <w:num w:numId="2" w16cid:durableId="327055850">
    <w:abstractNumId w:val="1"/>
  </w:num>
  <w:num w:numId="3" w16cid:durableId="83357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C5"/>
    <w:rsid w:val="000643C5"/>
    <w:rsid w:val="00081AB1"/>
    <w:rsid w:val="002B41DB"/>
    <w:rsid w:val="008C56C0"/>
    <w:rsid w:val="00F6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297EB"/>
  <w15:chartTrackingRefBased/>
  <w15:docId w15:val="{5999BC22-C92C-4C95-8C0E-55CA4238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C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643C5"/>
    <w:rPr>
      <w:color w:val="0563C1" w:themeColor="hyperlink"/>
      <w:u w:val="single"/>
    </w:rPr>
  </w:style>
  <w:style w:type="table" w:styleId="TableGrid">
    <w:name w:val="Table Grid"/>
    <w:basedOn w:val="TableNormal"/>
    <w:uiPriority w:val="59"/>
    <w:rsid w:val="000643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0643C5"/>
    <w:pPr>
      <w:spacing w:line="240" w:lineRule="auto"/>
    </w:pPr>
    <w:rPr>
      <w:sz w:val="20"/>
      <w:szCs w:val="20"/>
    </w:rPr>
  </w:style>
  <w:style w:type="character" w:customStyle="1" w:styleId="CommentTextChar">
    <w:name w:val="Comment Text Char"/>
    <w:basedOn w:val="DefaultParagraphFont"/>
    <w:link w:val="CommentText"/>
    <w:uiPriority w:val="99"/>
    <w:rsid w:val="000643C5"/>
    <w:rPr>
      <w:sz w:val="20"/>
      <w:szCs w:val="20"/>
    </w:rPr>
  </w:style>
  <w:style w:type="character" w:styleId="CommentReference">
    <w:name w:val="annotation reference"/>
    <w:basedOn w:val="DefaultParagraphFont"/>
    <w:uiPriority w:val="99"/>
    <w:semiHidden/>
    <w:unhideWhenUsed/>
    <w:rsid w:val="000643C5"/>
    <w:rPr>
      <w:sz w:val="16"/>
      <w:szCs w:val="16"/>
    </w:rPr>
  </w:style>
  <w:style w:type="paragraph" w:customStyle="1" w:styleId="EndNoteBibliographyTitle">
    <w:name w:val="EndNote Bibliography Title"/>
    <w:basedOn w:val="Normal"/>
    <w:link w:val="EndNoteBibliographyTitleChar"/>
    <w:rsid w:val="000643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643C5"/>
    <w:rPr>
      <w:rFonts w:ascii="Calibri" w:hAnsi="Calibri" w:cs="Calibri"/>
      <w:noProof/>
    </w:rPr>
  </w:style>
  <w:style w:type="paragraph" w:customStyle="1" w:styleId="EndNoteBibliography">
    <w:name w:val="EndNote Bibliography"/>
    <w:basedOn w:val="Normal"/>
    <w:link w:val="EndNoteBibliographyChar"/>
    <w:rsid w:val="000643C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643C5"/>
    <w:rPr>
      <w:rFonts w:ascii="Calibri" w:hAnsi="Calibri" w:cs="Calibri"/>
      <w:noProof/>
    </w:rPr>
  </w:style>
  <w:style w:type="character" w:styleId="UnresolvedMention">
    <w:name w:val="Unresolved Mention"/>
    <w:basedOn w:val="DefaultParagraphFont"/>
    <w:uiPriority w:val="99"/>
    <w:semiHidden/>
    <w:unhideWhenUsed/>
    <w:rsid w:val="000643C5"/>
    <w:rPr>
      <w:color w:val="605E5C"/>
      <w:shd w:val="clear" w:color="auto" w:fill="E1DFDD"/>
    </w:rPr>
  </w:style>
  <w:style w:type="paragraph" w:styleId="Revision">
    <w:name w:val="Revision"/>
    <w:hidden/>
    <w:uiPriority w:val="99"/>
    <w:semiHidden/>
    <w:rsid w:val="000643C5"/>
    <w:pPr>
      <w:spacing w:after="0" w:line="240" w:lineRule="auto"/>
    </w:pPr>
  </w:style>
  <w:style w:type="paragraph" w:styleId="Header">
    <w:name w:val="header"/>
    <w:basedOn w:val="Normal"/>
    <w:link w:val="HeaderChar"/>
    <w:uiPriority w:val="99"/>
    <w:unhideWhenUsed/>
    <w:rsid w:val="0006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C5"/>
  </w:style>
  <w:style w:type="paragraph" w:styleId="Footer">
    <w:name w:val="footer"/>
    <w:basedOn w:val="Normal"/>
    <w:link w:val="FooterChar"/>
    <w:uiPriority w:val="99"/>
    <w:unhideWhenUsed/>
    <w:rsid w:val="0006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C5"/>
  </w:style>
  <w:style w:type="paragraph" w:styleId="CommentSubject">
    <w:name w:val="annotation subject"/>
    <w:basedOn w:val="CommentText"/>
    <w:next w:val="CommentText"/>
    <w:link w:val="CommentSubjectChar"/>
    <w:uiPriority w:val="99"/>
    <w:semiHidden/>
    <w:unhideWhenUsed/>
    <w:rsid w:val="000643C5"/>
    <w:rPr>
      <w:b/>
      <w:bCs/>
    </w:rPr>
  </w:style>
  <w:style w:type="character" w:customStyle="1" w:styleId="CommentSubjectChar">
    <w:name w:val="Comment Subject Char"/>
    <w:basedOn w:val="CommentTextChar"/>
    <w:link w:val="CommentSubject"/>
    <w:uiPriority w:val="99"/>
    <w:semiHidden/>
    <w:rsid w:val="000643C5"/>
    <w:rPr>
      <w:b/>
      <w:bCs/>
      <w:sz w:val="20"/>
      <w:szCs w:val="20"/>
    </w:rPr>
  </w:style>
  <w:style w:type="character" w:styleId="Mention">
    <w:name w:val="Mention"/>
    <w:basedOn w:val="DefaultParagraphFont"/>
    <w:uiPriority w:val="99"/>
    <w:unhideWhenUsed/>
    <w:rsid w:val="000643C5"/>
    <w:rPr>
      <w:color w:val="2B579A"/>
      <w:shd w:val="clear" w:color="auto" w:fill="E6E6E6"/>
    </w:rPr>
  </w:style>
  <w:style w:type="character" w:customStyle="1" w:styleId="normaltextrun">
    <w:name w:val="normaltextrun"/>
    <w:basedOn w:val="DefaultParagraphFont"/>
    <w:rsid w:val="000643C5"/>
  </w:style>
  <w:style w:type="character" w:customStyle="1" w:styleId="spellingerror">
    <w:name w:val="spellingerror"/>
    <w:basedOn w:val="DefaultParagraphFont"/>
    <w:rsid w:val="000643C5"/>
  </w:style>
  <w:style w:type="character" w:styleId="FollowedHyperlink">
    <w:name w:val="FollowedHyperlink"/>
    <w:basedOn w:val="DefaultParagraphFont"/>
    <w:uiPriority w:val="99"/>
    <w:semiHidden/>
    <w:unhideWhenUsed/>
    <w:rsid w:val="000643C5"/>
    <w:rPr>
      <w:color w:val="954F72" w:themeColor="followedHyperlink"/>
      <w:u w:val="single"/>
    </w:rPr>
  </w:style>
  <w:style w:type="paragraph" w:styleId="FootnoteText">
    <w:name w:val="footnote text"/>
    <w:basedOn w:val="Normal"/>
    <w:link w:val="FootnoteTextChar"/>
    <w:uiPriority w:val="99"/>
    <w:semiHidden/>
    <w:unhideWhenUsed/>
    <w:rsid w:val="000643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3C5"/>
    <w:rPr>
      <w:sz w:val="20"/>
      <w:szCs w:val="20"/>
    </w:rPr>
  </w:style>
  <w:style w:type="character" w:styleId="FootnoteReference">
    <w:name w:val="footnote reference"/>
    <w:basedOn w:val="DefaultParagraphFont"/>
    <w:uiPriority w:val="99"/>
    <w:semiHidden/>
    <w:unhideWhenUsed/>
    <w:rsid w:val="000643C5"/>
    <w:rPr>
      <w:vertAlign w:val="superscript"/>
    </w:rPr>
  </w:style>
  <w:style w:type="character" w:styleId="LineNumber">
    <w:name w:val="line number"/>
    <w:basedOn w:val="DefaultParagraphFont"/>
    <w:uiPriority w:val="99"/>
    <w:semiHidden/>
    <w:unhideWhenUsed/>
    <w:rsid w:val="0006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Bertumen, J Bradford (CDC/NCIRD/CORVD)</dc:creator>
  <cp:keywords/>
  <dc:description/>
  <cp:lastModifiedBy>Bertumen, J Bradford (CDC/NCIRD/CORVD)</cp:lastModifiedBy>
  <cp:revision>3</cp:revision>
  <dcterms:created xsi:type="dcterms:W3CDTF">2024-02-27T09:42:00Z</dcterms:created>
  <dcterms:modified xsi:type="dcterms:W3CDTF">2024-02-27T09:43:00Z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2023-12-31T05:02:19Z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5d385a78-6d76-4644-9444-b9a793c4a0c6</vt:lpwstr>
  </property>
  <property fmtid="{D5CDD505-2E9C-101B-9397-08002B2CF9AE}" pid="8" name="MSIP_Label_7b94a7b8-f06c-4dfe-bdcc-9b548fd58c31_ContentBits">
    <vt:lpwstr>0</vt:lpwstr>
  </property>
</Properties>
</file>