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5522" w14:textId="288E5402" w:rsidR="00CC2474" w:rsidRDefault="00CC2474" w:rsidP="00CC2474">
      <w:pPr>
        <w:rPr>
          <w:rFonts w:ascii="Times New Roman" w:hAnsi="Times New Roman" w:cs="Times New Roman"/>
          <w:b/>
          <w:bCs/>
        </w:rPr>
      </w:pPr>
      <w:r w:rsidRPr="00331B94">
        <w:rPr>
          <w:rFonts w:ascii="Times New Roman" w:hAnsi="Times New Roman" w:cs="Times New Roman"/>
          <w:b/>
          <w:bCs/>
        </w:rPr>
        <w:t xml:space="preserve">Supplement Figure 1. Percentage of reported substances that caused the most problems among </w:t>
      </w:r>
      <w:r>
        <w:rPr>
          <w:rFonts w:ascii="Times New Roman" w:hAnsi="Times New Roman" w:cs="Times New Roman"/>
          <w:b/>
          <w:bCs/>
        </w:rPr>
        <w:t xml:space="preserve">assessments completed </w:t>
      </w:r>
      <w:r w:rsidRPr="00331B94">
        <w:rPr>
          <w:rFonts w:ascii="Times New Roman" w:hAnsi="Times New Roman" w:cs="Times New Roman"/>
          <w:b/>
          <w:bCs/>
        </w:rPr>
        <w:t>by adolescents aged 10-18 years who were assessed for substance use treatment (N=5,377), 2017-2021</w:t>
      </w:r>
      <w:r w:rsidRPr="00331B94">
        <w:rPr>
          <w:rFonts w:ascii="Times New Roman" w:hAnsi="Times New Roman" w:cs="Times New Roman"/>
          <w:b/>
          <w:bCs/>
          <w:vertAlign w:val="superscript"/>
        </w:rPr>
        <w:t>a</w:t>
      </w:r>
      <w:r>
        <w:rPr>
          <w:rFonts w:ascii="Times New Roman" w:hAnsi="Times New Roman" w:cs="Times New Roman"/>
          <w:b/>
          <w:bCs/>
          <w:vertAlign w:val="superscript"/>
        </w:rPr>
        <w:t>,b</w:t>
      </w:r>
      <w:r w:rsidRPr="00331B94">
        <w:rPr>
          <w:rFonts w:ascii="Times New Roman" w:hAnsi="Times New Roman" w:cs="Times New Roman"/>
          <w:b/>
          <w:bCs/>
        </w:rPr>
        <w:t xml:space="preserve"> </w:t>
      </w:r>
    </w:p>
    <w:p w14:paraId="56A28622" w14:textId="64013B84" w:rsidR="00A858E3" w:rsidRPr="00772DD1" w:rsidRDefault="00BF7F67" w:rsidP="00772D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719B15A" wp14:editId="1A32B208">
            <wp:extent cx="5974158" cy="2946952"/>
            <wp:effectExtent l="0" t="0" r="76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29" cy="2965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2DD1" w:rsidRPr="002550BC">
        <w:rPr>
          <w:rFonts w:ascii="Times New Roman" w:hAnsi="Times New Roman" w:cs="Times New Roman"/>
          <w:color w:val="000000"/>
          <w:sz w:val="16"/>
          <w:szCs w:val="16"/>
        </w:rPr>
        <w:t>Abbreviations:</w:t>
      </w:r>
      <w:r w:rsidR="00772DD1">
        <w:rPr>
          <w:rFonts w:ascii="Times New Roman" w:hAnsi="Times New Roman" w:cs="Times New Roman"/>
          <w:color w:val="000000"/>
          <w:sz w:val="16"/>
          <w:szCs w:val="16"/>
        </w:rPr>
        <w:t xml:space="preserve"> PCP, </w:t>
      </w:r>
      <w:r w:rsidR="00772DD1" w:rsidRPr="001D515E">
        <w:rPr>
          <w:rFonts w:ascii="Times New Roman" w:hAnsi="Times New Roman" w:cs="Times New Roman"/>
          <w:color w:val="000000"/>
          <w:sz w:val="16"/>
          <w:szCs w:val="16"/>
        </w:rPr>
        <w:t>phencyclidine</w:t>
      </w:r>
      <w:r w:rsidR="00772DD1">
        <w:rPr>
          <w:rFonts w:ascii="Times New Roman" w:hAnsi="Times New Roman" w:cs="Times New Roman"/>
          <w:color w:val="000000"/>
          <w:sz w:val="16"/>
          <w:szCs w:val="16"/>
        </w:rPr>
        <w:t xml:space="preserve">; GHB, </w:t>
      </w:r>
      <w:r w:rsidR="00772DD1" w:rsidRPr="0012691C">
        <w:rPr>
          <w:rFonts w:ascii="Times New Roman" w:hAnsi="Times New Roman" w:cs="Times New Roman"/>
          <w:color w:val="000000"/>
          <w:sz w:val="16"/>
          <w:szCs w:val="16"/>
        </w:rPr>
        <w:t>Gamma-Hydroxybutyric acid</w:t>
      </w:r>
      <w:r w:rsidR="00772DD1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2897F29E" w14:textId="575E45A4" w:rsidR="00CC2474" w:rsidRDefault="00CC2474" w:rsidP="00A02870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Data Source: The </w:t>
      </w:r>
      <w:r w:rsidRPr="009B78BF">
        <w:rPr>
          <w:rFonts w:ascii="Times New Roman" w:hAnsi="Times New Roman" w:cs="Times New Roman"/>
          <w:color w:val="000000"/>
          <w:sz w:val="16"/>
          <w:szCs w:val="16"/>
        </w:rPr>
        <w:t>National Addictions Vigilance Intervention and Prevention Program (NAVIPPRO) Comprehensive Health Assessment for Teens (CHAT)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E120ED">
        <w:rPr>
          <w:rFonts w:ascii="Times New Roman" w:hAnsi="Times New Roman" w:cs="Times New Roman"/>
          <w:color w:val="000000"/>
          <w:sz w:val="16"/>
          <w:szCs w:val="16"/>
        </w:rPr>
        <w:t xml:space="preserve">The unit of analysis was each assessment.  </w:t>
      </w:r>
    </w:p>
    <w:p w14:paraId="5DCE9AB7" w14:textId="77777777" w:rsidR="00630C72" w:rsidRDefault="00630C72" w:rsidP="00A02870">
      <w:pPr>
        <w:spacing w:after="0"/>
        <w:rPr>
          <w:rFonts w:ascii="Times New Roman" w:hAnsi="Times New Roman" w:cs="Times New Roman"/>
          <w:b/>
          <w:bCs/>
        </w:rPr>
      </w:pPr>
    </w:p>
    <w:p w14:paraId="6843585C" w14:textId="767C17F6" w:rsidR="00CC2474" w:rsidRDefault="00CC2474" w:rsidP="00A02870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270" w:hanging="270"/>
        <w:rPr>
          <w:rFonts w:ascii="Times New Roman" w:hAnsi="Times New Roman" w:cs="Times New Roman"/>
          <w:sz w:val="16"/>
          <w:szCs w:val="16"/>
        </w:rPr>
      </w:pPr>
      <w:r w:rsidRPr="00331B94">
        <w:rPr>
          <w:rFonts w:ascii="Times New Roman" w:hAnsi="Times New Roman" w:cs="Times New Roman"/>
          <w:sz w:val="16"/>
          <w:szCs w:val="16"/>
        </w:rPr>
        <w:t>For this question, responders did not differentiate whether they misused prescription drugs or not. Prescription sedatives or tranquilizers include but not limited to Valium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Xanax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31B94">
        <w:rPr>
          <w:rFonts w:ascii="Times New Roman" w:hAnsi="Times New Roman" w:cs="Times New Roman"/>
          <w:sz w:val="16"/>
          <w:szCs w:val="16"/>
        </w:rPr>
        <w:t>Klonopin</w:t>
      </w:r>
      <w:proofErr w:type="spellEnd"/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Diazepam, Seconal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Nembutal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; Prescription opioids include but not limited to Oxycontin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Vicodin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Percocet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Percodan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31B94">
        <w:rPr>
          <w:rFonts w:ascii="Times New Roman" w:hAnsi="Times New Roman" w:cs="Times New Roman"/>
          <w:sz w:val="16"/>
          <w:szCs w:val="16"/>
        </w:rPr>
        <w:t>Tylox</w:t>
      </w:r>
      <w:proofErr w:type="spellEnd"/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Codeine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; Prescription stimulants include but not limited to Ritalin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Adderall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31B94">
        <w:rPr>
          <w:rFonts w:ascii="Times New Roman" w:hAnsi="Times New Roman" w:cs="Times New Roman"/>
          <w:sz w:val="16"/>
          <w:szCs w:val="16"/>
        </w:rPr>
        <w:t>Concerta</w:t>
      </w:r>
      <w:proofErr w:type="spellEnd"/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, Dexedrine</w:t>
      </w:r>
      <w:r w:rsidRPr="00331B94">
        <w:rPr>
          <w:rFonts w:ascii="Times New Roman" w:hAnsi="Times New Roman" w:cs="Times New Roman"/>
          <w:sz w:val="16"/>
          <w:szCs w:val="16"/>
          <w:vertAlign w:val="superscript"/>
        </w:rPr>
        <w:t>®</w:t>
      </w:r>
      <w:r w:rsidRPr="00331B94">
        <w:rPr>
          <w:rFonts w:ascii="Times New Roman" w:hAnsi="Times New Roman" w:cs="Times New Roman"/>
          <w:sz w:val="16"/>
          <w:szCs w:val="16"/>
        </w:rPr>
        <w:t>.</w:t>
      </w:r>
      <w:r w:rsidR="00496313" w:rsidRPr="00496313">
        <w:t xml:space="preserve"> </w:t>
      </w:r>
      <w:r w:rsidR="00263625" w:rsidRPr="00FA586B">
        <w:rPr>
          <w:rFonts w:ascii="Times New Roman" w:hAnsi="Times New Roman" w:cs="Times New Roman"/>
          <w:sz w:val="16"/>
          <w:szCs w:val="16"/>
        </w:rPr>
        <w:t>“</w:t>
      </w:r>
      <w:r w:rsidR="00A96E8E" w:rsidRPr="00FA586B">
        <w:rPr>
          <w:rFonts w:ascii="Times New Roman" w:hAnsi="Times New Roman" w:cs="Times New Roman"/>
          <w:sz w:val="16"/>
          <w:szCs w:val="16"/>
        </w:rPr>
        <w:t>M</w:t>
      </w:r>
      <w:r w:rsidR="00263625" w:rsidRPr="00FA586B">
        <w:rPr>
          <w:rFonts w:ascii="Times New Roman" w:hAnsi="Times New Roman" w:cs="Times New Roman"/>
          <w:sz w:val="16"/>
          <w:szCs w:val="16"/>
        </w:rPr>
        <w:t>ethadone or buprenorphine</w:t>
      </w:r>
      <w:r w:rsidR="002A1670" w:rsidRPr="002A1670">
        <w:rPr>
          <w:rFonts w:ascii="Times New Roman" w:hAnsi="Times New Roman" w:cs="Times New Roman"/>
          <w:sz w:val="16"/>
          <w:szCs w:val="16"/>
        </w:rPr>
        <w:t>”, “</w:t>
      </w:r>
      <w:r w:rsidR="00DC24A5" w:rsidRPr="00FA586B">
        <w:rPr>
          <w:rFonts w:ascii="Times New Roman" w:hAnsi="Times New Roman" w:cs="Times New Roman"/>
          <w:sz w:val="16"/>
          <w:szCs w:val="16"/>
        </w:rPr>
        <w:t xml:space="preserve">PCP or ketamine”, </w:t>
      </w:r>
      <w:r w:rsidR="009A203C" w:rsidRPr="00FA586B">
        <w:rPr>
          <w:rFonts w:ascii="Times New Roman" w:hAnsi="Times New Roman" w:cs="Times New Roman"/>
          <w:sz w:val="16"/>
          <w:szCs w:val="16"/>
        </w:rPr>
        <w:t xml:space="preserve">and </w:t>
      </w:r>
      <w:r w:rsidR="00DC24A5" w:rsidRPr="00FA586B">
        <w:rPr>
          <w:rFonts w:ascii="Times New Roman" w:hAnsi="Times New Roman" w:cs="Times New Roman"/>
          <w:sz w:val="16"/>
          <w:szCs w:val="16"/>
        </w:rPr>
        <w:t>“GHB or Rohypno</w:t>
      </w:r>
      <w:r w:rsidR="00F53D91">
        <w:rPr>
          <w:rFonts w:ascii="Times New Roman" w:hAnsi="Times New Roman" w:cs="Times New Roman"/>
          <w:sz w:val="16"/>
          <w:szCs w:val="16"/>
        </w:rPr>
        <w:t>l</w:t>
      </w:r>
      <w:r w:rsidR="00DC24A5" w:rsidRPr="00FA586B">
        <w:rPr>
          <w:rFonts w:ascii="Times New Roman" w:hAnsi="Times New Roman" w:cs="Times New Roman"/>
          <w:sz w:val="16"/>
          <w:szCs w:val="16"/>
        </w:rPr>
        <w:t>”</w:t>
      </w:r>
      <w:r w:rsidR="0059705C" w:rsidRPr="00FA586B">
        <w:rPr>
          <w:rFonts w:ascii="Times New Roman" w:hAnsi="Times New Roman" w:cs="Times New Roman"/>
          <w:sz w:val="16"/>
          <w:szCs w:val="16"/>
        </w:rPr>
        <w:t xml:space="preserve"> were listed as </w:t>
      </w:r>
      <w:r w:rsidR="00C94C75">
        <w:rPr>
          <w:rFonts w:ascii="Times New Roman" w:hAnsi="Times New Roman" w:cs="Times New Roman"/>
          <w:sz w:val="16"/>
          <w:szCs w:val="16"/>
        </w:rPr>
        <w:t>three</w:t>
      </w:r>
      <w:r w:rsidR="006B560D">
        <w:rPr>
          <w:rFonts w:ascii="Times New Roman" w:hAnsi="Times New Roman" w:cs="Times New Roman"/>
          <w:sz w:val="16"/>
          <w:szCs w:val="16"/>
        </w:rPr>
        <w:t xml:space="preserve"> </w:t>
      </w:r>
      <w:r w:rsidR="0059705C" w:rsidRPr="00FA586B">
        <w:rPr>
          <w:rFonts w:ascii="Times New Roman" w:hAnsi="Times New Roman" w:cs="Times New Roman"/>
          <w:sz w:val="16"/>
          <w:szCs w:val="16"/>
        </w:rPr>
        <w:t xml:space="preserve">drug groups </w:t>
      </w:r>
      <w:r w:rsidR="00C94C75" w:rsidRPr="006065F7">
        <w:rPr>
          <w:rFonts w:ascii="Times New Roman" w:hAnsi="Times New Roman" w:cs="Times New Roman"/>
          <w:sz w:val="16"/>
          <w:szCs w:val="16"/>
        </w:rPr>
        <w:t xml:space="preserve">in the CHAT </w:t>
      </w:r>
      <w:r w:rsidR="0059705C" w:rsidRPr="00FA586B">
        <w:rPr>
          <w:rFonts w:ascii="Times New Roman" w:hAnsi="Times New Roman" w:cs="Times New Roman"/>
          <w:sz w:val="16"/>
          <w:szCs w:val="16"/>
        </w:rPr>
        <w:t>when pres</w:t>
      </w:r>
      <w:r w:rsidR="00355A2D" w:rsidRPr="00FA586B">
        <w:rPr>
          <w:rFonts w:ascii="Times New Roman" w:hAnsi="Times New Roman" w:cs="Times New Roman"/>
          <w:sz w:val="16"/>
          <w:szCs w:val="16"/>
        </w:rPr>
        <w:t>ented to adolescents</w:t>
      </w:r>
      <w:r w:rsidR="0059705C" w:rsidRPr="00FA586B">
        <w:rPr>
          <w:rFonts w:ascii="Times New Roman" w:hAnsi="Times New Roman" w:cs="Times New Roman"/>
          <w:sz w:val="16"/>
          <w:szCs w:val="16"/>
        </w:rPr>
        <w:t xml:space="preserve">. </w:t>
      </w:r>
      <w:r w:rsidR="00F70A92">
        <w:rPr>
          <w:rFonts w:ascii="Times New Roman" w:hAnsi="Times New Roman" w:cs="Times New Roman"/>
          <w:sz w:val="16"/>
          <w:szCs w:val="16"/>
        </w:rPr>
        <w:t xml:space="preserve">Each substance </w:t>
      </w:r>
      <w:r w:rsidR="00DC559E">
        <w:rPr>
          <w:rFonts w:ascii="Times New Roman" w:hAnsi="Times New Roman" w:cs="Times New Roman"/>
          <w:sz w:val="16"/>
          <w:szCs w:val="16"/>
        </w:rPr>
        <w:t xml:space="preserve">reported </w:t>
      </w:r>
      <w:r w:rsidR="0039384B" w:rsidRPr="0039384B">
        <w:rPr>
          <w:rFonts w:ascii="Times New Roman" w:hAnsi="Times New Roman" w:cs="Times New Roman"/>
          <w:sz w:val="16"/>
          <w:szCs w:val="16"/>
        </w:rPr>
        <w:t>caus</w:t>
      </w:r>
      <w:r w:rsidR="0039384B">
        <w:rPr>
          <w:rFonts w:ascii="Times New Roman" w:hAnsi="Times New Roman" w:cs="Times New Roman"/>
          <w:sz w:val="16"/>
          <w:szCs w:val="16"/>
        </w:rPr>
        <w:t>ing</w:t>
      </w:r>
      <w:r w:rsidR="0039384B" w:rsidRPr="0039384B">
        <w:rPr>
          <w:rFonts w:ascii="Times New Roman" w:hAnsi="Times New Roman" w:cs="Times New Roman"/>
          <w:sz w:val="16"/>
          <w:szCs w:val="16"/>
        </w:rPr>
        <w:t xml:space="preserve"> the most problem</w:t>
      </w:r>
      <w:r w:rsidR="00D54FB1">
        <w:rPr>
          <w:rFonts w:ascii="Times New Roman" w:hAnsi="Times New Roman" w:cs="Times New Roman"/>
          <w:sz w:val="16"/>
          <w:szCs w:val="16"/>
        </w:rPr>
        <w:t>s</w:t>
      </w:r>
      <w:r w:rsidR="0039384B" w:rsidRPr="0039384B">
        <w:rPr>
          <w:rFonts w:ascii="Times New Roman" w:hAnsi="Times New Roman" w:cs="Times New Roman"/>
          <w:sz w:val="16"/>
          <w:szCs w:val="16"/>
        </w:rPr>
        <w:t xml:space="preserve"> </w:t>
      </w:r>
      <w:r w:rsidR="00094F28">
        <w:rPr>
          <w:rFonts w:ascii="Times New Roman" w:hAnsi="Times New Roman" w:cs="Times New Roman"/>
          <w:sz w:val="16"/>
          <w:szCs w:val="16"/>
        </w:rPr>
        <w:t>was</w:t>
      </w:r>
      <w:r w:rsidR="00957D24" w:rsidRPr="00957D24">
        <w:rPr>
          <w:rFonts w:ascii="Times New Roman" w:hAnsi="Times New Roman" w:cs="Times New Roman"/>
          <w:sz w:val="16"/>
          <w:szCs w:val="16"/>
        </w:rPr>
        <w:t xml:space="preserve"> mutually exclusive</w:t>
      </w:r>
      <w:r w:rsidR="00094F28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7AA1ADC4" w14:textId="3ED109DE" w:rsidR="00CC2474" w:rsidRPr="00331B94" w:rsidRDefault="00CC2474" w:rsidP="00CC2474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rPr>
          <w:rFonts w:ascii="Times New Roman" w:hAnsi="Times New Roman" w:cs="Times New Roman"/>
          <w:sz w:val="16"/>
          <w:szCs w:val="16"/>
        </w:rPr>
        <w:sectPr w:rsidR="00CC2474" w:rsidRPr="00331B94" w:rsidSect="002203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C63C8">
        <w:rPr>
          <w:rFonts w:ascii="Times New Roman" w:hAnsi="Times New Roman" w:cs="Times New Roman"/>
          <w:sz w:val="16"/>
          <w:szCs w:val="16"/>
        </w:rPr>
        <w:t>Among 125 assessments</w:t>
      </w:r>
      <w:r>
        <w:rPr>
          <w:rFonts w:ascii="Times New Roman" w:hAnsi="Times New Roman" w:cs="Times New Roman"/>
          <w:sz w:val="16"/>
          <w:szCs w:val="16"/>
        </w:rPr>
        <w:t xml:space="preserve"> of adolescents who reported </w:t>
      </w:r>
      <w:r w:rsidR="005A0981">
        <w:rPr>
          <w:rFonts w:ascii="Times New Roman" w:hAnsi="Times New Roman" w:cs="Times New Roman"/>
          <w:sz w:val="16"/>
          <w:szCs w:val="16"/>
        </w:rPr>
        <w:t>i</w:t>
      </w:r>
      <w:r w:rsidR="005A0981" w:rsidRPr="005A0981">
        <w:rPr>
          <w:rFonts w:ascii="Times New Roman" w:hAnsi="Times New Roman" w:cs="Times New Roman"/>
          <w:sz w:val="16"/>
          <w:szCs w:val="16"/>
        </w:rPr>
        <w:t>llegally made fentanyl</w:t>
      </w:r>
      <w:r w:rsidR="00AC3AAA">
        <w:rPr>
          <w:rFonts w:ascii="Times New Roman" w:hAnsi="Times New Roman" w:cs="Times New Roman"/>
          <w:sz w:val="16"/>
          <w:szCs w:val="16"/>
        </w:rPr>
        <w:t xml:space="preserve"> (IMF)</w:t>
      </w:r>
      <w:r w:rsidR="005A0981">
        <w:rPr>
          <w:rFonts w:ascii="Times New Roman" w:hAnsi="Times New Roman" w:cs="Times New Roman"/>
          <w:sz w:val="16"/>
          <w:szCs w:val="16"/>
        </w:rPr>
        <w:t xml:space="preserve"> </w:t>
      </w:r>
      <w:r w:rsidRPr="00DC63C8">
        <w:rPr>
          <w:rFonts w:ascii="Times New Roman" w:hAnsi="Times New Roman" w:cs="Times New Roman"/>
          <w:sz w:val="16"/>
          <w:szCs w:val="16"/>
        </w:rPr>
        <w:t xml:space="preserve">use in the lifetime, 12 (9.6%) thought IMF was causing them the most problems. </w:t>
      </w:r>
    </w:p>
    <w:p w14:paraId="27942B12" w14:textId="3EDC3CC7" w:rsidR="00CC2474" w:rsidRDefault="00CC2474" w:rsidP="00CC2474">
      <w:pPr>
        <w:rPr>
          <w:rFonts w:ascii="Times New Roman" w:hAnsi="Times New Roman" w:cs="Times New Roman"/>
          <w:b/>
          <w:bCs/>
          <w:vertAlign w:val="superscript"/>
        </w:rPr>
      </w:pPr>
      <w:r w:rsidRPr="00331B94">
        <w:rPr>
          <w:rFonts w:ascii="Times New Roman" w:hAnsi="Times New Roman" w:cs="Times New Roman"/>
          <w:b/>
          <w:bCs/>
        </w:rPr>
        <w:lastRenderedPageBreak/>
        <w:t xml:space="preserve">Supplement Figure 2. Percentage of substances that adolescents reported as their preferred substances among </w:t>
      </w:r>
      <w:r>
        <w:rPr>
          <w:rFonts w:ascii="Times New Roman" w:hAnsi="Times New Roman" w:cs="Times New Roman"/>
          <w:b/>
          <w:bCs/>
        </w:rPr>
        <w:t xml:space="preserve">assessments completed </w:t>
      </w:r>
      <w:r w:rsidRPr="00331B94">
        <w:rPr>
          <w:rFonts w:ascii="Times New Roman" w:hAnsi="Times New Roman" w:cs="Times New Roman"/>
          <w:b/>
          <w:bCs/>
        </w:rPr>
        <w:t>by adolescents aged 10-18 years who were assessed for substance use treatment (N=5,377), 2017-2021</w:t>
      </w:r>
      <w:r w:rsidRPr="00331B94">
        <w:rPr>
          <w:rFonts w:ascii="Times New Roman" w:hAnsi="Times New Roman" w:cs="Times New Roman"/>
          <w:b/>
          <w:bCs/>
          <w:vertAlign w:val="superscript"/>
        </w:rPr>
        <w:t>a</w:t>
      </w:r>
      <w:r>
        <w:rPr>
          <w:rFonts w:ascii="Times New Roman" w:hAnsi="Times New Roman" w:cs="Times New Roman"/>
          <w:b/>
          <w:bCs/>
          <w:vertAlign w:val="superscript"/>
        </w:rPr>
        <w:t>,b</w:t>
      </w:r>
    </w:p>
    <w:p w14:paraId="31DB3686" w14:textId="5A5BDBF1" w:rsidR="00472FA8" w:rsidRPr="00017CA3" w:rsidRDefault="000D089B" w:rsidP="00CC24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33A0B3E" wp14:editId="0E16D7F7">
            <wp:extent cx="5923128" cy="35147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054" cy="3536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2FA8" w:rsidRPr="002550BC">
        <w:rPr>
          <w:rFonts w:ascii="Times New Roman" w:hAnsi="Times New Roman" w:cs="Times New Roman"/>
          <w:color w:val="000000"/>
          <w:sz w:val="16"/>
          <w:szCs w:val="16"/>
        </w:rPr>
        <w:t>Abbreviations:</w:t>
      </w:r>
      <w:r w:rsidR="00472FA8">
        <w:rPr>
          <w:rFonts w:ascii="Times New Roman" w:hAnsi="Times New Roman" w:cs="Times New Roman"/>
          <w:color w:val="000000"/>
          <w:sz w:val="16"/>
          <w:szCs w:val="16"/>
        </w:rPr>
        <w:t xml:space="preserve"> PCP, </w:t>
      </w:r>
      <w:r w:rsidR="00472FA8" w:rsidRPr="001D515E">
        <w:rPr>
          <w:rFonts w:ascii="Times New Roman" w:hAnsi="Times New Roman" w:cs="Times New Roman"/>
          <w:color w:val="000000"/>
          <w:sz w:val="16"/>
          <w:szCs w:val="16"/>
        </w:rPr>
        <w:t>phencyclidine</w:t>
      </w:r>
      <w:r w:rsidR="00472FA8">
        <w:rPr>
          <w:rFonts w:ascii="Times New Roman" w:hAnsi="Times New Roman" w:cs="Times New Roman"/>
          <w:color w:val="000000"/>
          <w:sz w:val="16"/>
          <w:szCs w:val="16"/>
        </w:rPr>
        <w:t xml:space="preserve">; GHB, </w:t>
      </w:r>
      <w:r w:rsidR="00472FA8" w:rsidRPr="0012691C">
        <w:rPr>
          <w:rFonts w:ascii="Times New Roman" w:hAnsi="Times New Roman" w:cs="Times New Roman"/>
          <w:color w:val="000000"/>
          <w:sz w:val="16"/>
          <w:szCs w:val="16"/>
        </w:rPr>
        <w:t>Gamma-Hydroxybutyric acid</w:t>
      </w:r>
      <w:r w:rsidR="00472FA8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477EDDDD" w14:textId="65CE2E83" w:rsidR="00CC2474" w:rsidRPr="00331B94" w:rsidRDefault="00CC2474" w:rsidP="00CC2474">
      <w:pPr>
        <w:rPr>
          <w:rFonts w:ascii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Data Source: The </w:t>
      </w:r>
      <w:r w:rsidRPr="009B78BF">
        <w:rPr>
          <w:rFonts w:ascii="Times New Roman" w:hAnsi="Times New Roman" w:cs="Times New Roman"/>
          <w:color w:val="000000"/>
          <w:sz w:val="16"/>
          <w:szCs w:val="16"/>
        </w:rPr>
        <w:t>National Addictions Vigilance Intervention and Prevention Program (NAVIPPRO) Comprehensive Health Assessment for Teens (CHAT)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E120ED">
        <w:rPr>
          <w:rFonts w:ascii="Times New Roman" w:hAnsi="Times New Roman" w:cs="Times New Roman"/>
          <w:color w:val="000000"/>
          <w:sz w:val="16"/>
          <w:szCs w:val="16"/>
        </w:rPr>
        <w:t xml:space="preserve">The unit of analysis was each assessment.  </w:t>
      </w:r>
    </w:p>
    <w:p w14:paraId="69123B6D" w14:textId="6C8916E4" w:rsidR="00CC2474" w:rsidRPr="009944E6" w:rsidRDefault="00CC2474" w:rsidP="00611FFA">
      <w:pPr>
        <w:pStyle w:val="ListParagraph"/>
        <w:numPr>
          <w:ilvl w:val="0"/>
          <w:numId w:val="2"/>
        </w:numPr>
        <w:ind w:left="180" w:hanging="180"/>
        <w:rPr>
          <w:rFonts w:ascii="Times New Roman" w:hAnsi="Times New Roman" w:cs="Times New Roman"/>
          <w:sz w:val="16"/>
          <w:szCs w:val="16"/>
        </w:rPr>
      </w:pPr>
      <w:r w:rsidRPr="009944E6">
        <w:rPr>
          <w:rFonts w:ascii="Times New Roman" w:hAnsi="Times New Roman" w:cs="Times New Roman"/>
          <w:sz w:val="16"/>
          <w:szCs w:val="16"/>
        </w:rPr>
        <w:t>Responders can select up to three substances as their preferred substances.</w:t>
      </w:r>
      <w:r w:rsidR="001751CB" w:rsidRPr="001751CB">
        <w:t xml:space="preserve"> </w:t>
      </w:r>
      <w:r w:rsidR="001751CB" w:rsidRPr="009944E6">
        <w:rPr>
          <w:rFonts w:ascii="Times New Roman" w:hAnsi="Times New Roman" w:cs="Times New Roman"/>
          <w:sz w:val="16"/>
          <w:szCs w:val="16"/>
        </w:rPr>
        <w:t xml:space="preserve">There was no rank among the selected </w:t>
      </w:r>
      <w:r w:rsidR="00D274DA" w:rsidRPr="009944E6">
        <w:rPr>
          <w:rFonts w:ascii="Times New Roman" w:hAnsi="Times New Roman" w:cs="Times New Roman"/>
          <w:sz w:val="16"/>
          <w:szCs w:val="16"/>
        </w:rPr>
        <w:t xml:space="preserve">preferred </w:t>
      </w:r>
      <w:r w:rsidR="001751CB" w:rsidRPr="009944E6">
        <w:rPr>
          <w:rFonts w:ascii="Times New Roman" w:hAnsi="Times New Roman" w:cs="Times New Roman"/>
          <w:sz w:val="16"/>
          <w:szCs w:val="16"/>
        </w:rPr>
        <w:t>substances.</w:t>
      </w:r>
      <w:r w:rsidR="00CB54CA" w:rsidRPr="009944E6">
        <w:rPr>
          <w:rFonts w:ascii="Times New Roman" w:hAnsi="Times New Roman" w:cs="Times New Roman"/>
          <w:sz w:val="16"/>
          <w:szCs w:val="16"/>
        </w:rPr>
        <w:t xml:space="preserve"> </w:t>
      </w:r>
      <w:r w:rsidR="001630FB" w:rsidRPr="009944E6">
        <w:rPr>
          <w:rFonts w:ascii="Times New Roman" w:hAnsi="Times New Roman" w:cs="Times New Roman"/>
          <w:sz w:val="16"/>
          <w:szCs w:val="16"/>
        </w:rPr>
        <w:t xml:space="preserve">“Methadone or buprenorphine”, “PCP or ketamine”, and “GHB or Rohypnol” were listed as three drug groups in the CHAT when presented to adolescents. Each substance reported </w:t>
      </w:r>
      <w:r w:rsidR="008460A8" w:rsidRPr="009944E6">
        <w:rPr>
          <w:rFonts w:ascii="Times New Roman" w:hAnsi="Times New Roman" w:cs="Times New Roman"/>
          <w:sz w:val="16"/>
          <w:szCs w:val="16"/>
        </w:rPr>
        <w:t xml:space="preserve">as </w:t>
      </w:r>
      <w:r w:rsidR="006E3A2E" w:rsidRPr="009944E6">
        <w:rPr>
          <w:rFonts w:ascii="Times New Roman" w:hAnsi="Times New Roman" w:cs="Times New Roman"/>
          <w:sz w:val="16"/>
          <w:szCs w:val="16"/>
        </w:rPr>
        <w:t xml:space="preserve">the </w:t>
      </w:r>
      <w:r w:rsidR="008460A8" w:rsidRPr="009944E6">
        <w:rPr>
          <w:rFonts w:ascii="Times New Roman" w:hAnsi="Times New Roman" w:cs="Times New Roman"/>
          <w:sz w:val="16"/>
          <w:szCs w:val="16"/>
        </w:rPr>
        <w:t xml:space="preserve">preferred substance </w:t>
      </w:r>
      <w:r w:rsidR="001630FB" w:rsidRPr="009944E6">
        <w:rPr>
          <w:rFonts w:ascii="Times New Roman" w:hAnsi="Times New Roman" w:cs="Times New Roman"/>
          <w:sz w:val="16"/>
          <w:szCs w:val="16"/>
        </w:rPr>
        <w:t>was</w:t>
      </w:r>
      <w:r w:rsidR="002304DA" w:rsidRPr="009944E6">
        <w:rPr>
          <w:rFonts w:ascii="Times New Roman" w:hAnsi="Times New Roman" w:cs="Times New Roman"/>
          <w:sz w:val="16"/>
          <w:szCs w:val="16"/>
        </w:rPr>
        <w:t xml:space="preserve"> </w:t>
      </w:r>
      <w:r w:rsidR="00FD19DA" w:rsidRPr="009944E6">
        <w:rPr>
          <w:rFonts w:ascii="Times New Roman" w:hAnsi="Times New Roman" w:cs="Times New Roman"/>
          <w:sz w:val="16"/>
          <w:szCs w:val="16"/>
        </w:rPr>
        <w:t>NOT</w:t>
      </w:r>
      <w:r w:rsidR="001630FB" w:rsidRPr="009944E6">
        <w:rPr>
          <w:rFonts w:ascii="Times New Roman" w:hAnsi="Times New Roman" w:cs="Times New Roman"/>
          <w:sz w:val="16"/>
          <w:szCs w:val="16"/>
        </w:rPr>
        <w:t xml:space="preserve"> mutually exclusive. </w:t>
      </w:r>
    </w:p>
    <w:p w14:paraId="7B7EC41F" w14:textId="4F78F61C" w:rsidR="00CC2474" w:rsidRPr="00331B94" w:rsidRDefault="00FA586B" w:rsidP="00FA586B">
      <w:pPr>
        <w:pStyle w:val="ListParagraph"/>
        <w:ind w:left="180" w:hanging="1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b. </w:t>
      </w:r>
      <w:r w:rsidR="00CC2474" w:rsidRPr="00DC63C8">
        <w:rPr>
          <w:rFonts w:ascii="Times New Roman" w:hAnsi="Times New Roman" w:cs="Times New Roman"/>
          <w:sz w:val="16"/>
          <w:szCs w:val="16"/>
        </w:rPr>
        <w:t>Among 125 assessments</w:t>
      </w:r>
      <w:r w:rsidR="00CC2474">
        <w:rPr>
          <w:rFonts w:ascii="Times New Roman" w:hAnsi="Times New Roman" w:cs="Times New Roman"/>
          <w:sz w:val="16"/>
          <w:szCs w:val="16"/>
        </w:rPr>
        <w:t xml:space="preserve"> of adolescents who reported </w:t>
      </w:r>
      <w:r w:rsidR="00BD0229" w:rsidRPr="00BD0229">
        <w:rPr>
          <w:rFonts w:ascii="Times New Roman" w:hAnsi="Times New Roman" w:cs="Times New Roman"/>
          <w:sz w:val="16"/>
          <w:szCs w:val="16"/>
        </w:rPr>
        <w:t>illegally made fentanyl</w:t>
      </w:r>
      <w:r w:rsidR="00FE065E">
        <w:rPr>
          <w:rFonts w:ascii="Times New Roman" w:hAnsi="Times New Roman" w:cs="Times New Roman"/>
          <w:sz w:val="16"/>
          <w:szCs w:val="16"/>
        </w:rPr>
        <w:t xml:space="preserve"> (</w:t>
      </w:r>
      <w:r w:rsidR="00673901">
        <w:rPr>
          <w:rFonts w:ascii="Times New Roman" w:hAnsi="Times New Roman" w:cs="Times New Roman"/>
          <w:sz w:val="16"/>
          <w:szCs w:val="16"/>
        </w:rPr>
        <w:t xml:space="preserve">IMF) </w:t>
      </w:r>
      <w:r w:rsidR="00673901" w:rsidRPr="00DC63C8">
        <w:rPr>
          <w:rFonts w:ascii="Times New Roman" w:hAnsi="Times New Roman" w:cs="Times New Roman"/>
          <w:sz w:val="16"/>
          <w:szCs w:val="16"/>
        </w:rPr>
        <w:t>use</w:t>
      </w:r>
      <w:r w:rsidR="00CC2474" w:rsidRPr="00DC63C8">
        <w:rPr>
          <w:rFonts w:ascii="Times New Roman" w:hAnsi="Times New Roman" w:cs="Times New Roman"/>
          <w:sz w:val="16"/>
          <w:szCs w:val="16"/>
        </w:rPr>
        <w:t xml:space="preserve"> in the lifetime, 1</w:t>
      </w:r>
      <w:r w:rsidR="00CC2474">
        <w:rPr>
          <w:rFonts w:ascii="Times New Roman" w:hAnsi="Times New Roman" w:cs="Times New Roman"/>
          <w:sz w:val="16"/>
          <w:szCs w:val="16"/>
        </w:rPr>
        <w:t>5</w:t>
      </w:r>
      <w:r w:rsidR="00CC2474" w:rsidRPr="00DC63C8">
        <w:rPr>
          <w:rFonts w:ascii="Times New Roman" w:hAnsi="Times New Roman" w:cs="Times New Roman"/>
          <w:sz w:val="16"/>
          <w:szCs w:val="16"/>
        </w:rPr>
        <w:t xml:space="preserve"> (</w:t>
      </w:r>
      <w:r w:rsidR="00CC2474">
        <w:rPr>
          <w:rFonts w:ascii="Times New Roman" w:hAnsi="Times New Roman" w:cs="Times New Roman"/>
          <w:sz w:val="16"/>
          <w:szCs w:val="16"/>
        </w:rPr>
        <w:t>12</w:t>
      </w:r>
      <w:r w:rsidR="00CC2474" w:rsidRPr="00DC63C8">
        <w:rPr>
          <w:rFonts w:ascii="Times New Roman" w:hAnsi="Times New Roman" w:cs="Times New Roman"/>
          <w:sz w:val="16"/>
          <w:szCs w:val="16"/>
        </w:rPr>
        <w:t>%)</w:t>
      </w:r>
      <w:r w:rsidR="00CC2474" w:rsidRPr="00EE41D1">
        <w:t xml:space="preserve"> </w:t>
      </w:r>
      <w:r w:rsidR="00CC2474" w:rsidRPr="00EE41D1">
        <w:rPr>
          <w:rFonts w:ascii="Times New Roman" w:hAnsi="Times New Roman" w:cs="Times New Roman"/>
          <w:sz w:val="16"/>
          <w:szCs w:val="16"/>
        </w:rPr>
        <w:t>reported IMF as the preferred substance</w:t>
      </w:r>
      <w:r w:rsidR="00CC2474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72F60B44" w14:textId="77777777" w:rsidR="00E15C0B" w:rsidRDefault="00E15C0B"/>
    <w:sectPr w:rsidR="00E15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1AA"/>
    <w:multiLevelType w:val="hybridMultilevel"/>
    <w:tmpl w:val="4784FA6C"/>
    <w:lvl w:ilvl="0" w:tplc="36C8E8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C4F1D"/>
    <w:multiLevelType w:val="hybridMultilevel"/>
    <w:tmpl w:val="7F4CF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10660">
    <w:abstractNumId w:val="1"/>
  </w:num>
  <w:num w:numId="2" w16cid:durableId="175639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1"/>
    <w:rsid w:val="00017CA3"/>
    <w:rsid w:val="00094F28"/>
    <w:rsid w:val="000D089B"/>
    <w:rsid w:val="0015629C"/>
    <w:rsid w:val="001630FB"/>
    <w:rsid w:val="001751CB"/>
    <w:rsid w:val="001A01E1"/>
    <w:rsid w:val="001B17E2"/>
    <w:rsid w:val="0021763A"/>
    <w:rsid w:val="002304DA"/>
    <w:rsid w:val="002605ED"/>
    <w:rsid w:val="00263625"/>
    <w:rsid w:val="002A1670"/>
    <w:rsid w:val="002D2B46"/>
    <w:rsid w:val="002D7D62"/>
    <w:rsid w:val="00355A2D"/>
    <w:rsid w:val="00370F86"/>
    <w:rsid w:val="0039384B"/>
    <w:rsid w:val="00401F9D"/>
    <w:rsid w:val="00430010"/>
    <w:rsid w:val="0043702F"/>
    <w:rsid w:val="00444A2D"/>
    <w:rsid w:val="0045588C"/>
    <w:rsid w:val="00472FA8"/>
    <w:rsid w:val="00481192"/>
    <w:rsid w:val="00496313"/>
    <w:rsid w:val="004D0847"/>
    <w:rsid w:val="004D1F25"/>
    <w:rsid w:val="00591009"/>
    <w:rsid w:val="0059705C"/>
    <w:rsid w:val="005A0981"/>
    <w:rsid w:val="005A6298"/>
    <w:rsid w:val="005B71DA"/>
    <w:rsid w:val="005F3FC4"/>
    <w:rsid w:val="00611FFA"/>
    <w:rsid w:val="00630C72"/>
    <w:rsid w:val="006571FF"/>
    <w:rsid w:val="00673901"/>
    <w:rsid w:val="006B560D"/>
    <w:rsid w:val="006E31F5"/>
    <w:rsid w:val="006E3A2E"/>
    <w:rsid w:val="00772DD1"/>
    <w:rsid w:val="008460A8"/>
    <w:rsid w:val="00860AA9"/>
    <w:rsid w:val="00905C92"/>
    <w:rsid w:val="00932C60"/>
    <w:rsid w:val="00957D24"/>
    <w:rsid w:val="00990749"/>
    <w:rsid w:val="009944E6"/>
    <w:rsid w:val="009A203C"/>
    <w:rsid w:val="00A02870"/>
    <w:rsid w:val="00A24130"/>
    <w:rsid w:val="00A27D3C"/>
    <w:rsid w:val="00A858E3"/>
    <w:rsid w:val="00A96E8E"/>
    <w:rsid w:val="00A977C5"/>
    <w:rsid w:val="00AC3AAA"/>
    <w:rsid w:val="00AE597B"/>
    <w:rsid w:val="00B47AC1"/>
    <w:rsid w:val="00B81483"/>
    <w:rsid w:val="00BD0229"/>
    <w:rsid w:val="00BF3B7D"/>
    <w:rsid w:val="00BF7F67"/>
    <w:rsid w:val="00C94C75"/>
    <w:rsid w:val="00CB54CA"/>
    <w:rsid w:val="00CC2474"/>
    <w:rsid w:val="00D274DA"/>
    <w:rsid w:val="00D54FB1"/>
    <w:rsid w:val="00DC24A5"/>
    <w:rsid w:val="00DC559E"/>
    <w:rsid w:val="00DE5788"/>
    <w:rsid w:val="00E15C0B"/>
    <w:rsid w:val="00E93E80"/>
    <w:rsid w:val="00EA3CD8"/>
    <w:rsid w:val="00F0081F"/>
    <w:rsid w:val="00F4261E"/>
    <w:rsid w:val="00F53D91"/>
    <w:rsid w:val="00F70A92"/>
    <w:rsid w:val="00FA586B"/>
    <w:rsid w:val="00FD19DA"/>
    <w:rsid w:val="00FE065E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6325"/>
  <w15:chartTrackingRefBased/>
  <w15:docId w15:val="{5A03FF38-B4F4-4CF4-A16B-AA6AEFD0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74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474"/>
    <w:pPr>
      <w:ind w:left="720"/>
      <w:contextualSpacing/>
    </w:pPr>
  </w:style>
  <w:style w:type="paragraph" w:styleId="Revision">
    <w:name w:val="Revision"/>
    <w:hidden/>
    <w:uiPriority w:val="99"/>
    <w:semiHidden/>
    <w:rsid w:val="0021763A"/>
    <w:pPr>
      <w:spacing w:after="0" w:line="240" w:lineRule="auto"/>
    </w:pPr>
    <w:rPr>
      <w:rFonts w:eastAsia="SimSun"/>
    </w:rPr>
  </w:style>
  <w:style w:type="paragraph" w:customStyle="1" w:styleId="Pa21">
    <w:name w:val="Pa2_1"/>
    <w:basedOn w:val="Normal"/>
    <w:next w:val="Normal"/>
    <w:uiPriority w:val="99"/>
    <w:rsid w:val="002D2B46"/>
    <w:pPr>
      <w:autoSpaceDE w:val="0"/>
      <w:autoSpaceDN w:val="0"/>
      <w:adjustRightInd w:val="0"/>
      <w:spacing w:after="0" w:line="161" w:lineRule="atLeast"/>
    </w:pPr>
    <w:rPr>
      <w:rFonts w:ascii="Myriad Pro" w:eastAsiaTheme="minorHAnsi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 Xinyi (CDC/DDNID/NCIPC/DOP)</dc:creator>
  <cp:keywords/>
  <dc:description/>
  <cp:lastModifiedBy>Jiang, Xinyi (CDC/NCIPC/DOP)</cp:lastModifiedBy>
  <cp:revision>94</cp:revision>
  <dcterms:created xsi:type="dcterms:W3CDTF">2023-04-06T15:52:00Z</dcterms:created>
  <dcterms:modified xsi:type="dcterms:W3CDTF">2024-06-14T22:16:00Z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2023-09-18T22:21:05Z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0100a757-8c12-4abc-8486-76f0601a5af7</vt:lpwstr>
  </property>
  <property fmtid="{D5CDD505-2E9C-101B-9397-08002B2CF9AE}" pid="8" name="MSIP_Label_8af03ff0-41c5-4c41-b55e-fabb8fae94be_ContentBits">
    <vt:lpwstr>0</vt:lpwstr>
  </property>
</Properties>
</file>