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DF7A" w14:textId="77777777" w:rsidR="00744A12" w:rsidRPr="009E2A3A" w:rsidRDefault="00744A12" w:rsidP="00744A12">
      <w:pPr>
        <w:spacing w:after="120"/>
        <w:rPr>
          <w:rFonts w:ascii="Arial" w:hAnsi="Arial" w:cs="Arial"/>
          <w:b/>
          <w:bCs/>
        </w:rPr>
      </w:pPr>
      <w:r>
        <w:rPr>
          <w:rFonts w:ascii="Arial" w:hAnsi="Arial" w:cs="Arial"/>
          <w:b/>
          <w:bCs/>
        </w:rPr>
        <w:t>Supporting Information</w:t>
      </w:r>
    </w:p>
    <w:p w14:paraId="7AB32C6D" w14:textId="77777777" w:rsidR="00744A12" w:rsidRPr="009E2A3A" w:rsidRDefault="00744A12" w:rsidP="00744A12">
      <w:pPr>
        <w:spacing w:afterLines="20" w:after="48"/>
        <w:rPr>
          <w:rFonts w:ascii="Arial" w:hAnsi="Arial" w:cs="Arial"/>
          <w:b/>
          <w:bCs/>
        </w:rPr>
      </w:pPr>
      <w:r>
        <w:rPr>
          <w:rFonts w:ascii="Arial" w:hAnsi="Arial" w:cs="Arial"/>
          <w:b/>
          <w:bCs/>
        </w:rPr>
        <w:t>File S1. Methods</w:t>
      </w:r>
    </w:p>
    <w:p w14:paraId="46BC3B06" w14:textId="77777777" w:rsidR="00744A12" w:rsidRPr="009E2A3A" w:rsidRDefault="00744A12" w:rsidP="00744A12">
      <w:pPr>
        <w:spacing w:after="120"/>
        <w:rPr>
          <w:rFonts w:ascii="Arial" w:hAnsi="Arial" w:cs="Arial"/>
          <w:i/>
          <w:iCs/>
        </w:rPr>
      </w:pPr>
      <w:r w:rsidRPr="009E2A3A">
        <w:rPr>
          <w:rFonts w:ascii="Arial" w:hAnsi="Arial" w:cs="Arial"/>
          <w:i/>
          <w:iCs/>
        </w:rPr>
        <w:t>Data Source</w:t>
      </w:r>
    </w:p>
    <w:p w14:paraId="3E311E89" w14:textId="77777777" w:rsidR="00744A12" w:rsidRPr="009E2A3A" w:rsidRDefault="00744A12" w:rsidP="00744A12">
      <w:pPr>
        <w:spacing w:after="120"/>
        <w:rPr>
          <w:rFonts w:ascii="Arial" w:hAnsi="Arial" w:cs="Arial"/>
        </w:rPr>
      </w:pPr>
      <w:r w:rsidRPr="009E2A3A">
        <w:rPr>
          <w:rFonts w:ascii="Arial" w:hAnsi="Arial" w:cs="Arial"/>
        </w:rPr>
        <w:t xml:space="preserve">We used the </w:t>
      </w:r>
      <w:proofErr w:type="spellStart"/>
      <w:r w:rsidRPr="009E2A3A">
        <w:rPr>
          <w:rFonts w:ascii="Arial" w:hAnsi="Arial" w:cs="Arial"/>
        </w:rPr>
        <w:t>HealthVerity</w:t>
      </w:r>
      <w:proofErr w:type="spellEnd"/>
      <w:r w:rsidRPr="009E2A3A">
        <w:rPr>
          <w:rFonts w:ascii="Arial" w:hAnsi="Arial" w:cs="Arial"/>
        </w:rPr>
        <w:t xml:space="preserve">, Inc. 2022 Quarter 4, Maternal Outcomes </w:t>
      </w:r>
      <w:proofErr w:type="spellStart"/>
      <w:r w:rsidRPr="009E2A3A">
        <w:rPr>
          <w:rFonts w:ascii="Arial" w:hAnsi="Arial" w:cs="Arial"/>
        </w:rPr>
        <w:t>Masterset</w:t>
      </w:r>
      <w:proofErr w:type="spellEnd"/>
      <w:r w:rsidRPr="009E2A3A">
        <w:rPr>
          <w:rFonts w:ascii="Arial" w:hAnsi="Arial" w:cs="Arial"/>
        </w:rPr>
        <w:t xml:space="preserve"> (MOM) data</w:t>
      </w:r>
      <w:r w:rsidRPr="009E2A3A">
        <w:rPr>
          <w:rFonts w:ascii="Arial" w:hAnsi="Arial" w:cs="Arial"/>
          <w:vertAlign w:val="superscript"/>
        </w:rPr>
        <w:t>1</w:t>
      </w:r>
      <w:r w:rsidRPr="009E2A3A">
        <w:rPr>
          <w:rFonts w:ascii="Arial" w:hAnsi="Arial" w:cs="Arial"/>
        </w:rPr>
        <w:t xml:space="preserve">, which contains de-identified </w:t>
      </w:r>
      <w:proofErr w:type="gramStart"/>
      <w:r w:rsidRPr="009E2A3A">
        <w:rPr>
          <w:rFonts w:ascii="Arial" w:hAnsi="Arial" w:cs="Arial"/>
        </w:rPr>
        <w:t>medical</w:t>
      </w:r>
      <w:proofErr w:type="gramEnd"/>
      <w:r w:rsidRPr="009E2A3A">
        <w:rPr>
          <w:rFonts w:ascii="Arial" w:hAnsi="Arial" w:cs="Arial"/>
        </w:rPr>
        <w:t xml:space="preserve"> and pharmacy closed claims data and laboratory data from &gt;8 million adults (linked with 1.8 million infants) covered by commercial or Medicaid insurance, from December 2018 through December 2022. This use of de-identified dataset does not require institutional review board approval.</w:t>
      </w:r>
    </w:p>
    <w:p w14:paraId="7D6D40F0" w14:textId="77777777" w:rsidR="00744A12" w:rsidRPr="009E2A3A" w:rsidRDefault="00744A12" w:rsidP="00744A12">
      <w:pPr>
        <w:spacing w:after="120"/>
        <w:rPr>
          <w:rFonts w:ascii="Arial" w:hAnsi="Arial" w:cs="Arial"/>
          <w:i/>
          <w:iCs/>
        </w:rPr>
      </w:pPr>
      <w:r w:rsidRPr="009E2A3A">
        <w:rPr>
          <w:rFonts w:ascii="Arial" w:hAnsi="Arial" w:cs="Arial"/>
          <w:i/>
          <w:iCs/>
        </w:rPr>
        <w:t>Study Population, Pregnancy Identification Algorithm, and Study Definitions</w:t>
      </w:r>
    </w:p>
    <w:p w14:paraId="636128DA" w14:textId="77777777" w:rsidR="00744A12" w:rsidRPr="009E2A3A" w:rsidRDefault="00744A12" w:rsidP="00744A12">
      <w:pPr>
        <w:spacing w:after="120"/>
        <w:rPr>
          <w:rFonts w:ascii="Arial" w:hAnsi="Arial" w:cs="Arial"/>
        </w:rPr>
      </w:pPr>
      <w:r w:rsidRPr="009E2A3A">
        <w:rPr>
          <w:rFonts w:ascii="Arial" w:hAnsi="Arial" w:cs="Arial"/>
        </w:rPr>
        <w:t>The study population consisted of pregnant persons with a documented live birth as a pregnancy outcome; not all patient records include pregnancy outcomes. We identified pregnancies resulting in a live birth through delivery codes associated with birth outcome codes (e.g., live birth, stillbirth, ectopic pregnancy, abortion) (</w:t>
      </w:r>
      <w:r w:rsidRPr="009E2A3A">
        <w:rPr>
          <w:rFonts w:ascii="Arial" w:hAnsi="Arial" w:cs="Arial"/>
          <w:b/>
          <w:bCs/>
        </w:rPr>
        <w:t>Table</w:t>
      </w:r>
      <w:r>
        <w:rPr>
          <w:rFonts w:ascii="Arial" w:hAnsi="Arial" w:cs="Arial"/>
          <w:b/>
          <w:bCs/>
        </w:rPr>
        <w:t xml:space="preserve"> S1</w:t>
      </w:r>
      <w:r w:rsidRPr="009E2A3A">
        <w:rPr>
          <w:rFonts w:ascii="Arial" w:hAnsi="Arial" w:cs="Arial"/>
        </w:rPr>
        <w:t xml:space="preserve">). </w:t>
      </w:r>
    </w:p>
    <w:p w14:paraId="2169222B" w14:textId="77777777" w:rsidR="00744A12" w:rsidRPr="009E2A3A" w:rsidRDefault="00744A12" w:rsidP="00744A12">
      <w:pPr>
        <w:spacing w:after="120"/>
        <w:rPr>
          <w:rFonts w:ascii="Arial" w:hAnsi="Arial" w:cs="Arial"/>
        </w:rPr>
      </w:pPr>
      <w:r w:rsidRPr="009E2A3A">
        <w:rPr>
          <w:rFonts w:ascii="Arial" w:hAnsi="Arial" w:cs="Arial"/>
        </w:rPr>
        <w:t xml:space="preserve">The pregnancy identification algorithm was adapted from Moll et al. (2021) and </w:t>
      </w:r>
      <w:proofErr w:type="spellStart"/>
      <w:r w:rsidRPr="009E2A3A">
        <w:rPr>
          <w:rFonts w:ascii="Arial" w:hAnsi="Arial" w:cs="Arial"/>
        </w:rPr>
        <w:t>Naleway</w:t>
      </w:r>
      <w:proofErr w:type="spellEnd"/>
      <w:r w:rsidRPr="009E2A3A">
        <w:rPr>
          <w:rFonts w:ascii="Arial" w:hAnsi="Arial" w:cs="Arial"/>
        </w:rPr>
        <w:t xml:space="preserve"> et al (2021) using the endpoints and outcomes identified. Because this paper focuses on live births, we provided the codes in this appendix. For other outcomes, please refer to the supplemental material files in Moll et al. (2021)</w:t>
      </w:r>
      <w:r w:rsidRPr="009E2A3A">
        <w:rPr>
          <w:rFonts w:ascii="Arial" w:hAnsi="Arial" w:cs="Arial"/>
          <w:vertAlign w:val="superscript"/>
        </w:rPr>
        <w:t>2,3</w:t>
      </w:r>
      <w:r w:rsidRPr="009E2A3A">
        <w:rPr>
          <w:rFonts w:ascii="Arial" w:hAnsi="Arial" w:cs="Arial"/>
        </w:rPr>
        <w:t>. The main difference between this and other papers is the inclusion of gestational age-related codes in weeks Z3A.xx; these codes are given higher priority than trimester-related codes. This is because these are gestational age-related codes in weeks. The frequency of visit, according to the American Academy of Pediatrics, is one visit every 4 weeks until week 28, every 2 weeks until week 36, and weekly until delivery</w:t>
      </w:r>
      <w:r w:rsidRPr="009E2A3A">
        <w:rPr>
          <w:rFonts w:ascii="Arial" w:hAnsi="Arial" w:cs="Arial"/>
          <w:vertAlign w:val="superscript"/>
        </w:rPr>
        <w:t>4</w:t>
      </w:r>
      <w:r w:rsidRPr="009E2A3A">
        <w:rPr>
          <w:rFonts w:ascii="Arial" w:hAnsi="Arial" w:cs="Arial"/>
        </w:rPr>
        <w:t xml:space="preserve">. Also, because the MOM dataset from </w:t>
      </w:r>
      <w:proofErr w:type="spellStart"/>
      <w:r w:rsidRPr="009E2A3A">
        <w:rPr>
          <w:rFonts w:ascii="Arial" w:hAnsi="Arial" w:cs="Arial"/>
        </w:rPr>
        <w:t>HealthVerity</w:t>
      </w:r>
      <w:proofErr w:type="spellEnd"/>
      <w:r w:rsidRPr="009E2A3A">
        <w:rPr>
          <w:rFonts w:ascii="Arial" w:hAnsi="Arial" w:cs="Arial"/>
        </w:rPr>
        <w:t xml:space="preserve"> is a closed claim system, it is likely gestational age-related codes would be captured. If these weekly gestational age codes are not found, we continue with the procedure outlined in Moll et al. (2021) using the spacing requirements and validating for conflicting outcomes within and outside every pregnancy episode for every patient. </w:t>
      </w:r>
    </w:p>
    <w:p w14:paraId="59507F78" w14:textId="77777777" w:rsidR="00744A12" w:rsidRPr="009E2A3A" w:rsidRDefault="00744A12" w:rsidP="00744A12">
      <w:pPr>
        <w:spacing w:after="120"/>
        <w:rPr>
          <w:rFonts w:ascii="Arial" w:hAnsi="Arial" w:cs="Arial"/>
        </w:rPr>
      </w:pPr>
      <w:r w:rsidRPr="009E2A3A">
        <w:rPr>
          <w:rFonts w:ascii="Arial" w:hAnsi="Arial" w:cs="Arial"/>
        </w:rPr>
        <w:t>We estimated the delivery date using the index date for the live birth and the start of the pregnancy using weekly gestational age-related codes when available (ICD-10-CM, Z3A.XX)</w:t>
      </w:r>
      <w:r w:rsidRPr="009E2A3A">
        <w:rPr>
          <w:rFonts w:ascii="Arial" w:hAnsi="Arial" w:cs="Arial"/>
          <w:vertAlign w:val="superscript"/>
        </w:rPr>
        <w:t>2</w:t>
      </w:r>
      <w:r w:rsidRPr="009E2A3A">
        <w:rPr>
          <w:rFonts w:ascii="Arial" w:hAnsi="Arial" w:cs="Arial"/>
        </w:rPr>
        <w:t>. When weekly gestational age codes were not available, we used the midpoint of the trimester gestational age code. When there was no gestational age-related code, we used an estimate of the maximum and minimum prenatal term, looking at plausibility of the pregnancy as previously done</w:t>
      </w:r>
      <w:r w:rsidRPr="009E2A3A">
        <w:rPr>
          <w:rFonts w:ascii="Arial" w:hAnsi="Arial" w:cs="Arial"/>
          <w:vertAlign w:val="superscript"/>
        </w:rPr>
        <w:t>2</w:t>
      </w:r>
      <w:r w:rsidRPr="009E2A3A">
        <w:rPr>
          <w:rFonts w:ascii="Arial" w:hAnsi="Arial" w:cs="Arial"/>
        </w:rPr>
        <w:t>. This adapted algorithm implements spacing requirements between subsequent pregnancies</w:t>
      </w:r>
      <w:r w:rsidRPr="009E2A3A">
        <w:rPr>
          <w:rFonts w:ascii="Arial" w:hAnsi="Arial" w:cs="Arial"/>
          <w:vertAlign w:val="superscript"/>
        </w:rPr>
        <w:t>2,3</w:t>
      </w:r>
      <w:r w:rsidRPr="009E2A3A">
        <w:rPr>
          <w:rFonts w:ascii="Arial" w:hAnsi="Arial" w:cs="Arial"/>
        </w:rPr>
        <w:t xml:space="preserve">. We divided pregnancy into first (gestational age of 0–12 weeks), second (gestational age of 13–26 weeks), and third trimesters (gestational age starting at week 27). </w:t>
      </w:r>
    </w:p>
    <w:p w14:paraId="0037131D" w14:textId="08B3BCD4" w:rsidR="00744A12" w:rsidRPr="009E2A3A" w:rsidRDefault="00744A12" w:rsidP="00744A12">
      <w:pPr>
        <w:spacing w:after="120"/>
        <w:rPr>
          <w:rFonts w:ascii="Arial" w:hAnsi="Arial" w:cs="Arial"/>
        </w:rPr>
      </w:pPr>
      <w:r w:rsidRPr="009E2A3A">
        <w:rPr>
          <w:rFonts w:ascii="Arial" w:hAnsi="Arial" w:cs="Arial"/>
        </w:rPr>
        <w:t xml:space="preserve">We also looked the number of linked live births since 2018 and categorized pregnant persons as having 0, 1, or ≥2 linked live births. These data are sent to data users with the linkages between pregnant </w:t>
      </w:r>
      <w:r w:rsidRPr="0B50AED1">
        <w:rPr>
          <w:rFonts w:ascii="Arial" w:hAnsi="Arial" w:cs="Arial"/>
        </w:rPr>
        <w:t xml:space="preserve">persons </w:t>
      </w:r>
      <w:r w:rsidRPr="009E2A3A">
        <w:rPr>
          <w:rFonts w:ascii="Arial" w:hAnsi="Arial" w:cs="Arial"/>
        </w:rPr>
        <w:t xml:space="preserve">and their infants already established by the data supplier. Not all live births associated with pregnant persons are included in the </w:t>
      </w:r>
      <w:proofErr w:type="spellStart"/>
      <w:r w:rsidRPr="009E2A3A">
        <w:rPr>
          <w:rFonts w:ascii="Arial" w:hAnsi="Arial" w:cs="Arial"/>
        </w:rPr>
        <w:t>HealthVerity</w:t>
      </w:r>
      <w:proofErr w:type="spellEnd"/>
      <w:r w:rsidRPr="009E2A3A">
        <w:rPr>
          <w:rFonts w:ascii="Arial" w:hAnsi="Arial" w:cs="Arial"/>
        </w:rPr>
        <w:t xml:space="preserve"> MOM dataset. Pregnant </w:t>
      </w:r>
      <w:r w:rsidRPr="0B50AED1">
        <w:rPr>
          <w:rFonts w:ascii="Arial" w:hAnsi="Arial" w:cs="Arial"/>
        </w:rPr>
        <w:t xml:space="preserve">persons </w:t>
      </w:r>
      <w:r w:rsidRPr="009E2A3A">
        <w:rPr>
          <w:rFonts w:ascii="Arial" w:hAnsi="Arial" w:cs="Arial"/>
        </w:rPr>
        <w:t xml:space="preserve">and infants are identified using an algorithm, and not all infants will be covered under the same health insurance plan as the pregnant </w:t>
      </w:r>
      <w:r w:rsidRPr="0B50AED1">
        <w:rPr>
          <w:rFonts w:ascii="Arial" w:hAnsi="Arial" w:cs="Arial"/>
        </w:rPr>
        <w:t>person.</w:t>
      </w:r>
      <w:r w:rsidRPr="009E2A3A">
        <w:rPr>
          <w:rFonts w:ascii="Arial" w:hAnsi="Arial" w:cs="Arial"/>
        </w:rPr>
        <w:t xml:space="preserve"> Challenges with linking pregnant </w:t>
      </w:r>
      <w:r w:rsidRPr="0B50AED1">
        <w:rPr>
          <w:rFonts w:ascii="Arial" w:hAnsi="Arial" w:cs="Arial"/>
        </w:rPr>
        <w:t>persons</w:t>
      </w:r>
      <w:r w:rsidRPr="009E2A3A">
        <w:rPr>
          <w:rFonts w:ascii="Arial" w:hAnsi="Arial" w:cs="Arial"/>
        </w:rPr>
        <w:t xml:space="preserve"> and their infants include using claims data that are collected primarily for administrative purposes, potential coding errors, and availability </w:t>
      </w:r>
      <w:r w:rsidRPr="009E2A3A">
        <w:rPr>
          <w:rFonts w:ascii="Arial" w:hAnsi="Arial" w:cs="Arial"/>
        </w:rPr>
        <w:lastRenderedPageBreak/>
        <w:t xml:space="preserve">and completeness of variables used to create the linkage between pregnant </w:t>
      </w:r>
      <w:r w:rsidRPr="0B50AED1">
        <w:rPr>
          <w:rFonts w:ascii="Arial" w:hAnsi="Arial" w:cs="Arial"/>
        </w:rPr>
        <w:t xml:space="preserve">persons </w:t>
      </w:r>
      <w:r w:rsidRPr="009E2A3A">
        <w:rPr>
          <w:rFonts w:ascii="Arial" w:hAnsi="Arial" w:cs="Arial"/>
        </w:rPr>
        <w:t xml:space="preserve">and their newborns. Among all pregnancies in the </w:t>
      </w:r>
      <w:proofErr w:type="spellStart"/>
      <w:r w:rsidRPr="009E2A3A">
        <w:rPr>
          <w:rFonts w:ascii="Arial" w:hAnsi="Arial" w:cs="Arial"/>
        </w:rPr>
        <w:t>HealthVerity</w:t>
      </w:r>
      <w:proofErr w:type="spellEnd"/>
      <w:r w:rsidRPr="009E2A3A">
        <w:rPr>
          <w:rFonts w:ascii="Arial" w:hAnsi="Arial" w:cs="Arial"/>
        </w:rPr>
        <w:t xml:space="preserve"> MOM dataset, ~40% could be linked to a live birth. </w:t>
      </w:r>
    </w:p>
    <w:p w14:paraId="5BE4DDF4" w14:textId="77777777" w:rsidR="00744A12" w:rsidRPr="009E2A3A" w:rsidRDefault="00744A12" w:rsidP="00744A12">
      <w:pPr>
        <w:spacing w:after="120"/>
        <w:rPr>
          <w:rFonts w:ascii="Arial" w:hAnsi="Arial" w:cs="Arial"/>
        </w:rPr>
      </w:pPr>
      <w:r w:rsidRPr="009E2A3A">
        <w:rPr>
          <w:rFonts w:ascii="Arial" w:hAnsi="Arial" w:cs="Arial"/>
        </w:rPr>
        <w:t>We identified CMV diagnosis among pregnant persons using the International Classification of Diseases, Tenth Revision (ICD-10) diagnostic code for CMV disease (B25.xx) or a positive CMV laboratory test (polymerase chain reaction, culture, IgM, or IgG seroconversion) during pregnancy. Positive CMV IgM results may also occur with reinfection or reactivation.</w:t>
      </w:r>
      <w:r w:rsidRPr="009E2A3A">
        <w:rPr>
          <w:rStyle w:val="normaltextrun"/>
          <w:rFonts w:ascii="Arial" w:hAnsi="Arial" w:cs="Arial"/>
          <w:color w:val="498205"/>
          <w:u w:val="single"/>
          <w:shd w:val="clear" w:color="auto" w:fill="FFFFFF"/>
        </w:rPr>
        <w:t xml:space="preserve"> </w:t>
      </w:r>
      <w:r w:rsidRPr="009E2A3A">
        <w:rPr>
          <w:rFonts w:ascii="Arial" w:hAnsi="Arial" w:cs="Arial"/>
        </w:rPr>
        <w:t xml:space="preserve">We used a text string search for “cytomegalovirus” or “CMV” in the variables “test ordered” and “result name” to identify CMV laboratory tests. We defined seroconversion as one negative CMV IgG test followed by a positive CMV IgG test separated by ≤100 days. </w:t>
      </w:r>
    </w:p>
    <w:p w14:paraId="7623D01A" w14:textId="77777777" w:rsidR="00744A12" w:rsidRPr="009E2A3A" w:rsidRDefault="00744A12" w:rsidP="00744A12">
      <w:pPr>
        <w:spacing w:after="120"/>
        <w:rPr>
          <w:rFonts w:ascii="Arial" w:hAnsi="Arial" w:cs="Arial"/>
        </w:rPr>
      </w:pPr>
      <w:r w:rsidRPr="009E2A3A">
        <w:rPr>
          <w:rFonts w:ascii="Arial" w:hAnsi="Arial" w:cs="Arial"/>
        </w:rPr>
        <w:t>We identified immunocompromising conditions using diagnostic codes for immunity disorder, organ transplant or complications from organ transplant, or human immunodeficiency virus (HIV) infection according to the Healthcare Cost and Utilization Project’s Clinical Classifications Software (CSSR) categorization</w:t>
      </w:r>
      <w:r w:rsidRPr="009E2A3A">
        <w:rPr>
          <w:rFonts w:ascii="Arial" w:hAnsi="Arial" w:cs="Arial"/>
          <w:vertAlign w:val="superscript"/>
        </w:rPr>
        <w:t>5</w:t>
      </w:r>
      <w:r w:rsidRPr="009E2A3A">
        <w:rPr>
          <w:rFonts w:ascii="Arial" w:hAnsi="Arial" w:cs="Arial"/>
        </w:rPr>
        <w:t>. We also identified ICD-10-CM diagnostic codes for herpes simplex virus (HSV) and varicella zoster virus (VZV) infections that could explain the use of antivirals (</w:t>
      </w:r>
      <w:r w:rsidRPr="009E2A3A">
        <w:rPr>
          <w:rFonts w:ascii="Arial" w:hAnsi="Arial" w:cs="Arial"/>
          <w:b/>
          <w:bCs/>
        </w:rPr>
        <w:t>Table</w:t>
      </w:r>
      <w:r>
        <w:rPr>
          <w:rFonts w:ascii="Arial" w:hAnsi="Arial" w:cs="Arial"/>
          <w:b/>
          <w:bCs/>
        </w:rPr>
        <w:t xml:space="preserve"> S1</w:t>
      </w:r>
      <w:r w:rsidRPr="009E2A3A">
        <w:rPr>
          <w:rFonts w:ascii="Arial" w:hAnsi="Arial" w:cs="Arial"/>
        </w:rPr>
        <w:t xml:space="preserve">). </w:t>
      </w:r>
    </w:p>
    <w:p w14:paraId="56F36457" w14:textId="77777777" w:rsidR="00744A12" w:rsidRPr="009E2A3A" w:rsidRDefault="00744A12" w:rsidP="00744A12">
      <w:pPr>
        <w:spacing w:after="120"/>
        <w:rPr>
          <w:rFonts w:ascii="Arial" w:hAnsi="Arial" w:cs="Arial"/>
        </w:rPr>
      </w:pPr>
      <w:r w:rsidRPr="009E2A3A">
        <w:rPr>
          <w:rFonts w:ascii="Arial" w:hAnsi="Arial" w:cs="Arial"/>
        </w:rPr>
        <w:t>We used codes from the National Drug Code Directory to assess dispensed pharmacy claims for acyclovir, valacyclovir, or famciclovir, after CMV diagnoses or anytime during pregnancy for those without CMV diagnoses. Among linked live births, we used ICD-10-CM diagnostic codes for congenital CMV infection (P35.1) or CMV disease (B25.xx) within 45 days of birth to identify congenital CMV</w:t>
      </w:r>
      <w:r w:rsidRPr="009E2A3A">
        <w:rPr>
          <w:rFonts w:ascii="Arial" w:hAnsi="Arial" w:cs="Arial"/>
          <w:vertAlign w:val="superscript"/>
        </w:rPr>
        <w:t>6</w:t>
      </w:r>
      <w:r w:rsidRPr="009E2A3A">
        <w:rPr>
          <w:rFonts w:ascii="Arial" w:hAnsi="Arial" w:cs="Arial"/>
        </w:rPr>
        <w:t xml:space="preserve">. </w:t>
      </w:r>
    </w:p>
    <w:p w14:paraId="525D30DA" w14:textId="77777777" w:rsidR="00744A12" w:rsidRPr="009E2A3A" w:rsidRDefault="00744A12" w:rsidP="00744A12">
      <w:pPr>
        <w:spacing w:after="120"/>
        <w:rPr>
          <w:rFonts w:ascii="Arial" w:hAnsi="Arial" w:cs="Arial"/>
          <w:i/>
          <w:iCs/>
        </w:rPr>
      </w:pPr>
      <w:r w:rsidRPr="009E2A3A">
        <w:rPr>
          <w:rFonts w:ascii="Arial" w:hAnsi="Arial" w:cs="Arial"/>
          <w:i/>
          <w:iCs/>
        </w:rPr>
        <w:t xml:space="preserve">Analyses </w:t>
      </w:r>
    </w:p>
    <w:p w14:paraId="5C27ED77" w14:textId="77777777" w:rsidR="00744A12" w:rsidRPr="009E2A3A" w:rsidRDefault="00744A12" w:rsidP="00744A12">
      <w:pPr>
        <w:spacing w:after="120"/>
        <w:rPr>
          <w:rFonts w:ascii="Arial" w:hAnsi="Arial" w:cs="Arial"/>
        </w:rPr>
      </w:pPr>
      <w:r w:rsidRPr="009E2A3A">
        <w:rPr>
          <w:rFonts w:ascii="Arial" w:hAnsi="Arial" w:cs="Arial"/>
        </w:rPr>
        <w:t xml:space="preserve">We describe medical history (immunocompromising conditions, other herpes virus infections) and antiviral treatment among pregnant persons with and without CMV diagnoses. There were persons with &gt;1 pregnancy with a live birth, thus, we also describe pregnancies by period, medical history, CMV diagnoses, and antiviral treatment. We examined characteristics of antiviral treatment among pregnancies with and without CMV diagnoses, including type, dosage, duration, and gestational week when first dispensed. Among pregnancies with CMV diagnoses and a linked live birth, we assessed the proportion of live births with congenital CMV. We performed analyses using Databricks (version 9.1 LTS, Databricks, Inc.), which included Spark (version 3.1.2, Apache Software Foundation) and Python (version 3.8, Python Software Foundation). </w:t>
      </w:r>
    </w:p>
    <w:p w14:paraId="02CDD902" w14:textId="1B67EBA8" w:rsidR="00744A12" w:rsidRDefault="00744A12">
      <w:pPr>
        <w:spacing w:after="160" w:line="259" w:lineRule="auto"/>
        <w:rPr>
          <w:rFonts w:ascii="Arial" w:hAnsi="Arial" w:cs="Arial"/>
        </w:rPr>
      </w:pPr>
      <w:r>
        <w:rPr>
          <w:rFonts w:ascii="Arial" w:hAnsi="Arial" w:cs="Arial"/>
        </w:rPr>
        <w:br w:type="page"/>
      </w:r>
    </w:p>
    <w:p w14:paraId="2E0ACEFC" w14:textId="77777777" w:rsidR="00744A12" w:rsidRPr="009E2A3A" w:rsidRDefault="00744A12" w:rsidP="00744A12">
      <w:pPr>
        <w:spacing w:after="160" w:line="259" w:lineRule="auto"/>
        <w:rPr>
          <w:rFonts w:ascii="Arial" w:hAnsi="Arial" w:cs="Arial"/>
          <w:b/>
          <w:bCs/>
        </w:rPr>
      </w:pPr>
      <w:r w:rsidRPr="009E2A3A">
        <w:rPr>
          <w:rFonts w:ascii="Arial" w:hAnsi="Arial" w:cs="Arial"/>
          <w:b/>
          <w:bCs/>
        </w:rPr>
        <w:t>Table</w:t>
      </w:r>
      <w:r>
        <w:rPr>
          <w:rFonts w:ascii="Arial" w:hAnsi="Arial" w:cs="Arial"/>
          <w:b/>
          <w:bCs/>
        </w:rPr>
        <w:t xml:space="preserve"> S1</w:t>
      </w:r>
    </w:p>
    <w:tbl>
      <w:tblPr>
        <w:tblStyle w:val="TableGrid"/>
        <w:tblW w:w="9985" w:type="dxa"/>
        <w:tblLook w:val="04A0" w:firstRow="1" w:lastRow="0" w:firstColumn="1" w:lastColumn="0" w:noHBand="0" w:noVBand="1"/>
      </w:tblPr>
      <w:tblGrid>
        <w:gridCol w:w="4585"/>
        <w:gridCol w:w="5400"/>
      </w:tblGrid>
      <w:tr w:rsidR="00744A12" w:rsidRPr="00D542EE" w14:paraId="4E847D28" w14:textId="77777777" w:rsidTr="00557DDD">
        <w:tc>
          <w:tcPr>
            <w:tcW w:w="4585" w:type="dxa"/>
          </w:tcPr>
          <w:p w14:paraId="6FB3684C" w14:textId="77777777" w:rsidR="00744A12" w:rsidRPr="009E2A3A" w:rsidRDefault="00744A12" w:rsidP="00557DDD">
            <w:pPr>
              <w:rPr>
                <w:rFonts w:ascii="Arial" w:hAnsi="Arial" w:cs="Arial"/>
                <w:b/>
                <w:bCs/>
              </w:rPr>
            </w:pPr>
            <w:r w:rsidRPr="009E2A3A">
              <w:rPr>
                <w:rFonts w:ascii="Arial" w:hAnsi="Arial" w:cs="Arial"/>
                <w:b/>
                <w:bCs/>
              </w:rPr>
              <w:t>Code</w:t>
            </w:r>
          </w:p>
        </w:tc>
        <w:tc>
          <w:tcPr>
            <w:tcW w:w="5400" w:type="dxa"/>
          </w:tcPr>
          <w:p w14:paraId="50B518C7" w14:textId="77777777" w:rsidR="00744A12" w:rsidRPr="009E2A3A" w:rsidRDefault="00744A12" w:rsidP="00557DDD">
            <w:pPr>
              <w:rPr>
                <w:rFonts w:ascii="Arial" w:hAnsi="Arial" w:cs="Arial"/>
                <w:b/>
                <w:bCs/>
              </w:rPr>
            </w:pPr>
            <w:r w:rsidRPr="009E2A3A">
              <w:rPr>
                <w:rFonts w:ascii="Arial" w:hAnsi="Arial" w:cs="Arial"/>
                <w:b/>
                <w:bCs/>
              </w:rPr>
              <w:t xml:space="preserve">Code description/note </w:t>
            </w:r>
          </w:p>
        </w:tc>
      </w:tr>
      <w:tr w:rsidR="00744A12" w:rsidRPr="00D542EE" w14:paraId="3A9463FD" w14:textId="77777777" w:rsidTr="00557DDD">
        <w:tc>
          <w:tcPr>
            <w:tcW w:w="4585" w:type="dxa"/>
          </w:tcPr>
          <w:p w14:paraId="4BC252D4" w14:textId="77777777" w:rsidR="00744A12" w:rsidRPr="009E2A3A" w:rsidRDefault="00744A12" w:rsidP="00557DDD">
            <w:pPr>
              <w:rPr>
                <w:rFonts w:ascii="Arial" w:hAnsi="Arial" w:cs="Arial"/>
                <w:b/>
                <w:bCs/>
                <w:i/>
                <w:iCs/>
              </w:rPr>
            </w:pPr>
            <w:r w:rsidRPr="009E2A3A">
              <w:rPr>
                <w:rFonts w:ascii="Arial" w:hAnsi="Arial" w:cs="Arial"/>
                <w:b/>
                <w:bCs/>
                <w:i/>
                <w:iCs/>
              </w:rPr>
              <w:t>Pregnancy</w:t>
            </w:r>
          </w:p>
        </w:tc>
        <w:tc>
          <w:tcPr>
            <w:tcW w:w="5400" w:type="dxa"/>
          </w:tcPr>
          <w:p w14:paraId="78F06D0C" w14:textId="77777777" w:rsidR="00744A12" w:rsidRPr="009E2A3A" w:rsidRDefault="00744A12" w:rsidP="00557DDD">
            <w:pPr>
              <w:rPr>
                <w:rFonts w:ascii="Arial" w:hAnsi="Arial" w:cs="Arial"/>
              </w:rPr>
            </w:pPr>
          </w:p>
        </w:tc>
      </w:tr>
      <w:tr w:rsidR="00744A12" w:rsidRPr="00D542EE" w14:paraId="7765F6EF" w14:textId="77777777" w:rsidTr="00557DDD">
        <w:tc>
          <w:tcPr>
            <w:tcW w:w="4585" w:type="dxa"/>
          </w:tcPr>
          <w:p w14:paraId="69CCB9D9" w14:textId="77777777" w:rsidR="00744A12" w:rsidRPr="009E2A3A" w:rsidRDefault="00744A12" w:rsidP="00557DDD">
            <w:pPr>
              <w:rPr>
                <w:rFonts w:ascii="Arial" w:hAnsi="Arial" w:cs="Arial"/>
                <w:lang w:val="es-CO"/>
              </w:rPr>
            </w:pPr>
            <w:r w:rsidRPr="009E2A3A">
              <w:rPr>
                <w:rFonts w:ascii="Arial" w:hAnsi="Arial" w:cs="Arial"/>
                <w:lang w:val="es-CO"/>
              </w:rPr>
              <w:t>ICD-10-CM O75.82, O80, Z37.0, Z37.1, Z37.9</w:t>
            </w:r>
          </w:p>
        </w:tc>
        <w:tc>
          <w:tcPr>
            <w:tcW w:w="5400" w:type="dxa"/>
          </w:tcPr>
          <w:p w14:paraId="6E02AAF9" w14:textId="77777777" w:rsidR="00744A12" w:rsidRPr="009E2A3A" w:rsidRDefault="00744A12" w:rsidP="00557DDD">
            <w:pPr>
              <w:rPr>
                <w:rFonts w:ascii="Arial" w:hAnsi="Arial" w:cs="Arial"/>
              </w:rPr>
            </w:pPr>
            <w:r w:rsidRPr="009E2A3A">
              <w:rPr>
                <w:rFonts w:ascii="Arial" w:hAnsi="Arial" w:cs="Arial"/>
              </w:rPr>
              <w:t>Pregnancy endpoint, diagnosis code</w:t>
            </w:r>
          </w:p>
        </w:tc>
      </w:tr>
      <w:tr w:rsidR="00744A12" w:rsidRPr="00D542EE" w14:paraId="6107FFA3" w14:textId="77777777" w:rsidTr="00557DDD">
        <w:tc>
          <w:tcPr>
            <w:tcW w:w="4585" w:type="dxa"/>
          </w:tcPr>
          <w:p w14:paraId="1DBF1EFF" w14:textId="77777777" w:rsidR="00744A12" w:rsidRPr="009E2A3A" w:rsidRDefault="00744A12" w:rsidP="00557DDD">
            <w:pPr>
              <w:rPr>
                <w:rFonts w:ascii="Arial" w:hAnsi="Arial" w:cs="Arial"/>
                <w:lang w:val="es-CO"/>
              </w:rPr>
            </w:pPr>
            <w:r w:rsidRPr="009E2A3A">
              <w:rPr>
                <w:rFonts w:ascii="Arial" w:hAnsi="Arial" w:cs="Arial"/>
                <w:lang w:val="es-CO"/>
              </w:rPr>
              <w:t>ICD-10-PCS 10D00Z0, 10D00Z1, 10D00Z2, 10D07Z3, 10D07Z4, 10D07Z5, 10D07Z6, 10D07Z7, 10D07Z8, 10E0XZZ</w:t>
            </w:r>
          </w:p>
        </w:tc>
        <w:tc>
          <w:tcPr>
            <w:tcW w:w="5400" w:type="dxa"/>
          </w:tcPr>
          <w:p w14:paraId="4814CCF7" w14:textId="77777777" w:rsidR="00744A12" w:rsidRPr="009E2A3A" w:rsidRDefault="00744A12" w:rsidP="00557DDD">
            <w:pPr>
              <w:rPr>
                <w:rFonts w:ascii="Arial" w:hAnsi="Arial" w:cs="Arial"/>
              </w:rPr>
            </w:pPr>
            <w:r w:rsidRPr="009E2A3A">
              <w:rPr>
                <w:rFonts w:ascii="Arial" w:hAnsi="Arial" w:cs="Arial"/>
              </w:rPr>
              <w:t>Pregnancy endpoint, procedure codes</w:t>
            </w:r>
          </w:p>
        </w:tc>
      </w:tr>
      <w:tr w:rsidR="00744A12" w:rsidRPr="00D542EE" w14:paraId="5164F1C8" w14:textId="77777777" w:rsidTr="00557DDD">
        <w:tc>
          <w:tcPr>
            <w:tcW w:w="4585" w:type="dxa"/>
          </w:tcPr>
          <w:p w14:paraId="0AE6FD3D" w14:textId="77777777" w:rsidR="00744A12" w:rsidRPr="009E2A3A" w:rsidRDefault="00744A12" w:rsidP="00557DDD">
            <w:pPr>
              <w:rPr>
                <w:rFonts w:ascii="Arial" w:hAnsi="Arial" w:cs="Arial"/>
              </w:rPr>
            </w:pPr>
            <w:r w:rsidRPr="009E2A3A">
              <w:rPr>
                <w:rFonts w:ascii="Arial" w:hAnsi="Arial" w:cs="Arial"/>
              </w:rPr>
              <w:t xml:space="preserve">DRG </w:t>
            </w:r>
          </w:p>
          <w:p w14:paraId="5A8DCBA6" w14:textId="77777777" w:rsidR="00744A12" w:rsidRPr="009E2A3A" w:rsidRDefault="00744A12" w:rsidP="00557DDD">
            <w:pPr>
              <w:rPr>
                <w:rFonts w:ascii="Arial" w:hAnsi="Arial" w:cs="Arial"/>
              </w:rPr>
            </w:pPr>
            <w:r w:rsidRPr="009E2A3A">
              <w:rPr>
                <w:rFonts w:ascii="Arial" w:hAnsi="Arial" w:cs="Arial"/>
              </w:rPr>
              <w:lastRenderedPageBreak/>
              <w:t xml:space="preserve">765, 766, </w:t>
            </w:r>
            <w:proofErr w:type="gramStart"/>
            <w:r w:rsidRPr="009E2A3A">
              <w:rPr>
                <w:rFonts w:ascii="Arial" w:hAnsi="Arial" w:cs="Arial"/>
              </w:rPr>
              <w:t>767,  768</w:t>
            </w:r>
            <w:proofErr w:type="gramEnd"/>
            <w:r w:rsidRPr="009E2A3A">
              <w:rPr>
                <w:rFonts w:ascii="Arial" w:hAnsi="Arial" w:cs="Arial"/>
              </w:rPr>
              <w:t>, 774, 775, 783 , 784, 785, 786, 787, 788, 796, 797, 798, 805, 806, 807</w:t>
            </w:r>
          </w:p>
        </w:tc>
        <w:tc>
          <w:tcPr>
            <w:tcW w:w="5400" w:type="dxa"/>
          </w:tcPr>
          <w:p w14:paraId="0CCA8BE1" w14:textId="77777777" w:rsidR="00744A12" w:rsidRPr="009E2A3A" w:rsidRDefault="00744A12" w:rsidP="00557DDD">
            <w:pPr>
              <w:rPr>
                <w:rFonts w:ascii="Arial" w:hAnsi="Arial" w:cs="Arial"/>
              </w:rPr>
            </w:pPr>
            <w:r w:rsidRPr="009E2A3A">
              <w:rPr>
                <w:rFonts w:ascii="Arial" w:hAnsi="Arial" w:cs="Arial"/>
              </w:rPr>
              <w:lastRenderedPageBreak/>
              <w:t>Pregnancy endpoint, DRG codes</w:t>
            </w:r>
          </w:p>
        </w:tc>
      </w:tr>
      <w:tr w:rsidR="00744A12" w:rsidRPr="00D542EE" w14:paraId="55C89EDE" w14:textId="77777777" w:rsidTr="00557DDD">
        <w:tc>
          <w:tcPr>
            <w:tcW w:w="4585" w:type="dxa"/>
          </w:tcPr>
          <w:p w14:paraId="289C6498" w14:textId="77777777" w:rsidR="00744A12" w:rsidRPr="009E2A3A" w:rsidRDefault="00744A12" w:rsidP="00557DDD">
            <w:pPr>
              <w:rPr>
                <w:rFonts w:ascii="Arial" w:hAnsi="Arial" w:cs="Arial"/>
                <w:lang w:val="es-CO"/>
              </w:rPr>
            </w:pPr>
            <w:r w:rsidRPr="009E2A3A">
              <w:rPr>
                <w:rFonts w:ascii="Arial" w:hAnsi="Arial" w:cs="Arial"/>
                <w:lang w:val="es-CO"/>
              </w:rPr>
              <w:t>ICD-10</w:t>
            </w:r>
          </w:p>
          <w:p w14:paraId="12CBD404" w14:textId="77777777" w:rsidR="00744A12" w:rsidRPr="009E2A3A" w:rsidRDefault="00744A12" w:rsidP="00557DDD">
            <w:pPr>
              <w:rPr>
                <w:rFonts w:ascii="Arial" w:hAnsi="Arial" w:cs="Arial"/>
                <w:lang w:val="es-CO"/>
              </w:rPr>
            </w:pPr>
            <w:r w:rsidRPr="009E2A3A">
              <w:rPr>
                <w:rFonts w:ascii="Arial" w:hAnsi="Arial" w:cs="Arial"/>
                <w:lang w:val="es-CO"/>
              </w:rPr>
              <w:t>Z37.0, O80, Z37.5X, Z37.3, Z37.6X</w:t>
            </w:r>
          </w:p>
        </w:tc>
        <w:tc>
          <w:tcPr>
            <w:tcW w:w="5400" w:type="dxa"/>
          </w:tcPr>
          <w:p w14:paraId="30916B28" w14:textId="77777777" w:rsidR="00744A12" w:rsidRPr="009E2A3A" w:rsidRDefault="00744A12" w:rsidP="00557DDD">
            <w:pPr>
              <w:rPr>
                <w:rFonts w:ascii="Arial" w:hAnsi="Arial" w:cs="Arial"/>
              </w:rPr>
            </w:pPr>
            <w:r w:rsidRPr="009E2A3A">
              <w:rPr>
                <w:rFonts w:ascii="Arial" w:hAnsi="Arial" w:cs="Arial"/>
              </w:rPr>
              <w:t>Live birth outcome</w:t>
            </w:r>
          </w:p>
        </w:tc>
      </w:tr>
      <w:tr w:rsidR="00744A12" w:rsidRPr="00D542EE" w14:paraId="76E62298" w14:textId="77777777" w:rsidTr="00557DDD">
        <w:tc>
          <w:tcPr>
            <w:tcW w:w="4585" w:type="dxa"/>
          </w:tcPr>
          <w:p w14:paraId="0C83937A" w14:textId="77777777" w:rsidR="00744A12" w:rsidRPr="009E2A3A" w:rsidRDefault="00744A12" w:rsidP="00557DDD">
            <w:pPr>
              <w:rPr>
                <w:rFonts w:ascii="Arial" w:hAnsi="Arial" w:cs="Arial"/>
              </w:rPr>
            </w:pPr>
            <w:r w:rsidRPr="009E2A3A">
              <w:rPr>
                <w:rFonts w:ascii="Arial" w:hAnsi="Arial" w:cs="Arial"/>
              </w:rPr>
              <w:t>ICD-10-CM</w:t>
            </w:r>
          </w:p>
          <w:p w14:paraId="2EBD6738" w14:textId="77777777" w:rsidR="00744A12" w:rsidRPr="009E2A3A" w:rsidRDefault="00744A12" w:rsidP="00557DDD">
            <w:pPr>
              <w:rPr>
                <w:rFonts w:ascii="Arial" w:hAnsi="Arial" w:cs="Arial"/>
              </w:rPr>
            </w:pPr>
            <w:r w:rsidRPr="009E2A3A">
              <w:rPr>
                <w:rFonts w:ascii="Arial" w:hAnsi="Arial" w:cs="Arial"/>
              </w:rPr>
              <w:t>Z3A.XX</w:t>
            </w:r>
          </w:p>
        </w:tc>
        <w:tc>
          <w:tcPr>
            <w:tcW w:w="5400" w:type="dxa"/>
          </w:tcPr>
          <w:p w14:paraId="332D9627" w14:textId="77777777" w:rsidR="00744A12" w:rsidRPr="009E2A3A" w:rsidRDefault="00744A12" w:rsidP="00557DDD">
            <w:pPr>
              <w:rPr>
                <w:rFonts w:ascii="Arial" w:hAnsi="Arial" w:cs="Arial"/>
              </w:rPr>
            </w:pPr>
            <w:r w:rsidRPr="009E2A3A">
              <w:rPr>
                <w:rFonts w:ascii="Arial" w:hAnsi="Arial" w:cs="Arial"/>
              </w:rPr>
              <w:t>Gestational age codes in weeks, all the other remaining gestational age codes in trimester can be found in the supplementary file 1 from Moll et al</w:t>
            </w:r>
            <w:r w:rsidRPr="009E2A3A">
              <w:rPr>
                <w:rFonts w:ascii="Arial" w:hAnsi="Arial" w:cs="Arial"/>
                <w:vertAlign w:val="superscript"/>
              </w:rPr>
              <w:t>2</w:t>
            </w:r>
          </w:p>
        </w:tc>
      </w:tr>
      <w:tr w:rsidR="00744A12" w:rsidRPr="00D542EE" w14:paraId="597A874A" w14:textId="77777777" w:rsidTr="00557DDD">
        <w:tc>
          <w:tcPr>
            <w:tcW w:w="4585" w:type="dxa"/>
          </w:tcPr>
          <w:p w14:paraId="75CA058B" w14:textId="77777777" w:rsidR="00744A12" w:rsidRPr="009E2A3A" w:rsidRDefault="00744A12" w:rsidP="00557DDD">
            <w:pPr>
              <w:rPr>
                <w:rFonts w:ascii="Arial" w:hAnsi="Arial" w:cs="Arial"/>
                <w:b/>
                <w:bCs/>
                <w:i/>
                <w:iCs/>
              </w:rPr>
            </w:pPr>
            <w:r w:rsidRPr="009E2A3A">
              <w:rPr>
                <w:rFonts w:ascii="Arial" w:hAnsi="Arial" w:cs="Arial"/>
                <w:b/>
                <w:bCs/>
                <w:i/>
                <w:iCs/>
              </w:rPr>
              <w:t>CMV</w:t>
            </w:r>
          </w:p>
        </w:tc>
        <w:tc>
          <w:tcPr>
            <w:tcW w:w="5400" w:type="dxa"/>
          </w:tcPr>
          <w:p w14:paraId="6243AE17" w14:textId="77777777" w:rsidR="00744A12" w:rsidRPr="009E2A3A" w:rsidRDefault="00744A12" w:rsidP="00557DDD">
            <w:pPr>
              <w:rPr>
                <w:rFonts w:ascii="Arial" w:hAnsi="Arial" w:cs="Arial"/>
              </w:rPr>
            </w:pPr>
          </w:p>
        </w:tc>
      </w:tr>
      <w:tr w:rsidR="00744A12" w:rsidRPr="00D542EE" w14:paraId="52C4245D" w14:textId="77777777" w:rsidTr="00557DDD">
        <w:tc>
          <w:tcPr>
            <w:tcW w:w="4585" w:type="dxa"/>
          </w:tcPr>
          <w:p w14:paraId="4CA5010B" w14:textId="77777777" w:rsidR="00744A12" w:rsidRPr="009E2A3A" w:rsidRDefault="00744A12" w:rsidP="00557DDD">
            <w:pPr>
              <w:rPr>
                <w:rFonts w:ascii="Arial" w:hAnsi="Arial" w:cs="Arial"/>
              </w:rPr>
            </w:pPr>
            <w:r w:rsidRPr="009E2A3A">
              <w:rPr>
                <w:rFonts w:ascii="Arial" w:hAnsi="Arial" w:cs="Arial"/>
              </w:rPr>
              <w:t>ICD-10 P35.1</w:t>
            </w:r>
          </w:p>
        </w:tc>
        <w:tc>
          <w:tcPr>
            <w:tcW w:w="5400" w:type="dxa"/>
          </w:tcPr>
          <w:p w14:paraId="7125D0B2" w14:textId="77777777" w:rsidR="00744A12" w:rsidRPr="009E2A3A" w:rsidRDefault="00744A12" w:rsidP="00557DDD">
            <w:pPr>
              <w:rPr>
                <w:rFonts w:ascii="Arial" w:hAnsi="Arial" w:cs="Arial"/>
              </w:rPr>
            </w:pPr>
            <w:r w:rsidRPr="009E2A3A">
              <w:rPr>
                <w:rFonts w:ascii="Arial" w:hAnsi="Arial" w:cs="Arial"/>
              </w:rPr>
              <w:t>Congenital CMV infection</w:t>
            </w:r>
          </w:p>
        </w:tc>
      </w:tr>
      <w:tr w:rsidR="00744A12" w:rsidRPr="00D542EE" w14:paraId="200F69A2" w14:textId="77777777" w:rsidTr="00557DDD">
        <w:tc>
          <w:tcPr>
            <w:tcW w:w="4585" w:type="dxa"/>
          </w:tcPr>
          <w:p w14:paraId="49B3EC9C" w14:textId="77777777" w:rsidR="00744A12" w:rsidRPr="009E2A3A" w:rsidRDefault="00744A12" w:rsidP="00557DDD">
            <w:pPr>
              <w:rPr>
                <w:rFonts w:ascii="Arial" w:hAnsi="Arial" w:cs="Arial"/>
              </w:rPr>
            </w:pPr>
            <w:r w:rsidRPr="009E2A3A">
              <w:rPr>
                <w:rFonts w:ascii="Arial" w:hAnsi="Arial" w:cs="Arial"/>
              </w:rPr>
              <w:t>ICD-10 B25.x</w:t>
            </w:r>
          </w:p>
        </w:tc>
        <w:tc>
          <w:tcPr>
            <w:tcW w:w="5400" w:type="dxa"/>
          </w:tcPr>
          <w:p w14:paraId="1688FAEF" w14:textId="77777777" w:rsidR="00744A12" w:rsidRPr="009E2A3A" w:rsidRDefault="00744A12" w:rsidP="00557DDD">
            <w:pPr>
              <w:rPr>
                <w:rFonts w:ascii="Arial" w:hAnsi="Arial" w:cs="Arial"/>
              </w:rPr>
            </w:pPr>
            <w:r w:rsidRPr="009E2A3A">
              <w:rPr>
                <w:rFonts w:ascii="Arial" w:hAnsi="Arial" w:cs="Arial"/>
              </w:rPr>
              <w:t>CMV disease</w:t>
            </w:r>
          </w:p>
        </w:tc>
      </w:tr>
      <w:tr w:rsidR="00744A12" w:rsidRPr="00D542EE" w14:paraId="0245E76C" w14:textId="77777777" w:rsidTr="00557DDD">
        <w:tc>
          <w:tcPr>
            <w:tcW w:w="4585" w:type="dxa"/>
          </w:tcPr>
          <w:p w14:paraId="0A543848" w14:textId="77777777" w:rsidR="00744A12" w:rsidRPr="009E2A3A" w:rsidRDefault="00744A12" w:rsidP="00557DDD">
            <w:pPr>
              <w:rPr>
                <w:rFonts w:ascii="Arial" w:hAnsi="Arial" w:cs="Arial"/>
                <w:b/>
                <w:bCs/>
                <w:i/>
                <w:iCs/>
              </w:rPr>
            </w:pPr>
            <w:r w:rsidRPr="009E2A3A">
              <w:rPr>
                <w:rFonts w:ascii="Arial" w:hAnsi="Arial" w:cs="Arial"/>
                <w:b/>
                <w:bCs/>
                <w:i/>
                <w:iCs/>
              </w:rPr>
              <w:t>HSV or VZV</w:t>
            </w:r>
          </w:p>
        </w:tc>
        <w:tc>
          <w:tcPr>
            <w:tcW w:w="5400" w:type="dxa"/>
          </w:tcPr>
          <w:p w14:paraId="5BFFE01F" w14:textId="77777777" w:rsidR="00744A12" w:rsidRPr="009E2A3A" w:rsidRDefault="00744A12" w:rsidP="00557DDD">
            <w:pPr>
              <w:rPr>
                <w:rFonts w:ascii="Arial" w:hAnsi="Arial" w:cs="Arial"/>
              </w:rPr>
            </w:pPr>
          </w:p>
        </w:tc>
      </w:tr>
      <w:tr w:rsidR="00744A12" w:rsidRPr="00D542EE" w14:paraId="005BC49F" w14:textId="77777777" w:rsidTr="00557DDD">
        <w:tc>
          <w:tcPr>
            <w:tcW w:w="4585" w:type="dxa"/>
          </w:tcPr>
          <w:p w14:paraId="4ECBCBC3" w14:textId="77777777" w:rsidR="00744A12" w:rsidRPr="009E2A3A" w:rsidRDefault="00744A12" w:rsidP="00557DDD">
            <w:pPr>
              <w:rPr>
                <w:rFonts w:ascii="Arial" w:hAnsi="Arial" w:cs="Arial"/>
              </w:rPr>
            </w:pPr>
            <w:r w:rsidRPr="009E2A3A">
              <w:rPr>
                <w:rFonts w:ascii="Arial" w:eastAsia="Calibri" w:hAnsi="Arial" w:cs="Arial"/>
                <w:color w:val="000000" w:themeColor="text1"/>
              </w:rPr>
              <w:t xml:space="preserve">B00.xx </w:t>
            </w:r>
          </w:p>
        </w:tc>
        <w:tc>
          <w:tcPr>
            <w:tcW w:w="5400" w:type="dxa"/>
          </w:tcPr>
          <w:p w14:paraId="7B54D427" w14:textId="77777777" w:rsidR="00744A12" w:rsidRPr="009E2A3A" w:rsidRDefault="00744A12" w:rsidP="00557DDD">
            <w:pPr>
              <w:rPr>
                <w:rFonts w:ascii="Arial" w:hAnsi="Arial" w:cs="Arial"/>
              </w:rPr>
            </w:pPr>
            <w:r w:rsidRPr="009E2A3A">
              <w:rPr>
                <w:rFonts w:ascii="Arial" w:eastAsia="Calibri" w:hAnsi="Arial" w:cs="Arial"/>
                <w:color w:val="000000" w:themeColor="text1"/>
              </w:rPr>
              <w:t>Herpes viral infections</w:t>
            </w:r>
          </w:p>
        </w:tc>
      </w:tr>
      <w:tr w:rsidR="00744A12" w:rsidRPr="00D542EE" w14:paraId="797D5358" w14:textId="77777777" w:rsidTr="00557DDD">
        <w:tc>
          <w:tcPr>
            <w:tcW w:w="4585" w:type="dxa"/>
          </w:tcPr>
          <w:p w14:paraId="5B92C354" w14:textId="77777777" w:rsidR="00744A12" w:rsidRPr="009E2A3A" w:rsidRDefault="00744A12" w:rsidP="00557DDD">
            <w:pPr>
              <w:rPr>
                <w:rFonts w:ascii="Arial" w:hAnsi="Arial" w:cs="Arial"/>
              </w:rPr>
            </w:pPr>
            <w:r w:rsidRPr="009E2A3A">
              <w:rPr>
                <w:rFonts w:ascii="Arial" w:eastAsia="Calibri" w:hAnsi="Arial" w:cs="Arial"/>
                <w:color w:val="000000" w:themeColor="text1"/>
              </w:rPr>
              <w:t>ICD-10-CM A60.xx</w:t>
            </w:r>
          </w:p>
        </w:tc>
        <w:tc>
          <w:tcPr>
            <w:tcW w:w="5400" w:type="dxa"/>
          </w:tcPr>
          <w:p w14:paraId="285C56DE" w14:textId="77777777" w:rsidR="00744A12" w:rsidRPr="009E2A3A" w:rsidRDefault="00744A12" w:rsidP="00557DDD">
            <w:pPr>
              <w:rPr>
                <w:rFonts w:ascii="Arial" w:hAnsi="Arial" w:cs="Arial"/>
              </w:rPr>
            </w:pPr>
            <w:r w:rsidRPr="009E2A3A">
              <w:rPr>
                <w:rFonts w:ascii="Arial" w:eastAsia="Calibri" w:hAnsi="Arial" w:cs="Arial"/>
                <w:color w:val="000000" w:themeColor="text1"/>
              </w:rPr>
              <w:t>Anogenital herpes viral (herpes simplex) infections</w:t>
            </w:r>
          </w:p>
        </w:tc>
      </w:tr>
      <w:tr w:rsidR="00744A12" w:rsidRPr="00D542EE" w14:paraId="2A8A794E" w14:textId="77777777" w:rsidTr="00557DDD">
        <w:tc>
          <w:tcPr>
            <w:tcW w:w="4585" w:type="dxa"/>
          </w:tcPr>
          <w:p w14:paraId="57F348DC" w14:textId="77777777" w:rsidR="00744A12" w:rsidRPr="009E2A3A" w:rsidRDefault="00744A12" w:rsidP="00557DDD">
            <w:pPr>
              <w:rPr>
                <w:rFonts w:ascii="Arial" w:hAnsi="Arial" w:cs="Arial"/>
              </w:rPr>
            </w:pPr>
            <w:r w:rsidRPr="009E2A3A">
              <w:rPr>
                <w:rFonts w:ascii="Arial" w:hAnsi="Arial" w:cs="Arial"/>
              </w:rPr>
              <w:t>B01.xx</w:t>
            </w:r>
          </w:p>
        </w:tc>
        <w:tc>
          <w:tcPr>
            <w:tcW w:w="5400" w:type="dxa"/>
          </w:tcPr>
          <w:p w14:paraId="2B3EFD5C" w14:textId="77777777" w:rsidR="00744A12" w:rsidRPr="009E2A3A" w:rsidRDefault="00744A12" w:rsidP="00557DDD">
            <w:pPr>
              <w:rPr>
                <w:rFonts w:ascii="Arial" w:hAnsi="Arial" w:cs="Arial"/>
              </w:rPr>
            </w:pPr>
            <w:r w:rsidRPr="009E2A3A">
              <w:rPr>
                <w:rFonts w:ascii="Arial" w:hAnsi="Arial" w:cs="Arial"/>
              </w:rPr>
              <w:t>Varicella</w:t>
            </w:r>
          </w:p>
        </w:tc>
      </w:tr>
      <w:tr w:rsidR="00744A12" w:rsidRPr="00D542EE" w14:paraId="65440D9B" w14:textId="77777777" w:rsidTr="00557DDD">
        <w:tc>
          <w:tcPr>
            <w:tcW w:w="4585" w:type="dxa"/>
          </w:tcPr>
          <w:p w14:paraId="1D5C78BC" w14:textId="77777777" w:rsidR="00744A12" w:rsidRPr="009E2A3A" w:rsidRDefault="00744A12" w:rsidP="00557DDD">
            <w:pPr>
              <w:rPr>
                <w:rFonts w:ascii="Arial" w:hAnsi="Arial" w:cs="Arial"/>
              </w:rPr>
            </w:pPr>
            <w:r w:rsidRPr="009E2A3A">
              <w:rPr>
                <w:rFonts w:ascii="Arial" w:eastAsia="Calibri" w:hAnsi="Arial" w:cs="Arial"/>
                <w:color w:val="000000" w:themeColor="text1"/>
              </w:rPr>
              <w:t>B02.xx</w:t>
            </w:r>
          </w:p>
        </w:tc>
        <w:tc>
          <w:tcPr>
            <w:tcW w:w="5400" w:type="dxa"/>
          </w:tcPr>
          <w:p w14:paraId="7F907E23" w14:textId="77777777" w:rsidR="00744A12" w:rsidRPr="009E2A3A" w:rsidRDefault="00744A12" w:rsidP="00557DDD">
            <w:pPr>
              <w:rPr>
                <w:rFonts w:ascii="Arial" w:hAnsi="Arial" w:cs="Arial"/>
              </w:rPr>
            </w:pPr>
            <w:r w:rsidRPr="009E2A3A">
              <w:rPr>
                <w:rFonts w:ascii="Arial" w:hAnsi="Arial" w:cs="Arial"/>
              </w:rPr>
              <w:t>Herpes zoster</w:t>
            </w:r>
          </w:p>
        </w:tc>
      </w:tr>
      <w:tr w:rsidR="00744A12" w:rsidRPr="00D542EE" w14:paraId="72E4ADC0" w14:textId="77777777" w:rsidTr="00557DDD">
        <w:tc>
          <w:tcPr>
            <w:tcW w:w="4585" w:type="dxa"/>
          </w:tcPr>
          <w:p w14:paraId="7ECAEE1D" w14:textId="77777777" w:rsidR="00744A12" w:rsidRPr="009E2A3A" w:rsidRDefault="00744A12" w:rsidP="00557DDD">
            <w:pPr>
              <w:rPr>
                <w:rFonts w:ascii="Arial" w:hAnsi="Arial" w:cs="Arial"/>
              </w:rPr>
            </w:pPr>
          </w:p>
        </w:tc>
        <w:tc>
          <w:tcPr>
            <w:tcW w:w="5400" w:type="dxa"/>
          </w:tcPr>
          <w:p w14:paraId="4A1DC393" w14:textId="77777777" w:rsidR="00744A12" w:rsidRPr="009E2A3A" w:rsidRDefault="00744A12" w:rsidP="00557DDD">
            <w:pPr>
              <w:rPr>
                <w:rFonts w:ascii="Arial" w:hAnsi="Arial" w:cs="Arial"/>
              </w:rPr>
            </w:pPr>
          </w:p>
        </w:tc>
      </w:tr>
      <w:tr w:rsidR="00744A12" w:rsidRPr="00D542EE" w14:paraId="39F9282A" w14:textId="77777777" w:rsidTr="00557DDD">
        <w:tc>
          <w:tcPr>
            <w:tcW w:w="4585" w:type="dxa"/>
          </w:tcPr>
          <w:p w14:paraId="49EA864D" w14:textId="77777777" w:rsidR="00744A12" w:rsidRPr="009E2A3A" w:rsidRDefault="00744A12" w:rsidP="00557DDD">
            <w:pPr>
              <w:rPr>
                <w:rFonts w:ascii="Arial" w:hAnsi="Arial" w:cs="Arial"/>
              </w:rPr>
            </w:pPr>
          </w:p>
        </w:tc>
        <w:tc>
          <w:tcPr>
            <w:tcW w:w="5400" w:type="dxa"/>
          </w:tcPr>
          <w:p w14:paraId="452F1303" w14:textId="77777777" w:rsidR="00744A12" w:rsidRPr="009E2A3A" w:rsidRDefault="00744A12" w:rsidP="00557DDD">
            <w:pPr>
              <w:rPr>
                <w:rFonts w:ascii="Arial" w:hAnsi="Arial" w:cs="Arial"/>
              </w:rPr>
            </w:pPr>
          </w:p>
        </w:tc>
      </w:tr>
    </w:tbl>
    <w:p w14:paraId="2686B770" w14:textId="77777777" w:rsidR="00744A12" w:rsidRPr="009E2A3A" w:rsidRDefault="00744A12" w:rsidP="00744A12">
      <w:pPr>
        <w:rPr>
          <w:rFonts w:ascii="Arial" w:hAnsi="Arial" w:cs="Arial"/>
        </w:rPr>
      </w:pPr>
      <w:r w:rsidRPr="009E2A3A">
        <w:rPr>
          <w:rFonts w:ascii="Arial" w:hAnsi="Arial" w:cs="Arial"/>
        </w:rPr>
        <w:t>Abbreviations: CMV, cytomegalovirus; ICD-10-CM, International Classification of Disease, 10th Revision, Clinical Modification; DRG, diagnosis related group</w:t>
      </w:r>
    </w:p>
    <w:p w14:paraId="17F9FF6B" w14:textId="77777777" w:rsidR="00744A12" w:rsidRPr="009E2A3A" w:rsidRDefault="00744A12" w:rsidP="00744A12">
      <w:pPr>
        <w:rPr>
          <w:rFonts w:ascii="Arial" w:hAnsi="Arial" w:cs="Arial"/>
        </w:rPr>
      </w:pPr>
    </w:p>
    <w:p w14:paraId="6CC86111" w14:textId="77777777" w:rsidR="00744A12" w:rsidRPr="009E2A3A" w:rsidRDefault="00744A12" w:rsidP="00744A12">
      <w:pPr>
        <w:rPr>
          <w:rFonts w:ascii="Arial" w:hAnsi="Arial" w:cs="Arial"/>
          <w:b/>
          <w:bCs/>
        </w:rPr>
      </w:pPr>
      <w:r w:rsidRPr="009E2A3A">
        <w:rPr>
          <w:rFonts w:ascii="Arial" w:hAnsi="Arial" w:cs="Arial"/>
          <w:b/>
          <w:bCs/>
        </w:rPr>
        <w:t>References</w:t>
      </w:r>
    </w:p>
    <w:p w14:paraId="5E40C807" w14:textId="77777777" w:rsidR="00744A12" w:rsidRPr="009E2A3A" w:rsidRDefault="00744A12" w:rsidP="00744A12">
      <w:pPr>
        <w:spacing w:after="160" w:line="259" w:lineRule="auto"/>
        <w:rPr>
          <w:rFonts w:ascii="Arial" w:hAnsi="Arial" w:cs="Arial"/>
        </w:rPr>
      </w:pPr>
      <w:r w:rsidRPr="009E2A3A">
        <w:rPr>
          <w:rFonts w:ascii="Arial" w:hAnsi="Arial" w:cs="Arial"/>
        </w:rPr>
        <w:t>1.</w:t>
      </w:r>
      <w:r w:rsidRPr="009E2A3A">
        <w:rPr>
          <w:rFonts w:ascii="Arial" w:hAnsi="Arial" w:cs="Arial"/>
        </w:rPr>
        <w:tab/>
      </w:r>
      <w:proofErr w:type="spellStart"/>
      <w:r w:rsidRPr="009E2A3A">
        <w:rPr>
          <w:rFonts w:ascii="Arial" w:hAnsi="Arial" w:cs="Arial"/>
        </w:rPr>
        <w:t>HealthVerity</w:t>
      </w:r>
      <w:proofErr w:type="spellEnd"/>
      <w:r w:rsidRPr="009E2A3A">
        <w:rPr>
          <w:rFonts w:ascii="Arial" w:hAnsi="Arial" w:cs="Arial"/>
        </w:rPr>
        <w:t xml:space="preserve">. Maternal Outcomes </w:t>
      </w:r>
      <w:proofErr w:type="spellStart"/>
      <w:r w:rsidRPr="009E2A3A">
        <w:rPr>
          <w:rFonts w:ascii="Arial" w:hAnsi="Arial" w:cs="Arial"/>
        </w:rPr>
        <w:t>Masterset</w:t>
      </w:r>
      <w:proofErr w:type="spellEnd"/>
      <w:r w:rsidRPr="009E2A3A">
        <w:rPr>
          <w:rFonts w:ascii="Arial" w:hAnsi="Arial" w:cs="Arial"/>
        </w:rPr>
        <w:t xml:space="preserve"> (MOM). https://healthverity.com/solutions/mom/. Accessed January 27, 2023.</w:t>
      </w:r>
    </w:p>
    <w:p w14:paraId="7646A24F" w14:textId="77777777" w:rsidR="00744A12" w:rsidRPr="009E2A3A" w:rsidRDefault="00744A12" w:rsidP="00744A12">
      <w:pPr>
        <w:spacing w:after="160" w:line="259" w:lineRule="auto"/>
        <w:rPr>
          <w:rFonts w:ascii="Arial" w:hAnsi="Arial" w:cs="Arial"/>
        </w:rPr>
      </w:pPr>
      <w:r w:rsidRPr="009E2A3A">
        <w:rPr>
          <w:rFonts w:ascii="Arial" w:hAnsi="Arial" w:cs="Arial"/>
        </w:rPr>
        <w:t>2.</w:t>
      </w:r>
      <w:r w:rsidRPr="009E2A3A">
        <w:rPr>
          <w:rFonts w:ascii="Arial" w:hAnsi="Arial" w:cs="Arial"/>
        </w:rPr>
        <w:tab/>
        <w:t xml:space="preserve">Moll K, Wong HL, </w:t>
      </w:r>
      <w:proofErr w:type="spellStart"/>
      <w:r w:rsidRPr="009E2A3A">
        <w:rPr>
          <w:rFonts w:ascii="Arial" w:hAnsi="Arial" w:cs="Arial"/>
        </w:rPr>
        <w:t>Fingar</w:t>
      </w:r>
      <w:proofErr w:type="spellEnd"/>
      <w:r w:rsidRPr="009E2A3A">
        <w:rPr>
          <w:rFonts w:ascii="Arial" w:hAnsi="Arial" w:cs="Arial"/>
        </w:rPr>
        <w:t xml:space="preserve"> K, </w:t>
      </w:r>
      <w:proofErr w:type="spellStart"/>
      <w:r w:rsidRPr="009E2A3A">
        <w:rPr>
          <w:rFonts w:ascii="Arial" w:hAnsi="Arial" w:cs="Arial"/>
        </w:rPr>
        <w:t>Hobbi</w:t>
      </w:r>
      <w:proofErr w:type="spellEnd"/>
      <w:r w:rsidRPr="009E2A3A">
        <w:rPr>
          <w:rFonts w:ascii="Arial" w:hAnsi="Arial" w:cs="Arial"/>
        </w:rPr>
        <w:t xml:space="preserve"> S, Sheng M, Burrell TA, Eckert LO, Munoz FM, Baer B, </w:t>
      </w:r>
      <w:proofErr w:type="spellStart"/>
      <w:r w:rsidRPr="009E2A3A">
        <w:rPr>
          <w:rFonts w:ascii="Arial" w:hAnsi="Arial" w:cs="Arial"/>
        </w:rPr>
        <w:t>Shoaibi</w:t>
      </w:r>
      <w:proofErr w:type="spellEnd"/>
      <w:r w:rsidRPr="009E2A3A">
        <w:rPr>
          <w:rFonts w:ascii="Arial" w:hAnsi="Arial" w:cs="Arial"/>
        </w:rPr>
        <w:t xml:space="preserve"> A, Anderson S. Validating claims-based algorithms determining pregnancy outcomes and gestational age using a linked claims-electronic medical record database. Drug </w:t>
      </w:r>
      <w:proofErr w:type="spellStart"/>
      <w:r w:rsidRPr="009E2A3A">
        <w:rPr>
          <w:rFonts w:ascii="Arial" w:hAnsi="Arial" w:cs="Arial"/>
        </w:rPr>
        <w:t>Saf</w:t>
      </w:r>
      <w:proofErr w:type="spellEnd"/>
      <w:r w:rsidRPr="009E2A3A">
        <w:rPr>
          <w:rFonts w:ascii="Arial" w:hAnsi="Arial" w:cs="Arial"/>
        </w:rPr>
        <w:t xml:space="preserve"> 2021; 44: 1151-1164.</w:t>
      </w:r>
    </w:p>
    <w:p w14:paraId="0ECDB4E0" w14:textId="77777777" w:rsidR="00744A12" w:rsidRPr="009E2A3A" w:rsidRDefault="00744A12" w:rsidP="00744A12">
      <w:pPr>
        <w:spacing w:after="160" w:line="259" w:lineRule="auto"/>
        <w:rPr>
          <w:rFonts w:ascii="Arial" w:hAnsi="Arial" w:cs="Arial"/>
        </w:rPr>
      </w:pPr>
      <w:r w:rsidRPr="009E2A3A">
        <w:rPr>
          <w:rFonts w:ascii="Arial" w:hAnsi="Arial" w:cs="Arial"/>
        </w:rPr>
        <w:t>3.</w:t>
      </w:r>
      <w:r w:rsidRPr="009E2A3A">
        <w:rPr>
          <w:rFonts w:ascii="Arial" w:hAnsi="Arial" w:cs="Arial"/>
        </w:rPr>
        <w:tab/>
      </w:r>
      <w:proofErr w:type="spellStart"/>
      <w:r w:rsidRPr="009E2A3A">
        <w:rPr>
          <w:rFonts w:ascii="Arial" w:hAnsi="Arial" w:cs="Arial"/>
        </w:rPr>
        <w:t>Naleway</w:t>
      </w:r>
      <w:proofErr w:type="spellEnd"/>
      <w:r w:rsidRPr="009E2A3A">
        <w:rPr>
          <w:rFonts w:ascii="Arial" w:hAnsi="Arial" w:cs="Arial"/>
        </w:rPr>
        <w:t xml:space="preserve"> AL, Crane B, Irving SA, Bachman D, </w:t>
      </w:r>
      <w:proofErr w:type="spellStart"/>
      <w:r w:rsidRPr="009E2A3A">
        <w:rPr>
          <w:rFonts w:ascii="Arial" w:hAnsi="Arial" w:cs="Arial"/>
        </w:rPr>
        <w:t>Vesco</w:t>
      </w:r>
      <w:proofErr w:type="spellEnd"/>
      <w:r w:rsidRPr="009E2A3A">
        <w:rPr>
          <w:rFonts w:ascii="Arial" w:hAnsi="Arial" w:cs="Arial"/>
        </w:rPr>
        <w:t xml:space="preserve"> KK, Daley MF, </w:t>
      </w:r>
      <w:proofErr w:type="spellStart"/>
      <w:r w:rsidRPr="009E2A3A">
        <w:rPr>
          <w:rFonts w:ascii="Arial" w:hAnsi="Arial" w:cs="Arial"/>
        </w:rPr>
        <w:t>Getahun</w:t>
      </w:r>
      <w:proofErr w:type="spellEnd"/>
      <w:r w:rsidRPr="009E2A3A">
        <w:rPr>
          <w:rFonts w:ascii="Arial" w:hAnsi="Arial" w:cs="Arial"/>
        </w:rPr>
        <w:t xml:space="preserve"> D, Glenn SC, </w:t>
      </w:r>
      <w:proofErr w:type="spellStart"/>
      <w:r w:rsidRPr="009E2A3A">
        <w:rPr>
          <w:rFonts w:ascii="Arial" w:hAnsi="Arial" w:cs="Arial"/>
        </w:rPr>
        <w:t>Hambidge</w:t>
      </w:r>
      <w:proofErr w:type="spellEnd"/>
      <w:r w:rsidRPr="009E2A3A">
        <w:rPr>
          <w:rFonts w:ascii="Arial" w:hAnsi="Arial" w:cs="Arial"/>
        </w:rPr>
        <w:t xml:space="preserve"> SJ, Jackson LA, Klein NP, McCarthy NL, McClure DL, Panagiotakopoulos L, </w:t>
      </w:r>
      <w:proofErr w:type="spellStart"/>
      <w:r w:rsidRPr="009E2A3A">
        <w:rPr>
          <w:rFonts w:ascii="Arial" w:hAnsi="Arial" w:cs="Arial"/>
        </w:rPr>
        <w:t>Panozzo</w:t>
      </w:r>
      <w:proofErr w:type="spellEnd"/>
      <w:r w:rsidRPr="009E2A3A">
        <w:rPr>
          <w:rFonts w:ascii="Arial" w:hAnsi="Arial" w:cs="Arial"/>
        </w:rPr>
        <w:t xml:space="preserve"> CA, Vazquez-Benitez G, Weintraub ES, </w:t>
      </w:r>
      <w:proofErr w:type="spellStart"/>
      <w:r w:rsidRPr="009E2A3A">
        <w:rPr>
          <w:rFonts w:ascii="Arial" w:hAnsi="Arial" w:cs="Arial"/>
        </w:rPr>
        <w:t>Zerbo</w:t>
      </w:r>
      <w:proofErr w:type="spellEnd"/>
      <w:r w:rsidRPr="009E2A3A">
        <w:rPr>
          <w:rFonts w:ascii="Arial" w:hAnsi="Arial" w:cs="Arial"/>
        </w:rPr>
        <w:t xml:space="preserve"> O, Kharbanda EO. Vaccine Safety Datalink infrastructure enhancements for evaluating the safety of maternal vaccination. </w:t>
      </w:r>
      <w:proofErr w:type="spellStart"/>
      <w:r w:rsidRPr="009E2A3A">
        <w:rPr>
          <w:rFonts w:ascii="Arial" w:hAnsi="Arial" w:cs="Arial"/>
        </w:rPr>
        <w:t>Ther</w:t>
      </w:r>
      <w:proofErr w:type="spellEnd"/>
      <w:r w:rsidRPr="009E2A3A">
        <w:rPr>
          <w:rFonts w:ascii="Arial" w:hAnsi="Arial" w:cs="Arial"/>
        </w:rPr>
        <w:t xml:space="preserve"> Adv Drug </w:t>
      </w:r>
      <w:proofErr w:type="spellStart"/>
      <w:r w:rsidRPr="009E2A3A">
        <w:rPr>
          <w:rFonts w:ascii="Arial" w:hAnsi="Arial" w:cs="Arial"/>
        </w:rPr>
        <w:t>Saf</w:t>
      </w:r>
      <w:proofErr w:type="spellEnd"/>
      <w:r w:rsidRPr="009E2A3A">
        <w:rPr>
          <w:rFonts w:ascii="Arial" w:hAnsi="Arial" w:cs="Arial"/>
        </w:rPr>
        <w:t xml:space="preserve"> 2021; 12: 20420986211021233.</w:t>
      </w:r>
    </w:p>
    <w:p w14:paraId="04A0B8BD" w14:textId="77777777" w:rsidR="00744A12" w:rsidRPr="009E2A3A" w:rsidRDefault="00744A12" w:rsidP="00744A12">
      <w:pPr>
        <w:spacing w:after="160" w:line="259" w:lineRule="auto"/>
        <w:rPr>
          <w:rFonts w:ascii="Arial" w:hAnsi="Arial" w:cs="Arial"/>
        </w:rPr>
      </w:pPr>
      <w:r w:rsidRPr="009E2A3A">
        <w:rPr>
          <w:rFonts w:ascii="Arial" w:hAnsi="Arial" w:cs="Arial"/>
        </w:rPr>
        <w:t>4.</w:t>
      </w:r>
      <w:r w:rsidRPr="009E2A3A">
        <w:rPr>
          <w:rFonts w:ascii="Arial" w:hAnsi="Arial" w:cs="Arial"/>
        </w:rPr>
        <w:tab/>
        <w:t xml:space="preserve">Kilpatrick, SJ, </w:t>
      </w:r>
      <w:proofErr w:type="spellStart"/>
      <w:r w:rsidRPr="009E2A3A">
        <w:rPr>
          <w:rFonts w:ascii="Arial" w:hAnsi="Arial" w:cs="Arial"/>
        </w:rPr>
        <w:t>Papile</w:t>
      </w:r>
      <w:proofErr w:type="spellEnd"/>
      <w:r w:rsidRPr="009E2A3A">
        <w:rPr>
          <w:rFonts w:ascii="Arial" w:hAnsi="Arial" w:cs="Arial"/>
        </w:rPr>
        <w:t xml:space="preserve"> LA, </w:t>
      </w:r>
      <w:proofErr w:type="spellStart"/>
      <w:r w:rsidRPr="009E2A3A">
        <w:rPr>
          <w:rFonts w:ascii="Arial" w:hAnsi="Arial" w:cs="Arial"/>
        </w:rPr>
        <w:t>Macones</w:t>
      </w:r>
      <w:proofErr w:type="spellEnd"/>
      <w:r w:rsidRPr="009E2A3A">
        <w:rPr>
          <w:rFonts w:ascii="Arial" w:hAnsi="Arial" w:cs="Arial"/>
        </w:rPr>
        <w:t xml:space="preserve"> GA, eds. 2017. Guidelines for Perinatal Care. 8th ed. Elk Grove Village, IL: American Academy of Pediatrics.</w:t>
      </w:r>
    </w:p>
    <w:p w14:paraId="24DBE974" w14:textId="77777777" w:rsidR="00744A12" w:rsidRPr="009E2A3A" w:rsidRDefault="00744A12" w:rsidP="00744A12">
      <w:pPr>
        <w:spacing w:after="160" w:line="259" w:lineRule="auto"/>
        <w:rPr>
          <w:rFonts w:ascii="Arial" w:hAnsi="Arial" w:cs="Arial"/>
        </w:rPr>
      </w:pPr>
      <w:r w:rsidRPr="009E2A3A">
        <w:rPr>
          <w:rFonts w:ascii="Arial" w:hAnsi="Arial" w:cs="Arial"/>
        </w:rPr>
        <w:t>5.</w:t>
      </w:r>
      <w:r w:rsidRPr="009E2A3A">
        <w:rPr>
          <w:rFonts w:ascii="Arial" w:hAnsi="Arial" w:cs="Arial"/>
        </w:rPr>
        <w:tab/>
        <w:t>Clinical Classifications Software Refined (CCSR). Healthcare Cost and Utilization Project (HCUP). December 2022. Agency for Healthcare Research and Quality, Rockville, MD. www.hcup-us.ahrq.gov/toolssoftware/ccsr/ccs_refined.jsp. Accessed March 21, 2023.</w:t>
      </w:r>
    </w:p>
    <w:p w14:paraId="2397C2DC" w14:textId="77777777" w:rsidR="00744A12" w:rsidRPr="009E2A3A" w:rsidRDefault="00744A12" w:rsidP="00744A12">
      <w:pPr>
        <w:spacing w:after="160" w:line="259" w:lineRule="auto"/>
        <w:rPr>
          <w:rFonts w:ascii="Arial" w:hAnsi="Arial" w:cs="Arial"/>
        </w:rPr>
      </w:pPr>
      <w:r w:rsidRPr="009E2A3A">
        <w:rPr>
          <w:rFonts w:ascii="Arial" w:hAnsi="Arial" w:cs="Arial"/>
        </w:rPr>
        <w:t>6.</w:t>
      </w:r>
      <w:r w:rsidRPr="009E2A3A">
        <w:rPr>
          <w:rFonts w:ascii="Arial" w:hAnsi="Arial" w:cs="Arial"/>
        </w:rPr>
        <w:tab/>
        <w:t xml:space="preserve">Leung J, Grosse SD, Hong K, Pesch MH, Lanzieri TM. Changes in valganciclovir use among infants with congenital CMV diagnosis in the United States, 2009–2015 and 2016–2019. J </w:t>
      </w:r>
      <w:proofErr w:type="spellStart"/>
      <w:r w:rsidRPr="009E2A3A">
        <w:rPr>
          <w:rFonts w:ascii="Arial" w:hAnsi="Arial" w:cs="Arial"/>
        </w:rPr>
        <w:t>Pediatr</w:t>
      </w:r>
      <w:proofErr w:type="spellEnd"/>
      <w:r w:rsidRPr="009E2A3A">
        <w:rPr>
          <w:rFonts w:ascii="Arial" w:hAnsi="Arial" w:cs="Arial"/>
        </w:rPr>
        <w:t xml:space="preserve"> 2022; 246: 274–278.</w:t>
      </w:r>
    </w:p>
    <w:p w14:paraId="101B42D9" w14:textId="77777777" w:rsidR="00744A12" w:rsidRPr="009E2A3A" w:rsidRDefault="00744A12" w:rsidP="00744A12">
      <w:pPr>
        <w:spacing w:after="160" w:line="259" w:lineRule="auto"/>
        <w:rPr>
          <w:rFonts w:ascii="Arial" w:hAnsi="Arial" w:cs="Arial"/>
          <w:b/>
          <w:bCs/>
        </w:rPr>
      </w:pPr>
    </w:p>
    <w:p w14:paraId="499F8FF0" w14:textId="77777777" w:rsidR="00744A12" w:rsidRDefault="00744A12"/>
    <w:sectPr w:rsidR="00744A12" w:rsidSect="00744A12">
      <w:headerReference w:type="default" r:id="rId4"/>
      <w:footerReference w:type="default" r:id="rI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996322"/>
      <w:docPartObj>
        <w:docPartGallery w:val="Page Numbers (Bottom of Page)"/>
        <w:docPartUnique/>
      </w:docPartObj>
    </w:sdtPr>
    <w:sdtEndPr>
      <w:rPr>
        <w:noProof/>
      </w:rPr>
    </w:sdtEndPr>
    <w:sdtContent>
      <w:p w14:paraId="4F348C7D" w14:textId="77777777" w:rsidR="00FD1188" w:rsidRDefault="00FD11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FE6ED1" w14:textId="77777777" w:rsidR="00FD1188" w:rsidRDefault="00FD11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38E8" w14:textId="77777777" w:rsidR="00FD1188" w:rsidRDefault="00FD1188">
    <w:pPr>
      <w:pStyle w:val="Header"/>
      <w:jc w:val="right"/>
    </w:pPr>
  </w:p>
  <w:p w14:paraId="34F3C6FE" w14:textId="77777777" w:rsidR="00FD1188" w:rsidRDefault="00FD1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12"/>
    <w:rsid w:val="00690DE7"/>
    <w:rsid w:val="00744A12"/>
    <w:rsid w:val="00780736"/>
    <w:rsid w:val="00FD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5FED"/>
  <w15:chartTrackingRefBased/>
  <w15:docId w15:val="{DCA2C008-8735-4ECC-87D0-2ED2D28F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1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A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A12"/>
    <w:pPr>
      <w:tabs>
        <w:tab w:val="center" w:pos="4680"/>
        <w:tab w:val="right" w:pos="9360"/>
      </w:tabs>
    </w:pPr>
  </w:style>
  <w:style w:type="character" w:customStyle="1" w:styleId="HeaderChar">
    <w:name w:val="Header Char"/>
    <w:basedOn w:val="DefaultParagraphFont"/>
    <w:link w:val="Header"/>
    <w:uiPriority w:val="99"/>
    <w:rsid w:val="00744A1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44A12"/>
    <w:pPr>
      <w:tabs>
        <w:tab w:val="center" w:pos="4680"/>
        <w:tab w:val="right" w:pos="9360"/>
      </w:tabs>
    </w:pPr>
  </w:style>
  <w:style w:type="character" w:customStyle="1" w:styleId="FooterChar">
    <w:name w:val="Footer Char"/>
    <w:basedOn w:val="DefaultParagraphFont"/>
    <w:link w:val="Footer"/>
    <w:uiPriority w:val="99"/>
    <w:rsid w:val="00744A12"/>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44A12"/>
  </w:style>
  <w:style w:type="character" w:styleId="LineNumber">
    <w:name w:val="line number"/>
    <w:basedOn w:val="DefaultParagraphFont"/>
    <w:uiPriority w:val="99"/>
    <w:semiHidden/>
    <w:unhideWhenUsed/>
    <w:rsid w:val="00744A12"/>
  </w:style>
  <w:style w:type="paragraph" w:styleId="Revision">
    <w:name w:val="Revision"/>
    <w:hidden/>
    <w:uiPriority w:val="99"/>
    <w:semiHidden/>
    <w:rsid w:val="00744A1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7151</Characters>
  <Application>Microsoft Office Word</Application>
  <DocSecurity>0</DocSecurity>
  <Lines>59</Lines>
  <Paragraphs>16</Paragraphs>
  <ScaleCrop>false</ScaleCrop>
  <Company>Centers for Disease Control and Prevention</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Jessica (CDC/NCIRD/DVD)</dc:creator>
  <cp:keywords/>
  <dc:description/>
  <cp:lastModifiedBy>Leung, Jessica (CDC/NCIRD/DVD)</cp:lastModifiedBy>
  <cp:revision>4</cp:revision>
  <dcterms:created xsi:type="dcterms:W3CDTF">2024-05-16T18:03:00Z</dcterms:created>
  <dcterms:modified xsi:type="dcterms:W3CDTF">2024-05-16T18:03:00Z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2024-05-16T18:03:00Z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11c0aa6d-4557-4ebd-8625-73fd9d89d1ae</vt:lpwstr>
  </property>
  <property fmtid="{D5CDD505-2E9C-101B-9397-08002B2CF9AE}" pid="8" name="MSIP_Label_8af03ff0-41c5-4c41-b55e-fabb8fae94be_ContentBits">
    <vt:lpwstr>0</vt:lpwstr>
  </property>
</Properties>
</file>