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2EF7" w14:textId="77777777" w:rsidR="005D41CC" w:rsidRPr="00E62F50" w:rsidRDefault="005D41CC" w:rsidP="005D41CC">
      <w:pPr>
        <w:rPr>
          <w:rFonts w:cstheme="minorHAnsi"/>
        </w:rPr>
      </w:pPr>
      <w:r w:rsidRPr="00E62F50">
        <w:rPr>
          <w:rFonts w:cstheme="minorHAnsi"/>
        </w:rPr>
        <w:t xml:space="preserve">Supplemental </w:t>
      </w:r>
      <w:r>
        <w:rPr>
          <w:rFonts w:cstheme="minorHAnsi"/>
        </w:rPr>
        <w:t>Table</w:t>
      </w:r>
      <w:r w:rsidRPr="00E62F50">
        <w:rPr>
          <w:rFonts w:cstheme="minorHAnsi"/>
        </w:rPr>
        <w:t xml:space="preserve"> </w:t>
      </w:r>
      <w:r>
        <w:rPr>
          <w:rFonts w:cstheme="minorHAnsi"/>
        </w:rPr>
        <w:t>3</w:t>
      </w:r>
      <w:r w:rsidRPr="00E62F50">
        <w:rPr>
          <w:rFonts w:cstheme="minorHAnsi"/>
        </w:rPr>
        <w:t>. Proportion of persons living with HIV and viral load suppression by antiretroviral drug regimen — Zambia</w:t>
      </w:r>
      <w:r>
        <w:rPr>
          <w:rFonts w:cstheme="minorHAnsi"/>
        </w:rPr>
        <w:t>, 2021</w:t>
      </w:r>
      <w:r w:rsidRPr="00E62F50">
        <w:rPr>
          <w:rFonts w:cstheme="minorHAnsi"/>
        </w:rPr>
        <w:t xml:space="preserve"> (N = </w:t>
      </w:r>
      <w:proofErr w:type="gramStart"/>
      <w:r w:rsidRPr="00E62F50">
        <w:rPr>
          <w:rFonts w:cstheme="minorHAnsi"/>
        </w:rPr>
        <w:t>1,745)*</w:t>
      </w:r>
      <w:proofErr w:type="gramEnd"/>
    </w:p>
    <w:tbl>
      <w:tblPr>
        <w:tblW w:w="5000" w:type="pct"/>
        <w:tblLook w:val="04A0" w:firstRow="1" w:lastRow="0" w:firstColumn="1" w:lastColumn="0" w:noHBand="0" w:noVBand="1"/>
      </w:tblPr>
      <w:tblGrid>
        <w:gridCol w:w="2546"/>
        <w:gridCol w:w="1598"/>
        <w:gridCol w:w="1598"/>
        <w:gridCol w:w="2115"/>
        <w:gridCol w:w="1503"/>
      </w:tblGrid>
      <w:tr w:rsidR="005D41CC" w:rsidRPr="0000736F" w14:paraId="6C4C8479" w14:textId="77777777" w:rsidTr="00EB3346">
        <w:trPr>
          <w:trHeight w:val="20"/>
        </w:trPr>
        <w:tc>
          <w:tcPr>
            <w:tcW w:w="1393" w:type="pct"/>
            <w:tcBorders>
              <w:top w:val="single" w:sz="4" w:space="0" w:color="auto"/>
              <w:left w:val="nil"/>
              <w:bottom w:val="single" w:sz="4" w:space="0" w:color="auto"/>
              <w:right w:val="nil"/>
            </w:tcBorders>
            <w:shd w:val="clear" w:color="auto" w:fill="auto"/>
            <w:hideMark/>
          </w:tcPr>
          <w:p w14:paraId="00539A8B" w14:textId="77777777" w:rsidR="005D41CC" w:rsidRPr="0000736F" w:rsidRDefault="005D41CC" w:rsidP="00EB3346">
            <w:pPr>
              <w:spacing w:after="0" w:line="240" w:lineRule="auto"/>
              <w:rPr>
                <w:rFonts w:ascii="Calibri" w:eastAsia="Times New Roman" w:hAnsi="Calibri" w:cs="Calibri"/>
                <w:color w:val="000000"/>
                <w:sz w:val="18"/>
                <w:szCs w:val="18"/>
              </w:rPr>
            </w:pPr>
            <w:r w:rsidRPr="0000736F">
              <w:rPr>
                <w:rFonts w:ascii="Calibri" w:eastAsia="Times New Roman" w:hAnsi="Calibri" w:cs="Calibri"/>
                <w:color w:val="000000"/>
                <w:sz w:val="18"/>
                <w:szCs w:val="18"/>
              </w:rPr>
              <w:t> </w:t>
            </w:r>
          </w:p>
        </w:tc>
        <w:tc>
          <w:tcPr>
            <w:tcW w:w="840" w:type="pct"/>
            <w:tcBorders>
              <w:top w:val="single" w:sz="4" w:space="0" w:color="auto"/>
              <w:left w:val="nil"/>
              <w:bottom w:val="single" w:sz="4" w:space="0" w:color="auto"/>
              <w:right w:val="nil"/>
            </w:tcBorders>
            <w:shd w:val="clear" w:color="auto" w:fill="auto"/>
            <w:vAlign w:val="center"/>
            <w:hideMark/>
          </w:tcPr>
          <w:p w14:paraId="225C6DB0" w14:textId="77777777" w:rsidR="005D41CC" w:rsidRPr="0000736F" w:rsidRDefault="005D41CC" w:rsidP="00EB3346">
            <w:pPr>
              <w:spacing w:after="0" w:line="240" w:lineRule="auto"/>
              <w:jc w:val="center"/>
              <w:rPr>
                <w:rFonts w:ascii="Calibri" w:eastAsia="Times New Roman" w:hAnsi="Calibri" w:cs="Calibri"/>
                <w:color w:val="000000"/>
                <w:sz w:val="18"/>
                <w:szCs w:val="18"/>
              </w:rPr>
            </w:pPr>
            <w:r w:rsidRPr="0000736F">
              <w:rPr>
                <w:rFonts w:ascii="Calibri" w:eastAsia="Times New Roman" w:hAnsi="Calibri" w:cs="Calibri"/>
                <w:color w:val="000000"/>
                <w:sz w:val="18"/>
                <w:szCs w:val="18"/>
              </w:rPr>
              <w:t xml:space="preserve">Proportion of PLHIV, </w:t>
            </w:r>
            <w:r w:rsidRPr="0000736F">
              <w:rPr>
                <w:rFonts w:ascii="Calibri" w:eastAsia="Times New Roman" w:hAnsi="Calibri" w:cs="Calibri"/>
                <w:color w:val="000000"/>
                <w:sz w:val="18"/>
                <w:szCs w:val="18"/>
              </w:rPr>
              <w:br/>
              <w:t>% (95% CI)</w:t>
            </w:r>
          </w:p>
        </w:tc>
        <w:tc>
          <w:tcPr>
            <w:tcW w:w="840" w:type="pct"/>
            <w:tcBorders>
              <w:top w:val="single" w:sz="4" w:space="0" w:color="auto"/>
              <w:left w:val="nil"/>
              <w:bottom w:val="single" w:sz="4" w:space="0" w:color="auto"/>
              <w:right w:val="nil"/>
            </w:tcBorders>
            <w:shd w:val="clear" w:color="auto" w:fill="auto"/>
            <w:vAlign w:val="center"/>
            <w:hideMark/>
          </w:tcPr>
          <w:p w14:paraId="4EE8AC57" w14:textId="77777777" w:rsidR="005D41CC" w:rsidRPr="0000736F" w:rsidRDefault="005D41CC" w:rsidP="00EB3346">
            <w:pPr>
              <w:spacing w:after="0" w:line="240" w:lineRule="auto"/>
              <w:jc w:val="center"/>
              <w:rPr>
                <w:rFonts w:ascii="Calibri" w:eastAsia="Times New Roman" w:hAnsi="Calibri" w:cs="Calibri"/>
                <w:color w:val="000000"/>
                <w:sz w:val="18"/>
                <w:szCs w:val="18"/>
              </w:rPr>
            </w:pPr>
            <w:r w:rsidRPr="0000736F">
              <w:rPr>
                <w:rFonts w:ascii="Calibri" w:eastAsia="Times New Roman" w:hAnsi="Calibri" w:cs="Calibri"/>
                <w:color w:val="000000"/>
                <w:sz w:val="18"/>
                <w:szCs w:val="18"/>
              </w:rPr>
              <w:t xml:space="preserve">VLS, </w:t>
            </w:r>
            <w:r w:rsidRPr="0000736F">
              <w:rPr>
                <w:rFonts w:ascii="Calibri" w:eastAsia="Times New Roman" w:hAnsi="Calibri" w:cs="Calibri"/>
                <w:color w:val="000000"/>
                <w:sz w:val="18"/>
                <w:szCs w:val="18"/>
              </w:rPr>
              <w:br/>
              <w:t>% (95% CI)</w:t>
            </w:r>
          </w:p>
        </w:tc>
        <w:tc>
          <w:tcPr>
            <w:tcW w:w="1142" w:type="pct"/>
            <w:tcBorders>
              <w:top w:val="single" w:sz="4" w:space="0" w:color="auto"/>
              <w:left w:val="nil"/>
              <w:bottom w:val="single" w:sz="4" w:space="0" w:color="auto"/>
              <w:right w:val="nil"/>
            </w:tcBorders>
            <w:shd w:val="clear" w:color="auto" w:fill="auto"/>
            <w:vAlign w:val="center"/>
            <w:hideMark/>
          </w:tcPr>
          <w:p w14:paraId="4F285EB2" w14:textId="77777777" w:rsidR="005D41CC" w:rsidRPr="0000736F" w:rsidRDefault="005D41CC" w:rsidP="00EB3346">
            <w:pPr>
              <w:spacing w:after="0" w:line="240" w:lineRule="auto"/>
              <w:jc w:val="center"/>
              <w:rPr>
                <w:rFonts w:ascii="Calibri" w:eastAsia="Times New Roman" w:hAnsi="Calibri" w:cs="Calibri"/>
                <w:color w:val="000000"/>
                <w:sz w:val="18"/>
                <w:szCs w:val="18"/>
              </w:rPr>
            </w:pPr>
            <w:r w:rsidRPr="0000736F">
              <w:rPr>
                <w:rFonts w:ascii="Calibri" w:eastAsia="Times New Roman" w:hAnsi="Calibri" w:cs="Calibri"/>
                <w:color w:val="000000"/>
                <w:sz w:val="18"/>
                <w:szCs w:val="18"/>
              </w:rPr>
              <w:t xml:space="preserve">OR </w:t>
            </w:r>
            <w:r w:rsidRPr="0000736F">
              <w:rPr>
                <w:rFonts w:ascii="Calibri" w:eastAsia="Times New Roman" w:hAnsi="Calibri" w:cs="Calibri"/>
                <w:color w:val="000000"/>
                <w:sz w:val="18"/>
                <w:szCs w:val="18"/>
              </w:rPr>
              <w:br/>
              <w:t>(95% CI)</w:t>
            </w:r>
          </w:p>
        </w:tc>
        <w:tc>
          <w:tcPr>
            <w:tcW w:w="786" w:type="pct"/>
            <w:tcBorders>
              <w:top w:val="single" w:sz="4" w:space="0" w:color="auto"/>
              <w:left w:val="nil"/>
              <w:bottom w:val="single" w:sz="4" w:space="0" w:color="auto"/>
              <w:right w:val="nil"/>
            </w:tcBorders>
            <w:shd w:val="clear" w:color="auto" w:fill="auto"/>
            <w:vAlign w:val="center"/>
            <w:hideMark/>
          </w:tcPr>
          <w:p w14:paraId="5AC5AB61" w14:textId="77777777" w:rsidR="005D41CC" w:rsidRPr="0000736F" w:rsidRDefault="005D41CC" w:rsidP="00EB3346">
            <w:pPr>
              <w:spacing w:after="0" w:line="240" w:lineRule="auto"/>
              <w:jc w:val="center"/>
              <w:rPr>
                <w:rFonts w:ascii="Calibri" w:eastAsia="Times New Roman" w:hAnsi="Calibri" w:cs="Calibri"/>
                <w:color w:val="000000"/>
                <w:sz w:val="18"/>
                <w:szCs w:val="18"/>
              </w:rPr>
            </w:pPr>
            <w:r w:rsidRPr="0000736F">
              <w:rPr>
                <w:rFonts w:ascii="Calibri" w:eastAsia="Times New Roman" w:hAnsi="Calibri" w:cs="Calibri"/>
                <w:color w:val="000000"/>
                <w:sz w:val="18"/>
                <w:szCs w:val="18"/>
              </w:rPr>
              <w:t>p-value for chi-square test</w:t>
            </w:r>
          </w:p>
        </w:tc>
      </w:tr>
      <w:tr w:rsidR="005D41CC" w:rsidRPr="0000736F" w14:paraId="5D39AFE1" w14:textId="77777777" w:rsidTr="00EB3346">
        <w:trPr>
          <w:trHeight w:val="20"/>
        </w:trPr>
        <w:tc>
          <w:tcPr>
            <w:tcW w:w="1393" w:type="pct"/>
            <w:tcBorders>
              <w:top w:val="nil"/>
              <w:left w:val="nil"/>
              <w:bottom w:val="nil"/>
              <w:right w:val="nil"/>
            </w:tcBorders>
            <w:shd w:val="clear" w:color="auto" w:fill="auto"/>
            <w:hideMark/>
          </w:tcPr>
          <w:p w14:paraId="4E8306CC" w14:textId="77777777" w:rsidR="005D41CC" w:rsidRPr="0000736F" w:rsidRDefault="005D41CC" w:rsidP="00EB3346">
            <w:pPr>
              <w:spacing w:after="0" w:line="240" w:lineRule="auto"/>
              <w:rPr>
                <w:rFonts w:ascii="Calibri" w:eastAsia="Times New Roman" w:hAnsi="Calibri" w:cs="Calibri"/>
                <w:color w:val="000000"/>
                <w:sz w:val="18"/>
                <w:szCs w:val="18"/>
              </w:rPr>
            </w:pPr>
            <w:r w:rsidRPr="0000736F">
              <w:rPr>
                <w:rFonts w:ascii="Calibri" w:eastAsia="Times New Roman" w:hAnsi="Calibri" w:cs="Calibri"/>
                <w:color w:val="000000"/>
                <w:sz w:val="18"/>
                <w:szCs w:val="18"/>
              </w:rPr>
              <w:t>ART regimen</w:t>
            </w:r>
          </w:p>
        </w:tc>
        <w:tc>
          <w:tcPr>
            <w:tcW w:w="840" w:type="pct"/>
            <w:tcBorders>
              <w:top w:val="nil"/>
              <w:left w:val="nil"/>
              <w:bottom w:val="nil"/>
              <w:right w:val="nil"/>
            </w:tcBorders>
            <w:shd w:val="clear" w:color="auto" w:fill="auto"/>
            <w:noWrap/>
            <w:hideMark/>
          </w:tcPr>
          <w:p w14:paraId="13A8AF3B" w14:textId="77777777" w:rsidR="005D41CC" w:rsidRPr="0000736F" w:rsidRDefault="005D41CC" w:rsidP="00EB3346">
            <w:pPr>
              <w:spacing w:after="0" w:line="240" w:lineRule="auto"/>
              <w:rPr>
                <w:rFonts w:ascii="Calibri" w:eastAsia="Times New Roman" w:hAnsi="Calibri" w:cs="Calibri"/>
                <w:color w:val="000000"/>
                <w:sz w:val="18"/>
                <w:szCs w:val="18"/>
              </w:rPr>
            </w:pPr>
          </w:p>
        </w:tc>
        <w:tc>
          <w:tcPr>
            <w:tcW w:w="840" w:type="pct"/>
            <w:tcBorders>
              <w:top w:val="nil"/>
              <w:left w:val="nil"/>
              <w:bottom w:val="nil"/>
              <w:right w:val="nil"/>
            </w:tcBorders>
            <w:shd w:val="clear" w:color="auto" w:fill="auto"/>
            <w:noWrap/>
            <w:hideMark/>
          </w:tcPr>
          <w:p w14:paraId="49572C38" w14:textId="77777777" w:rsidR="005D41CC" w:rsidRPr="0000736F" w:rsidRDefault="005D41CC" w:rsidP="00EB3346">
            <w:pPr>
              <w:spacing w:after="0" w:line="240" w:lineRule="auto"/>
              <w:jc w:val="right"/>
              <w:rPr>
                <w:rFonts w:ascii="Times New Roman" w:eastAsia="Times New Roman" w:hAnsi="Times New Roman" w:cs="Times New Roman"/>
                <w:sz w:val="20"/>
                <w:szCs w:val="20"/>
              </w:rPr>
            </w:pPr>
          </w:p>
        </w:tc>
        <w:tc>
          <w:tcPr>
            <w:tcW w:w="1142" w:type="pct"/>
            <w:tcBorders>
              <w:top w:val="nil"/>
              <w:left w:val="nil"/>
              <w:bottom w:val="nil"/>
              <w:right w:val="nil"/>
            </w:tcBorders>
            <w:shd w:val="clear" w:color="auto" w:fill="auto"/>
            <w:noWrap/>
            <w:hideMark/>
          </w:tcPr>
          <w:p w14:paraId="30484C9E" w14:textId="77777777" w:rsidR="005D41CC" w:rsidRPr="0000736F" w:rsidRDefault="005D41CC" w:rsidP="00EB3346">
            <w:pPr>
              <w:spacing w:after="0" w:line="240" w:lineRule="auto"/>
              <w:rPr>
                <w:rFonts w:ascii="Times New Roman" w:eastAsia="Times New Roman" w:hAnsi="Times New Roman" w:cs="Times New Roman"/>
                <w:sz w:val="20"/>
                <w:szCs w:val="20"/>
              </w:rPr>
            </w:pPr>
          </w:p>
        </w:tc>
        <w:tc>
          <w:tcPr>
            <w:tcW w:w="786" w:type="pct"/>
            <w:tcBorders>
              <w:top w:val="nil"/>
              <w:left w:val="nil"/>
              <w:bottom w:val="nil"/>
              <w:right w:val="nil"/>
            </w:tcBorders>
            <w:shd w:val="clear" w:color="auto" w:fill="auto"/>
            <w:noWrap/>
            <w:hideMark/>
          </w:tcPr>
          <w:p w14:paraId="60B00EEE"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&lt;0.01</w:t>
            </w:r>
          </w:p>
        </w:tc>
      </w:tr>
      <w:tr w:rsidR="005D41CC" w:rsidRPr="0000736F" w14:paraId="112AD640" w14:textId="77777777" w:rsidTr="00EB3346">
        <w:trPr>
          <w:trHeight w:val="20"/>
        </w:trPr>
        <w:tc>
          <w:tcPr>
            <w:tcW w:w="1393" w:type="pct"/>
            <w:tcBorders>
              <w:top w:val="nil"/>
              <w:left w:val="nil"/>
              <w:bottom w:val="nil"/>
              <w:right w:val="nil"/>
            </w:tcBorders>
            <w:shd w:val="clear" w:color="auto" w:fill="auto"/>
            <w:hideMark/>
          </w:tcPr>
          <w:p w14:paraId="091D2867" w14:textId="77777777" w:rsidR="005D41CC" w:rsidRPr="0000736F" w:rsidRDefault="005D41CC" w:rsidP="00EB3346">
            <w:pPr>
              <w:spacing w:after="0" w:line="240" w:lineRule="auto"/>
              <w:rPr>
                <w:rFonts w:ascii="Calibri" w:eastAsia="Times New Roman" w:hAnsi="Calibri" w:cs="Calibri"/>
                <w:color w:val="000000"/>
                <w:sz w:val="18"/>
                <w:szCs w:val="18"/>
              </w:rPr>
            </w:pPr>
            <w:r w:rsidRPr="0000736F">
              <w:rPr>
                <w:rFonts w:ascii="Calibri" w:eastAsia="Times New Roman" w:hAnsi="Calibri" w:cs="Calibri"/>
                <w:color w:val="000000"/>
                <w:sz w:val="18"/>
                <w:szCs w:val="18"/>
              </w:rPr>
              <w:t xml:space="preserve">   Dolutegravir-based regimens</w:t>
            </w:r>
          </w:p>
        </w:tc>
        <w:tc>
          <w:tcPr>
            <w:tcW w:w="840" w:type="pct"/>
            <w:tcBorders>
              <w:top w:val="nil"/>
              <w:left w:val="nil"/>
              <w:bottom w:val="nil"/>
              <w:right w:val="nil"/>
            </w:tcBorders>
            <w:shd w:val="clear" w:color="auto" w:fill="auto"/>
            <w:noWrap/>
            <w:hideMark/>
          </w:tcPr>
          <w:p w14:paraId="3EA3ACD8"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8.6 (6.0-11.1)</w:t>
            </w:r>
          </w:p>
        </w:tc>
        <w:tc>
          <w:tcPr>
            <w:tcW w:w="840" w:type="pct"/>
            <w:tcBorders>
              <w:top w:val="nil"/>
              <w:left w:val="nil"/>
              <w:bottom w:val="nil"/>
              <w:right w:val="nil"/>
            </w:tcBorders>
            <w:shd w:val="clear" w:color="auto" w:fill="auto"/>
            <w:noWrap/>
            <w:hideMark/>
          </w:tcPr>
          <w:p w14:paraId="282AA181"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98.7 (97.9-99.3)</w:t>
            </w:r>
          </w:p>
        </w:tc>
        <w:tc>
          <w:tcPr>
            <w:tcW w:w="1142" w:type="pct"/>
            <w:tcBorders>
              <w:top w:val="nil"/>
              <w:left w:val="nil"/>
              <w:bottom w:val="nil"/>
              <w:right w:val="nil"/>
            </w:tcBorders>
            <w:shd w:val="clear" w:color="auto" w:fill="auto"/>
            <w:noWrap/>
            <w:hideMark/>
          </w:tcPr>
          <w:p w14:paraId="06828CD6"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4.91 (2.05-11.76)</w:t>
            </w:r>
          </w:p>
        </w:tc>
        <w:tc>
          <w:tcPr>
            <w:tcW w:w="786" w:type="pct"/>
            <w:tcBorders>
              <w:top w:val="nil"/>
              <w:left w:val="nil"/>
              <w:bottom w:val="nil"/>
              <w:right w:val="nil"/>
            </w:tcBorders>
            <w:shd w:val="clear" w:color="auto" w:fill="auto"/>
            <w:noWrap/>
            <w:hideMark/>
          </w:tcPr>
          <w:p w14:paraId="59619F58" w14:textId="77777777" w:rsidR="005D41CC" w:rsidRPr="0000736F" w:rsidRDefault="005D41CC" w:rsidP="00EB3346">
            <w:pPr>
              <w:spacing w:after="0" w:line="240" w:lineRule="auto"/>
              <w:jc w:val="right"/>
              <w:rPr>
                <w:rFonts w:ascii="Calibri" w:eastAsia="Times New Roman" w:hAnsi="Calibri" w:cs="Calibri"/>
                <w:color w:val="000000"/>
                <w:sz w:val="18"/>
                <w:szCs w:val="18"/>
              </w:rPr>
            </w:pPr>
          </w:p>
        </w:tc>
      </w:tr>
      <w:tr w:rsidR="005D41CC" w:rsidRPr="0000736F" w14:paraId="0F2ACBED" w14:textId="77777777" w:rsidTr="00EB3346">
        <w:trPr>
          <w:trHeight w:val="20"/>
        </w:trPr>
        <w:tc>
          <w:tcPr>
            <w:tcW w:w="1393" w:type="pct"/>
            <w:tcBorders>
              <w:top w:val="nil"/>
              <w:left w:val="nil"/>
              <w:bottom w:val="single" w:sz="4" w:space="0" w:color="auto"/>
              <w:right w:val="nil"/>
            </w:tcBorders>
            <w:shd w:val="clear" w:color="auto" w:fill="auto"/>
            <w:hideMark/>
          </w:tcPr>
          <w:p w14:paraId="336A2294" w14:textId="77777777" w:rsidR="005D41CC" w:rsidRPr="0000736F" w:rsidRDefault="005D41CC" w:rsidP="00EB3346">
            <w:pPr>
              <w:spacing w:after="0" w:line="240" w:lineRule="auto"/>
              <w:rPr>
                <w:rFonts w:ascii="Calibri" w:eastAsia="Times New Roman" w:hAnsi="Calibri" w:cs="Calibri"/>
                <w:color w:val="000000"/>
                <w:sz w:val="18"/>
                <w:szCs w:val="18"/>
              </w:rPr>
            </w:pPr>
            <w:r w:rsidRPr="0000736F">
              <w:rPr>
                <w:rFonts w:ascii="Calibri" w:eastAsia="Times New Roman" w:hAnsi="Calibri" w:cs="Calibri"/>
                <w:color w:val="000000"/>
                <w:sz w:val="18"/>
                <w:szCs w:val="18"/>
              </w:rPr>
              <w:t xml:space="preserve">   Other regimens</w:t>
            </w:r>
            <w:r>
              <w:rPr>
                <w:rFonts w:ascii="Calibri" w:eastAsia="Times New Roman" w:hAnsi="Calibri" w:cs="Calibri"/>
                <w:color w:val="000000"/>
                <w:sz w:val="18"/>
                <w:szCs w:val="18"/>
                <w:vertAlign w:val="superscript"/>
              </w:rPr>
              <w:t>†</w:t>
            </w:r>
          </w:p>
        </w:tc>
        <w:tc>
          <w:tcPr>
            <w:tcW w:w="840" w:type="pct"/>
            <w:tcBorders>
              <w:top w:val="nil"/>
              <w:left w:val="nil"/>
              <w:bottom w:val="single" w:sz="4" w:space="0" w:color="auto"/>
              <w:right w:val="nil"/>
            </w:tcBorders>
            <w:shd w:val="clear" w:color="auto" w:fill="auto"/>
            <w:noWrap/>
            <w:hideMark/>
          </w:tcPr>
          <w:p w14:paraId="09BD4CA1"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91.4 (88.9-94.0)</w:t>
            </w:r>
          </w:p>
        </w:tc>
        <w:tc>
          <w:tcPr>
            <w:tcW w:w="840" w:type="pct"/>
            <w:tcBorders>
              <w:top w:val="nil"/>
              <w:left w:val="nil"/>
              <w:bottom w:val="single" w:sz="4" w:space="0" w:color="auto"/>
              <w:right w:val="nil"/>
            </w:tcBorders>
            <w:shd w:val="clear" w:color="auto" w:fill="auto"/>
            <w:noWrap/>
            <w:hideMark/>
          </w:tcPr>
          <w:p w14:paraId="3E316D31"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94.1 (88.5-97.5)</w:t>
            </w:r>
          </w:p>
        </w:tc>
        <w:tc>
          <w:tcPr>
            <w:tcW w:w="1142" w:type="pct"/>
            <w:tcBorders>
              <w:top w:val="nil"/>
              <w:left w:val="nil"/>
              <w:bottom w:val="single" w:sz="4" w:space="0" w:color="auto"/>
              <w:right w:val="nil"/>
            </w:tcBorders>
            <w:shd w:val="clear" w:color="auto" w:fill="auto"/>
            <w:noWrap/>
            <w:hideMark/>
          </w:tcPr>
          <w:p w14:paraId="0936CD31"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 xml:space="preserve">Ref. </w:t>
            </w:r>
          </w:p>
        </w:tc>
        <w:tc>
          <w:tcPr>
            <w:tcW w:w="786" w:type="pct"/>
            <w:tcBorders>
              <w:top w:val="nil"/>
              <w:left w:val="nil"/>
              <w:bottom w:val="single" w:sz="4" w:space="0" w:color="auto"/>
              <w:right w:val="nil"/>
            </w:tcBorders>
            <w:shd w:val="clear" w:color="auto" w:fill="auto"/>
            <w:noWrap/>
            <w:hideMark/>
          </w:tcPr>
          <w:p w14:paraId="166A82DB" w14:textId="77777777" w:rsidR="005D41CC" w:rsidRPr="0000736F" w:rsidRDefault="005D41CC" w:rsidP="00EB3346">
            <w:pPr>
              <w:spacing w:after="0" w:line="240" w:lineRule="auto"/>
              <w:jc w:val="right"/>
              <w:rPr>
                <w:rFonts w:ascii="Calibri" w:eastAsia="Times New Roman" w:hAnsi="Calibri" w:cs="Calibri"/>
                <w:color w:val="000000"/>
                <w:sz w:val="18"/>
                <w:szCs w:val="18"/>
              </w:rPr>
            </w:pPr>
            <w:r w:rsidRPr="0000736F">
              <w:rPr>
                <w:rFonts w:ascii="Calibri" w:eastAsia="Times New Roman" w:hAnsi="Calibri" w:cs="Calibri"/>
                <w:color w:val="000000"/>
                <w:sz w:val="18"/>
                <w:szCs w:val="18"/>
              </w:rPr>
              <w:t> </w:t>
            </w:r>
          </w:p>
        </w:tc>
      </w:tr>
      <w:tr w:rsidR="005D41CC" w:rsidRPr="0000736F" w14:paraId="66CA7762" w14:textId="77777777" w:rsidTr="00EB3346">
        <w:trPr>
          <w:trHeight w:val="20"/>
        </w:trPr>
        <w:tc>
          <w:tcPr>
            <w:tcW w:w="5000" w:type="pct"/>
            <w:gridSpan w:val="5"/>
            <w:tcBorders>
              <w:top w:val="nil"/>
              <w:left w:val="nil"/>
              <w:bottom w:val="single" w:sz="4" w:space="0" w:color="auto"/>
              <w:right w:val="nil"/>
            </w:tcBorders>
            <w:shd w:val="clear" w:color="auto" w:fill="auto"/>
            <w:noWrap/>
            <w:vAlign w:val="bottom"/>
            <w:hideMark/>
          </w:tcPr>
          <w:p w14:paraId="77DDF7B2" w14:textId="77777777" w:rsidR="005D41CC" w:rsidRDefault="005D41CC" w:rsidP="00EB334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 ART regimen was determined by measuring ARV metabolites in participants’ blood. ARV assays tested for </w:t>
            </w:r>
            <w:r w:rsidRPr="00B76847">
              <w:rPr>
                <w:rFonts w:ascii="Calibri" w:eastAsia="Times New Roman" w:hAnsi="Calibri" w:cs="Calibri"/>
                <w:color w:val="000000"/>
                <w:sz w:val="18"/>
                <w:szCs w:val="18"/>
              </w:rPr>
              <w:t>atazanavir,</w:t>
            </w:r>
            <w:r>
              <w:rPr>
                <w:rFonts w:ascii="Calibri" w:eastAsia="Times New Roman" w:hAnsi="Calibri" w:cs="Calibri"/>
                <w:color w:val="000000"/>
                <w:sz w:val="18"/>
                <w:szCs w:val="18"/>
              </w:rPr>
              <w:t xml:space="preserve"> </w:t>
            </w:r>
            <w:r w:rsidRPr="00B76847">
              <w:rPr>
                <w:rFonts w:ascii="Calibri" w:eastAsia="Times New Roman" w:hAnsi="Calibri" w:cs="Calibri"/>
                <w:color w:val="000000"/>
                <w:sz w:val="18"/>
                <w:szCs w:val="18"/>
              </w:rPr>
              <w:t>dolutegravir</w:t>
            </w:r>
            <w:r>
              <w:rPr>
                <w:rFonts w:ascii="Calibri" w:eastAsia="Times New Roman" w:hAnsi="Calibri" w:cs="Calibri"/>
                <w:color w:val="000000"/>
                <w:sz w:val="18"/>
                <w:szCs w:val="18"/>
              </w:rPr>
              <w:t xml:space="preserve">, </w:t>
            </w:r>
            <w:r w:rsidRPr="00B76847">
              <w:rPr>
                <w:rFonts w:ascii="Calibri" w:eastAsia="Times New Roman" w:hAnsi="Calibri" w:cs="Calibri"/>
                <w:color w:val="000000"/>
                <w:sz w:val="18"/>
                <w:szCs w:val="18"/>
              </w:rPr>
              <w:t>efavirenz</w:t>
            </w:r>
            <w:r>
              <w:rPr>
                <w:rFonts w:ascii="Calibri" w:eastAsia="Times New Roman" w:hAnsi="Calibri" w:cs="Calibri"/>
                <w:color w:val="000000"/>
                <w:sz w:val="18"/>
                <w:szCs w:val="18"/>
              </w:rPr>
              <w:t xml:space="preserve">, </w:t>
            </w:r>
            <w:r w:rsidRPr="00B76847">
              <w:rPr>
                <w:rFonts w:ascii="Calibri" w:eastAsia="Times New Roman" w:hAnsi="Calibri" w:cs="Calibri"/>
                <w:color w:val="000000"/>
                <w:sz w:val="18"/>
                <w:szCs w:val="18"/>
              </w:rPr>
              <w:t>lopinavir, and nevirapine</w:t>
            </w:r>
            <w:r>
              <w:rPr>
                <w:rFonts w:ascii="Calibri" w:eastAsia="Times New Roman" w:hAnsi="Calibri" w:cs="Calibri"/>
                <w:color w:val="000000"/>
                <w:sz w:val="18"/>
                <w:szCs w:val="18"/>
              </w:rPr>
              <w:t>. Analysis includes PLHIV on ART with a single ARV metabolite detected in their blood. Four-hundred sixty participants were excluded from this analysis, including 256 PLHIV who were unaware of their HIV status and did not have ARVs detected in their blood, 119 PLHIV aware but with no ARV metabolites tested for detected, 84 PLHIV with 2 ARVs detected in their blood (</w:t>
            </w:r>
            <w:r w:rsidRPr="008241D2">
              <w:rPr>
                <w:rFonts w:ascii="Calibri" w:eastAsia="Times New Roman" w:hAnsi="Calibri" w:cs="Calibri"/>
                <w:color w:val="000000"/>
                <w:sz w:val="18"/>
                <w:szCs w:val="18"/>
              </w:rPr>
              <w:t xml:space="preserve">76 with </w:t>
            </w:r>
            <w:r>
              <w:rPr>
                <w:rFonts w:ascii="Calibri" w:eastAsia="Times New Roman" w:hAnsi="Calibri" w:cs="Calibri"/>
                <w:color w:val="000000"/>
                <w:sz w:val="18"/>
                <w:szCs w:val="18"/>
              </w:rPr>
              <w:t>dolutegravir</w:t>
            </w:r>
            <w:r w:rsidRPr="008241D2">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and</w:t>
            </w:r>
            <w:r w:rsidRPr="008241D2">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efavirenz,</w:t>
            </w:r>
            <w:r w:rsidRPr="008241D2">
              <w:rPr>
                <w:rFonts w:ascii="Calibri" w:eastAsia="Times New Roman" w:hAnsi="Calibri" w:cs="Calibri"/>
                <w:color w:val="000000"/>
                <w:sz w:val="18"/>
                <w:szCs w:val="18"/>
              </w:rPr>
              <w:t xml:space="preserve"> 7 with </w:t>
            </w:r>
            <w:r>
              <w:rPr>
                <w:rFonts w:ascii="Calibri" w:eastAsia="Times New Roman" w:hAnsi="Calibri" w:cs="Calibri"/>
                <w:color w:val="000000"/>
                <w:sz w:val="18"/>
                <w:szCs w:val="18"/>
              </w:rPr>
              <w:t>dolutegravir</w:t>
            </w:r>
            <w:r w:rsidRPr="008241D2">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and</w:t>
            </w:r>
            <w:r w:rsidRPr="008241D2">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nevirapine</w:t>
            </w:r>
            <w:r w:rsidRPr="008241D2">
              <w:rPr>
                <w:rFonts w:ascii="Calibri" w:eastAsia="Times New Roman" w:hAnsi="Calibri" w:cs="Calibri"/>
                <w:color w:val="000000"/>
                <w:sz w:val="18"/>
                <w:szCs w:val="18"/>
              </w:rPr>
              <w:t xml:space="preserve">, and 1 with </w:t>
            </w:r>
            <w:r>
              <w:rPr>
                <w:rFonts w:ascii="Calibri" w:eastAsia="Times New Roman" w:hAnsi="Calibri" w:cs="Calibri"/>
                <w:color w:val="000000"/>
                <w:sz w:val="18"/>
                <w:szCs w:val="18"/>
              </w:rPr>
              <w:t>dolutegravir</w:t>
            </w:r>
            <w:r w:rsidRPr="008241D2">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and</w:t>
            </w:r>
            <w:r w:rsidRPr="008241D2">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atazanavir) and 1 PLHIV with missing data.</w:t>
            </w:r>
          </w:p>
          <w:p w14:paraId="19745523" w14:textId="77777777" w:rsidR="005D41CC" w:rsidRPr="00BD1E12" w:rsidRDefault="005D41CC" w:rsidP="00EB334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vertAlign w:val="superscript"/>
              </w:rPr>
              <w:t xml:space="preserve">† </w:t>
            </w:r>
            <w:r>
              <w:rPr>
                <w:rFonts w:ascii="Calibri" w:eastAsia="Times New Roman" w:hAnsi="Calibri" w:cs="Calibri"/>
                <w:color w:val="000000"/>
                <w:sz w:val="18"/>
                <w:szCs w:val="18"/>
              </w:rPr>
              <w:t xml:space="preserve">Persons with </w:t>
            </w:r>
            <w:r w:rsidRPr="00B76847">
              <w:rPr>
                <w:rFonts w:ascii="Calibri" w:eastAsia="Times New Roman" w:hAnsi="Calibri" w:cs="Calibri"/>
                <w:color w:val="000000"/>
                <w:sz w:val="18"/>
                <w:szCs w:val="18"/>
              </w:rPr>
              <w:t>atazanavir,</w:t>
            </w:r>
            <w:r>
              <w:rPr>
                <w:rFonts w:ascii="Calibri" w:eastAsia="Times New Roman" w:hAnsi="Calibri" w:cs="Calibri"/>
                <w:color w:val="000000"/>
                <w:sz w:val="18"/>
                <w:szCs w:val="18"/>
              </w:rPr>
              <w:t xml:space="preserve"> </w:t>
            </w:r>
            <w:r w:rsidRPr="00B76847">
              <w:rPr>
                <w:rFonts w:ascii="Calibri" w:eastAsia="Times New Roman" w:hAnsi="Calibri" w:cs="Calibri"/>
                <w:color w:val="000000"/>
                <w:sz w:val="18"/>
                <w:szCs w:val="18"/>
              </w:rPr>
              <w:t>efavirenz</w:t>
            </w:r>
            <w:r>
              <w:rPr>
                <w:rFonts w:ascii="Calibri" w:eastAsia="Times New Roman" w:hAnsi="Calibri" w:cs="Calibri"/>
                <w:color w:val="000000"/>
                <w:sz w:val="18"/>
                <w:szCs w:val="18"/>
              </w:rPr>
              <w:t xml:space="preserve">, </w:t>
            </w:r>
            <w:r w:rsidRPr="00B76847">
              <w:rPr>
                <w:rFonts w:ascii="Calibri" w:eastAsia="Times New Roman" w:hAnsi="Calibri" w:cs="Calibri"/>
                <w:color w:val="000000"/>
                <w:sz w:val="18"/>
                <w:szCs w:val="18"/>
              </w:rPr>
              <w:t xml:space="preserve">lopinavir, </w:t>
            </w:r>
            <w:r>
              <w:rPr>
                <w:rFonts w:ascii="Calibri" w:eastAsia="Times New Roman" w:hAnsi="Calibri" w:cs="Calibri"/>
                <w:color w:val="000000"/>
                <w:sz w:val="18"/>
                <w:szCs w:val="18"/>
              </w:rPr>
              <w:t>or</w:t>
            </w:r>
            <w:r w:rsidRPr="00B76847">
              <w:rPr>
                <w:rFonts w:ascii="Calibri" w:eastAsia="Times New Roman" w:hAnsi="Calibri" w:cs="Calibri"/>
                <w:color w:val="000000"/>
                <w:sz w:val="18"/>
                <w:szCs w:val="18"/>
              </w:rPr>
              <w:t xml:space="preserve"> nevirapine</w:t>
            </w:r>
            <w:r>
              <w:rPr>
                <w:rFonts w:ascii="Calibri" w:eastAsia="Times New Roman" w:hAnsi="Calibri" w:cs="Calibri"/>
                <w:color w:val="000000"/>
                <w:sz w:val="18"/>
                <w:szCs w:val="18"/>
              </w:rPr>
              <w:t xml:space="preserve"> detected were grouped together given sample size.</w:t>
            </w:r>
          </w:p>
          <w:p w14:paraId="1EF2E1BB" w14:textId="77777777" w:rsidR="005D41CC" w:rsidRPr="0000736F" w:rsidRDefault="005D41CC" w:rsidP="00EB334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ART: antiretroviral therapy; ARV: antiretroviral; </w:t>
            </w:r>
            <w:r>
              <w:rPr>
                <w:rFonts w:eastAsia="Times New Roman" w:cstheme="minorHAnsi"/>
                <w:color w:val="000000"/>
                <w:sz w:val="18"/>
                <w:szCs w:val="18"/>
              </w:rPr>
              <w:t xml:space="preserve">CI: confidence interval; OR: odds ratio; </w:t>
            </w:r>
            <w:r>
              <w:rPr>
                <w:rFonts w:ascii="Calibri" w:eastAsia="Times New Roman" w:hAnsi="Calibri" w:cs="Calibri"/>
                <w:color w:val="000000"/>
                <w:sz w:val="18"/>
                <w:szCs w:val="18"/>
              </w:rPr>
              <w:t xml:space="preserve">PLHIV: persons living with HIV; </w:t>
            </w:r>
            <w:r>
              <w:rPr>
                <w:rFonts w:eastAsia="Times New Roman" w:cstheme="minorHAnsi"/>
                <w:color w:val="000000"/>
                <w:sz w:val="18"/>
                <w:szCs w:val="18"/>
              </w:rPr>
              <w:t>VLS: viral load suppression</w:t>
            </w:r>
          </w:p>
        </w:tc>
      </w:tr>
    </w:tbl>
    <w:p w14:paraId="0052CA24" w14:textId="77777777" w:rsidR="005D41CC" w:rsidRPr="00C10431" w:rsidRDefault="005D41CC" w:rsidP="005D41CC">
      <w:pPr>
        <w:rPr>
          <w:rFonts w:cstheme="minorHAnsi"/>
          <w:sz w:val="20"/>
          <w:szCs w:val="20"/>
        </w:rPr>
      </w:pPr>
    </w:p>
    <w:p w14:paraId="553BB1A6" w14:textId="77777777" w:rsidR="00D11E39" w:rsidRDefault="00D11E39"/>
    <w:sectPr w:rsidR="00D11E39" w:rsidSect="00C76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CC"/>
    <w:rsid w:val="00167544"/>
    <w:rsid w:val="004E6AE5"/>
    <w:rsid w:val="005D41CC"/>
    <w:rsid w:val="00A63A26"/>
    <w:rsid w:val="00D11E39"/>
    <w:rsid w:val="00DF7723"/>
    <w:rsid w:val="00F4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DFE5"/>
  <w15:chartTrackingRefBased/>
  <w15:docId w15:val="{A2B145C9-7A34-46BA-BEB3-708C4498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44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1150</Characters>
  <Application>Microsoft Office Word</Application>
  <DocSecurity>0</DocSecurity>
  <Lines>9</Lines>
  <Paragraphs>2</Paragraphs>
  <ScaleCrop>false</ScaleCrop>
  <Company>Centers for Disease Control and Prevention</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Hines</dc:creator>
  <cp:keywords/>
  <dc:description/>
  <cp:lastModifiedBy>Hines, Jonas (CDC/GHC/DGHP)</cp:lastModifiedBy>
  <cp:revision>6</cp:revision>
  <dcterms:created xsi:type="dcterms:W3CDTF">2023-12-16T15:10:00Z</dcterms:created>
  <dcterms:modified xsi:type="dcterms:W3CDTF">2023-12-19T17:31:00Z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2023-09-07T12:11:13Z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d49875ec-7c30-4b62-b1a4-d2a57234ece8</vt:lpwstr>
  </property>
  <property fmtid="{D5CDD505-2E9C-101B-9397-08002B2CF9AE}" pid="8" name="MSIP_Label_7b94a7b8-f06c-4dfe-bdcc-9b548fd58c31_ContentBits">
    <vt:lpwstr>0</vt:lpwstr>
  </property>
</Properties>
</file>