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59CD4" w14:textId="26B2FBE8" w:rsidR="00F85528" w:rsidRDefault="00F85528" w:rsidP="00463869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Supplementary </w:t>
      </w:r>
      <w:r w:rsidR="003D417E">
        <w:rPr>
          <w:b/>
          <w:bCs/>
        </w:rPr>
        <w:t>information</w:t>
      </w:r>
    </w:p>
    <w:p w14:paraId="48CBB6B8" w14:textId="1B3230C4" w:rsidR="00064959" w:rsidRPr="00995B69" w:rsidRDefault="00DE2137" w:rsidP="00463869">
      <w:pPr>
        <w:spacing w:line="480" w:lineRule="auto"/>
        <w:jc w:val="center"/>
        <w:rPr>
          <w:b/>
          <w:bCs/>
        </w:rPr>
      </w:pPr>
      <w:r>
        <w:rPr>
          <w:b/>
          <w:bCs/>
        </w:rPr>
        <w:t xml:space="preserve">Comparing </w:t>
      </w:r>
      <w:r w:rsidR="00CA1A7E">
        <w:rPr>
          <w:b/>
          <w:bCs/>
        </w:rPr>
        <w:t xml:space="preserve">the </w:t>
      </w:r>
      <w:r>
        <w:rPr>
          <w:b/>
          <w:bCs/>
        </w:rPr>
        <w:t xml:space="preserve">performance of </w:t>
      </w:r>
      <w:r w:rsidR="00523029">
        <w:rPr>
          <w:b/>
          <w:bCs/>
        </w:rPr>
        <w:t>year-round</w:t>
      </w:r>
      <w:r w:rsidR="00846066">
        <w:rPr>
          <w:b/>
          <w:bCs/>
        </w:rPr>
        <w:t xml:space="preserve"> and campaign</w:t>
      </w:r>
      <w:r w:rsidR="00D817B3">
        <w:rPr>
          <w:b/>
          <w:bCs/>
        </w:rPr>
        <w:t xml:space="preserve">-mode </w:t>
      </w:r>
      <w:r w:rsidR="00AF5C65">
        <w:rPr>
          <w:b/>
          <w:bCs/>
        </w:rPr>
        <w:t xml:space="preserve">influenza vaccination </w:t>
      </w:r>
      <w:r w:rsidR="00846066">
        <w:rPr>
          <w:b/>
          <w:bCs/>
        </w:rPr>
        <w:t>strateg</w:t>
      </w:r>
      <w:r>
        <w:rPr>
          <w:b/>
          <w:bCs/>
        </w:rPr>
        <w:t>ies</w:t>
      </w:r>
      <w:r w:rsidR="00846066">
        <w:rPr>
          <w:b/>
          <w:bCs/>
        </w:rPr>
        <w:t xml:space="preserve"> </w:t>
      </w:r>
      <w:r w:rsidR="009034C4">
        <w:rPr>
          <w:b/>
          <w:bCs/>
        </w:rPr>
        <w:t xml:space="preserve">among </w:t>
      </w:r>
      <w:r w:rsidR="00C03EC6">
        <w:rPr>
          <w:b/>
          <w:bCs/>
        </w:rPr>
        <w:t xml:space="preserve">children </w:t>
      </w:r>
      <w:r w:rsidR="00D817B3">
        <w:rPr>
          <w:b/>
          <w:bCs/>
        </w:rPr>
        <w:t>aged 6-23 months i</w:t>
      </w:r>
      <w:r w:rsidR="00846066">
        <w:rPr>
          <w:b/>
          <w:bCs/>
        </w:rPr>
        <w:t>n Kenya</w:t>
      </w:r>
      <w:r w:rsidR="00995B69" w:rsidRPr="00995B69">
        <w:rPr>
          <w:b/>
          <w:bCs/>
        </w:rPr>
        <w:t xml:space="preserve">: </w:t>
      </w:r>
      <w:r w:rsidR="00FB4AD7" w:rsidRPr="00995B69">
        <w:rPr>
          <w:b/>
          <w:bCs/>
        </w:rPr>
        <w:t>2019 – 2021</w:t>
      </w:r>
    </w:p>
    <w:p w14:paraId="792157A4" w14:textId="3EDA05A4" w:rsidR="00354E7A" w:rsidRPr="00BF60DD" w:rsidRDefault="00354E7A" w:rsidP="00354E7A">
      <w:pPr>
        <w:spacing w:line="480" w:lineRule="auto"/>
      </w:pPr>
      <w:bookmarkStart w:id="0" w:name="_Hlk115444370"/>
      <w:r w:rsidRPr="00BF60DD">
        <w:t>Jeanette Dawa, Rose Jalang’o, Harriet Mirieri, Rosalia Kalani, Doris Marwanga, Kathryn E</w:t>
      </w:r>
      <w:r w:rsidR="00094B18">
        <w:t>.</w:t>
      </w:r>
      <w:r w:rsidRPr="00BF60DD">
        <w:t xml:space="preserve"> Lafond, Mary Margaret Njenga, Joyce </w:t>
      </w:r>
      <w:proofErr w:type="spellStart"/>
      <w:r w:rsidRPr="00BF60DD">
        <w:t>Ejoi</w:t>
      </w:r>
      <w:proofErr w:type="spellEnd"/>
      <w:r w:rsidRPr="00BF60DD">
        <w:t xml:space="preserve">, Faith </w:t>
      </w:r>
      <w:proofErr w:type="spellStart"/>
      <w:r w:rsidRPr="00BF60DD">
        <w:t>Chiguba</w:t>
      </w:r>
      <w:proofErr w:type="spellEnd"/>
      <w:r w:rsidRPr="00BF60DD">
        <w:t>, Shem Patta, Patrick Amoth, Emmanuel Okunga, Collins Tabu, Sandra S. Chaves, Malembe S. Ebama, Philip Muthoka, Virginia Njenga, Elizabeth Kiptoo, Isaac Jewa, Raphael Mwanyamawi, Joseph Bresee, M Kariuki Njenga, Eric Osoro, Lucy Mecca, Gideon O. Emukule</w:t>
      </w:r>
    </w:p>
    <w:bookmarkEnd w:id="0"/>
    <w:p w14:paraId="47BD5844" w14:textId="77777777" w:rsidR="00F85528" w:rsidRPr="009520D8" w:rsidRDefault="00F85528" w:rsidP="00463869">
      <w:pPr>
        <w:spacing w:line="480" w:lineRule="auto"/>
        <w:rPr>
          <w:rFonts w:eastAsiaTheme="minorEastAsia"/>
          <w:color w:val="5A5A5A" w:themeColor="text1" w:themeTint="A5"/>
          <w:spacing w:val="15"/>
        </w:rPr>
      </w:pPr>
      <w:r w:rsidRPr="009520D8">
        <w:br w:type="page"/>
      </w:r>
    </w:p>
    <w:p w14:paraId="5521AC86" w14:textId="79B10DC7" w:rsidR="00D15BC7" w:rsidRDefault="00D15BC7" w:rsidP="00463869">
      <w:pPr>
        <w:pStyle w:val="Subtitle"/>
        <w:numPr>
          <w:ilvl w:val="0"/>
          <w:numId w:val="14"/>
        </w:numPr>
        <w:spacing w:line="480" w:lineRule="auto"/>
      </w:pPr>
      <w:r>
        <w:lastRenderedPageBreak/>
        <w:t>Preparation for the demonstration project</w:t>
      </w:r>
    </w:p>
    <w:p w14:paraId="21AE8E8D" w14:textId="4C7B813B" w:rsidR="00D15BC7" w:rsidRPr="00D15BC7" w:rsidRDefault="00D15BC7" w:rsidP="00463869">
      <w:pPr>
        <w:spacing w:line="480" w:lineRule="auto"/>
        <w:jc w:val="both"/>
      </w:pPr>
      <w:r w:rsidRPr="00D15BC7">
        <w:t xml:space="preserve">Prior </w:t>
      </w:r>
      <w:proofErr w:type="gramStart"/>
      <w:r w:rsidRPr="00D15BC7">
        <w:t>to  implementation</w:t>
      </w:r>
      <w:proofErr w:type="gramEnd"/>
      <w:r w:rsidRPr="00D15BC7">
        <w:t xml:space="preserve"> of the influenza vaccine demonstration project, national planning meetings were held to introduce the project, develop the work plan and training materials, and review data collection tools. Thereafter, county and sub</w:t>
      </w:r>
      <w:r w:rsidR="00A944C7">
        <w:t>-</w:t>
      </w:r>
      <w:r w:rsidRPr="00D15BC7">
        <w:t>county planning meetings were held with the respective county health management teams (CHMTs) and sub</w:t>
      </w:r>
      <w:r w:rsidR="00A944C7">
        <w:t>-</w:t>
      </w:r>
      <w:r w:rsidRPr="00D15BC7">
        <w:t xml:space="preserve">county health management teams (SCHMTs). </w:t>
      </w:r>
    </w:p>
    <w:p w14:paraId="409F8A3E" w14:textId="15F5B510" w:rsidR="00D15BC7" w:rsidRPr="00D15BC7" w:rsidRDefault="00D15BC7" w:rsidP="00463869">
      <w:pPr>
        <w:spacing w:line="480" w:lineRule="auto"/>
        <w:jc w:val="both"/>
      </w:pPr>
      <w:r w:rsidRPr="00D15BC7">
        <w:t>Information education and communication (IEC) materials including posters, roll</w:t>
      </w:r>
      <w:r w:rsidR="00A944C7">
        <w:t>-</w:t>
      </w:r>
      <w:r w:rsidRPr="00D15BC7">
        <w:t>up banners, street banners, T</w:t>
      </w:r>
      <w:r w:rsidR="00A944C7">
        <w:t>-</w:t>
      </w:r>
      <w:r w:rsidRPr="00D15BC7">
        <w:t xml:space="preserve">shirts, caps and </w:t>
      </w:r>
      <w:r w:rsidR="003D417E">
        <w:t xml:space="preserve">frequently asked questions (FAQs) </w:t>
      </w:r>
      <w:r w:rsidRPr="00D15BC7">
        <w:t>were developed in English and Swahili. These were pre</w:t>
      </w:r>
      <w:r w:rsidR="00A944C7">
        <w:t>-</w:t>
      </w:r>
      <w:r w:rsidRPr="00D15BC7">
        <w:t>tested among caregivers/parents, community members and healthcare workers before being finalized and distributed. Stakeholder sensitization meetings were held at the sub</w:t>
      </w:r>
      <w:r w:rsidR="00A944C7">
        <w:t>-</w:t>
      </w:r>
      <w:r w:rsidRPr="00D15BC7">
        <w:t xml:space="preserve">county level to inform community gate keepers, opinion leaders, religious leaders, the local government administration </w:t>
      </w:r>
      <w:r w:rsidR="003D417E">
        <w:t xml:space="preserve">and community health volunteers (CHVs) </w:t>
      </w:r>
      <w:r w:rsidRPr="00D15BC7">
        <w:t xml:space="preserve">about the project. </w:t>
      </w:r>
    </w:p>
    <w:p w14:paraId="391E9E63" w14:textId="17D0D7A9" w:rsidR="00D15BC7" w:rsidRDefault="00D15BC7" w:rsidP="00463869">
      <w:pPr>
        <w:spacing w:line="480" w:lineRule="auto"/>
        <w:jc w:val="both"/>
      </w:pPr>
      <w:r w:rsidRPr="00D15BC7">
        <w:t>At the start of vaccination in each sub</w:t>
      </w:r>
      <w:r w:rsidR="00A944C7">
        <w:t>-</w:t>
      </w:r>
      <w:r w:rsidRPr="00D15BC7">
        <w:t>county, the county and sub</w:t>
      </w:r>
      <w:r w:rsidR="00A944C7">
        <w:t>-</w:t>
      </w:r>
      <w:r w:rsidRPr="00D15BC7">
        <w:t>county health promotion officers traversed the sub</w:t>
      </w:r>
      <w:r w:rsidR="00630A2D">
        <w:t>-</w:t>
      </w:r>
      <w:r w:rsidRPr="00D15BC7">
        <w:t>counties with megaphones on county/sub</w:t>
      </w:r>
      <w:r w:rsidR="00A944C7">
        <w:t>-</w:t>
      </w:r>
      <w:r w:rsidRPr="00D15BC7">
        <w:t>county vehicles sensitizing the community about the vaccine. In the campaign strategy sub</w:t>
      </w:r>
      <w:r w:rsidR="00A944C7">
        <w:t>-</w:t>
      </w:r>
      <w:r w:rsidRPr="00D15BC7">
        <w:t>counties, social mobilization activities were more intensive. To improve vaccine uptake, especially in Likoni sub county, CHVs were provided monetary reimbursement from mid-way through the campaign strategy.</w:t>
      </w:r>
    </w:p>
    <w:p w14:paraId="2E6BAFC0" w14:textId="68223D43" w:rsidR="003206DF" w:rsidRDefault="003206DF" w:rsidP="00463869">
      <w:pPr>
        <w:spacing w:line="480" w:lineRule="auto"/>
        <w:jc w:val="both"/>
      </w:pPr>
      <w:r>
        <w:t>Immediately p</w:t>
      </w:r>
      <w:r w:rsidRPr="00D15BC7">
        <w:t>rior to implementation of the influenza vaccine demonstration project, trainings were conducted at the national, county and sub</w:t>
      </w:r>
      <w:r w:rsidR="00A944C7">
        <w:t>-</w:t>
      </w:r>
      <w:r w:rsidRPr="00D15BC7">
        <w:t>county levels. In addition, 1-2 health care workers (HCWs) at each of the immunizing health facilities in the target sub-counties were trained. Training content included: rationale of the project, vaccine attributes and storage conditions, medical waste management, data management and documentation, advocacy, communication and social mobilization, cold-chain management, and Adverse Event Following Immunization (AEFI) management and reporting.</w:t>
      </w:r>
      <w:r>
        <w:t xml:space="preserve"> </w:t>
      </w:r>
    </w:p>
    <w:p w14:paraId="74421FDB" w14:textId="77777777" w:rsidR="003206DF" w:rsidRDefault="003206DF" w:rsidP="00463869">
      <w:pPr>
        <w:spacing w:line="480" w:lineRule="auto"/>
        <w:jc w:val="both"/>
      </w:pPr>
      <w:r>
        <w:lastRenderedPageBreak/>
        <w:t xml:space="preserve">For the sub-counties implementing the campaign strategy between 10-15 nurses were hired per sub-county to assist with the increased workload expected of the demonstration project. The nurses were stationed at high volume public </w:t>
      </w:r>
      <w:proofErr w:type="gramStart"/>
      <w:r>
        <w:t>health  facilities</w:t>
      </w:r>
      <w:proofErr w:type="gramEnd"/>
      <w:r>
        <w:t xml:space="preserve"> within the sub-county.  </w:t>
      </w:r>
    </w:p>
    <w:p w14:paraId="1257317A" w14:textId="77777777" w:rsidR="003206DF" w:rsidRPr="00D15BC7" w:rsidRDefault="003206DF" w:rsidP="00463869">
      <w:pPr>
        <w:spacing w:line="480" w:lineRule="auto"/>
        <w:jc w:val="both"/>
      </w:pPr>
    </w:p>
    <w:p w14:paraId="77E3692D" w14:textId="77777777" w:rsidR="003206DF" w:rsidRDefault="003206DF" w:rsidP="00463869">
      <w:pPr>
        <w:spacing w:line="480" w:lineRule="auto"/>
        <w:rPr>
          <w:i/>
          <w:iCs/>
          <w:color w:val="44546A" w:themeColor="text2"/>
          <w:sz w:val="18"/>
          <w:szCs w:val="18"/>
          <w:lang w:val="en-US"/>
        </w:rPr>
      </w:pPr>
      <w:r>
        <w:br w:type="page"/>
      </w:r>
    </w:p>
    <w:p w14:paraId="3A40BFAB" w14:textId="1ADEFED8" w:rsidR="007C1CBD" w:rsidRDefault="007C1CBD" w:rsidP="00463869">
      <w:pPr>
        <w:pStyle w:val="Caption"/>
        <w:keepNext/>
        <w:spacing w:line="480" w:lineRule="auto"/>
      </w:pPr>
      <w:r>
        <w:lastRenderedPageBreak/>
        <w:t xml:space="preserve">Supplementary 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rPr>
          <w:lang w:val="en-GB"/>
        </w:rPr>
        <w:t xml:space="preserve">: </w:t>
      </w:r>
      <w:proofErr w:type="spellStart"/>
      <w:r>
        <w:rPr>
          <w:lang w:val="en-GB"/>
        </w:rPr>
        <w:t>ummary</w:t>
      </w:r>
      <w:proofErr w:type="spellEnd"/>
      <w:r>
        <w:rPr>
          <w:lang w:val="en-GB"/>
        </w:rPr>
        <w:t xml:space="preserve"> of social mobilisation activities per sub county</w:t>
      </w:r>
    </w:p>
    <w:tbl>
      <w:tblPr>
        <w:tblStyle w:val="TableGridLight"/>
        <w:tblW w:w="5421" w:type="pct"/>
        <w:tblLook w:val="0600" w:firstRow="0" w:lastRow="0" w:firstColumn="0" w:lastColumn="0" w:noHBand="1" w:noVBand="1"/>
      </w:tblPr>
      <w:tblGrid>
        <w:gridCol w:w="1025"/>
        <w:gridCol w:w="1028"/>
        <w:gridCol w:w="829"/>
        <w:gridCol w:w="6893"/>
      </w:tblGrid>
      <w:tr w:rsidR="003D417E" w:rsidRPr="003D417E" w14:paraId="3BC4C4E8" w14:textId="77777777" w:rsidTr="003D417E">
        <w:trPr>
          <w:trHeight w:val="148"/>
        </w:trPr>
        <w:tc>
          <w:tcPr>
            <w:tcW w:w="524" w:type="pct"/>
            <w:tcBorders>
              <w:bottom w:val="single" w:sz="4" w:space="0" w:color="auto"/>
            </w:tcBorders>
          </w:tcPr>
          <w:p w14:paraId="5A04B700" w14:textId="51AD6DE2" w:rsidR="003D417E" w:rsidRPr="003D417E" w:rsidRDefault="003D417E" w:rsidP="00463869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D417E">
              <w:rPr>
                <w:rFonts w:cstheme="minorHAnsi"/>
                <w:b/>
                <w:bCs/>
                <w:sz w:val="18"/>
                <w:szCs w:val="18"/>
              </w:rPr>
              <w:t>Strategy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79888861" w14:textId="2A623EA8" w:rsidR="003D417E" w:rsidRPr="003D417E" w:rsidRDefault="003D417E" w:rsidP="00463869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3D417E">
              <w:rPr>
                <w:rFonts w:cstheme="minorHAnsi"/>
                <w:b/>
                <w:bCs/>
                <w:sz w:val="18"/>
                <w:szCs w:val="18"/>
              </w:rPr>
              <w:t>County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hideMark/>
          </w:tcPr>
          <w:p w14:paraId="26438849" w14:textId="0DF95BB7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b/>
                <w:bCs/>
                <w:sz w:val="18"/>
                <w:szCs w:val="18"/>
              </w:rPr>
              <w:t>Sub county</w:t>
            </w:r>
          </w:p>
        </w:tc>
        <w:tc>
          <w:tcPr>
            <w:tcW w:w="3526" w:type="pct"/>
            <w:tcBorders>
              <w:bottom w:val="single" w:sz="4" w:space="0" w:color="auto"/>
            </w:tcBorders>
          </w:tcPr>
          <w:p w14:paraId="56D1700F" w14:textId="77777777" w:rsidR="003D417E" w:rsidRPr="003D417E" w:rsidRDefault="003D417E" w:rsidP="00463869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3D417E">
              <w:rPr>
                <w:rFonts w:cstheme="minorHAnsi"/>
                <w:b/>
                <w:bCs/>
                <w:sz w:val="18"/>
                <w:szCs w:val="18"/>
                <w:lang w:val="en-US"/>
              </w:rPr>
              <w:t>Social mobilization activities</w:t>
            </w:r>
          </w:p>
        </w:tc>
      </w:tr>
      <w:tr w:rsidR="003D417E" w:rsidRPr="003D417E" w14:paraId="53AB1F40" w14:textId="77777777" w:rsidTr="003D417E">
        <w:trPr>
          <w:trHeight w:val="342"/>
        </w:trPr>
        <w:tc>
          <w:tcPr>
            <w:tcW w:w="524" w:type="pct"/>
            <w:vMerge w:val="restart"/>
            <w:tcBorders>
              <w:top w:val="single" w:sz="4" w:space="0" w:color="auto"/>
            </w:tcBorders>
          </w:tcPr>
          <w:p w14:paraId="0C9402F9" w14:textId="30C049CB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Year round</w:t>
            </w:r>
          </w:p>
        </w:tc>
        <w:tc>
          <w:tcPr>
            <w:tcW w:w="526" w:type="pct"/>
            <w:tcBorders>
              <w:top w:val="single" w:sz="4" w:space="0" w:color="auto"/>
            </w:tcBorders>
          </w:tcPr>
          <w:p w14:paraId="38B3A8F5" w14:textId="58C58B8B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Nakuru</w:t>
            </w:r>
          </w:p>
        </w:tc>
        <w:tc>
          <w:tcPr>
            <w:tcW w:w="424" w:type="pct"/>
            <w:tcBorders>
              <w:top w:val="single" w:sz="4" w:space="0" w:color="auto"/>
            </w:tcBorders>
            <w:hideMark/>
          </w:tcPr>
          <w:p w14:paraId="7912774E" w14:textId="05E4E1B6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Njoro</w:t>
            </w:r>
          </w:p>
        </w:tc>
        <w:tc>
          <w:tcPr>
            <w:tcW w:w="3526" w:type="pct"/>
            <w:tcBorders>
              <w:top w:val="single" w:sz="4" w:space="0" w:color="auto"/>
            </w:tcBorders>
          </w:tcPr>
          <w:p w14:paraId="151E5B21" w14:textId="1DE92D72" w:rsidR="003D417E" w:rsidRPr="003D417E" w:rsidRDefault="003D417E" w:rsidP="004638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Sensitisation of sub</w:t>
            </w:r>
            <w:r w:rsidR="00AF0B0B">
              <w:rPr>
                <w:rFonts w:cstheme="minorHAnsi"/>
                <w:sz w:val="18"/>
                <w:szCs w:val="18"/>
              </w:rPr>
              <w:t>-</w:t>
            </w:r>
            <w:r w:rsidRPr="003D417E">
              <w:rPr>
                <w:rFonts w:cstheme="minorHAnsi"/>
                <w:sz w:val="18"/>
                <w:szCs w:val="18"/>
              </w:rPr>
              <w:t>county stakeholders</w:t>
            </w:r>
          </w:p>
          <w:p w14:paraId="489AC82C" w14:textId="7736D358" w:rsidR="003D417E" w:rsidRPr="003D417E" w:rsidRDefault="003D417E" w:rsidP="004638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Sensitisation of approximately 180 CHVs each year</w:t>
            </w:r>
          </w:p>
          <w:p w14:paraId="74FE08E3" w14:textId="77777777" w:rsidR="003D417E" w:rsidRPr="003D417E" w:rsidRDefault="003D417E" w:rsidP="004638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Megaphone on a vehicle (1 week) during launch</w:t>
            </w:r>
          </w:p>
          <w:p w14:paraId="50A7E28D" w14:textId="77777777" w:rsidR="003D417E" w:rsidRPr="003D417E" w:rsidRDefault="003D417E" w:rsidP="004638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IEC material – posters, banners, FAQs</w:t>
            </w:r>
          </w:p>
        </w:tc>
      </w:tr>
      <w:tr w:rsidR="003D417E" w:rsidRPr="003D417E" w14:paraId="0BE5523D" w14:textId="77777777" w:rsidTr="003D417E">
        <w:trPr>
          <w:trHeight w:val="1092"/>
        </w:trPr>
        <w:tc>
          <w:tcPr>
            <w:tcW w:w="524" w:type="pct"/>
            <w:vMerge/>
            <w:tcBorders>
              <w:bottom w:val="single" w:sz="4" w:space="0" w:color="auto"/>
            </w:tcBorders>
          </w:tcPr>
          <w:p w14:paraId="0EF8A5E9" w14:textId="77777777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5615DA1E" w14:textId="260DD4B8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Mombasa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hideMark/>
          </w:tcPr>
          <w:p w14:paraId="720D2790" w14:textId="5F658E6D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Jomvu</w:t>
            </w:r>
          </w:p>
        </w:tc>
        <w:tc>
          <w:tcPr>
            <w:tcW w:w="3526" w:type="pct"/>
            <w:tcBorders>
              <w:bottom w:val="single" w:sz="4" w:space="0" w:color="auto"/>
            </w:tcBorders>
          </w:tcPr>
          <w:p w14:paraId="73EC5AF1" w14:textId="77777777" w:rsidR="003D417E" w:rsidRPr="003D417E" w:rsidRDefault="003D417E" w:rsidP="004638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Sensitisation of sub county stakeholders</w:t>
            </w:r>
          </w:p>
          <w:p w14:paraId="4D69C02B" w14:textId="65035E52" w:rsidR="003D417E" w:rsidRPr="003D417E" w:rsidRDefault="003D417E" w:rsidP="004638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Sensitisation of approximately 170 CHVs each year</w:t>
            </w:r>
          </w:p>
          <w:p w14:paraId="6CFE0BC2" w14:textId="77777777" w:rsidR="003D417E" w:rsidRPr="003D417E" w:rsidRDefault="003D417E" w:rsidP="004638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Megaphone on a vehicle (1 week) during launch</w:t>
            </w:r>
          </w:p>
          <w:p w14:paraId="6915FF05" w14:textId="77777777" w:rsidR="003D417E" w:rsidRPr="003D417E" w:rsidRDefault="003D417E" w:rsidP="004638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IEC material – posters, banners, FAQs</w:t>
            </w:r>
          </w:p>
        </w:tc>
      </w:tr>
      <w:tr w:rsidR="003D417E" w:rsidRPr="003D417E" w14:paraId="1B0568CF" w14:textId="77777777" w:rsidTr="003D417E">
        <w:trPr>
          <w:trHeight w:val="1712"/>
        </w:trPr>
        <w:tc>
          <w:tcPr>
            <w:tcW w:w="524" w:type="pct"/>
            <w:vMerge w:val="restart"/>
            <w:tcBorders>
              <w:top w:val="single" w:sz="4" w:space="0" w:color="auto"/>
            </w:tcBorders>
          </w:tcPr>
          <w:p w14:paraId="7E647142" w14:textId="0CC17335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Campaign</w:t>
            </w: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622A6BA2" w14:textId="09002550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Nakuru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BFBFBF" w:themeColor="background1" w:themeShade="BF"/>
            </w:tcBorders>
            <w:hideMark/>
          </w:tcPr>
          <w:p w14:paraId="0328554C" w14:textId="1F5D87AB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Nakuru North</w:t>
            </w:r>
          </w:p>
        </w:tc>
        <w:tc>
          <w:tcPr>
            <w:tcW w:w="3526" w:type="pct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2FD79600" w14:textId="77777777" w:rsidR="003D417E" w:rsidRPr="003D417E" w:rsidRDefault="003D417E" w:rsidP="00463869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Sensitisation of sub county stakeholders</w:t>
            </w:r>
          </w:p>
          <w:p w14:paraId="7CA2427B" w14:textId="77777777" w:rsidR="003D417E" w:rsidRPr="003D417E" w:rsidRDefault="003D417E" w:rsidP="00463869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Sensitisation of 193 CHVs</w:t>
            </w:r>
          </w:p>
          <w:p w14:paraId="77DD69A2" w14:textId="188D5C04" w:rsidR="003D417E" w:rsidRPr="003D417E" w:rsidRDefault="003D417E" w:rsidP="00463869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3D417E">
              <w:rPr>
                <w:rFonts w:cstheme="minorHAnsi"/>
                <w:sz w:val="18"/>
                <w:szCs w:val="18"/>
              </w:rPr>
              <w:t>Mini</w:t>
            </w:r>
            <w:r w:rsidR="00AF0B0B">
              <w:rPr>
                <w:rFonts w:cstheme="minorHAnsi"/>
                <w:sz w:val="18"/>
                <w:szCs w:val="18"/>
              </w:rPr>
              <w:t>-</w:t>
            </w:r>
            <w:r w:rsidRPr="003D417E">
              <w:rPr>
                <w:rFonts w:cstheme="minorHAnsi"/>
                <w:sz w:val="18"/>
                <w:szCs w:val="18"/>
              </w:rPr>
              <w:t>launch</w:t>
            </w:r>
            <w:proofErr w:type="gramEnd"/>
            <w:r w:rsidRPr="003D417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42A5CEC" w14:textId="77777777" w:rsidR="003D417E" w:rsidRPr="003D417E" w:rsidRDefault="003D417E" w:rsidP="00463869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Megaphone vehicle for 1 week (3 times during the campaign)</w:t>
            </w:r>
          </w:p>
          <w:p w14:paraId="683B80F4" w14:textId="77777777" w:rsidR="003D417E" w:rsidRPr="003D417E" w:rsidRDefault="003D417E" w:rsidP="0046386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IEC material – posters, banners, FAQs, T-shirts</w:t>
            </w:r>
          </w:p>
          <w:p w14:paraId="4DCF0BD2" w14:textId="72D9EB42" w:rsidR="003D417E" w:rsidRPr="003D417E" w:rsidRDefault="003D417E" w:rsidP="00463869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 xml:space="preserve">CHV reimbursement (50 </w:t>
            </w:r>
            <w:proofErr w:type="spellStart"/>
            <w:r w:rsidRPr="003D417E">
              <w:rPr>
                <w:rFonts w:cstheme="minorHAnsi"/>
                <w:sz w:val="18"/>
                <w:szCs w:val="18"/>
              </w:rPr>
              <w:t>Kshs</w:t>
            </w:r>
            <w:proofErr w:type="spellEnd"/>
            <w:r w:rsidRPr="003D417E">
              <w:rPr>
                <w:rFonts w:cstheme="minorHAnsi"/>
                <w:sz w:val="18"/>
                <w:szCs w:val="18"/>
              </w:rPr>
              <w:t>) for referral of a child who had defaulted dose 2 (provided in month 4 of 4)</w:t>
            </w:r>
          </w:p>
        </w:tc>
      </w:tr>
      <w:tr w:rsidR="003D417E" w:rsidRPr="003D417E" w14:paraId="6DB20705" w14:textId="77777777" w:rsidTr="003D417E">
        <w:trPr>
          <w:trHeight w:val="123"/>
        </w:trPr>
        <w:tc>
          <w:tcPr>
            <w:tcW w:w="524" w:type="pct"/>
            <w:vMerge/>
            <w:tcBorders>
              <w:bottom w:val="single" w:sz="4" w:space="0" w:color="auto"/>
            </w:tcBorders>
          </w:tcPr>
          <w:p w14:paraId="09D716DC" w14:textId="77777777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14:paraId="35F2C0FB" w14:textId="21FA6A88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Mombasa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hideMark/>
          </w:tcPr>
          <w:p w14:paraId="4570523C" w14:textId="10700EC1" w:rsidR="003D417E" w:rsidRPr="003D417E" w:rsidRDefault="003D417E" w:rsidP="00463869">
            <w:p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Likoni</w:t>
            </w:r>
          </w:p>
        </w:tc>
        <w:tc>
          <w:tcPr>
            <w:tcW w:w="3526" w:type="pct"/>
            <w:tcBorders>
              <w:bottom w:val="single" w:sz="4" w:space="0" w:color="auto"/>
            </w:tcBorders>
          </w:tcPr>
          <w:p w14:paraId="4E79AA3E" w14:textId="77777777" w:rsidR="003D417E" w:rsidRPr="003D417E" w:rsidRDefault="003D417E" w:rsidP="004638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Sensitisation of sub county stakeholders</w:t>
            </w:r>
          </w:p>
          <w:p w14:paraId="2C84E2FE" w14:textId="77777777" w:rsidR="003D417E" w:rsidRPr="003D417E" w:rsidRDefault="003D417E" w:rsidP="004638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Sensitisation of 505 CHVs</w:t>
            </w:r>
          </w:p>
          <w:p w14:paraId="010500BF" w14:textId="02D772C2" w:rsidR="003D417E" w:rsidRPr="003D417E" w:rsidRDefault="003D417E" w:rsidP="004638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proofErr w:type="gramStart"/>
            <w:r w:rsidRPr="003D417E">
              <w:rPr>
                <w:rFonts w:cstheme="minorHAnsi"/>
                <w:sz w:val="18"/>
                <w:szCs w:val="18"/>
              </w:rPr>
              <w:t>Mini</w:t>
            </w:r>
            <w:r w:rsidR="00AF0B0B">
              <w:rPr>
                <w:rFonts w:cstheme="minorHAnsi"/>
                <w:sz w:val="18"/>
                <w:szCs w:val="18"/>
              </w:rPr>
              <w:t>-</w:t>
            </w:r>
            <w:r w:rsidRPr="003D417E">
              <w:rPr>
                <w:rFonts w:cstheme="minorHAnsi"/>
                <w:sz w:val="18"/>
                <w:szCs w:val="18"/>
              </w:rPr>
              <w:t>launch</w:t>
            </w:r>
            <w:proofErr w:type="gramEnd"/>
          </w:p>
          <w:p w14:paraId="37FA4407" w14:textId="77777777" w:rsidR="003D417E" w:rsidRPr="003D417E" w:rsidRDefault="003D417E" w:rsidP="004638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Megaphone vehicle for 1 week at launch</w:t>
            </w:r>
          </w:p>
          <w:p w14:paraId="17109391" w14:textId="77777777" w:rsidR="003D417E" w:rsidRPr="003D417E" w:rsidRDefault="003D417E" w:rsidP="00463869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 xml:space="preserve">5 CHVs circulating messages within the community using megaphone for 1 week (4 times during the campaign) </w:t>
            </w:r>
          </w:p>
          <w:p w14:paraId="71F9EA81" w14:textId="77777777" w:rsidR="003D417E" w:rsidRPr="003D417E" w:rsidRDefault="003D417E" w:rsidP="004638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Messages at ferry (beginning month 2 of 4)</w:t>
            </w:r>
          </w:p>
          <w:p w14:paraId="1BA645FC" w14:textId="77777777" w:rsidR="003D417E" w:rsidRPr="003D417E" w:rsidRDefault="003D417E" w:rsidP="004638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>IEC material – posters, banners, FAQs, T-shirts</w:t>
            </w:r>
          </w:p>
          <w:p w14:paraId="54D79668" w14:textId="16721D28" w:rsidR="003D417E" w:rsidRPr="003D417E" w:rsidRDefault="003D417E" w:rsidP="00463869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3D417E">
              <w:rPr>
                <w:rFonts w:cstheme="minorHAnsi"/>
                <w:sz w:val="18"/>
                <w:szCs w:val="18"/>
              </w:rPr>
              <w:t xml:space="preserve">CHV reimbursement (50 </w:t>
            </w:r>
            <w:proofErr w:type="spellStart"/>
            <w:r w:rsidRPr="003D417E">
              <w:rPr>
                <w:rFonts w:cstheme="minorHAnsi"/>
                <w:sz w:val="18"/>
                <w:szCs w:val="18"/>
              </w:rPr>
              <w:t>Kshs</w:t>
            </w:r>
            <w:proofErr w:type="spellEnd"/>
            <w:r w:rsidRPr="003D417E">
              <w:rPr>
                <w:rFonts w:cstheme="minorHAnsi"/>
                <w:sz w:val="18"/>
                <w:szCs w:val="18"/>
              </w:rPr>
              <w:t>) for every child referred for dose 1 (month 3 of 4) and a child who had defaulted dose 2 (month 4 of 4)</w:t>
            </w:r>
          </w:p>
        </w:tc>
      </w:tr>
    </w:tbl>
    <w:p w14:paraId="61C43297" w14:textId="29B9B477" w:rsidR="00D15BC7" w:rsidRPr="003D417E" w:rsidRDefault="007C1CBD" w:rsidP="00463869">
      <w:pPr>
        <w:spacing w:line="480" w:lineRule="auto"/>
        <w:jc w:val="both"/>
        <w:rPr>
          <w:rFonts w:cstheme="minorHAnsi"/>
          <w:i/>
          <w:iCs/>
          <w:sz w:val="18"/>
          <w:szCs w:val="18"/>
        </w:rPr>
      </w:pPr>
      <w:proofErr w:type="spellStart"/>
      <w:r w:rsidRPr="003D417E">
        <w:rPr>
          <w:rFonts w:cstheme="minorHAnsi"/>
          <w:i/>
          <w:iCs/>
          <w:sz w:val="18"/>
          <w:szCs w:val="18"/>
        </w:rPr>
        <w:t>Kshs</w:t>
      </w:r>
      <w:proofErr w:type="spellEnd"/>
      <w:r w:rsidRPr="003D417E">
        <w:rPr>
          <w:rFonts w:cstheme="minorHAnsi"/>
          <w:i/>
          <w:iCs/>
          <w:sz w:val="18"/>
          <w:szCs w:val="18"/>
        </w:rPr>
        <w:t xml:space="preserve"> – Kenya shillings. </w:t>
      </w:r>
      <w:proofErr w:type="spellStart"/>
      <w:r w:rsidRPr="003D417E">
        <w:rPr>
          <w:rFonts w:cstheme="minorHAnsi"/>
          <w:i/>
          <w:iCs/>
          <w:sz w:val="18"/>
          <w:szCs w:val="18"/>
        </w:rPr>
        <w:t>Kshs</w:t>
      </w:r>
      <w:proofErr w:type="spellEnd"/>
      <w:r w:rsidRPr="003D417E">
        <w:rPr>
          <w:rFonts w:cstheme="minorHAnsi"/>
          <w:i/>
          <w:iCs/>
          <w:sz w:val="18"/>
          <w:szCs w:val="18"/>
        </w:rPr>
        <w:t xml:space="preserve"> 50 is equivalent to USD 0.4</w:t>
      </w:r>
      <w:r w:rsidR="00C36A9E">
        <w:rPr>
          <w:rFonts w:cstheme="minorHAnsi"/>
          <w:i/>
          <w:iCs/>
          <w:sz w:val="18"/>
          <w:szCs w:val="18"/>
        </w:rPr>
        <w:t>6</w:t>
      </w:r>
      <w:r w:rsidRPr="003D417E">
        <w:rPr>
          <w:rFonts w:cstheme="minorHAnsi"/>
          <w:i/>
          <w:iCs/>
          <w:sz w:val="18"/>
          <w:szCs w:val="18"/>
        </w:rPr>
        <w:t xml:space="preserve"> at an exchange rate of 1 USD = </w:t>
      </w:r>
      <w:proofErr w:type="spellStart"/>
      <w:r w:rsidRPr="003D417E">
        <w:rPr>
          <w:rFonts w:cstheme="minorHAnsi"/>
          <w:i/>
          <w:iCs/>
          <w:sz w:val="18"/>
          <w:szCs w:val="18"/>
        </w:rPr>
        <w:t>Kshs</w:t>
      </w:r>
      <w:proofErr w:type="spellEnd"/>
      <w:r w:rsidRPr="003D417E">
        <w:rPr>
          <w:rFonts w:cstheme="minorHAnsi"/>
          <w:i/>
          <w:iCs/>
          <w:sz w:val="18"/>
          <w:szCs w:val="18"/>
        </w:rPr>
        <w:t xml:space="preserve"> </w:t>
      </w:r>
      <w:r w:rsidR="00C36A9E">
        <w:rPr>
          <w:rFonts w:cstheme="minorHAnsi"/>
          <w:i/>
          <w:iCs/>
          <w:sz w:val="18"/>
          <w:szCs w:val="18"/>
        </w:rPr>
        <w:t>107.85</w:t>
      </w:r>
    </w:p>
    <w:p w14:paraId="37F47CD0" w14:textId="77777777" w:rsidR="003D417E" w:rsidRPr="00D15BC7" w:rsidRDefault="003D417E" w:rsidP="00463869">
      <w:pPr>
        <w:spacing w:line="480" w:lineRule="auto"/>
        <w:jc w:val="both"/>
      </w:pPr>
    </w:p>
    <w:p w14:paraId="1C722288" w14:textId="2F4DC23F" w:rsidR="00327518" w:rsidRPr="00327518" w:rsidRDefault="00327518" w:rsidP="00463869">
      <w:pPr>
        <w:pStyle w:val="Subtitle"/>
        <w:numPr>
          <w:ilvl w:val="0"/>
          <w:numId w:val="14"/>
        </w:numPr>
        <w:spacing w:line="480" w:lineRule="auto"/>
      </w:pPr>
      <w:r>
        <w:t xml:space="preserve">Estimating </w:t>
      </w:r>
      <w:r w:rsidRPr="00327518">
        <w:t>target population</w:t>
      </w:r>
    </w:p>
    <w:p w14:paraId="5C635D76" w14:textId="25F3EC31" w:rsidR="00116669" w:rsidRDefault="00327518" w:rsidP="00463869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We used </w:t>
      </w:r>
      <w:r w:rsidR="00B1480F" w:rsidRPr="00B1480F">
        <w:rPr>
          <w:lang w:val="en-US"/>
        </w:rPr>
        <w:t xml:space="preserve">projections </w:t>
      </w:r>
      <w:r w:rsidR="00F24471">
        <w:rPr>
          <w:lang w:val="en-US"/>
        </w:rPr>
        <w:t>from</w:t>
      </w:r>
      <w:r w:rsidR="00B1480F" w:rsidRPr="00B1480F">
        <w:rPr>
          <w:lang w:val="en-US"/>
        </w:rPr>
        <w:t xml:space="preserve"> the National Vaccines and Immunization Program </w:t>
      </w:r>
      <w:r w:rsidR="00B1480F">
        <w:rPr>
          <w:lang w:val="en-US"/>
        </w:rPr>
        <w:t>(NVIP</w:t>
      </w:r>
      <w:r>
        <w:rPr>
          <w:lang w:val="en-US"/>
        </w:rPr>
        <w:t>)</w:t>
      </w:r>
      <w:r w:rsidR="009520D8">
        <w:rPr>
          <w:lang w:val="en-US"/>
        </w:rPr>
        <w:t>. NVIP provides yearly projections</w:t>
      </w:r>
      <w:r>
        <w:rPr>
          <w:lang w:val="en-US"/>
        </w:rPr>
        <w:t xml:space="preserve"> of the </w:t>
      </w:r>
      <w:r w:rsidR="00E92C31">
        <w:rPr>
          <w:lang w:val="en-US"/>
        </w:rPr>
        <w:t xml:space="preserve">number of children </w:t>
      </w:r>
      <w:r w:rsidR="00806327" w:rsidRPr="00806327">
        <w:rPr>
          <w:lang w:val="en-US"/>
        </w:rPr>
        <w:t>0-11 months</w:t>
      </w:r>
      <w:r w:rsidR="00CB2DE9">
        <w:rPr>
          <w:lang w:val="en-US"/>
        </w:rPr>
        <w:t xml:space="preserve"> and </w:t>
      </w:r>
      <w:r w:rsidR="00806327" w:rsidRPr="00806327">
        <w:rPr>
          <w:lang w:val="en-US"/>
        </w:rPr>
        <w:t xml:space="preserve">12-59 </w:t>
      </w:r>
      <w:r>
        <w:rPr>
          <w:lang w:val="en-US"/>
        </w:rPr>
        <w:t xml:space="preserve">to be vaccinated </w:t>
      </w:r>
      <w:r w:rsidR="005A6FB0">
        <w:rPr>
          <w:lang w:val="en-US"/>
        </w:rPr>
        <w:t>in each sub</w:t>
      </w:r>
      <w:r w:rsidR="00CA1A7E">
        <w:rPr>
          <w:lang w:val="en-US"/>
        </w:rPr>
        <w:t>-</w:t>
      </w:r>
      <w:r w:rsidR="005A6FB0">
        <w:rPr>
          <w:lang w:val="en-US"/>
        </w:rPr>
        <w:t>county</w:t>
      </w:r>
      <w:r w:rsidR="00806327">
        <w:rPr>
          <w:lang w:val="en-US"/>
        </w:rPr>
        <w:t xml:space="preserve">. To </w:t>
      </w:r>
      <w:r w:rsidR="00BA58D3">
        <w:rPr>
          <w:lang w:val="en-US"/>
        </w:rPr>
        <w:t xml:space="preserve">obtain </w:t>
      </w:r>
      <w:r w:rsidR="00806327">
        <w:rPr>
          <w:lang w:val="en-US"/>
        </w:rPr>
        <w:t xml:space="preserve">the </w:t>
      </w:r>
      <w:r w:rsidR="00717EB3">
        <w:rPr>
          <w:lang w:val="en-US"/>
        </w:rPr>
        <w:t xml:space="preserve">number of </w:t>
      </w:r>
      <w:r w:rsidR="00806327">
        <w:rPr>
          <w:lang w:val="en-US"/>
        </w:rPr>
        <w:t>children 6-23 months of age</w:t>
      </w:r>
      <w:r w:rsidR="00C10A49">
        <w:rPr>
          <w:lang w:val="en-US"/>
        </w:rPr>
        <w:t>,</w:t>
      </w:r>
      <w:r w:rsidR="00806327">
        <w:rPr>
          <w:lang w:val="en-US"/>
        </w:rPr>
        <w:t xml:space="preserve"> we assumed</w:t>
      </w:r>
      <w:r w:rsidR="000C04DE">
        <w:rPr>
          <w:lang w:val="en-US"/>
        </w:rPr>
        <w:t xml:space="preserve"> </w:t>
      </w:r>
      <w:r w:rsidR="00857E6D">
        <w:rPr>
          <w:lang w:val="en-US"/>
        </w:rPr>
        <w:t xml:space="preserve">a </w:t>
      </w:r>
      <w:r w:rsidR="00D7127A">
        <w:rPr>
          <w:lang w:val="en-US"/>
        </w:rPr>
        <w:t>uniform</w:t>
      </w:r>
      <w:r w:rsidR="000C04DE">
        <w:rPr>
          <w:lang w:val="en-US"/>
        </w:rPr>
        <w:t xml:space="preserve"> distribution of children </w:t>
      </w:r>
      <w:r w:rsidR="00806327">
        <w:rPr>
          <w:lang w:val="en-US"/>
        </w:rPr>
        <w:t xml:space="preserve">0-11 months </w:t>
      </w:r>
      <w:r w:rsidR="000C04DE">
        <w:rPr>
          <w:lang w:val="en-US"/>
        </w:rPr>
        <w:t>to</w:t>
      </w:r>
      <w:r w:rsidR="00922D72">
        <w:rPr>
          <w:lang w:val="en-US"/>
        </w:rPr>
        <w:t xml:space="preserve"> calculate</w:t>
      </w:r>
      <w:r w:rsidR="000C04DE">
        <w:rPr>
          <w:lang w:val="en-US"/>
        </w:rPr>
        <w:t xml:space="preserve"> those </w:t>
      </w:r>
      <w:r w:rsidR="00806327">
        <w:rPr>
          <w:lang w:val="en-US"/>
        </w:rPr>
        <w:t xml:space="preserve">aged 6-11 months. </w:t>
      </w:r>
      <w:r w:rsidR="00717EB3">
        <w:rPr>
          <w:lang w:val="en-US"/>
        </w:rPr>
        <w:t>To obtain the number of children 12-23 months of age</w:t>
      </w:r>
      <w:r w:rsidR="00F24471">
        <w:rPr>
          <w:lang w:val="en-US"/>
        </w:rPr>
        <w:t>,</w:t>
      </w:r>
      <w:r w:rsidR="00717EB3">
        <w:rPr>
          <w:lang w:val="en-US"/>
        </w:rPr>
        <w:t xml:space="preserve"> we used the </w:t>
      </w:r>
      <w:r w:rsidR="001830A8">
        <w:rPr>
          <w:lang w:val="en-US"/>
        </w:rPr>
        <w:t xml:space="preserve">age distribution of </w:t>
      </w:r>
      <w:r w:rsidR="00717EB3">
        <w:rPr>
          <w:lang w:val="en-US"/>
        </w:rPr>
        <w:t xml:space="preserve">children 1-5 years of age from </w:t>
      </w:r>
      <w:r w:rsidR="001830A8">
        <w:rPr>
          <w:lang w:val="en-US"/>
        </w:rPr>
        <w:t xml:space="preserve">the </w:t>
      </w:r>
      <w:r w:rsidR="00D914CB">
        <w:rPr>
          <w:lang w:val="en-US"/>
        </w:rPr>
        <w:t>2019 national census</w:t>
      </w:r>
      <w:r w:rsidR="00717EB3">
        <w:rPr>
          <w:lang w:val="en-US"/>
        </w:rPr>
        <w:t xml:space="preserve"> to</w:t>
      </w:r>
      <w:r w:rsidR="001830A8">
        <w:rPr>
          <w:lang w:val="en-US"/>
        </w:rPr>
        <w:t xml:space="preserve"> determine</w:t>
      </w:r>
      <w:r w:rsidR="00717EB3">
        <w:rPr>
          <w:lang w:val="en-US"/>
        </w:rPr>
        <w:t xml:space="preserve"> that</w:t>
      </w:r>
      <w:r w:rsidR="00903F46">
        <w:rPr>
          <w:lang w:val="en-US"/>
        </w:rPr>
        <w:t>,</w:t>
      </w:r>
      <w:r w:rsidR="001830A8">
        <w:rPr>
          <w:lang w:val="en-US"/>
        </w:rPr>
        <w:t xml:space="preserve"> depending on the </w:t>
      </w:r>
      <w:r w:rsidR="00CA1A7E">
        <w:rPr>
          <w:lang w:val="en-US"/>
        </w:rPr>
        <w:t>sub-county</w:t>
      </w:r>
      <w:r w:rsidR="001830A8">
        <w:rPr>
          <w:lang w:val="en-US"/>
        </w:rPr>
        <w:t>, c</w:t>
      </w:r>
      <w:r w:rsidR="00857E6D" w:rsidRPr="008E1932">
        <w:rPr>
          <w:lang w:val="en-US"/>
        </w:rPr>
        <w:t xml:space="preserve">hildren 12-23 months of age accounted for </w:t>
      </w:r>
      <w:r w:rsidR="00E92C31" w:rsidRPr="008E1932">
        <w:rPr>
          <w:lang w:val="en-US"/>
        </w:rPr>
        <w:t>24</w:t>
      </w:r>
      <w:r w:rsidR="008E1932" w:rsidRPr="008E1932">
        <w:rPr>
          <w:lang w:val="en-US"/>
        </w:rPr>
        <w:t>-27</w:t>
      </w:r>
      <w:r w:rsidR="00E92C31" w:rsidRPr="008E1932">
        <w:rPr>
          <w:lang w:val="en-US"/>
        </w:rPr>
        <w:t>%</w:t>
      </w:r>
      <w:r w:rsidR="008E1932" w:rsidRPr="008E1932">
        <w:rPr>
          <w:lang w:val="en-US"/>
        </w:rPr>
        <w:t xml:space="preserve"> of children </w:t>
      </w:r>
      <w:r w:rsidR="00857E6D" w:rsidRPr="008E1932">
        <w:rPr>
          <w:lang w:val="en-US"/>
        </w:rPr>
        <w:t>12-59</w:t>
      </w:r>
      <w:r w:rsidR="00857E6D">
        <w:rPr>
          <w:lang w:val="en-US"/>
        </w:rPr>
        <w:t xml:space="preserve"> months of age</w:t>
      </w:r>
      <w:r>
        <w:rPr>
          <w:lang w:val="en-US"/>
        </w:rPr>
        <w:t xml:space="preserve"> </w:t>
      </w:r>
      <w:r>
        <w:rPr>
          <w:lang w:val="en-US"/>
        </w:rPr>
        <w:fldChar w:fldCharType="begin" w:fldLock="1"/>
      </w:r>
      <w:r w:rsidR="00F85528">
        <w:rPr>
          <w:lang w:val="en-US"/>
        </w:rPr>
        <w:instrText>ADDIN CSL_CITATION {"citationItems":[{"id":"ITEM-1","itemData":{"URL":"https://www.knbs.or.ke/?wpdmpro=2019-kenya-population-and-housing-census-volume-iii-distribution-of-population-by-age-sex-and-administrative-units","accessed":{"date-parts":[["2022","8","5"]]},"id":"ITEM-1","issued":{"date-parts":[["0"]]},"title":"2019 Kenya Population and Housing Census Volume III: Distribution of Population by Age, Sex and Administrative Units - Kenya National Bureau of Statistics","type":"webpage"},"uris":["http://www.mendeley.com/documents/?uuid=52ad7219-b325-3eae-b0ee-6f3d41ac99fa"]}],"mendeley":{"formattedCitation":"(1)","plainTextFormattedCitation":"(1)","previouslyFormattedCitation":"(1)"},"properties":{"noteIndex":0},"schema":"https://github.com/citation-style-language/schema/raw/master/csl-citation.json"}</w:instrText>
      </w:r>
      <w:r>
        <w:rPr>
          <w:lang w:val="en-US"/>
        </w:rPr>
        <w:fldChar w:fldCharType="separate"/>
      </w:r>
      <w:r w:rsidRPr="00327518">
        <w:rPr>
          <w:noProof/>
          <w:lang w:val="en-US"/>
        </w:rPr>
        <w:t>(1)</w:t>
      </w:r>
      <w:r>
        <w:rPr>
          <w:lang w:val="en-US"/>
        </w:rPr>
        <w:fldChar w:fldCharType="end"/>
      </w:r>
      <w:r>
        <w:rPr>
          <w:lang w:val="en-US"/>
        </w:rPr>
        <w:t xml:space="preserve">. </w:t>
      </w:r>
      <w:r w:rsidR="00E92C31">
        <w:rPr>
          <w:lang w:val="en-US"/>
        </w:rPr>
        <w:t xml:space="preserve"> </w:t>
      </w:r>
    </w:p>
    <w:p w14:paraId="78068297" w14:textId="39A717B8" w:rsidR="004B283F" w:rsidRDefault="0015391D" w:rsidP="00463869">
      <w:pPr>
        <w:spacing w:line="480" w:lineRule="auto"/>
        <w:jc w:val="both"/>
        <w:rPr>
          <w:lang w:val="en-US"/>
        </w:rPr>
      </w:pPr>
      <w:r>
        <w:rPr>
          <w:lang w:val="en-US"/>
        </w:rPr>
        <w:t xml:space="preserve">To </w:t>
      </w:r>
      <w:r w:rsidR="00EE3D13">
        <w:rPr>
          <w:lang w:val="en-US"/>
        </w:rPr>
        <w:t>establish</w:t>
      </w:r>
      <w:r>
        <w:rPr>
          <w:lang w:val="en-US"/>
        </w:rPr>
        <w:t xml:space="preserve"> the target population </w:t>
      </w:r>
      <w:r w:rsidR="00857E6D">
        <w:rPr>
          <w:lang w:val="en-US"/>
        </w:rPr>
        <w:t xml:space="preserve">in the </w:t>
      </w:r>
      <w:r w:rsidR="0020606C">
        <w:rPr>
          <w:lang w:val="en-US"/>
        </w:rPr>
        <w:t xml:space="preserve">campaign strategy and </w:t>
      </w:r>
      <w:r w:rsidR="00CA1A7E">
        <w:rPr>
          <w:lang w:val="en-US"/>
        </w:rPr>
        <w:t xml:space="preserve">the </w:t>
      </w:r>
      <w:r w:rsidR="00857E6D">
        <w:rPr>
          <w:lang w:val="en-US"/>
        </w:rPr>
        <w:t xml:space="preserve">first year of the </w:t>
      </w:r>
      <w:r w:rsidR="00760CB9">
        <w:rPr>
          <w:lang w:val="en-US"/>
        </w:rPr>
        <w:t>year-round</w:t>
      </w:r>
      <w:r w:rsidR="00857E6D">
        <w:rPr>
          <w:lang w:val="en-US"/>
        </w:rPr>
        <w:t xml:space="preserve"> strategy</w:t>
      </w:r>
      <w:r>
        <w:rPr>
          <w:lang w:val="en-US"/>
        </w:rPr>
        <w:t>, we</w:t>
      </w:r>
      <w:r w:rsidR="00356A8F">
        <w:rPr>
          <w:lang w:val="en-US"/>
        </w:rPr>
        <w:t xml:space="preserve"> </w:t>
      </w:r>
      <w:r w:rsidR="00762A20">
        <w:rPr>
          <w:lang w:val="en-US"/>
        </w:rPr>
        <w:t xml:space="preserve">dealt with </w:t>
      </w:r>
      <w:r>
        <w:rPr>
          <w:lang w:val="en-US"/>
        </w:rPr>
        <w:t xml:space="preserve">children </w:t>
      </w:r>
      <w:r w:rsidR="00F24471">
        <w:rPr>
          <w:lang w:val="en-US"/>
        </w:rPr>
        <w:t>six</w:t>
      </w:r>
      <w:r w:rsidR="00AA7B51">
        <w:rPr>
          <w:lang w:val="en-US"/>
        </w:rPr>
        <w:t xml:space="preserve"> months of age </w:t>
      </w:r>
      <w:r w:rsidR="00EE3D13">
        <w:rPr>
          <w:lang w:val="en-US"/>
        </w:rPr>
        <w:t xml:space="preserve">and </w:t>
      </w:r>
      <w:r>
        <w:rPr>
          <w:lang w:val="en-US"/>
        </w:rPr>
        <w:t>7-23 months of age</w:t>
      </w:r>
      <w:r w:rsidR="00762A20">
        <w:rPr>
          <w:lang w:val="en-US"/>
        </w:rPr>
        <w:t xml:space="preserve"> differently</w:t>
      </w:r>
      <w:r>
        <w:rPr>
          <w:lang w:val="en-US"/>
        </w:rPr>
        <w:t xml:space="preserve">. </w:t>
      </w:r>
      <w:r w:rsidR="00C70967">
        <w:rPr>
          <w:lang w:val="en-US"/>
        </w:rPr>
        <w:t>All children 7-</w:t>
      </w:r>
      <w:r w:rsidR="00C70967">
        <w:rPr>
          <w:lang w:val="en-US"/>
        </w:rPr>
        <w:lastRenderedPageBreak/>
        <w:t xml:space="preserve">23 months of age formed part of the target population. </w:t>
      </w:r>
      <w:r w:rsidR="00356A8F">
        <w:rPr>
          <w:lang w:val="en-US"/>
        </w:rPr>
        <w:t>However, f</w:t>
      </w:r>
      <w:r w:rsidR="00C70967">
        <w:rPr>
          <w:lang w:val="en-US"/>
        </w:rPr>
        <w:t xml:space="preserve">or children aged </w:t>
      </w:r>
      <w:r w:rsidR="00F24471">
        <w:rPr>
          <w:lang w:val="en-US"/>
        </w:rPr>
        <w:t>six</w:t>
      </w:r>
      <w:r w:rsidR="00C70967">
        <w:rPr>
          <w:lang w:val="en-US"/>
        </w:rPr>
        <w:t xml:space="preserve"> months</w:t>
      </w:r>
      <w:r w:rsidR="00C10A49">
        <w:rPr>
          <w:lang w:val="en-US"/>
        </w:rPr>
        <w:t>,</w:t>
      </w:r>
      <w:r w:rsidR="00C70967">
        <w:rPr>
          <w:lang w:val="en-US"/>
        </w:rPr>
        <w:t xml:space="preserve"> we </w:t>
      </w:r>
      <w:r w:rsidR="00356A8F">
        <w:rPr>
          <w:lang w:val="en-US"/>
        </w:rPr>
        <w:t>bore in mind</w:t>
      </w:r>
      <w:r w:rsidR="00C70967">
        <w:rPr>
          <w:lang w:val="en-US"/>
        </w:rPr>
        <w:t xml:space="preserve"> that o</w:t>
      </w:r>
      <w:r w:rsidR="004B283F">
        <w:rPr>
          <w:lang w:val="en-US"/>
        </w:rPr>
        <w:t xml:space="preserve">ver a </w:t>
      </w:r>
      <w:r w:rsidR="00AA7B51">
        <w:rPr>
          <w:lang w:val="en-US"/>
        </w:rPr>
        <w:t>year,</w:t>
      </w:r>
      <w:r w:rsidR="004B283F">
        <w:rPr>
          <w:lang w:val="en-US"/>
        </w:rPr>
        <w:t xml:space="preserve"> </w:t>
      </w:r>
      <w:r w:rsidR="00C70967">
        <w:rPr>
          <w:lang w:val="en-US"/>
        </w:rPr>
        <w:t xml:space="preserve">a cohort of children turned </w:t>
      </w:r>
      <w:r w:rsidR="00F24471">
        <w:rPr>
          <w:lang w:val="en-US"/>
        </w:rPr>
        <w:t>six</w:t>
      </w:r>
      <w:r w:rsidR="00C70967">
        <w:rPr>
          <w:lang w:val="en-US"/>
        </w:rPr>
        <w:t xml:space="preserve"> months</w:t>
      </w:r>
      <w:r w:rsidR="00A1196A">
        <w:rPr>
          <w:lang w:val="en-US"/>
        </w:rPr>
        <w:t xml:space="preserve"> of age</w:t>
      </w:r>
      <w:r w:rsidR="00C70967">
        <w:rPr>
          <w:lang w:val="en-US"/>
        </w:rPr>
        <w:t xml:space="preserve"> each month and </w:t>
      </w:r>
      <w:r w:rsidR="003655C0">
        <w:rPr>
          <w:lang w:val="en-US"/>
        </w:rPr>
        <w:t xml:space="preserve">should be included </w:t>
      </w:r>
      <w:r w:rsidR="00762A20">
        <w:rPr>
          <w:lang w:val="en-US"/>
        </w:rPr>
        <w:t xml:space="preserve">in </w:t>
      </w:r>
      <w:r w:rsidR="003655C0">
        <w:rPr>
          <w:lang w:val="en-US"/>
        </w:rPr>
        <w:t xml:space="preserve">the </w:t>
      </w:r>
      <w:r w:rsidR="00C70967">
        <w:rPr>
          <w:lang w:val="en-US"/>
        </w:rPr>
        <w:t xml:space="preserve">target population. </w:t>
      </w:r>
      <w:r w:rsidR="00210B7A">
        <w:rPr>
          <w:lang w:val="en-US"/>
        </w:rPr>
        <w:t xml:space="preserve">If </w:t>
      </w:r>
      <w:r w:rsidR="00870F1E">
        <w:rPr>
          <w:lang w:val="en-US"/>
        </w:rPr>
        <w:t xml:space="preserve">influenza </w:t>
      </w:r>
      <w:r w:rsidR="00E22DC8" w:rsidRPr="00E22DC8">
        <w:rPr>
          <w:lang w:val="en-US"/>
        </w:rPr>
        <w:t>vaccin</w:t>
      </w:r>
      <w:r w:rsidR="00870F1E">
        <w:rPr>
          <w:lang w:val="en-US"/>
        </w:rPr>
        <w:t>es</w:t>
      </w:r>
      <w:r w:rsidR="00E22DC8" w:rsidRPr="00E22DC8">
        <w:rPr>
          <w:lang w:val="en-US"/>
        </w:rPr>
        <w:t xml:space="preserve"> w</w:t>
      </w:r>
      <w:r w:rsidR="00C10A49">
        <w:rPr>
          <w:lang w:val="en-US"/>
        </w:rPr>
        <w:t>ere</w:t>
      </w:r>
      <w:r w:rsidR="00E22DC8" w:rsidRPr="00E22DC8">
        <w:rPr>
          <w:lang w:val="en-US"/>
        </w:rPr>
        <w:t xml:space="preserve"> offered throughout the year, all children </w:t>
      </w:r>
      <w:r w:rsidR="00E22DC8">
        <w:rPr>
          <w:lang w:val="en-US"/>
        </w:rPr>
        <w:t xml:space="preserve">turning </w:t>
      </w:r>
      <w:r w:rsidR="00F24471">
        <w:rPr>
          <w:lang w:val="en-US"/>
        </w:rPr>
        <w:t>six</w:t>
      </w:r>
      <w:r w:rsidR="00210B7A">
        <w:rPr>
          <w:lang w:val="en-US"/>
        </w:rPr>
        <w:t xml:space="preserve"> months</w:t>
      </w:r>
      <w:r w:rsidR="00E22DC8">
        <w:rPr>
          <w:lang w:val="en-US"/>
        </w:rPr>
        <w:t xml:space="preserve"> of age</w:t>
      </w:r>
      <w:r w:rsidR="00356A8F">
        <w:rPr>
          <w:lang w:val="en-US"/>
        </w:rPr>
        <w:t xml:space="preserve"> during</w:t>
      </w:r>
      <w:r w:rsidR="00210B7A">
        <w:rPr>
          <w:lang w:val="en-US"/>
        </w:rPr>
        <w:t xml:space="preserve"> the year </w:t>
      </w:r>
      <w:r w:rsidR="00E22DC8" w:rsidRPr="00E22DC8">
        <w:rPr>
          <w:lang w:val="en-US"/>
        </w:rPr>
        <w:t>would be vaccinated</w:t>
      </w:r>
      <w:r w:rsidR="00210B7A">
        <w:rPr>
          <w:lang w:val="en-US"/>
        </w:rPr>
        <w:t>. However, if</w:t>
      </w:r>
      <w:r w:rsidR="00E22DC8" w:rsidRPr="00E22DC8">
        <w:rPr>
          <w:lang w:val="en-US"/>
        </w:rPr>
        <w:t xml:space="preserve"> </w:t>
      </w:r>
      <w:r w:rsidR="00F24471">
        <w:rPr>
          <w:lang w:val="en-US"/>
        </w:rPr>
        <w:t xml:space="preserve">the </w:t>
      </w:r>
      <w:r w:rsidR="00E22DC8" w:rsidRPr="00E22DC8">
        <w:rPr>
          <w:lang w:val="en-US"/>
        </w:rPr>
        <w:t>vaccin</w:t>
      </w:r>
      <w:r w:rsidR="00870F1E">
        <w:rPr>
          <w:lang w:val="en-US"/>
        </w:rPr>
        <w:t>e</w:t>
      </w:r>
      <w:r w:rsidR="00E22DC8" w:rsidRPr="00E22DC8">
        <w:rPr>
          <w:lang w:val="en-US"/>
        </w:rPr>
        <w:t xml:space="preserve"> w</w:t>
      </w:r>
      <w:r w:rsidR="00C10A49">
        <w:rPr>
          <w:lang w:val="en-US"/>
        </w:rPr>
        <w:t>ere</w:t>
      </w:r>
      <w:r w:rsidR="00E22DC8" w:rsidRPr="00E22DC8">
        <w:rPr>
          <w:lang w:val="en-US"/>
        </w:rPr>
        <w:t xml:space="preserve"> </w:t>
      </w:r>
      <w:r w:rsidR="00C10A49">
        <w:rPr>
          <w:lang w:val="en-US"/>
        </w:rPr>
        <w:t>provid</w:t>
      </w:r>
      <w:r w:rsidR="00E22DC8" w:rsidRPr="00E22DC8">
        <w:rPr>
          <w:lang w:val="en-US"/>
        </w:rPr>
        <w:t xml:space="preserve">ed for a short period </w:t>
      </w:r>
      <w:r w:rsidR="00E22DC8">
        <w:rPr>
          <w:lang w:val="en-US"/>
        </w:rPr>
        <w:t>(as in the case of a</w:t>
      </w:r>
      <w:r w:rsidR="00C91610">
        <w:rPr>
          <w:lang w:val="en-US"/>
        </w:rPr>
        <w:t xml:space="preserve"> </w:t>
      </w:r>
      <w:r w:rsidR="00E22DC8">
        <w:rPr>
          <w:lang w:val="en-US"/>
        </w:rPr>
        <w:t>campaign)</w:t>
      </w:r>
      <w:r w:rsidR="00C10A49">
        <w:rPr>
          <w:lang w:val="en-US"/>
        </w:rPr>
        <w:t>,</w:t>
      </w:r>
      <w:r w:rsidR="00E22DC8">
        <w:rPr>
          <w:lang w:val="en-US"/>
        </w:rPr>
        <w:t xml:space="preserve"> </w:t>
      </w:r>
      <w:r w:rsidR="00E22DC8" w:rsidRPr="00E22DC8">
        <w:rPr>
          <w:lang w:val="en-US"/>
        </w:rPr>
        <w:t>only a proportion of children</w:t>
      </w:r>
      <w:r w:rsidR="00210B7A">
        <w:rPr>
          <w:lang w:val="en-US"/>
        </w:rPr>
        <w:t xml:space="preserve"> that turned </w:t>
      </w:r>
      <w:r w:rsidR="00F24471">
        <w:rPr>
          <w:lang w:val="en-US"/>
        </w:rPr>
        <w:t>six</w:t>
      </w:r>
      <w:r w:rsidR="00210B7A">
        <w:rPr>
          <w:lang w:val="en-US"/>
        </w:rPr>
        <w:t xml:space="preserve"> months</w:t>
      </w:r>
      <w:r w:rsidR="00C70967">
        <w:rPr>
          <w:lang w:val="en-US"/>
        </w:rPr>
        <w:t xml:space="preserve"> in</w:t>
      </w:r>
      <w:r w:rsidR="00210B7A">
        <w:rPr>
          <w:lang w:val="en-US"/>
        </w:rPr>
        <w:t xml:space="preserve"> that year</w:t>
      </w:r>
      <w:r w:rsidR="00D807D0">
        <w:rPr>
          <w:lang w:val="en-US"/>
        </w:rPr>
        <w:t>,</w:t>
      </w:r>
      <w:r w:rsidR="00E22DC8" w:rsidRPr="00E22DC8">
        <w:rPr>
          <w:lang w:val="en-US"/>
        </w:rPr>
        <w:t xml:space="preserve"> </w:t>
      </w:r>
      <w:r w:rsidR="00C70967" w:rsidRPr="00CB2DE9">
        <w:rPr>
          <w:lang w:val="en-US"/>
        </w:rPr>
        <w:t xml:space="preserve">proportional </w:t>
      </w:r>
      <w:r w:rsidR="00E22DC8" w:rsidRPr="00CB2DE9">
        <w:rPr>
          <w:lang w:val="en-US"/>
        </w:rPr>
        <w:t xml:space="preserve">to the </w:t>
      </w:r>
      <w:r w:rsidR="00C70967" w:rsidRPr="00CB2DE9">
        <w:rPr>
          <w:lang w:val="en-US"/>
        </w:rPr>
        <w:t xml:space="preserve">duration </w:t>
      </w:r>
      <w:r w:rsidR="00E22DC8" w:rsidRPr="00CB2DE9">
        <w:rPr>
          <w:lang w:val="en-US"/>
        </w:rPr>
        <w:t xml:space="preserve">of time within the year vaccination </w:t>
      </w:r>
      <w:r w:rsidR="00C70967" w:rsidRPr="00CB2DE9">
        <w:rPr>
          <w:lang w:val="en-US"/>
        </w:rPr>
        <w:t>was available</w:t>
      </w:r>
      <w:r w:rsidR="00D807D0" w:rsidRPr="00CB2DE9">
        <w:rPr>
          <w:lang w:val="en-US"/>
        </w:rPr>
        <w:t xml:space="preserve">, </w:t>
      </w:r>
      <w:r w:rsidR="00E22DC8" w:rsidRPr="00CB2DE9">
        <w:rPr>
          <w:lang w:val="en-US"/>
        </w:rPr>
        <w:t xml:space="preserve">would be eligible for vaccination. </w:t>
      </w:r>
      <w:r w:rsidR="00992E2A" w:rsidRPr="00CB2DE9">
        <w:rPr>
          <w:lang w:val="en-US"/>
        </w:rPr>
        <w:t xml:space="preserve">Assuming a uniform distribution of children 0-11 months, we obtained the number of children </w:t>
      </w:r>
      <w:r w:rsidR="00F24471">
        <w:rPr>
          <w:lang w:val="en-US"/>
        </w:rPr>
        <w:t>six</w:t>
      </w:r>
      <w:r w:rsidR="00992E2A" w:rsidRPr="00CB2DE9">
        <w:rPr>
          <w:lang w:val="en-US"/>
        </w:rPr>
        <w:t xml:space="preserve"> months</w:t>
      </w:r>
      <w:r w:rsidR="007C1CBD">
        <w:rPr>
          <w:lang w:val="en-US"/>
        </w:rPr>
        <w:t xml:space="preserve"> of age</w:t>
      </w:r>
      <w:r w:rsidR="00C10A49">
        <w:rPr>
          <w:lang w:val="en-US"/>
        </w:rPr>
        <w:t>. We</w:t>
      </w:r>
      <w:r w:rsidR="00992E2A" w:rsidRPr="00CB2DE9">
        <w:rPr>
          <w:lang w:val="en-US"/>
        </w:rPr>
        <w:t xml:space="preserve"> multiplied </w:t>
      </w:r>
      <w:r w:rsidR="00356A8F">
        <w:rPr>
          <w:lang w:val="en-US"/>
        </w:rPr>
        <w:t xml:space="preserve">the figure </w:t>
      </w:r>
      <w:r w:rsidR="00992E2A" w:rsidRPr="00CB2DE9">
        <w:rPr>
          <w:lang w:val="en-US"/>
        </w:rPr>
        <w:t xml:space="preserve">by 12 to </w:t>
      </w:r>
      <w:r w:rsidR="00F24471">
        <w:rPr>
          <w:lang w:val="en-US"/>
        </w:rPr>
        <w:t>get</w:t>
      </w:r>
      <w:r w:rsidR="00992E2A" w:rsidRPr="00CB2DE9">
        <w:rPr>
          <w:lang w:val="en-US"/>
        </w:rPr>
        <w:t xml:space="preserve"> the total</w:t>
      </w:r>
      <w:r w:rsidR="009F2E83" w:rsidRPr="00CB2DE9">
        <w:rPr>
          <w:lang w:val="en-US"/>
        </w:rPr>
        <w:t xml:space="preserve"> number of children </w:t>
      </w:r>
      <w:r w:rsidR="00F24471">
        <w:rPr>
          <w:lang w:val="en-US"/>
        </w:rPr>
        <w:t>six</w:t>
      </w:r>
      <w:r w:rsidR="009F2E83" w:rsidRPr="00CB2DE9">
        <w:rPr>
          <w:lang w:val="en-US"/>
        </w:rPr>
        <w:t xml:space="preserve"> months of age over</w:t>
      </w:r>
      <w:r w:rsidR="00992E2A" w:rsidRPr="00CB2DE9">
        <w:rPr>
          <w:lang w:val="en-US"/>
        </w:rPr>
        <w:t xml:space="preserve"> a year</w:t>
      </w:r>
      <w:r w:rsidR="009F2E83" w:rsidRPr="00CB2DE9">
        <w:rPr>
          <w:lang w:val="en-US"/>
        </w:rPr>
        <w:t>.</w:t>
      </w:r>
      <w:r w:rsidR="00C03EC6" w:rsidRPr="00CB2DE9">
        <w:rPr>
          <w:lang w:val="en-US"/>
        </w:rPr>
        <w:t xml:space="preserve"> </w:t>
      </w:r>
      <w:r w:rsidR="0020606C">
        <w:rPr>
          <w:lang w:val="en-US"/>
        </w:rPr>
        <w:t>We applied a proportion to th</w:t>
      </w:r>
      <w:r w:rsidR="00975E7E">
        <w:rPr>
          <w:lang w:val="en-US"/>
        </w:rPr>
        <w:t>e</w:t>
      </w:r>
      <w:r w:rsidR="0020606C">
        <w:rPr>
          <w:lang w:val="en-US"/>
        </w:rPr>
        <w:t xml:space="preserve"> yearly number of children aged </w:t>
      </w:r>
      <w:r w:rsidR="00F24471">
        <w:rPr>
          <w:lang w:val="en-US"/>
        </w:rPr>
        <w:t>six</w:t>
      </w:r>
      <w:r w:rsidR="0020606C">
        <w:rPr>
          <w:lang w:val="en-US"/>
        </w:rPr>
        <w:t xml:space="preserve"> months based on the </w:t>
      </w:r>
      <w:r w:rsidR="003655C0">
        <w:rPr>
          <w:lang w:val="en-US"/>
        </w:rPr>
        <w:t>duration</w:t>
      </w:r>
      <w:r w:rsidR="00F24471">
        <w:rPr>
          <w:lang w:val="en-US"/>
        </w:rPr>
        <w:t xml:space="preserve"> </w:t>
      </w:r>
      <w:r w:rsidR="0020606C" w:rsidRPr="0020606C">
        <w:rPr>
          <w:lang w:val="en-US"/>
        </w:rPr>
        <w:t>the demonstration project was running within that calendar year</w:t>
      </w:r>
      <w:r w:rsidR="0020606C">
        <w:rPr>
          <w:lang w:val="en-US"/>
        </w:rPr>
        <w:t xml:space="preserve">. </w:t>
      </w:r>
    </w:p>
    <w:p w14:paraId="005CD1DE" w14:textId="32C83CD9" w:rsidR="00574181" w:rsidRDefault="007C1CBD" w:rsidP="00463869">
      <w:pPr>
        <w:spacing w:line="480" w:lineRule="auto"/>
        <w:jc w:val="both"/>
        <w:rPr>
          <w:lang w:val="en-US"/>
        </w:rPr>
      </w:pPr>
      <w:r>
        <w:rPr>
          <w:lang w:val="en-US"/>
        </w:rPr>
        <w:t>L</w:t>
      </w:r>
      <w:r w:rsidR="00574181">
        <w:rPr>
          <w:lang w:val="en-US"/>
        </w:rPr>
        <w:t>astly, we also considered ann</w:t>
      </w:r>
      <w:r w:rsidR="00574181" w:rsidRPr="00574181">
        <w:rPr>
          <w:lang w:val="en-US"/>
        </w:rPr>
        <w:t>ual population growth and that the start date of vaccination did not align with the NVIP annual target population. We</w:t>
      </w:r>
      <w:r w:rsidR="00F24471">
        <w:rPr>
          <w:lang w:val="en-US"/>
        </w:rPr>
        <w:t>, therefore,</w:t>
      </w:r>
      <w:r w:rsidR="00574181" w:rsidRPr="00574181">
        <w:rPr>
          <w:lang w:val="en-US"/>
        </w:rPr>
        <w:t xml:space="preserve"> obtained the demonstration project target population for a period by applying a proportion to the NVIP annual target population </w:t>
      </w:r>
      <w:r w:rsidR="00574181">
        <w:rPr>
          <w:lang w:val="en-US"/>
        </w:rPr>
        <w:t>of</w:t>
      </w:r>
      <w:r w:rsidR="00574181" w:rsidRPr="00574181">
        <w:rPr>
          <w:lang w:val="en-US"/>
        </w:rPr>
        <w:t xml:space="preserve"> 2019, 2020</w:t>
      </w:r>
      <w:r w:rsidR="00F24471">
        <w:rPr>
          <w:lang w:val="en-US"/>
        </w:rPr>
        <w:t>,</w:t>
      </w:r>
      <w:r w:rsidR="00574181" w:rsidRPr="00574181">
        <w:rPr>
          <w:lang w:val="en-US"/>
        </w:rPr>
        <w:t xml:space="preserve"> and 2021 based on the number of days the demonstration project was running within that calendar year.</w:t>
      </w:r>
    </w:p>
    <w:p w14:paraId="46D33144" w14:textId="77777777" w:rsidR="003D417E" w:rsidRDefault="003D417E" w:rsidP="00463869">
      <w:pPr>
        <w:spacing w:line="480" w:lineRule="auto"/>
        <w:jc w:val="both"/>
        <w:rPr>
          <w:lang w:val="en-US"/>
        </w:rPr>
      </w:pPr>
    </w:p>
    <w:p w14:paraId="69A682DA" w14:textId="4BC51250" w:rsidR="00CB59E6" w:rsidRDefault="00F85528" w:rsidP="00463869">
      <w:pPr>
        <w:pStyle w:val="Subtitle"/>
        <w:numPr>
          <w:ilvl w:val="0"/>
          <w:numId w:val="14"/>
        </w:numPr>
        <w:spacing w:line="480" w:lineRule="auto"/>
      </w:pPr>
      <w:r>
        <w:t>Additional results o</w:t>
      </w:r>
      <w:r w:rsidR="00870F1E">
        <w:t xml:space="preserve">f </w:t>
      </w:r>
      <w:r w:rsidR="00F24471">
        <w:t xml:space="preserve">the </w:t>
      </w:r>
      <w:r w:rsidR="00870F1E">
        <w:t xml:space="preserve">demonstration project </w:t>
      </w:r>
    </w:p>
    <w:p w14:paraId="048E8F92" w14:textId="4CB2A07D" w:rsidR="00574181" w:rsidRPr="00574181" w:rsidRDefault="00574181" w:rsidP="00463869">
      <w:pPr>
        <w:spacing w:line="480" w:lineRule="auto"/>
      </w:pPr>
      <w:r>
        <w:t xml:space="preserve">Public health facilities accounted for </w:t>
      </w:r>
      <w:r w:rsidR="00F24471">
        <w:t xml:space="preserve">the majority of </w:t>
      </w:r>
      <w:r>
        <w:t xml:space="preserve">health facilities in the </w:t>
      </w:r>
      <w:r w:rsidR="00F24471">
        <w:t>sub-</w:t>
      </w:r>
      <w:r>
        <w:t xml:space="preserve">counties implementing the </w:t>
      </w:r>
      <w:r w:rsidR="00B33437">
        <w:t>year-round</w:t>
      </w:r>
      <w:r>
        <w:t xml:space="preserve"> strategy. However, regardless of strategy or sub-count</w:t>
      </w:r>
      <w:r w:rsidR="00F24471">
        <w:t>y</w:t>
      </w:r>
      <w:r>
        <w:t>, public health facilities administered most of the vaccines in each sub</w:t>
      </w:r>
      <w:r w:rsidR="00B33437">
        <w:t>-county (Supplementary Figure 1).</w:t>
      </w:r>
    </w:p>
    <w:p w14:paraId="1F5A5BAC" w14:textId="77777777" w:rsidR="00CB1B31" w:rsidRDefault="00CB1B31" w:rsidP="00463869">
      <w:pPr>
        <w:keepNext/>
        <w:spacing w:line="480" w:lineRule="auto"/>
        <w:jc w:val="both"/>
      </w:pPr>
      <w:r>
        <w:rPr>
          <w:noProof/>
        </w:rPr>
        <w:lastRenderedPageBreak/>
        <w:drawing>
          <wp:inline distT="0" distB="0" distL="0" distR="0" wp14:anchorId="0D027A86" wp14:editId="3839DFD3">
            <wp:extent cx="5731510" cy="3281045"/>
            <wp:effectExtent l="0" t="0" r="2540" b="1460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085147-388E-D77A-76C8-B5CE257869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B39FA8C" w14:textId="73A56F43" w:rsidR="00CB1B31" w:rsidRDefault="00574181" w:rsidP="00463869">
      <w:pPr>
        <w:pStyle w:val="Caption"/>
        <w:spacing w:line="480" w:lineRule="auto"/>
        <w:jc w:val="both"/>
      </w:pPr>
      <w:bookmarkStart w:id="1" w:name="_Ref114584266"/>
      <w:r>
        <w:t>Supplementary f</w:t>
      </w:r>
      <w:r w:rsidR="00CB1B31">
        <w:t xml:space="preserve">igure </w:t>
      </w:r>
      <w:r w:rsidR="00CB1B31">
        <w:fldChar w:fldCharType="begin"/>
      </w:r>
      <w:r w:rsidR="00CB1B31">
        <w:instrText xml:space="preserve"> SEQ Figure \* ARABIC </w:instrText>
      </w:r>
      <w:r w:rsidR="00CB1B31">
        <w:fldChar w:fldCharType="separate"/>
      </w:r>
      <w:r w:rsidR="00CB1B31">
        <w:rPr>
          <w:noProof/>
        </w:rPr>
        <w:t>1</w:t>
      </w:r>
      <w:r w:rsidR="00CB1B31">
        <w:fldChar w:fldCharType="end"/>
      </w:r>
      <w:bookmarkEnd w:id="1"/>
      <w:r w:rsidR="00CB1B31">
        <w:rPr>
          <w:lang w:val="en-GB"/>
        </w:rPr>
        <w:t xml:space="preserve">: </w:t>
      </w:r>
      <w:r w:rsidR="00A944C7">
        <w:rPr>
          <w:lang w:val="en-GB"/>
        </w:rPr>
        <w:t xml:space="preserve">Number of </w:t>
      </w:r>
      <w:proofErr w:type="spellStart"/>
      <w:r w:rsidR="00A944C7">
        <w:rPr>
          <w:lang w:val="en-GB"/>
        </w:rPr>
        <w:t>he</w:t>
      </w:r>
      <w:r w:rsidR="00CB1B31">
        <w:rPr>
          <w:lang w:val="en-GB"/>
        </w:rPr>
        <w:t>ealth</w:t>
      </w:r>
      <w:proofErr w:type="spellEnd"/>
      <w:r w:rsidR="00CB1B31">
        <w:rPr>
          <w:lang w:val="en-GB"/>
        </w:rPr>
        <w:t xml:space="preserve"> facilit</w:t>
      </w:r>
      <w:r w:rsidR="00A944C7">
        <w:rPr>
          <w:lang w:val="en-GB"/>
        </w:rPr>
        <w:t xml:space="preserve">ies per sub-county and number of </w:t>
      </w:r>
      <w:r w:rsidR="00CB1B31">
        <w:rPr>
          <w:lang w:val="en-GB"/>
        </w:rPr>
        <w:t>vaccines administered by health facility type per sub-count</w:t>
      </w:r>
      <w:r w:rsidR="00A944C7">
        <w:rPr>
          <w:lang w:val="en-GB"/>
        </w:rPr>
        <w:t>y in the influenza vaccine demonstration project in Kenya, 2019-2021</w:t>
      </w:r>
    </w:p>
    <w:p w14:paraId="6DA3E032" w14:textId="5ACF1322" w:rsidR="00F943EC" w:rsidRDefault="00F943EC" w:rsidP="00463869">
      <w:pPr>
        <w:spacing w:line="480" w:lineRule="auto"/>
        <w:jc w:val="both"/>
        <w:rPr>
          <w:lang w:val="en-US"/>
        </w:rPr>
      </w:pPr>
      <w:r>
        <w:rPr>
          <w:lang w:val="en-US"/>
        </w:rPr>
        <w:t>Results of e</w:t>
      </w:r>
      <w:r w:rsidR="00CB1B31">
        <w:rPr>
          <w:lang w:val="en-US"/>
        </w:rPr>
        <w:t xml:space="preserve">ach vaccination strategy </w:t>
      </w:r>
      <w:r w:rsidR="00574181">
        <w:rPr>
          <w:lang w:val="en-US"/>
        </w:rPr>
        <w:t xml:space="preserve">in each sub-county </w:t>
      </w:r>
      <w:r w:rsidR="00CB1B31">
        <w:rPr>
          <w:lang w:val="en-US"/>
        </w:rPr>
        <w:t xml:space="preserve">are provided in </w:t>
      </w:r>
      <w:r w:rsidR="00574181">
        <w:rPr>
          <w:lang w:val="en-US"/>
        </w:rPr>
        <w:t xml:space="preserve">Supplementary </w:t>
      </w:r>
      <w:r w:rsidR="00CB1B31">
        <w:rPr>
          <w:lang w:val="en-US"/>
        </w:rPr>
        <w:t>Table</w:t>
      </w:r>
      <w:r w:rsidR="00574181">
        <w:rPr>
          <w:lang w:val="en-US"/>
        </w:rPr>
        <w:t xml:space="preserve"> 1</w:t>
      </w:r>
      <w:r>
        <w:rPr>
          <w:lang w:val="en-US"/>
        </w:rPr>
        <w:t xml:space="preserve"> below. We present the results of the first year of the demonstration project in </w:t>
      </w:r>
      <w:proofErr w:type="spellStart"/>
      <w:r>
        <w:rPr>
          <w:lang w:val="en-US"/>
        </w:rPr>
        <w:t>Njoro</w:t>
      </w:r>
      <w:proofErr w:type="spellEnd"/>
      <w:r>
        <w:rPr>
          <w:lang w:val="en-US"/>
        </w:rPr>
        <w:t xml:space="preserve"> sub</w:t>
      </w:r>
      <w:r w:rsidR="00A944C7">
        <w:rPr>
          <w:lang w:val="en-US"/>
        </w:rPr>
        <w:t>-</w:t>
      </w:r>
      <w:r>
        <w:rPr>
          <w:lang w:val="en-US"/>
        </w:rPr>
        <w:t xml:space="preserve">county (Nakuru county) and </w:t>
      </w:r>
      <w:proofErr w:type="spellStart"/>
      <w:r>
        <w:rPr>
          <w:lang w:val="en-US"/>
        </w:rPr>
        <w:t>Jomvu</w:t>
      </w:r>
      <w:proofErr w:type="spellEnd"/>
      <w:r>
        <w:rPr>
          <w:lang w:val="en-US"/>
        </w:rPr>
        <w:t xml:space="preserve"> sub</w:t>
      </w:r>
      <w:r w:rsidR="00A944C7">
        <w:rPr>
          <w:lang w:val="en-US"/>
        </w:rPr>
        <w:t>-</w:t>
      </w:r>
      <w:r>
        <w:rPr>
          <w:lang w:val="en-US"/>
        </w:rPr>
        <w:t>county (</w:t>
      </w:r>
      <w:proofErr w:type="gramStart"/>
      <w:r>
        <w:rPr>
          <w:lang w:val="en-US"/>
        </w:rPr>
        <w:t>Mombasa county</w:t>
      </w:r>
      <w:proofErr w:type="gramEnd"/>
      <w:r>
        <w:rPr>
          <w:lang w:val="en-US"/>
        </w:rPr>
        <w:t>) which implemented the year</w:t>
      </w:r>
      <w:r w:rsidR="00A944C7">
        <w:rPr>
          <w:lang w:val="en-US"/>
        </w:rPr>
        <w:t>-</w:t>
      </w:r>
      <w:r>
        <w:rPr>
          <w:lang w:val="en-US"/>
        </w:rPr>
        <w:t>round strategy from November/December 2019 to November/December 2020 and the results of the Nakuru North sub</w:t>
      </w:r>
      <w:r w:rsidR="00A944C7">
        <w:rPr>
          <w:lang w:val="en-US"/>
        </w:rPr>
        <w:t>-</w:t>
      </w:r>
      <w:r>
        <w:rPr>
          <w:lang w:val="en-US"/>
        </w:rPr>
        <w:t>county (Nakuru county) and Likoni sub county (Mombasa county) which implemented the campaign strategy from June/July 2021 to September/October 2021. The summary findings of each strateg</w:t>
      </w:r>
      <w:r w:rsidR="00A944C7">
        <w:rPr>
          <w:lang w:val="en-US"/>
        </w:rPr>
        <w:t>y</w:t>
      </w:r>
      <w:r>
        <w:rPr>
          <w:lang w:val="en-US"/>
        </w:rPr>
        <w:t xml:space="preserve"> are also presented. </w:t>
      </w:r>
    </w:p>
    <w:p w14:paraId="4650B561" w14:textId="01696454" w:rsidR="00D2080C" w:rsidRDefault="00D2080C" w:rsidP="00463869">
      <w:pPr>
        <w:keepNext/>
        <w:spacing w:line="480" w:lineRule="auto"/>
      </w:pPr>
    </w:p>
    <w:p w14:paraId="2E2EA666" w14:textId="45E15872" w:rsidR="005471BE" w:rsidRDefault="005471BE" w:rsidP="00463869">
      <w:pPr>
        <w:pStyle w:val="Caption"/>
        <w:spacing w:line="480" w:lineRule="auto"/>
        <w:sectPr w:rsidR="005471BE" w:rsidSect="00961E16">
          <w:footerReference w:type="default" r:id="rId9"/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  <w:bookmarkStart w:id="2" w:name="_Ref108689780"/>
    </w:p>
    <w:p w14:paraId="65663D25" w14:textId="7293D9A4" w:rsidR="00073813" w:rsidRDefault="00574181" w:rsidP="00A330FA">
      <w:pPr>
        <w:pStyle w:val="Caption"/>
        <w:keepNext/>
        <w:spacing w:after="0"/>
        <w:rPr>
          <w:color w:val="808080" w:themeColor="background1" w:themeShade="80"/>
          <w:lang w:val="en-GB"/>
        </w:rPr>
      </w:pPr>
      <w:bookmarkStart w:id="3" w:name="_Ref110510369"/>
      <w:r>
        <w:rPr>
          <w:color w:val="808080" w:themeColor="background1" w:themeShade="80"/>
        </w:rPr>
        <w:lastRenderedPageBreak/>
        <w:t>Supplementary t</w:t>
      </w:r>
      <w:r w:rsidR="00073813" w:rsidRPr="006573BB">
        <w:rPr>
          <w:color w:val="808080" w:themeColor="background1" w:themeShade="80"/>
        </w:rPr>
        <w:t xml:space="preserve">able </w:t>
      </w:r>
      <w:r w:rsidR="00073813" w:rsidRPr="006573BB">
        <w:rPr>
          <w:color w:val="808080" w:themeColor="background1" w:themeShade="80"/>
        </w:rPr>
        <w:fldChar w:fldCharType="begin"/>
      </w:r>
      <w:r w:rsidR="00073813" w:rsidRPr="006573BB">
        <w:rPr>
          <w:color w:val="808080" w:themeColor="background1" w:themeShade="80"/>
        </w:rPr>
        <w:instrText xml:space="preserve"> SEQ Table \* ARABIC </w:instrText>
      </w:r>
      <w:r w:rsidR="00073813" w:rsidRPr="006573BB">
        <w:rPr>
          <w:color w:val="808080" w:themeColor="background1" w:themeShade="80"/>
        </w:rPr>
        <w:fldChar w:fldCharType="separate"/>
      </w:r>
      <w:r w:rsidR="007C1CBD">
        <w:rPr>
          <w:noProof/>
          <w:color w:val="808080" w:themeColor="background1" w:themeShade="80"/>
        </w:rPr>
        <w:t>2</w:t>
      </w:r>
      <w:r w:rsidR="00073813" w:rsidRPr="006573BB">
        <w:rPr>
          <w:color w:val="808080" w:themeColor="background1" w:themeShade="80"/>
        </w:rPr>
        <w:fldChar w:fldCharType="end"/>
      </w:r>
      <w:bookmarkEnd w:id="2"/>
      <w:bookmarkEnd w:id="3"/>
      <w:r w:rsidR="00073813" w:rsidRPr="006573BB">
        <w:rPr>
          <w:color w:val="808080" w:themeColor="background1" w:themeShade="80"/>
          <w:lang w:val="en-GB"/>
        </w:rPr>
        <w:t xml:space="preserve">: Indicators of performance </w:t>
      </w:r>
      <w:r w:rsidR="006573BB">
        <w:rPr>
          <w:color w:val="808080" w:themeColor="background1" w:themeShade="80"/>
          <w:lang w:val="en-GB"/>
        </w:rPr>
        <w:t xml:space="preserve">of influenza vaccine demonstration project </w:t>
      </w:r>
      <w:r w:rsidR="00073813" w:rsidRPr="006573BB">
        <w:rPr>
          <w:color w:val="808080" w:themeColor="background1" w:themeShade="80"/>
          <w:lang w:val="en-GB"/>
        </w:rPr>
        <w:t xml:space="preserve">per </w:t>
      </w:r>
      <w:r w:rsidR="00CA1A7E">
        <w:rPr>
          <w:color w:val="808080" w:themeColor="background1" w:themeShade="80"/>
          <w:lang w:val="en-GB"/>
        </w:rPr>
        <w:t>sub-county</w:t>
      </w:r>
      <w:r w:rsidR="00073813" w:rsidRPr="006573BB">
        <w:rPr>
          <w:color w:val="808080" w:themeColor="background1" w:themeShade="80"/>
          <w:lang w:val="en-GB"/>
        </w:rPr>
        <w:t xml:space="preserve"> and vaccination strategy</w:t>
      </w:r>
      <w:r w:rsidR="006573BB">
        <w:rPr>
          <w:color w:val="808080" w:themeColor="background1" w:themeShade="80"/>
          <w:lang w:val="en-GB"/>
        </w:rPr>
        <w:t xml:space="preserve"> in Nakuru and Mombasa counties in Kenya (2019 – 2021)</w:t>
      </w:r>
    </w:p>
    <w:tbl>
      <w:tblPr>
        <w:tblStyle w:val="TableGrid1"/>
        <w:tblW w:w="1091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987"/>
        <w:gridCol w:w="992"/>
        <w:gridCol w:w="992"/>
        <w:gridCol w:w="992"/>
        <w:gridCol w:w="993"/>
        <w:gridCol w:w="993"/>
      </w:tblGrid>
      <w:tr w:rsidR="00683C3C" w:rsidRPr="005473B2" w14:paraId="03BDFB94" w14:textId="0A05CCD0" w:rsidTr="00683C3C">
        <w:trPr>
          <w:trHeight w:val="290"/>
        </w:trPr>
        <w:tc>
          <w:tcPr>
            <w:tcW w:w="4968" w:type="dxa"/>
            <w:vMerge w:val="restart"/>
            <w:tcBorders>
              <w:bottom w:val="single" w:sz="4" w:space="0" w:color="auto"/>
            </w:tcBorders>
          </w:tcPr>
          <w:p w14:paraId="5FC36CC3" w14:textId="7D4F6C29" w:rsidR="00683C3C" w:rsidRPr="005473B2" w:rsidRDefault="00683C3C" w:rsidP="00463869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473B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Indicator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695DA638" w14:textId="4C8BF8FC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473B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Year round</w:t>
            </w:r>
            <w:proofErr w:type="gramEnd"/>
            <w:r w:rsidRPr="005473B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 strategy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CA6629" w14:textId="559D663B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5473B2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Campaign strategy</w:t>
            </w:r>
          </w:p>
        </w:tc>
        <w:tc>
          <w:tcPr>
            <w:tcW w:w="993" w:type="dxa"/>
            <w:vMerge w:val="restart"/>
          </w:tcPr>
          <w:p w14:paraId="29B7F1E0" w14:textId="53579CBE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5473B2">
              <w:rPr>
                <w:rFonts w:cstheme="minorHAnsi"/>
                <w:b/>
                <w:bCs/>
                <w:sz w:val="16"/>
                <w:szCs w:val="16"/>
              </w:rPr>
              <w:t>Year round</w:t>
            </w:r>
            <w:proofErr w:type="gramEnd"/>
            <w:r w:rsidRPr="005473B2">
              <w:rPr>
                <w:rFonts w:cstheme="minorHAnsi"/>
                <w:b/>
                <w:bCs/>
                <w:sz w:val="16"/>
                <w:szCs w:val="16"/>
              </w:rPr>
              <w:t xml:space="preserve"> strategy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14:paraId="6D97256B" w14:textId="143E00F8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473B2">
              <w:rPr>
                <w:rFonts w:cstheme="minorHAnsi"/>
                <w:b/>
                <w:bCs/>
                <w:sz w:val="16"/>
                <w:szCs w:val="16"/>
              </w:rPr>
              <w:t>Campaign strategy</w:t>
            </w:r>
          </w:p>
        </w:tc>
      </w:tr>
      <w:tr w:rsidR="00683C3C" w:rsidRPr="005473B2" w14:paraId="518E17D4" w14:textId="77777777" w:rsidTr="00683C3C">
        <w:trPr>
          <w:trHeight w:val="290"/>
        </w:trPr>
        <w:tc>
          <w:tcPr>
            <w:tcW w:w="4968" w:type="dxa"/>
            <w:vMerge/>
            <w:tcBorders>
              <w:top w:val="single" w:sz="4" w:space="0" w:color="auto"/>
            </w:tcBorders>
          </w:tcPr>
          <w:p w14:paraId="6DA18031" w14:textId="62E81A8D" w:rsidR="00683C3C" w:rsidRPr="005473B2" w:rsidRDefault="00683C3C" w:rsidP="00463869">
            <w:pPr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68C979AB" w14:textId="77777777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473B2">
              <w:rPr>
                <w:rFonts w:cstheme="minorHAnsi"/>
                <w:b/>
                <w:bCs/>
                <w:sz w:val="16"/>
                <w:szCs w:val="16"/>
              </w:rPr>
              <w:t>Jomvu</w:t>
            </w:r>
          </w:p>
          <w:p w14:paraId="67BFC51E" w14:textId="7704A88A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DD9959" w14:textId="77777777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473B2">
              <w:rPr>
                <w:rFonts w:cstheme="minorHAnsi"/>
                <w:b/>
                <w:bCs/>
                <w:sz w:val="16"/>
                <w:szCs w:val="16"/>
              </w:rPr>
              <w:t>Njoro</w:t>
            </w:r>
          </w:p>
          <w:p w14:paraId="42FA10B3" w14:textId="2D2AFD69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8C3598" w14:textId="77777777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473B2">
              <w:rPr>
                <w:rFonts w:cstheme="minorHAnsi"/>
                <w:b/>
                <w:bCs/>
                <w:sz w:val="16"/>
                <w:szCs w:val="16"/>
              </w:rPr>
              <w:t>Likoni</w:t>
            </w:r>
          </w:p>
          <w:p w14:paraId="0E5F8616" w14:textId="65486821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A7B26B" w14:textId="29A02415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473B2">
              <w:rPr>
                <w:rFonts w:cstheme="minorHAnsi"/>
                <w:b/>
                <w:bCs/>
                <w:sz w:val="16"/>
                <w:szCs w:val="16"/>
              </w:rPr>
              <w:t>Nakuru North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3C3E66E0" w14:textId="77777777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745DBC" w14:textId="10C6F8AB" w:rsidR="00683C3C" w:rsidRPr="005473B2" w:rsidRDefault="00683C3C" w:rsidP="00463869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83C3C" w:rsidRPr="005473B2" w14:paraId="2E5E598A" w14:textId="552238BF" w:rsidTr="00683C3C">
        <w:trPr>
          <w:trHeight w:val="290"/>
        </w:trPr>
        <w:tc>
          <w:tcPr>
            <w:tcW w:w="4968" w:type="dxa"/>
          </w:tcPr>
          <w:p w14:paraId="660D2BCE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Target population </w:t>
            </w:r>
          </w:p>
          <w:p w14:paraId="2A691796" w14:textId="637A4DF2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1CBA9F86" w14:textId="2A0C0B88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11262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F5F57B" w14:textId="00D79C10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16972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91D6F6" w14:textId="6A016B1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12060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F0439B" w14:textId="5C1DC8F8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9505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919EDE4" w14:textId="6B06076A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28234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D65854F" w14:textId="40FD8667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21565</w:t>
            </w:r>
          </w:p>
        </w:tc>
      </w:tr>
      <w:tr w:rsidR="00683C3C" w:rsidRPr="005473B2" w14:paraId="220FF143" w14:textId="05FEBC7A" w:rsidTr="00683C3C">
        <w:trPr>
          <w:trHeight w:val="290"/>
        </w:trPr>
        <w:tc>
          <w:tcPr>
            <w:tcW w:w="4968" w:type="dxa"/>
          </w:tcPr>
          <w:p w14:paraId="3FD5A6F0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Day first vaccine dose 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administered</w:t>
            </w:r>
            <w:proofErr w:type="gramEnd"/>
          </w:p>
          <w:p w14:paraId="749DE0DD" w14:textId="5482FAA0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67C88767" w14:textId="571EE6FC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16-Dec-19</w:t>
            </w:r>
          </w:p>
        </w:tc>
        <w:tc>
          <w:tcPr>
            <w:tcW w:w="992" w:type="dxa"/>
          </w:tcPr>
          <w:p w14:paraId="01F677F5" w14:textId="5610D2E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26-Nov-19</w:t>
            </w:r>
          </w:p>
        </w:tc>
        <w:tc>
          <w:tcPr>
            <w:tcW w:w="992" w:type="dxa"/>
          </w:tcPr>
          <w:p w14:paraId="4F8FE1A6" w14:textId="586E4273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09-Jul-21</w:t>
            </w:r>
          </w:p>
        </w:tc>
        <w:tc>
          <w:tcPr>
            <w:tcW w:w="992" w:type="dxa"/>
          </w:tcPr>
          <w:p w14:paraId="5DD07B1D" w14:textId="18F82666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02-Jun-21</w:t>
            </w:r>
          </w:p>
        </w:tc>
        <w:tc>
          <w:tcPr>
            <w:tcW w:w="993" w:type="dxa"/>
          </w:tcPr>
          <w:p w14:paraId="629FB55C" w14:textId="615763E5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26-Nov-19</w:t>
            </w:r>
          </w:p>
        </w:tc>
        <w:tc>
          <w:tcPr>
            <w:tcW w:w="993" w:type="dxa"/>
          </w:tcPr>
          <w:p w14:paraId="44DFC640" w14:textId="52C820D0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02-Jun-21</w:t>
            </w:r>
          </w:p>
        </w:tc>
      </w:tr>
      <w:tr w:rsidR="00683C3C" w:rsidRPr="005473B2" w14:paraId="4F9A9083" w14:textId="18624FF3" w:rsidTr="00683C3C">
        <w:trPr>
          <w:trHeight w:val="290"/>
        </w:trPr>
        <w:tc>
          <w:tcPr>
            <w:tcW w:w="4968" w:type="dxa"/>
          </w:tcPr>
          <w:p w14:paraId="6FF79762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Day last vaccine dose 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administered</w:t>
            </w:r>
            <w:proofErr w:type="gramEnd"/>
          </w:p>
          <w:p w14:paraId="58A75621" w14:textId="027224BA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26A01212" w14:textId="44A034B1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15-Dec-20</w:t>
            </w:r>
          </w:p>
        </w:tc>
        <w:tc>
          <w:tcPr>
            <w:tcW w:w="992" w:type="dxa"/>
          </w:tcPr>
          <w:p w14:paraId="1381830C" w14:textId="5EC05E2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25-Nov-20</w:t>
            </w:r>
          </w:p>
        </w:tc>
        <w:tc>
          <w:tcPr>
            <w:tcW w:w="992" w:type="dxa"/>
          </w:tcPr>
          <w:p w14:paraId="677ECEF0" w14:textId="605B0F9D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31-Oct-21</w:t>
            </w:r>
          </w:p>
        </w:tc>
        <w:tc>
          <w:tcPr>
            <w:tcW w:w="992" w:type="dxa"/>
          </w:tcPr>
          <w:p w14:paraId="06D5B557" w14:textId="2072D1A1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30-Sep-21</w:t>
            </w:r>
          </w:p>
        </w:tc>
        <w:tc>
          <w:tcPr>
            <w:tcW w:w="993" w:type="dxa"/>
          </w:tcPr>
          <w:p w14:paraId="4DB99075" w14:textId="70A021BA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15-Dec-20</w:t>
            </w:r>
          </w:p>
        </w:tc>
        <w:tc>
          <w:tcPr>
            <w:tcW w:w="993" w:type="dxa"/>
          </w:tcPr>
          <w:p w14:paraId="495C6CD9" w14:textId="23FD768C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31-Oct-21</w:t>
            </w:r>
          </w:p>
        </w:tc>
      </w:tr>
      <w:tr w:rsidR="00683C3C" w:rsidRPr="005473B2" w14:paraId="6CD48EC6" w14:textId="709030C2" w:rsidTr="00683C3C">
        <w:trPr>
          <w:trHeight w:val="290"/>
        </w:trPr>
        <w:tc>
          <w:tcPr>
            <w:tcW w:w="4968" w:type="dxa"/>
          </w:tcPr>
          <w:p w14:paraId="6C123526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Duration of the demonstration exercise</w:t>
            </w:r>
          </w:p>
          <w:p w14:paraId="77A6DD7C" w14:textId="08778411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578BCD77" w14:textId="1E48DF08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992" w:type="dxa"/>
          </w:tcPr>
          <w:p w14:paraId="0BCACF53" w14:textId="0FCD2E3B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992" w:type="dxa"/>
          </w:tcPr>
          <w:p w14:paraId="6A8DDCE0" w14:textId="64496391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992" w:type="dxa"/>
          </w:tcPr>
          <w:p w14:paraId="5F5F79E7" w14:textId="6E7D91E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3" w:type="dxa"/>
          </w:tcPr>
          <w:p w14:paraId="6C69FA62" w14:textId="4A3ADF18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385</w:t>
            </w:r>
          </w:p>
        </w:tc>
        <w:tc>
          <w:tcPr>
            <w:tcW w:w="993" w:type="dxa"/>
          </w:tcPr>
          <w:p w14:paraId="1EDCF5ED" w14:textId="62E7A9CD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151</w:t>
            </w:r>
          </w:p>
        </w:tc>
      </w:tr>
      <w:tr w:rsidR="00A3088A" w:rsidRPr="005473B2" w14:paraId="2D2248AB" w14:textId="77777777" w:rsidTr="00683C3C">
        <w:trPr>
          <w:trHeight w:val="290"/>
        </w:trPr>
        <w:tc>
          <w:tcPr>
            <w:tcW w:w="4968" w:type="dxa"/>
          </w:tcPr>
          <w:p w14:paraId="3A87A1F6" w14:textId="0D5E9BA8" w:rsidR="00A3088A" w:rsidRPr="005473B2" w:rsidRDefault="00A3088A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Vaccine formulation administered</w:t>
            </w:r>
          </w:p>
        </w:tc>
        <w:tc>
          <w:tcPr>
            <w:tcW w:w="987" w:type="dxa"/>
          </w:tcPr>
          <w:p w14:paraId="005D3436" w14:textId="46499319" w:rsidR="00A3088A" w:rsidRPr="005473B2" w:rsidRDefault="00A3088A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 or NH</w:t>
            </w:r>
          </w:p>
        </w:tc>
        <w:tc>
          <w:tcPr>
            <w:tcW w:w="992" w:type="dxa"/>
          </w:tcPr>
          <w:p w14:paraId="12A8A6EE" w14:textId="33E4E889" w:rsidR="00A3088A" w:rsidRPr="005473B2" w:rsidRDefault="00A3088A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 or NH</w:t>
            </w:r>
          </w:p>
        </w:tc>
        <w:tc>
          <w:tcPr>
            <w:tcW w:w="992" w:type="dxa"/>
          </w:tcPr>
          <w:p w14:paraId="6B18AB7C" w14:textId="34A31F29" w:rsidR="00A3088A" w:rsidRPr="005473B2" w:rsidRDefault="00A3088A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</w:t>
            </w:r>
          </w:p>
        </w:tc>
        <w:tc>
          <w:tcPr>
            <w:tcW w:w="992" w:type="dxa"/>
          </w:tcPr>
          <w:p w14:paraId="2C77B701" w14:textId="1BE2BEA6" w:rsidR="00A3088A" w:rsidRPr="005473B2" w:rsidRDefault="00A3088A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SH</w:t>
            </w:r>
          </w:p>
        </w:tc>
        <w:tc>
          <w:tcPr>
            <w:tcW w:w="993" w:type="dxa"/>
          </w:tcPr>
          <w:p w14:paraId="07B47044" w14:textId="1496AE32" w:rsidR="00A3088A" w:rsidRPr="005473B2" w:rsidRDefault="00A3088A" w:rsidP="00463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 or NH</w:t>
            </w:r>
          </w:p>
        </w:tc>
        <w:tc>
          <w:tcPr>
            <w:tcW w:w="993" w:type="dxa"/>
          </w:tcPr>
          <w:p w14:paraId="30439E72" w14:textId="1CFA1B80" w:rsidR="00A3088A" w:rsidRPr="005473B2" w:rsidRDefault="00A3088A" w:rsidP="004638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</w:t>
            </w:r>
          </w:p>
        </w:tc>
      </w:tr>
      <w:tr w:rsidR="00683C3C" w:rsidRPr="005473B2" w14:paraId="03499EAA" w14:textId="59A4E2DB" w:rsidTr="00683C3C">
        <w:trPr>
          <w:trHeight w:val="290"/>
        </w:trPr>
        <w:tc>
          <w:tcPr>
            <w:tcW w:w="4968" w:type="dxa"/>
          </w:tcPr>
          <w:p w14:paraId="0A5AABF6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Number of influenza vaccine dose 1 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administered</w:t>
            </w:r>
            <w:proofErr w:type="gramEnd"/>
          </w:p>
          <w:p w14:paraId="56C756FF" w14:textId="118DDCC2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38616674" w14:textId="762B7BE4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7227</w:t>
            </w:r>
          </w:p>
        </w:tc>
        <w:tc>
          <w:tcPr>
            <w:tcW w:w="992" w:type="dxa"/>
          </w:tcPr>
          <w:p w14:paraId="7B5554DD" w14:textId="7D3CCE43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10290</w:t>
            </w:r>
          </w:p>
        </w:tc>
        <w:tc>
          <w:tcPr>
            <w:tcW w:w="992" w:type="dxa"/>
          </w:tcPr>
          <w:p w14:paraId="146BE376" w14:textId="20C1EB09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6763</w:t>
            </w:r>
          </w:p>
        </w:tc>
        <w:tc>
          <w:tcPr>
            <w:tcW w:w="992" w:type="dxa"/>
          </w:tcPr>
          <w:p w14:paraId="0A01D4B3" w14:textId="4A627423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7341</w:t>
            </w:r>
          </w:p>
        </w:tc>
        <w:tc>
          <w:tcPr>
            <w:tcW w:w="993" w:type="dxa"/>
          </w:tcPr>
          <w:p w14:paraId="6E94C047" w14:textId="4F8D85BE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17517</w:t>
            </w:r>
          </w:p>
        </w:tc>
        <w:tc>
          <w:tcPr>
            <w:tcW w:w="993" w:type="dxa"/>
          </w:tcPr>
          <w:p w14:paraId="4F94FE61" w14:textId="38B7646F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14104</w:t>
            </w:r>
          </w:p>
        </w:tc>
      </w:tr>
      <w:tr w:rsidR="00683C3C" w:rsidRPr="005473B2" w14:paraId="045C4090" w14:textId="7E02C49C" w:rsidTr="00683C3C">
        <w:trPr>
          <w:trHeight w:val="290"/>
        </w:trPr>
        <w:tc>
          <w:tcPr>
            <w:tcW w:w="4968" w:type="dxa"/>
          </w:tcPr>
          <w:p w14:paraId="7F765232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Number of influenza vaccine dose 2 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administered</w:t>
            </w:r>
            <w:proofErr w:type="gramEnd"/>
          </w:p>
          <w:p w14:paraId="17CEA8E1" w14:textId="5383B9A8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6E3180D9" w14:textId="6216A50A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5509</w:t>
            </w:r>
          </w:p>
        </w:tc>
        <w:tc>
          <w:tcPr>
            <w:tcW w:w="992" w:type="dxa"/>
          </w:tcPr>
          <w:p w14:paraId="01BD78A8" w14:textId="19C657F6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7371</w:t>
            </w:r>
          </w:p>
        </w:tc>
        <w:tc>
          <w:tcPr>
            <w:tcW w:w="992" w:type="dxa"/>
          </w:tcPr>
          <w:p w14:paraId="4FE3FBEF" w14:textId="69293E59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4954</w:t>
            </w:r>
          </w:p>
        </w:tc>
        <w:tc>
          <w:tcPr>
            <w:tcW w:w="992" w:type="dxa"/>
          </w:tcPr>
          <w:p w14:paraId="7844D996" w14:textId="6E49CF3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6346</w:t>
            </w:r>
          </w:p>
        </w:tc>
        <w:tc>
          <w:tcPr>
            <w:tcW w:w="993" w:type="dxa"/>
          </w:tcPr>
          <w:p w14:paraId="55614F2E" w14:textId="0350A4B1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12880</w:t>
            </w:r>
          </w:p>
        </w:tc>
        <w:tc>
          <w:tcPr>
            <w:tcW w:w="993" w:type="dxa"/>
          </w:tcPr>
          <w:p w14:paraId="0183FDF6" w14:textId="5BA14858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11300</w:t>
            </w:r>
          </w:p>
        </w:tc>
      </w:tr>
      <w:tr w:rsidR="00683C3C" w:rsidRPr="005473B2" w14:paraId="7D6D772E" w14:textId="14FB01BF" w:rsidTr="00683C3C">
        <w:trPr>
          <w:trHeight w:val="290"/>
        </w:trPr>
        <w:tc>
          <w:tcPr>
            <w:tcW w:w="4968" w:type="dxa"/>
          </w:tcPr>
          <w:p w14:paraId="18357562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Coverage dose 1</w:t>
            </w:r>
          </w:p>
          <w:p w14:paraId="18044E97" w14:textId="793C4524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7847A755" w14:textId="2AF5B305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63.1%</w:t>
            </w:r>
          </w:p>
        </w:tc>
        <w:tc>
          <w:tcPr>
            <w:tcW w:w="992" w:type="dxa"/>
          </w:tcPr>
          <w:p w14:paraId="08CE2EF8" w14:textId="1D67C68A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57.4%</w:t>
            </w:r>
          </w:p>
        </w:tc>
        <w:tc>
          <w:tcPr>
            <w:tcW w:w="992" w:type="dxa"/>
          </w:tcPr>
          <w:p w14:paraId="34B0B34F" w14:textId="58C0206E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55.2%</w:t>
            </w:r>
          </w:p>
        </w:tc>
        <w:tc>
          <w:tcPr>
            <w:tcW w:w="992" w:type="dxa"/>
          </w:tcPr>
          <w:p w14:paraId="79DBB9A2" w14:textId="3560915A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73.4%</w:t>
            </w:r>
          </w:p>
        </w:tc>
        <w:tc>
          <w:tcPr>
            <w:tcW w:w="993" w:type="dxa"/>
          </w:tcPr>
          <w:p w14:paraId="312DA08B" w14:textId="47CAC589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59.7%</w:t>
            </w:r>
          </w:p>
        </w:tc>
        <w:tc>
          <w:tcPr>
            <w:tcW w:w="993" w:type="dxa"/>
          </w:tcPr>
          <w:p w14:paraId="3AF3BC6C" w14:textId="1127712E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63.2%</w:t>
            </w:r>
          </w:p>
        </w:tc>
      </w:tr>
      <w:tr w:rsidR="00683C3C" w:rsidRPr="005473B2" w14:paraId="51335C1D" w14:textId="2688FC4A" w:rsidTr="00683C3C">
        <w:trPr>
          <w:trHeight w:val="290"/>
        </w:trPr>
        <w:tc>
          <w:tcPr>
            <w:tcW w:w="4968" w:type="dxa"/>
          </w:tcPr>
          <w:p w14:paraId="4C8F7C96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Coverage dose 2</w:t>
            </w:r>
          </w:p>
          <w:p w14:paraId="751D339B" w14:textId="55E4FB74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7C51AA21" w14:textId="3FFCF2A1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48.1%</w:t>
            </w:r>
          </w:p>
        </w:tc>
        <w:tc>
          <w:tcPr>
            <w:tcW w:w="992" w:type="dxa"/>
          </w:tcPr>
          <w:p w14:paraId="2F34E5A9" w14:textId="7F837533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41.1%</w:t>
            </w:r>
          </w:p>
        </w:tc>
        <w:tc>
          <w:tcPr>
            <w:tcW w:w="992" w:type="dxa"/>
          </w:tcPr>
          <w:p w14:paraId="77D5481F" w14:textId="79AC3C43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40.4%</w:t>
            </w:r>
          </w:p>
        </w:tc>
        <w:tc>
          <w:tcPr>
            <w:tcW w:w="992" w:type="dxa"/>
          </w:tcPr>
          <w:p w14:paraId="4C3CBD34" w14:textId="51B46D8E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63.5%</w:t>
            </w:r>
          </w:p>
        </w:tc>
        <w:tc>
          <w:tcPr>
            <w:tcW w:w="993" w:type="dxa"/>
          </w:tcPr>
          <w:p w14:paraId="1F620A58" w14:textId="4908EB31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43.9%</w:t>
            </w:r>
          </w:p>
        </w:tc>
        <w:tc>
          <w:tcPr>
            <w:tcW w:w="993" w:type="dxa"/>
          </w:tcPr>
          <w:p w14:paraId="40F1C489" w14:textId="3E74BC21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50.6%</w:t>
            </w:r>
          </w:p>
        </w:tc>
      </w:tr>
      <w:tr w:rsidR="00683C3C" w:rsidRPr="005473B2" w14:paraId="377AB447" w14:textId="6756DF6A" w:rsidTr="00683C3C">
        <w:trPr>
          <w:trHeight w:val="290"/>
        </w:trPr>
        <w:tc>
          <w:tcPr>
            <w:tcW w:w="4968" w:type="dxa"/>
          </w:tcPr>
          <w:p w14:paraId="47530F41" w14:textId="782BBE63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Dropout rate</w:t>
            </w:r>
          </w:p>
          <w:p w14:paraId="74B2ED4A" w14:textId="37AB7277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0F4628AC" w14:textId="64F99BBC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23.8%</w:t>
            </w:r>
          </w:p>
        </w:tc>
        <w:tc>
          <w:tcPr>
            <w:tcW w:w="992" w:type="dxa"/>
          </w:tcPr>
          <w:p w14:paraId="5BBC57F4" w14:textId="49AAB34F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28.4%</w:t>
            </w:r>
          </w:p>
        </w:tc>
        <w:tc>
          <w:tcPr>
            <w:tcW w:w="992" w:type="dxa"/>
          </w:tcPr>
          <w:p w14:paraId="1B274B1B" w14:textId="22AFED80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26.7%</w:t>
            </w:r>
          </w:p>
        </w:tc>
        <w:tc>
          <w:tcPr>
            <w:tcW w:w="992" w:type="dxa"/>
          </w:tcPr>
          <w:p w14:paraId="4D7909D3" w14:textId="18C5B35F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13.6%</w:t>
            </w:r>
          </w:p>
        </w:tc>
        <w:tc>
          <w:tcPr>
            <w:tcW w:w="993" w:type="dxa"/>
          </w:tcPr>
          <w:p w14:paraId="471A5202" w14:textId="7633A026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26.5%</w:t>
            </w:r>
          </w:p>
        </w:tc>
        <w:tc>
          <w:tcPr>
            <w:tcW w:w="993" w:type="dxa"/>
          </w:tcPr>
          <w:p w14:paraId="209645D7" w14:textId="0F3388F8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19.9%</w:t>
            </w:r>
          </w:p>
        </w:tc>
      </w:tr>
      <w:tr w:rsidR="00683C3C" w:rsidRPr="005473B2" w14:paraId="055F5043" w14:textId="5FBD85D4" w:rsidTr="00683C3C">
        <w:trPr>
          <w:trHeight w:val="290"/>
        </w:trPr>
        <w:tc>
          <w:tcPr>
            <w:tcW w:w="4968" w:type="dxa"/>
          </w:tcPr>
          <w:p w14:paraId="7B9B25EC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Wastage</w:t>
            </w:r>
          </w:p>
          <w:p w14:paraId="793CE2EB" w14:textId="4133CF0E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2FDA3D32" w14:textId="38516F08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cstheme="minorHAnsi"/>
                <w:color w:val="000000"/>
                <w:sz w:val="16"/>
                <w:szCs w:val="16"/>
              </w:rPr>
              <w:t>1.0%</w:t>
            </w:r>
          </w:p>
        </w:tc>
        <w:tc>
          <w:tcPr>
            <w:tcW w:w="992" w:type="dxa"/>
          </w:tcPr>
          <w:p w14:paraId="32B070C1" w14:textId="683ADB1D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cstheme="minorHAnsi"/>
                <w:color w:val="000000"/>
                <w:sz w:val="16"/>
                <w:szCs w:val="16"/>
              </w:rPr>
              <w:t>3.2%</w:t>
            </w:r>
          </w:p>
        </w:tc>
        <w:tc>
          <w:tcPr>
            <w:tcW w:w="992" w:type="dxa"/>
          </w:tcPr>
          <w:p w14:paraId="4C6181DE" w14:textId="34F4DF46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cstheme="minorHAnsi"/>
                <w:color w:val="000000"/>
                <w:sz w:val="16"/>
                <w:szCs w:val="16"/>
              </w:rPr>
              <w:t>0.8%</w:t>
            </w:r>
          </w:p>
        </w:tc>
        <w:tc>
          <w:tcPr>
            <w:tcW w:w="992" w:type="dxa"/>
          </w:tcPr>
          <w:p w14:paraId="53BFEFCC" w14:textId="31263DF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rFonts w:cstheme="minorHAnsi"/>
                <w:color w:val="000000"/>
                <w:sz w:val="16"/>
                <w:szCs w:val="16"/>
              </w:rPr>
              <w:t>0.3%</w:t>
            </w:r>
          </w:p>
        </w:tc>
        <w:tc>
          <w:tcPr>
            <w:tcW w:w="993" w:type="dxa"/>
          </w:tcPr>
          <w:p w14:paraId="5268A05B" w14:textId="3593BA7B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0.6%</w:t>
            </w:r>
          </w:p>
        </w:tc>
        <w:tc>
          <w:tcPr>
            <w:tcW w:w="993" w:type="dxa"/>
          </w:tcPr>
          <w:p w14:paraId="29463AA7" w14:textId="57C8EE3E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2.3%</w:t>
            </w:r>
          </w:p>
        </w:tc>
      </w:tr>
      <w:tr w:rsidR="00683C3C" w:rsidRPr="005473B2" w14:paraId="0DF2A205" w14:textId="6FCF0872" w:rsidTr="00683C3C">
        <w:trPr>
          <w:trHeight w:val="290"/>
        </w:trPr>
        <w:tc>
          <w:tcPr>
            <w:tcW w:w="4968" w:type="dxa"/>
          </w:tcPr>
          <w:p w14:paraId="5A784D1B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Number of AEFIs 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recorded</w:t>
            </w:r>
            <w:proofErr w:type="gramEnd"/>
          </w:p>
          <w:p w14:paraId="3BD4AC07" w14:textId="0A0AC6C6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68D84F20" w14:textId="5EAA7350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4E6D3367" w14:textId="4C16A7CB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5DF95C1E" w14:textId="1C2FE785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424FE435" w14:textId="74D1ABCF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36508026" w14:textId="7F65D114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14:paraId="1CB6A6CF" w14:textId="12DCA91D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</w:t>
            </w:r>
          </w:p>
        </w:tc>
      </w:tr>
      <w:tr w:rsidR="00683C3C" w:rsidRPr="005473B2" w14:paraId="04F73B6C" w14:textId="066BEABC" w:rsidTr="00683C3C">
        <w:trPr>
          <w:trHeight w:val="290"/>
        </w:trPr>
        <w:tc>
          <w:tcPr>
            <w:tcW w:w="4968" w:type="dxa"/>
          </w:tcPr>
          <w:p w14:paraId="3EED73F8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AEFIs per 100,000 vaccine doses 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administered</w:t>
            </w:r>
            <w:proofErr w:type="gramEnd"/>
          </w:p>
          <w:p w14:paraId="6CB03DA4" w14:textId="5432E0F8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58511294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7.9</w:t>
            </w:r>
          </w:p>
          <w:p w14:paraId="4039AB2C" w14:textId="58BF9F6D" w:rsidR="0089060E" w:rsidRPr="005473B2" w:rsidRDefault="0089060E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(0.4-50.0)</w:t>
            </w:r>
          </w:p>
        </w:tc>
        <w:tc>
          <w:tcPr>
            <w:tcW w:w="992" w:type="dxa"/>
          </w:tcPr>
          <w:p w14:paraId="24EB5CFE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5.7</w:t>
            </w:r>
          </w:p>
          <w:p w14:paraId="24948C02" w14:textId="6EE66326" w:rsidR="0089060E" w:rsidRPr="005473B2" w:rsidRDefault="0089060E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(0.3-36.8)</w:t>
            </w:r>
          </w:p>
        </w:tc>
        <w:tc>
          <w:tcPr>
            <w:tcW w:w="992" w:type="dxa"/>
          </w:tcPr>
          <w:p w14:paraId="3EBFDD94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17.1</w:t>
            </w:r>
          </w:p>
          <w:p w14:paraId="594D33F5" w14:textId="5CD51832" w:rsidR="0089060E" w:rsidRPr="005473B2" w:rsidRDefault="0089060E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(3.0-68.8)</w:t>
            </w:r>
          </w:p>
        </w:tc>
        <w:tc>
          <w:tcPr>
            <w:tcW w:w="992" w:type="dxa"/>
          </w:tcPr>
          <w:p w14:paraId="1934923D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14.6</w:t>
            </w:r>
          </w:p>
          <w:p w14:paraId="01CF337F" w14:textId="115E8C78" w:rsidR="0089060E" w:rsidRPr="005473B2" w:rsidRDefault="0089060E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(2.5-58.9)</w:t>
            </w:r>
          </w:p>
        </w:tc>
        <w:tc>
          <w:tcPr>
            <w:tcW w:w="993" w:type="dxa"/>
          </w:tcPr>
          <w:p w14:paraId="66BBAF3C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6.6</w:t>
            </w:r>
          </w:p>
          <w:p w14:paraId="42390D25" w14:textId="78DF52F5" w:rsidR="0089060E" w:rsidRPr="005473B2" w:rsidRDefault="0089060E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(1.1-26.5)</w:t>
            </w:r>
          </w:p>
        </w:tc>
        <w:tc>
          <w:tcPr>
            <w:tcW w:w="993" w:type="dxa"/>
          </w:tcPr>
          <w:p w14:paraId="4E52CC7D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15.7</w:t>
            </w:r>
          </w:p>
          <w:p w14:paraId="3676FF33" w14:textId="729FD3C4" w:rsidR="0089060E" w:rsidRPr="005473B2" w:rsidRDefault="0089060E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(5.0-43.2)</w:t>
            </w:r>
          </w:p>
        </w:tc>
      </w:tr>
      <w:tr w:rsidR="00683C3C" w:rsidRPr="005473B2" w14:paraId="207950A3" w14:textId="5871A564" w:rsidTr="00683C3C">
        <w:trPr>
          <w:trHeight w:val="290"/>
        </w:trPr>
        <w:tc>
          <w:tcPr>
            <w:tcW w:w="4968" w:type="dxa"/>
          </w:tcPr>
          <w:p w14:paraId="137AC6E4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Males receiving the first dose of influenza vaccine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(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%)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  <w:lang w:val="en-GB"/>
              </w:rPr>
              <w:t>#</w:t>
            </w:r>
            <w:proofErr w:type="gramEnd"/>
          </w:p>
          <w:p w14:paraId="3CF2DEC7" w14:textId="7F9508AD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87" w:type="dxa"/>
          </w:tcPr>
          <w:p w14:paraId="6A4CC853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3726</w:t>
            </w:r>
          </w:p>
          <w:p w14:paraId="4C59429F" w14:textId="3DE4D8B8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(51.6%)</w:t>
            </w:r>
          </w:p>
        </w:tc>
        <w:tc>
          <w:tcPr>
            <w:tcW w:w="992" w:type="dxa"/>
          </w:tcPr>
          <w:p w14:paraId="3EC3A940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5037</w:t>
            </w:r>
          </w:p>
          <w:p w14:paraId="3B678C4B" w14:textId="2B49332A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(49.0%)</w:t>
            </w:r>
          </w:p>
        </w:tc>
        <w:tc>
          <w:tcPr>
            <w:tcW w:w="992" w:type="dxa"/>
          </w:tcPr>
          <w:p w14:paraId="3EC2C372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3390</w:t>
            </w:r>
          </w:p>
          <w:p w14:paraId="7335760E" w14:textId="6008EA9A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(50.1%)</w:t>
            </w:r>
          </w:p>
        </w:tc>
        <w:tc>
          <w:tcPr>
            <w:tcW w:w="992" w:type="dxa"/>
          </w:tcPr>
          <w:p w14:paraId="7E868D1E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3642</w:t>
            </w:r>
          </w:p>
          <w:p w14:paraId="64FEDD36" w14:textId="4D61A398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(49.6%)</w:t>
            </w:r>
          </w:p>
        </w:tc>
        <w:tc>
          <w:tcPr>
            <w:tcW w:w="993" w:type="dxa"/>
          </w:tcPr>
          <w:p w14:paraId="7073EFDC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8763</w:t>
            </w:r>
          </w:p>
          <w:p w14:paraId="7A42B7AE" w14:textId="2AC5B6AC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(50.0%)</w:t>
            </w:r>
          </w:p>
        </w:tc>
        <w:tc>
          <w:tcPr>
            <w:tcW w:w="993" w:type="dxa"/>
          </w:tcPr>
          <w:p w14:paraId="1ED36C7D" w14:textId="21BA119F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7032</w:t>
            </w:r>
          </w:p>
          <w:p w14:paraId="5A81C9DD" w14:textId="79A9EDCD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(49.9%)</w:t>
            </w:r>
          </w:p>
        </w:tc>
      </w:tr>
      <w:tr w:rsidR="00683C3C" w:rsidRPr="005473B2" w14:paraId="2C9E72CB" w14:textId="0B277577" w:rsidTr="00683C3C">
        <w:trPr>
          <w:trHeight w:val="290"/>
        </w:trPr>
        <w:tc>
          <w:tcPr>
            <w:tcW w:w="4968" w:type="dxa"/>
          </w:tcPr>
          <w:p w14:paraId="6B2C16C8" w14:textId="3A6D6D6D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Females receiving the first dose of influenza vaccine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(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%)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  <w:lang w:val="en-GB"/>
              </w:rPr>
              <w:t>#</w:t>
            </w:r>
            <w:proofErr w:type="gramEnd"/>
          </w:p>
          <w:p w14:paraId="3A5885BF" w14:textId="5AAAF2A9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45FA4745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3459</w:t>
            </w:r>
          </w:p>
          <w:p w14:paraId="710FCDBF" w14:textId="762DF000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(47.9%)</w:t>
            </w:r>
          </w:p>
        </w:tc>
        <w:tc>
          <w:tcPr>
            <w:tcW w:w="992" w:type="dxa"/>
          </w:tcPr>
          <w:p w14:paraId="11EF18A3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4856</w:t>
            </w:r>
          </w:p>
          <w:p w14:paraId="20BB34B3" w14:textId="1F7C9EBF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(47.2%)</w:t>
            </w:r>
          </w:p>
        </w:tc>
        <w:tc>
          <w:tcPr>
            <w:tcW w:w="992" w:type="dxa"/>
          </w:tcPr>
          <w:p w14:paraId="5C338199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3254</w:t>
            </w:r>
          </w:p>
          <w:p w14:paraId="3E406B72" w14:textId="380E5A1F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(48.1%)</w:t>
            </w:r>
          </w:p>
        </w:tc>
        <w:tc>
          <w:tcPr>
            <w:tcW w:w="992" w:type="dxa"/>
          </w:tcPr>
          <w:p w14:paraId="441B5555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3592</w:t>
            </w:r>
          </w:p>
          <w:p w14:paraId="4866D8F8" w14:textId="76F75C97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(48.9%)</w:t>
            </w:r>
          </w:p>
        </w:tc>
        <w:tc>
          <w:tcPr>
            <w:tcW w:w="993" w:type="dxa"/>
          </w:tcPr>
          <w:p w14:paraId="7DFDAD63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8315</w:t>
            </w:r>
          </w:p>
          <w:p w14:paraId="0E6F20BE" w14:textId="07F1A50E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(47.5%)</w:t>
            </w:r>
          </w:p>
        </w:tc>
        <w:tc>
          <w:tcPr>
            <w:tcW w:w="993" w:type="dxa"/>
          </w:tcPr>
          <w:p w14:paraId="53F09EF4" w14:textId="6C8D93E1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6846</w:t>
            </w:r>
          </w:p>
          <w:p w14:paraId="26E61A88" w14:textId="65B34774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(48.5%)</w:t>
            </w:r>
          </w:p>
        </w:tc>
      </w:tr>
      <w:tr w:rsidR="00683C3C" w:rsidRPr="005473B2" w14:paraId="288AAAE8" w14:textId="2DE1DE5F" w:rsidTr="00683C3C">
        <w:trPr>
          <w:trHeight w:val="290"/>
        </w:trPr>
        <w:tc>
          <w:tcPr>
            <w:tcW w:w="4968" w:type="dxa"/>
          </w:tcPr>
          <w:p w14:paraId="1C4CFF7D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Median age in months of children receiving the first dose of influenza vaccine (IQR)</w:t>
            </w:r>
          </w:p>
          <w:p w14:paraId="1866841E" w14:textId="682CDDFC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08B414C5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9.5</w:t>
            </w:r>
          </w:p>
          <w:p w14:paraId="2FE73762" w14:textId="169627D9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(6.9-15.3)</w:t>
            </w:r>
          </w:p>
        </w:tc>
        <w:tc>
          <w:tcPr>
            <w:tcW w:w="992" w:type="dxa"/>
          </w:tcPr>
          <w:p w14:paraId="63799D5B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9.7</w:t>
            </w:r>
          </w:p>
          <w:p w14:paraId="69771980" w14:textId="1E5CC564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(6.9-15.9)</w:t>
            </w:r>
          </w:p>
        </w:tc>
        <w:tc>
          <w:tcPr>
            <w:tcW w:w="992" w:type="dxa"/>
          </w:tcPr>
          <w:p w14:paraId="3C0EA8B1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12.6</w:t>
            </w:r>
          </w:p>
          <w:p w14:paraId="3BDA2AAF" w14:textId="02F73EFC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(8.9-18.0)</w:t>
            </w:r>
          </w:p>
        </w:tc>
        <w:tc>
          <w:tcPr>
            <w:tcW w:w="992" w:type="dxa"/>
          </w:tcPr>
          <w:p w14:paraId="160182BD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13.1</w:t>
            </w:r>
          </w:p>
          <w:p w14:paraId="3BA448D3" w14:textId="1E424BE9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(8.9-18.0)</w:t>
            </w:r>
          </w:p>
        </w:tc>
        <w:tc>
          <w:tcPr>
            <w:tcW w:w="993" w:type="dxa"/>
          </w:tcPr>
          <w:p w14:paraId="5C55C7C0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9.6</w:t>
            </w:r>
          </w:p>
          <w:p w14:paraId="56579258" w14:textId="61DCFD65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(6.9-15.7)</w:t>
            </w:r>
          </w:p>
        </w:tc>
        <w:tc>
          <w:tcPr>
            <w:tcW w:w="993" w:type="dxa"/>
          </w:tcPr>
          <w:p w14:paraId="3582BCD5" w14:textId="5847D231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12.9</w:t>
            </w:r>
          </w:p>
          <w:p w14:paraId="3240AFAE" w14:textId="25BB8F9D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(8.9-17.7)</w:t>
            </w:r>
          </w:p>
        </w:tc>
      </w:tr>
      <w:tr w:rsidR="00683C3C" w:rsidRPr="005473B2" w14:paraId="4D829AE7" w14:textId="77777777" w:rsidTr="00683C3C">
        <w:trPr>
          <w:trHeight w:val="290"/>
        </w:trPr>
        <w:tc>
          <w:tcPr>
            <w:tcW w:w="4968" w:type="dxa"/>
          </w:tcPr>
          <w:p w14:paraId="754E18F9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Number  (</w:t>
            </w:r>
            <w:proofErr w:type="gramEnd"/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%) of children who received the first dose of influenza vaccine at &lt;6 months of age</w:t>
            </w:r>
          </w:p>
          <w:p w14:paraId="7B373EFE" w14:textId="50F22A50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45D41DDE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207</w:t>
            </w:r>
          </w:p>
          <w:p w14:paraId="1178956E" w14:textId="1A24BFF5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2.9%</w:t>
            </w:r>
          </w:p>
        </w:tc>
        <w:tc>
          <w:tcPr>
            <w:tcW w:w="992" w:type="dxa"/>
          </w:tcPr>
          <w:p w14:paraId="7A78BC40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504</w:t>
            </w:r>
          </w:p>
          <w:p w14:paraId="5A0959E0" w14:textId="29CA7975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4.9%</w:t>
            </w:r>
          </w:p>
        </w:tc>
        <w:tc>
          <w:tcPr>
            <w:tcW w:w="992" w:type="dxa"/>
          </w:tcPr>
          <w:p w14:paraId="01CF2FAB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276</w:t>
            </w:r>
          </w:p>
          <w:p w14:paraId="33C9DA11" w14:textId="09EEA76C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4.1%</w:t>
            </w:r>
          </w:p>
        </w:tc>
        <w:tc>
          <w:tcPr>
            <w:tcW w:w="992" w:type="dxa"/>
          </w:tcPr>
          <w:p w14:paraId="7139A0AB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257</w:t>
            </w:r>
          </w:p>
          <w:p w14:paraId="61BF8308" w14:textId="185BF7BE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3.5%</w:t>
            </w:r>
          </w:p>
        </w:tc>
        <w:tc>
          <w:tcPr>
            <w:tcW w:w="993" w:type="dxa"/>
          </w:tcPr>
          <w:p w14:paraId="75F1F410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716</w:t>
            </w:r>
          </w:p>
          <w:p w14:paraId="2F800983" w14:textId="5E2D0AFD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4.1%</w:t>
            </w:r>
          </w:p>
        </w:tc>
        <w:tc>
          <w:tcPr>
            <w:tcW w:w="993" w:type="dxa"/>
          </w:tcPr>
          <w:p w14:paraId="70407AE8" w14:textId="78960D10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533</w:t>
            </w:r>
          </w:p>
          <w:p w14:paraId="0B12C757" w14:textId="30A6DDDC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3.8%</w:t>
            </w:r>
          </w:p>
        </w:tc>
      </w:tr>
      <w:tr w:rsidR="00683C3C" w:rsidRPr="005473B2" w14:paraId="062540A1" w14:textId="77777777" w:rsidTr="00683C3C">
        <w:trPr>
          <w:trHeight w:val="290"/>
        </w:trPr>
        <w:tc>
          <w:tcPr>
            <w:tcW w:w="4968" w:type="dxa"/>
          </w:tcPr>
          <w:p w14:paraId="343B0EF5" w14:textId="7DE3A4C3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Number  (</w:t>
            </w:r>
            <w:proofErr w:type="gramEnd"/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%) of children who received the first dose of influenza vaccine at ≥24 months of age</w:t>
            </w:r>
          </w:p>
          <w:p w14:paraId="142BD226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7D189D6B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10</w:t>
            </w:r>
          </w:p>
          <w:p w14:paraId="7029B4F9" w14:textId="173D618F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0.1%</w:t>
            </w:r>
          </w:p>
        </w:tc>
        <w:tc>
          <w:tcPr>
            <w:tcW w:w="992" w:type="dxa"/>
          </w:tcPr>
          <w:p w14:paraId="08377114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45</w:t>
            </w:r>
          </w:p>
          <w:p w14:paraId="0B10A501" w14:textId="3D7E2655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0.4%</w:t>
            </w:r>
          </w:p>
        </w:tc>
        <w:tc>
          <w:tcPr>
            <w:tcW w:w="992" w:type="dxa"/>
          </w:tcPr>
          <w:p w14:paraId="54E130A9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23</w:t>
            </w:r>
          </w:p>
          <w:p w14:paraId="1896C440" w14:textId="5ABF01F9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0.34%</w:t>
            </w:r>
          </w:p>
        </w:tc>
        <w:tc>
          <w:tcPr>
            <w:tcW w:w="992" w:type="dxa"/>
          </w:tcPr>
          <w:p w14:paraId="65A29A5C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34</w:t>
            </w:r>
          </w:p>
          <w:p w14:paraId="6AF37728" w14:textId="2EC14058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0.5%</w:t>
            </w:r>
          </w:p>
        </w:tc>
        <w:tc>
          <w:tcPr>
            <w:tcW w:w="993" w:type="dxa"/>
          </w:tcPr>
          <w:p w14:paraId="010B6B73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55</w:t>
            </w:r>
          </w:p>
          <w:p w14:paraId="4F5E2465" w14:textId="2E25BE98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0.3%</w:t>
            </w:r>
          </w:p>
        </w:tc>
        <w:tc>
          <w:tcPr>
            <w:tcW w:w="993" w:type="dxa"/>
          </w:tcPr>
          <w:p w14:paraId="0B5E266B" w14:textId="5DF9B33D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57</w:t>
            </w:r>
          </w:p>
          <w:p w14:paraId="192F244F" w14:textId="45CB41D9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0.4%</w:t>
            </w:r>
          </w:p>
        </w:tc>
      </w:tr>
      <w:tr w:rsidR="00683C3C" w:rsidRPr="005473B2" w14:paraId="453C0088" w14:textId="627E19D9" w:rsidTr="00683C3C">
        <w:trPr>
          <w:trHeight w:val="290"/>
        </w:trPr>
        <w:tc>
          <w:tcPr>
            <w:tcW w:w="4968" w:type="dxa"/>
          </w:tcPr>
          <w:p w14:paraId="1E280F37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Number of vaccine dose 1 administered to children from target sub-county (%)</w:t>
            </w:r>
          </w:p>
          <w:p w14:paraId="334F66AA" w14:textId="50210776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78591844" w14:textId="5133B46B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7103</w:t>
            </w:r>
          </w:p>
          <w:p w14:paraId="08224C8C" w14:textId="0F7AE2BD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98.3%</w:t>
            </w:r>
          </w:p>
        </w:tc>
        <w:tc>
          <w:tcPr>
            <w:tcW w:w="992" w:type="dxa"/>
          </w:tcPr>
          <w:p w14:paraId="77F0A2D0" w14:textId="70C81658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9742</w:t>
            </w:r>
          </w:p>
          <w:p w14:paraId="596FA29C" w14:textId="479D486F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94.7%</w:t>
            </w:r>
          </w:p>
        </w:tc>
        <w:tc>
          <w:tcPr>
            <w:tcW w:w="992" w:type="dxa"/>
          </w:tcPr>
          <w:p w14:paraId="0211AD92" w14:textId="3AF0B440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6656</w:t>
            </w:r>
          </w:p>
          <w:p w14:paraId="6D30F4C8" w14:textId="470E139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98.4%</w:t>
            </w:r>
          </w:p>
        </w:tc>
        <w:tc>
          <w:tcPr>
            <w:tcW w:w="992" w:type="dxa"/>
          </w:tcPr>
          <w:p w14:paraId="0E20ED91" w14:textId="4E35DF79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6977</w:t>
            </w:r>
          </w:p>
          <w:p w14:paraId="0A2B9691" w14:textId="3F3FD025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95.0%</w:t>
            </w:r>
          </w:p>
        </w:tc>
        <w:tc>
          <w:tcPr>
            <w:tcW w:w="993" w:type="dxa"/>
          </w:tcPr>
          <w:p w14:paraId="790DA050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16849</w:t>
            </w:r>
          </w:p>
          <w:p w14:paraId="4896CA10" w14:textId="1ACC1344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96.2%</w:t>
            </w:r>
          </w:p>
        </w:tc>
        <w:tc>
          <w:tcPr>
            <w:tcW w:w="993" w:type="dxa"/>
          </w:tcPr>
          <w:p w14:paraId="1D642C5F" w14:textId="69A70C7B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13633</w:t>
            </w:r>
          </w:p>
          <w:p w14:paraId="0238941F" w14:textId="03CAFD4D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96.7%</w:t>
            </w:r>
          </w:p>
        </w:tc>
      </w:tr>
      <w:tr w:rsidR="00683C3C" w:rsidRPr="005473B2" w14:paraId="65E9523C" w14:textId="4E427A2B" w:rsidTr="00683C3C">
        <w:trPr>
          <w:trHeight w:val="290"/>
        </w:trPr>
        <w:tc>
          <w:tcPr>
            <w:tcW w:w="4968" w:type="dxa"/>
          </w:tcPr>
          <w:p w14:paraId="74B79BA3" w14:textId="411EADBD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N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umber of vaccines administered per 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day</w:t>
            </w:r>
            <w:proofErr w:type="gramEnd"/>
          </w:p>
          <w:p w14:paraId="159448BF" w14:textId="1572EB3F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</w:tcPr>
          <w:p w14:paraId="3CCEEF05" w14:textId="5AB3E2A6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14:paraId="0A9E7E36" w14:textId="420AECA5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14:paraId="284A53C4" w14:textId="382556D3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103</w:t>
            </w:r>
          </w:p>
        </w:tc>
        <w:tc>
          <w:tcPr>
            <w:tcW w:w="992" w:type="dxa"/>
          </w:tcPr>
          <w:p w14:paraId="2A0D93BC" w14:textId="0B80B12D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114</w:t>
            </w:r>
          </w:p>
        </w:tc>
        <w:tc>
          <w:tcPr>
            <w:tcW w:w="993" w:type="dxa"/>
          </w:tcPr>
          <w:p w14:paraId="3959E34F" w14:textId="220BCCAE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83</w:t>
            </w:r>
          </w:p>
        </w:tc>
        <w:tc>
          <w:tcPr>
            <w:tcW w:w="993" w:type="dxa"/>
          </w:tcPr>
          <w:p w14:paraId="711428E7" w14:textId="5BD2998F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168</w:t>
            </w:r>
          </w:p>
        </w:tc>
      </w:tr>
      <w:tr w:rsidR="00683C3C" w:rsidRPr="005473B2" w14:paraId="7B5B127B" w14:textId="5C0D77F3" w:rsidTr="00683C3C">
        <w:trPr>
          <w:trHeight w:val="290"/>
        </w:trPr>
        <w:tc>
          <w:tcPr>
            <w:tcW w:w="4968" w:type="dxa"/>
          </w:tcPr>
          <w:p w14:paraId="4304B7D1" w14:textId="30A739F9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Number of children receiving Vitamin A or other vaccines when receiving the first dose of influenza vaccine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(</w:t>
            </w:r>
            <w:proofErr w:type="gramStart"/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%)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  <w:lang w:val="en-GB"/>
              </w:rPr>
              <w:t>#</w:t>
            </w:r>
            <w:proofErr w:type="gramEnd"/>
          </w:p>
        </w:tc>
        <w:tc>
          <w:tcPr>
            <w:tcW w:w="987" w:type="dxa"/>
          </w:tcPr>
          <w:p w14:paraId="7E69FC80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3002</w:t>
            </w:r>
          </w:p>
          <w:p w14:paraId="1C72C95B" w14:textId="6AAB98F3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(41.5%)</w:t>
            </w:r>
          </w:p>
          <w:p w14:paraId="68F29D51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</w:p>
          <w:p w14:paraId="712177CD" w14:textId="7AA361FA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</w:tcPr>
          <w:p w14:paraId="5B4B9E63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4987</w:t>
            </w:r>
          </w:p>
          <w:p w14:paraId="1B604D5C" w14:textId="261DC44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(48.5%)</w:t>
            </w:r>
          </w:p>
        </w:tc>
        <w:tc>
          <w:tcPr>
            <w:tcW w:w="992" w:type="dxa"/>
          </w:tcPr>
          <w:p w14:paraId="44BC104A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2454</w:t>
            </w:r>
          </w:p>
          <w:p w14:paraId="39A6BFCC" w14:textId="745EFE4E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(36.3%)</w:t>
            </w:r>
          </w:p>
        </w:tc>
        <w:tc>
          <w:tcPr>
            <w:tcW w:w="992" w:type="dxa"/>
          </w:tcPr>
          <w:p w14:paraId="59A8AEF2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2395</w:t>
            </w:r>
          </w:p>
          <w:p w14:paraId="48839795" w14:textId="69F6E52B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(32.6%)</w:t>
            </w:r>
          </w:p>
        </w:tc>
        <w:tc>
          <w:tcPr>
            <w:tcW w:w="993" w:type="dxa"/>
          </w:tcPr>
          <w:p w14:paraId="39B7F2CC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7989</w:t>
            </w:r>
          </w:p>
          <w:p w14:paraId="5C0805F6" w14:textId="60EA4FCD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(45.6%)</w:t>
            </w:r>
          </w:p>
        </w:tc>
        <w:tc>
          <w:tcPr>
            <w:tcW w:w="993" w:type="dxa"/>
          </w:tcPr>
          <w:p w14:paraId="797D0D81" w14:textId="487217CE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4849</w:t>
            </w:r>
          </w:p>
          <w:p w14:paraId="0F2A6537" w14:textId="28691046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(34.4%)</w:t>
            </w:r>
          </w:p>
        </w:tc>
      </w:tr>
      <w:tr w:rsidR="00683C3C" w:rsidRPr="005473B2" w14:paraId="00032CED" w14:textId="59C8EE86" w:rsidTr="00683C3C">
        <w:trPr>
          <w:trHeight w:val="290"/>
        </w:trPr>
        <w:tc>
          <w:tcPr>
            <w:tcW w:w="4968" w:type="dxa"/>
          </w:tcPr>
          <w:p w14:paraId="352746B2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Number of dose 1 records with a linked dose 2 entry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(%)</w:t>
            </w:r>
          </w:p>
          <w:p w14:paraId="384985A5" w14:textId="7E87A73A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87" w:type="dxa"/>
          </w:tcPr>
          <w:p w14:paraId="7A166F11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4178</w:t>
            </w:r>
          </w:p>
          <w:p w14:paraId="7798CC0D" w14:textId="07A75FD7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(57.8%)</w:t>
            </w:r>
          </w:p>
        </w:tc>
        <w:tc>
          <w:tcPr>
            <w:tcW w:w="992" w:type="dxa"/>
          </w:tcPr>
          <w:p w14:paraId="39836167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4265</w:t>
            </w:r>
          </w:p>
          <w:p w14:paraId="4F5E9098" w14:textId="176AB841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(41.4%)</w:t>
            </w:r>
          </w:p>
        </w:tc>
        <w:tc>
          <w:tcPr>
            <w:tcW w:w="992" w:type="dxa"/>
          </w:tcPr>
          <w:p w14:paraId="07B69C8B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3500</w:t>
            </w:r>
          </w:p>
          <w:p w14:paraId="26CC2CCF" w14:textId="56E04187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(51.8%)</w:t>
            </w:r>
          </w:p>
        </w:tc>
        <w:tc>
          <w:tcPr>
            <w:tcW w:w="992" w:type="dxa"/>
          </w:tcPr>
          <w:p w14:paraId="74F4D0AF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4879</w:t>
            </w:r>
          </w:p>
          <w:p w14:paraId="01DFC131" w14:textId="26CA5F4A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(66.5%)</w:t>
            </w:r>
          </w:p>
        </w:tc>
        <w:tc>
          <w:tcPr>
            <w:tcW w:w="993" w:type="dxa"/>
          </w:tcPr>
          <w:p w14:paraId="1804678F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8443</w:t>
            </w:r>
          </w:p>
          <w:p w14:paraId="497006B7" w14:textId="7C0584A1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(48.2%)</w:t>
            </w:r>
          </w:p>
        </w:tc>
        <w:tc>
          <w:tcPr>
            <w:tcW w:w="993" w:type="dxa"/>
          </w:tcPr>
          <w:p w14:paraId="3B43D3F4" w14:textId="3AD99D30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8379</w:t>
            </w:r>
          </w:p>
          <w:p w14:paraId="50F56F89" w14:textId="3BA272FD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(59.4%)</w:t>
            </w:r>
          </w:p>
        </w:tc>
      </w:tr>
      <w:tr w:rsidR="00683C3C" w:rsidRPr="005473B2" w14:paraId="04B94C52" w14:textId="40E71F5F" w:rsidTr="00683C3C">
        <w:trPr>
          <w:trHeight w:val="290"/>
        </w:trPr>
        <w:tc>
          <w:tcPr>
            <w:tcW w:w="4968" w:type="dxa"/>
          </w:tcPr>
          <w:p w14:paraId="47E16D32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Number of children who received dose 1 and dose 2 in the same facility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(%)</w:t>
            </w:r>
          </w:p>
          <w:p w14:paraId="4A24BFC3" w14:textId="3ECFE06C" w:rsidR="00683C3C" w:rsidRPr="005473B2" w:rsidRDefault="00683C3C" w:rsidP="00463869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987" w:type="dxa"/>
          </w:tcPr>
          <w:p w14:paraId="55707796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3859</w:t>
            </w:r>
          </w:p>
          <w:p w14:paraId="1062EC9C" w14:textId="49BC0B3A" w:rsidR="00683C3C" w:rsidRPr="005473B2" w:rsidRDefault="00683C3C" w:rsidP="0046386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(92.4%)</w:t>
            </w:r>
          </w:p>
        </w:tc>
        <w:tc>
          <w:tcPr>
            <w:tcW w:w="992" w:type="dxa"/>
          </w:tcPr>
          <w:p w14:paraId="096B457B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3934</w:t>
            </w:r>
          </w:p>
          <w:p w14:paraId="2008EC91" w14:textId="1070D645" w:rsidR="00683C3C" w:rsidRPr="005473B2" w:rsidRDefault="00683C3C" w:rsidP="0046386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(92.2%)</w:t>
            </w:r>
          </w:p>
        </w:tc>
        <w:tc>
          <w:tcPr>
            <w:tcW w:w="992" w:type="dxa"/>
          </w:tcPr>
          <w:p w14:paraId="441CE364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3246</w:t>
            </w:r>
          </w:p>
          <w:p w14:paraId="06A120EA" w14:textId="384566DE" w:rsidR="00683C3C" w:rsidRPr="005473B2" w:rsidRDefault="00683C3C" w:rsidP="0046386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(92.7%)</w:t>
            </w:r>
          </w:p>
        </w:tc>
        <w:tc>
          <w:tcPr>
            <w:tcW w:w="992" w:type="dxa"/>
          </w:tcPr>
          <w:p w14:paraId="56F90BAC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4687</w:t>
            </w:r>
          </w:p>
          <w:p w14:paraId="19A5B263" w14:textId="59B1F6FA" w:rsidR="00683C3C" w:rsidRPr="005473B2" w:rsidRDefault="00683C3C" w:rsidP="00463869">
            <w:pPr>
              <w:jc w:val="center"/>
              <w:rPr>
                <w:rFonts w:cstheme="minorHAnsi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(96.1%)</w:t>
            </w:r>
          </w:p>
        </w:tc>
        <w:tc>
          <w:tcPr>
            <w:tcW w:w="993" w:type="dxa"/>
          </w:tcPr>
          <w:p w14:paraId="7ABE10B7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7793</w:t>
            </w:r>
          </w:p>
          <w:p w14:paraId="49FD0569" w14:textId="689442F9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(92.3%)</w:t>
            </w:r>
          </w:p>
        </w:tc>
        <w:tc>
          <w:tcPr>
            <w:tcW w:w="993" w:type="dxa"/>
          </w:tcPr>
          <w:p w14:paraId="55E83839" w14:textId="69BE70DF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7933</w:t>
            </w:r>
          </w:p>
          <w:p w14:paraId="7FAAB255" w14:textId="52FB87A1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(94.7%)</w:t>
            </w:r>
          </w:p>
        </w:tc>
      </w:tr>
      <w:tr w:rsidR="00683C3C" w:rsidRPr="005473B2" w14:paraId="3C93E794" w14:textId="2E59885B" w:rsidTr="00683C3C">
        <w:trPr>
          <w:trHeight w:val="290"/>
        </w:trPr>
        <w:tc>
          <w:tcPr>
            <w:tcW w:w="4968" w:type="dxa"/>
          </w:tcPr>
          <w:p w14:paraId="25B0D3C8" w14:textId="77777777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Median duration in days between dose 1 and dose 2 among children with linked dose 1 and 2 records (IQR)</w:t>
            </w:r>
          </w:p>
          <w:p w14:paraId="2D029385" w14:textId="2E26E876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87" w:type="dxa"/>
          </w:tcPr>
          <w:p w14:paraId="1A759828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32</w:t>
            </w:r>
          </w:p>
          <w:p w14:paraId="56E22171" w14:textId="626CDF88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  <w:lang w:val="en-GB"/>
              </w:rPr>
            </w:pPr>
            <w:r w:rsidRPr="005473B2">
              <w:rPr>
                <w:sz w:val="16"/>
                <w:szCs w:val="16"/>
              </w:rPr>
              <w:t>(29-38)</w:t>
            </w:r>
          </w:p>
        </w:tc>
        <w:tc>
          <w:tcPr>
            <w:tcW w:w="992" w:type="dxa"/>
          </w:tcPr>
          <w:p w14:paraId="6E1FC785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35</w:t>
            </w:r>
          </w:p>
          <w:p w14:paraId="1FDA1247" w14:textId="43F9ED3A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  <w:lang w:val="en-GB"/>
              </w:rPr>
            </w:pPr>
            <w:r w:rsidRPr="005473B2">
              <w:rPr>
                <w:sz w:val="16"/>
                <w:szCs w:val="16"/>
              </w:rPr>
              <w:t>(29-72)</w:t>
            </w:r>
          </w:p>
        </w:tc>
        <w:tc>
          <w:tcPr>
            <w:tcW w:w="992" w:type="dxa"/>
          </w:tcPr>
          <w:p w14:paraId="588DEC04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31</w:t>
            </w:r>
          </w:p>
          <w:p w14:paraId="522CC6E3" w14:textId="7D3DFE9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  <w:lang w:val="en-GB"/>
              </w:rPr>
            </w:pPr>
            <w:r w:rsidRPr="005473B2">
              <w:rPr>
                <w:sz w:val="16"/>
                <w:szCs w:val="16"/>
              </w:rPr>
              <w:t>(29-35)</w:t>
            </w:r>
          </w:p>
        </w:tc>
        <w:tc>
          <w:tcPr>
            <w:tcW w:w="992" w:type="dxa"/>
          </w:tcPr>
          <w:p w14:paraId="40435F3C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30</w:t>
            </w:r>
          </w:p>
          <w:p w14:paraId="1AD6C6C3" w14:textId="652FCACB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  <w:lang w:val="en-GB"/>
              </w:rPr>
            </w:pPr>
            <w:r w:rsidRPr="005473B2">
              <w:rPr>
                <w:sz w:val="16"/>
                <w:szCs w:val="16"/>
              </w:rPr>
              <w:t>(28-33)</w:t>
            </w:r>
          </w:p>
        </w:tc>
        <w:tc>
          <w:tcPr>
            <w:tcW w:w="993" w:type="dxa"/>
          </w:tcPr>
          <w:p w14:paraId="1ADA4C76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33</w:t>
            </w:r>
          </w:p>
          <w:p w14:paraId="51A527E0" w14:textId="43B403F6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(29-50)</w:t>
            </w:r>
          </w:p>
        </w:tc>
        <w:tc>
          <w:tcPr>
            <w:tcW w:w="993" w:type="dxa"/>
          </w:tcPr>
          <w:p w14:paraId="5A8F6B52" w14:textId="0AC5644A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31</w:t>
            </w:r>
          </w:p>
          <w:p w14:paraId="53F338E1" w14:textId="44222C3D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(28-34)</w:t>
            </w:r>
          </w:p>
        </w:tc>
      </w:tr>
      <w:tr w:rsidR="00683C3C" w:rsidRPr="005473B2" w14:paraId="7FD867A6" w14:textId="77777777" w:rsidTr="00683C3C">
        <w:trPr>
          <w:trHeight w:val="290"/>
        </w:trPr>
        <w:tc>
          <w:tcPr>
            <w:tcW w:w="4968" w:type="dxa"/>
          </w:tcPr>
          <w:p w14:paraId="45A443F6" w14:textId="5CF195B6" w:rsidR="00683C3C" w:rsidRPr="005473B2" w:rsidRDefault="00683C3C" w:rsidP="00463869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Minimum and maximum duration in days between dose 1 and dose 2 among children with linked dose 1 and 2 records</w:t>
            </w:r>
          </w:p>
        </w:tc>
        <w:tc>
          <w:tcPr>
            <w:tcW w:w="987" w:type="dxa"/>
          </w:tcPr>
          <w:p w14:paraId="49D0049D" w14:textId="24A80B33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1-272</w:t>
            </w:r>
          </w:p>
        </w:tc>
        <w:tc>
          <w:tcPr>
            <w:tcW w:w="992" w:type="dxa"/>
          </w:tcPr>
          <w:p w14:paraId="4C4DE97B" w14:textId="4A203C88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1-698</w:t>
            </w:r>
          </w:p>
        </w:tc>
        <w:tc>
          <w:tcPr>
            <w:tcW w:w="992" w:type="dxa"/>
          </w:tcPr>
          <w:p w14:paraId="6402E37B" w14:textId="58BCA352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1-110</w:t>
            </w:r>
          </w:p>
        </w:tc>
        <w:tc>
          <w:tcPr>
            <w:tcW w:w="992" w:type="dxa"/>
          </w:tcPr>
          <w:p w14:paraId="5DDDD0AE" w14:textId="44DB2C10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2-117</w:t>
            </w:r>
          </w:p>
        </w:tc>
        <w:tc>
          <w:tcPr>
            <w:tcW w:w="993" w:type="dxa"/>
          </w:tcPr>
          <w:p w14:paraId="7F75D738" w14:textId="6C08DDF0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1-698</w:t>
            </w:r>
          </w:p>
        </w:tc>
        <w:tc>
          <w:tcPr>
            <w:tcW w:w="993" w:type="dxa"/>
          </w:tcPr>
          <w:p w14:paraId="219B8BBD" w14:textId="47F790AB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1-117</w:t>
            </w:r>
          </w:p>
        </w:tc>
      </w:tr>
      <w:tr w:rsidR="00683C3C" w:rsidRPr="005473B2" w14:paraId="76EB3204" w14:textId="5640B05E" w:rsidTr="00683C3C">
        <w:trPr>
          <w:trHeight w:val="290"/>
        </w:trPr>
        <w:tc>
          <w:tcPr>
            <w:tcW w:w="4968" w:type="dxa"/>
            <w:tcBorders>
              <w:bottom w:val="single" w:sz="4" w:space="0" w:color="auto"/>
            </w:tcBorders>
            <w:noWrap/>
          </w:tcPr>
          <w:p w14:paraId="6BED979C" w14:textId="50FC1589" w:rsidR="00683C3C" w:rsidRPr="005473B2" w:rsidRDefault="00683C3C" w:rsidP="00463869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Median number of times a facility received 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influenza 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vaccine supplies in 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a </w:t>
            </w:r>
            <w:r w:rsidRPr="005473B2">
              <w:rPr>
                <w:rFonts w:ascii="Calibri" w:hAnsi="Calibri" w:cs="Calibri"/>
                <w:color w:val="000000"/>
                <w:sz w:val="16"/>
                <w:szCs w:val="16"/>
              </w:rPr>
              <w:t>month (IQR)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noWrap/>
          </w:tcPr>
          <w:p w14:paraId="3C7170A7" w14:textId="66FB7B00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</w:t>
            </w:r>
          </w:p>
          <w:p w14:paraId="58AAA204" w14:textId="4F1458B0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(0-2)</w:t>
            </w:r>
          </w:p>
          <w:p w14:paraId="288721EB" w14:textId="551C5EE6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0D81371A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</w:t>
            </w:r>
          </w:p>
          <w:p w14:paraId="39395656" w14:textId="1FF8DEC2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(1-1)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2777A3D4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2</w:t>
            </w:r>
          </w:p>
          <w:p w14:paraId="3C70597E" w14:textId="23180736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(1.25-4)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14:paraId="1029B5F5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</w:t>
            </w:r>
          </w:p>
          <w:p w14:paraId="784129BD" w14:textId="2614ACD4" w:rsidR="00683C3C" w:rsidRPr="005473B2" w:rsidRDefault="00683C3C" w:rsidP="00463869">
            <w:pPr>
              <w:jc w:val="center"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(1-4)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B373DC5" w14:textId="77777777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1</w:t>
            </w:r>
          </w:p>
          <w:p w14:paraId="1AA3F3BF" w14:textId="01497288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(1-1)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3C3EAD" w14:textId="66CE7D25" w:rsidR="00683C3C" w:rsidRPr="005473B2" w:rsidRDefault="00683C3C" w:rsidP="00463869">
            <w:pPr>
              <w:jc w:val="center"/>
              <w:rPr>
                <w:sz w:val="16"/>
                <w:szCs w:val="16"/>
              </w:rPr>
            </w:pPr>
            <w:r w:rsidRPr="005473B2">
              <w:rPr>
                <w:sz w:val="16"/>
                <w:szCs w:val="16"/>
              </w:rPr>
              <w:t>3</w:t>
            </w:r>
          </w:p>
          <w:p w14:paraId="26168D9F" w14:textId="7C66FA9A" w:rsidR="00683C3C" w:rsidRPr="005473B2" w:rsidRDefault="00683C3C" w:rsidP="0046386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5473B2">
              <w:rPr>
                <w:sz w:val="16"/>
                <w:szCs w:val="16"/>
              </w:rPr>
              <w:t>(1-4)</w:t>
            </w:r>
          </w:p>
        </w:tc>
      </w:tr>
    </w:tbl>
    <w:p w14:paraId="03ECF114" w14:textId="3ADBC706" w:rsidR="00A3088A" w:rsidRPr="00BA418E" w:rsidRDefault="005471BE" w:rsidP="00463869">
      <w:pPr>
        <w:spacing w:line="480" w:lineRule="auto"/>
        <w:rPr>
          <w:rFonts w:cstheme="minorHAnsi"/>
          <w:color w:val="808080" w:themeColor="background1" w:themeShade="80"/>
          <w:sz w:val="16"/>
          <w:szCs w:val="16"/>
        </w:rPr>
      </w:pPr>
      <w:r w:rsidRPr="00BA418E">
        <w:rPr>
          <w:rFonts w:cstheme="minorHAnsi"/>
          <w:color w:val="808080" w:themeColor="background1" w:themeShade="80"/>
          <w:sz w:val="16"/>
          <w:szCs w:val="16"/>
        </w:rPr>
        <w:t xml:space="preserve"># </w:t>
      </w:r>
      <w:r w:rsidR="00BA418E" w:rsidRPr="00BA418E">
        <w:rPr>
          <w:rFonts w:cstheme="minorHAnsi"/>
          <w:color w:val="808080" w:themeColor="background1" w:themeShade="80"/>
          <w:sz w:val="16"/>
          <w:szCs w:val="16"/>
        </w:rPr>
        <w:t>Data</w:t>
      </w:r>
      <w:r w:rsidRPr="00BA418E">
        <w:rPr>
          <w:rFonts w:cstheme="minorHAnsi"/>
          <w:color w:val="808080" w:themeColor="background1" w:themeShade="80"/>
          <w:sz w:val="16"/>
          <w:szCs w:val="16"/>
        </w:rPr>
        <w:t xml:space="preserve"> on</w:t>
      </w:r>
      <w:r w:rsidR="00BA418E" w:rsidRPr="00BA418E">
        <w:rPr>
          <w:rFonts w:cstheme="minorHAnsi"/>
          <w:color w:val="808080" w:themeColor="background1" w:themeShade="80"/>
          <w:sz w:val="16"/>
          <w:szCs w:val="16"/>
        </w:rPr>
        <w:t xml:space="preserve"> these variables were unavailable in </w:t>
      </w:r>
      <w:proofErr w:type="spellStart"/>
      <w:r w:rsidR="003206DF">
        <w:rPr>
          <w:rFonts w:cstheme="minorHAnsi"/>
          <w:color w:val="808080" w:themeColor="background1" w:themeShade="80"/>
          <w:sz w:val="16"/>
          <w:szCs w:val="16"/>
        </w:rPr>
        <w:t>upto</w:t>
      </w:r>
      <w:proofErr w:type="spellEnd"/>
      <w:r w:rsidR="003206DF">
        <w:rPr>
          <w:rFonts w:cstheme="minorHAnsi"/>
          <w:color w:val="808080" w:themeColor="background1" w:themeShade="80"/>
          <w:sz w:val="16"/>
          <w:szCs w:val="16"/>
        </w:rPr>
        <w:t xml:space="preserve"> 3</w:t>
      </w:r>
      <w:r w:rsidR="00BA418E" w:rsidRPr="00BA418E">
        <w:rPr>
          <w:rFonts w:cstheme="minorHAnsi"/>
          <w:color w:val="808080" w:themeColor="background1" w:themeShade="80"/>
          <w:sz w:val="16"/>
          <w:szCs w:val="16"/>
        </w:rPr>
        <w:t>% of entries</w:t>
      </w:r>
      <w:r w:rsidR="00A330FA">
        <w:rPr>
          <w:rFonts w:cstheme="minorHAnsi"/>
          <w:color w:val="808080" w:themeColor="background1" w:themeShade="80"/>
          <w:sz w:val="16"/>
          <w:szCs w:val="16"/>
        </w:rPr>
        <w:t xml:space="preserve">. </w:t>
      </w:r>
      <w:r w:rsidR="00A3088A">
        <w:rPr>
          <w:rFonts w:cstheme="minorHAnsi"/>
          <w:color w:val="808080" w:themeColor="background1" w:themeShade="80"/>
          <w:sz w:val="16"/>
          <w:szCs w:val="16"/>
        </w:rPr>
        <w:t>SH – Southern Hemisphere, NH – Northern Hemisphere</w:t>
      </w:r>
    </w:p>
    <w:p w14:paraId="36C1FF05" w14:textId="77777777" w:rsidR="00523029" w:rsidRDefault="00523029" w:rsidP="00463869">
      <w:pPr>
        <w:spacing w:line="480" w:lineRule="auto"/>
        <w:jc w:val="both"/>
        <w:rPr>
          <w:b/>
          <w:bCs/>
          <w:lang w:val="en-US"/>
        </w:rPr>
      </w:pPr>
    </w:p>
    <w:p w14:paraId="5F4F686D" w14:textId="2405DD0C" w:rsidR="00523029" w:rsidRDefault="00F51DCB" w:rsidP="00463869">
      <w:pPr>
        <w:spacing w:line="48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REFERENCES</w:t>
      </w:r>
    </w:p>
    <w:p w14:paraId="5A774AB6" w14:textId="40671A9C" w:rsidR="00F85528" w:rsidRPr="00F85528" w:rsidRDefault="000A2EA0" w:rsidP="00463869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Calibri" w:hAnsi="Calibri" w:cs="Calibri"/>
          <w:noProof/>
        </w:rPr>
      </w:pPr>
      <w:r>
        <w:rPr>
          <w:b/>
          <w:bCs/>
          <w:lang w:val="en-US"/>
        </w:rPr>
        <w:fldChar w:fldCharType="begin" w:fldLock="1"/>
      </w:r>
      <w:r>
        <w:rPr>
          <w:b/>
          <w:bCs/>
          <w:lang w:val="en-US"/>
        </w:rPr>
        <w:instrText xml:space="preserve">ADDIN Mendeley Bibliography CSL_BIBLIOGRAPHY </w:instrText>
      </w:r>
      <w:r>
        <w:rPr>
          <w:b/>
          <w:bCs/>
          <w:lang w:val="en-US"/>
        </w:rPr>
        <w:fldChar w:fldCharType="separate"/>
      </w:r>
      <w:r w:rsidR="00F85528" w:rsidRPr="00F85528">
        <w:rPr>
          <w:rFonts w:ascii="Calibri" w:hAnsi="Calibri" w:cs="Calibri"/>
          <w:noProof/>
          <w:szCs w:val="24"/>
        </w:rPr>
        <w:t xml:space="preserve">1. </w:t>
      </w:r>
      <w:r w:rsidR="00F85528" w:rsidRPr="00F85528">
        <w:rPr>
          <w:rFonts w:ascii="Calibri" w:hAnsi="Calibri" w:cs="Calibri"/>
          <w:noProof/>
          <w:szCs w:val="24"/>
        </w:rPr>
        <w:tab/>
        <w:t>2019 Kenya Population and Housing Census Volume III: Distribution of Population by Age, Sex and Administrative Units - Kenya National Bureau of Statistics [Internet]. [cited 2022 Aug 5]. Available from: https://www.knbs.or.ke/?wpdmpro=2019-kenya-population-and-housing-census-volume-iii-distribution-of-population-by-age-sex-and-administrative-units</w:t>
      </w:r>
    </w:p>
    <w:p w14:paraId="15910DAA" w14:textId="7BFB5343" w:rsidR="00E73BBB" w:rsidRPr="00CB59E6" w:rsidRDefault="000A2EA0" w:rsidP="00463869">
      <w:pPr>
        <w:spacing w:line="480" w:lineRule="auto"/>
        <w:rPr>
          <w:b/>
          <w:bCs/>
          <w:lang w:val="en-US"/>
        </w:rPr>
      </w:pPr>
      <w:r>
        <w:rPr>
          <w:b/>
          <w:bCs/>
          <w:lang w:val="en-US"/>
        </w:rPr>
        <w:fldChar w:fldCharType="end"/>
      </w:r>
    </w:p>
    <w:p w14:paraId="3D1BF949" w14:textId="3274E842" w:rsidR="00A65162" w:rsidRPr="005469FF" w:rsidRDefault="00A65162" w:rsidP="00463869">
      <w:pPr>
        <w:spacing w:line="480" w:lineRule="auto"/>
        <w:rPr>
          <w:lang w:val="en-US"/>
        </w:rPr>
      </w:pPr>
    </w:p>
    <w:sectPr w:rsidR="00A65162" w:rsidRPr="00546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B095" w14:textId="77777777" w:rsidR="0027252F" w:rsidRDefault="0027252F" w:rsidP="00B669B3">
      <w:pPr>
        <w:spacing w:after="0" w:line="240" w:lineRule="auto"/>
      </w:pPr>
      <w:r>
        <w:separator/>
      </w:r>
    </w:p>
  </w:endnote>
  <w:endnote w:type="continuationSeparator" w:id="0">
    <w:p w14:paraId="160869B3" w14:textId="77777777" w:rsidR="0027252F" w:rsidRDefault="0027252F" w:rsidP="00B6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289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48E11" w14:textId="3D700ADE" w:rsidR="00961E16" w:rsidRDefault="00961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CF43DE" w14:textId="77777777" w:rsidR="00961E16" w:rsidRDefault="00961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BB4E" w14:textId="77777777" w:rsidR="0027252F" w:rsidRDefault="0027252F" w:rsidP="00B669B3">
      <w:pPr>
        <w:spacing w:after="0" w:line="240" w:lineRule="auto"/>
      </w:pPr>
      <w:r>
        <w:separator/>
      </w:r>
    </w:p>
  </w:footnote>
  <w:footnote w:type="continuationSeparator" w:id="0">
    <w:p w14:paraId="7149FA19" w14:textId="77777777" w:rsidR="0027252F" w:rsidRDefault="0027252F" w:rsidP="00B6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545DE"/>
    <w:multiLevelType w:val="hybridMultilevel"/>
    <w:tmpl w:val="D5220A0E"/>
    <w:lvl w:ilvl="0" w:tplc="EF4E05AC">
      <w:start w:val="1"/>
      <w:numFmt w:val="lowerRoman"/>
      <w:lvlText w:val="%1)"/>
      <w:lvlJc w:val="left"/>
      <w:pPr>
        <w:ind w:left="1080" w:hanging="72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2D0"/>
    <w:multiLevelType w:val="hybridMultilevel"/>
    <w:tmpl w:val="AD22A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57459"/>
    <w:multiLevelType w:val="hybridMultilevel"/>
    <w:tmpl w:val="5C84B87A"/>
    <w:lvl w:ilvl="0" w:tplc="22ECF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7D4F"/>
    <w:multiLevelType w:val="hybridMultilevel"/>
    <w:tmpl w:val="1E1CA0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25536"/>
    <w:multiLevelType w:val="hybridMultilevel"/>
    <w:tmpl w:val="68285D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B67BD"/>
    <w:multiLevelType w:val="hybridMultilevel"/>
    <w:tmpl w:val="4DDC79AA"/>
    <w:lvl w:ilvl="0" w:tplc="E8129B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F4F70"/>
    <w:multiLevelType w:val="hybridMultilevel"/>
    <w:tmpl w:val="2A5ED458"/>
    <w:lvl w:ilvl="0" w:tplc="047EC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A3CF0"/>
    <w:multiLevelType w:val="hybridMultilevel"/>
    <w:tmpl w:val="26FAAA02"/>
    <w:lvl w:ilvl="0" w:tplc="759C60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52015"/>
    <w:multiLevelType w:val="hybridMultilevel"/>
    <w:tmpl w:val="A4B43EA0"/>
    <w:lvl w:ilvl="0" w:tplc="4FDAC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7632E"/>
    <w:multiLevelType w:val="hybridMultilevel"/>
    <w:tmpl w:val="2F205B06"/>
    <w:lvl w:ilvl="0" w:tplc="22ECF8E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54484F"/>
    <w:multiLevelType w:val="hybridMultilevel"/>
    <w:tmpl w:val="008C5226"/>
    <w:lvl w:ilvl="0" w:tplc="3A58C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F4B80"/>
    <w:multiLevelType w:val="hybridMultilevel"/>
    <w:tmpl w:val="6F6048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83489"/>
    <w:multiLevelType w:val="hybridMultilevel"/>
    <w:tmpl w:val="668C8C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01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5852642">
    <w:abstractNumId w:val="1"/>
  </w:num>
  <w:num w:numId="3" w16cid:durableId="567499588">
    <w:abstractNumId w:val="11"/>
  </w:num>
  <w:num w:numId="4" w16cid:durableId="2102605566">
    <w:abstractNumId w:val="3"/>
  </w:num>
  <w:num w:numId="5" w16cid:durableId="1985888220">
    <w:abstractNumId w:val="4"/>
  </w:num>
  <w:num w:numId="6" w16cid:durableId="617876796">
    <w:abstractNumId w:val="12"/>
  </w:num>
  <w:num w:numId="7" w16cid:durableId="27535399">
    <w:abstractNumId w:val="2"/>
  </w:num>
  <w:num w:numId="8" w16cid:durableId="1913655738">
    <w:abstractNumId w:val="7"/>
  </w:num>
  <w:num w:numId="9" w16cid:durableId="170533618">
    <w:abstractNumId w:val="0"/>
  </w:num>
  <w:num w:numId="10" w16cid:durableId="719943376">
    <w:abstractNumId w:val="9"/>
  </w:num>
  <w:num w:numId="11" w16cid:durableId="1377315978">
    <w:abstractNumId w:val="6"/>
  </w:num>
  <w:num w:numId="12" w16cid:durableId="1847136933">
    <w:abstractNumId w:val="5"/>
  </w:num>
  <w:num w:numId="13" w16cid:durableId="1290890718">
    <w:abstractNumId w:val="10"/>
  </w:num>
  <w:num w:numId="14" w16cid:durableId="1190484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wMDY0szQzMjYzMDRR0lEKTi0uzszPAykwNKgFAFyGDjktAAAA"/>
  </w:docVars>
  <w:rsids>
    <w:rsidRoot w:val="00FB4AD7"/>
    <w:rsid w:val="000033C4"/>
    <w:rsid w:val="0000621C"/>
    <w:rsid w:val="000069AF"/>
    <w:rsid w:val="0001374A"/>
    <w:rsid w:val="00014033"/>
    <w:rsid w:val="000152D4"/>
    <w:rsid w:val="000162A4"/>
    <w:rsid w:val="0001749D"/>
    <w:rsid w:val="0003198D"/>
    <w:rsid w:val="00032681"/>
    <w:rsid w:val="000329FE"/>
    <w:rsid w:val="000401E8"/>
    <w:rsid w:val="00040CD3"/>
    <w:rsid w:val="00042247"/>
    <w:rsid w:val="00042666"/>
    <w:rsid w:val="0004535B"/>
    <w:rsid w:val="00047991"/>
    <w:rsid w:val="00051087"/>
    <w:rsid w:val="00056FCA"/>
    <w:rsid w:val="00064959"/>
    <w:rsid w:val="0006770D"/>
    <w:rsid w:val="00067D13"/>
    <w:rsid w:val="00071BA6"/>
    <w:rsid w:val="000720CB"/>
    <w:rsid w:val="0007263F"/>
    <w:rsid w:val="00073813"/>
    <w:rsid w:val="000750B7"/>
    <w:rsid w:val="000764EA"/>
    <w:rsid w:val="000773CE"/>
    <w:rsid w:val="00077B49"/>
    <w:rsid w:val="00082959"/>
    <w:rsid w:val="0008328D"/>
    <w:rsid w:val="0008539A"/>
    <w:rsid w:val="000900CC"/>
    <w:rsid w:val="00093E42"/>
    <w:rsid w:val="00094B18"/>
    <w:rsid w:val="000A130B"/>
    <w:rsid w:val="000A2EA0"/>
    <w:rsid w:val="000A3148"/>
    <w:rsid w:val="000B1410"/>
    <w:rsid w:val="000B5356"/>
    <w:rsid w:val="000B5823"/>
    <w:rsid w:val="000C04DE"/>
    <w:rsid w:val="000C1CAD"/>
    <w:rsid w:val="000C4740"/>
    <w:rsid w:val="000D085A"/>
    <w:rsid w:val="000D22E1"/>
    <w:rsid w:val="000D565A"/>
    <w:rsid w:val="000E0892"/>
    <w:rsid w:val="000E170A"/>
    <w:rsid w:val="000E2CA6"/>
    <w:rsid w:val="000F0061"/>
    <w:rsid w:val="000F080F"/>
    <w:rsid w:val="00100E20"/>
    <w:rsid w:val="0010441C"/>
    <w:rsid w:val="001064B8"/>
    <w:rsid w:val="00116669"/>
    <w:rsid w:val="00123131"/>
    <w:rsid w:val="001247AC"/>
    <w:rsid w:val="00126003"/>
    <w:rsid w:val="0013066D"/>
    <w:rsid w:val="00133BA1"/>
    <w:rsid w:val="001361A7"/>
    <w:rsid w:val="00137DE9"/>
    <w:rsid w:val="0014091B"/>
    <w:rsid w:val="0014369F"/>
    <w:rsid w:val="0014681A"/>
    <w:rsid w:val="001518F0"/>
    <w:rsid w:val="00152515"/>
    <w:rsid w:val="0015296B"/>
    <w:rsid w:val="001532A1"/>
    <w:rsid w:val="0015391D"/>
    <w:rsid w:val="00153E0A"/>
    <w:rsid w:val="00156635"/>
    <w:rsid w:val="0016033E"/>
    <w:rsid w:val="0016241A"/>
    <w:rsid w:val="00167129"/>
    <w:rsid w:val="00174EE8"/>
    <w:rsid w:val="00181E73"/>
    <w:rsid w:val="001830A8"/>
    <w:rsid w:val="001A017D"/>
    <w:rsid w:val="001A38C7"/>
    <w:rsid w:val="001A7A8E"/>
    <w:rsid w:val="001B079C"/>
    <w:rsid w:val="001B208E"/>
    <w:rsid w:val="001B55B6"/>
    <w:rsid w:val="001C19FF"/>
    <w:rsid w:val="001C5A78"/>
    <w:rsid w:val="001C7F4F"/>
    <w:rsid w:val="001D5247"/>
    <w:rsid w:val="001D61DE"/>
    <w:rsid w:val="001D6215"/>
    <w:rsid w:val="001E0458"/>
    <w:rsid w:val="001E20BB"/>
    <w:rsid w:val="001E3DB0"/>
    <w:rsid w:val="001F300F"/>
    <w:rsid w:val="001F44A5"/>
    <w:rsid w:val="0020606C"/>
    <w:rsid w:val="00206A78"/>
    <w:rsid w:val="00207018"/>
    <w:rsid w:val="00210B7A"/>
    <w:rsid w:val="002130D5"/>
    <w:rsid w:val="00213FDF"/>
    <w:rsid w:val="00215072"/>
    <w:rsid w:val="0021547E"/>
    <w:rsid w:val="00216411"/>
    <w:rsid w:val="00227EBC"/>
    <w:rsid w:val="00243349"/>
    <w:rsid w:val="002544A9"/>
    <w:rsid w:val="002550E3"/>
    <w:rsid w:val="00256B54"/>
    <w:rsid w:val="002579B0"/>
    <w:rsid w:val="0027252F"/>
    <w:rsid w:val="00274A80"/>
    <w:rsid w:val="00274E21"/>
    <w:rsid w:val="002846F9"/>
    <w:rsid w:val="0028493B"/>
    <w:rsid w:val="00286489"/>
    <w:rsid w:val="00286F78"/>
    <w:rsid w:val="00287D07"/>
    <w:rsid w:val="00290F8B"/>
    <w:rsid w:val="00292205"/>
    <w:rsid w:val="00294D2B"/>
    <w:rsid w:val="00295893"/>
    <w:rsid w:val="002A2490"/>
    <w:rsid w:val="002A2565"/>
    <w:rsid w:val="002A2CCE"/>
    <w:rsid w:val="002A3EA4"/>
    <w:rsid w:val="002A7965"/>
    <w:rsid w:val="002B2280"/>
    <w:rsid w:val="002B6382"/>
    <w:rsid w:val="002C0A3A"/>
    <w:rsid w:val="002C46D7"/>
    <w:rsid w:val="002C4781"/>
    <w:rsid w:val="002C6BD4"/>
    <w:rsid w:val="002D0373"/>
    <w:rsid w:val="002E47F0"/>
    <w:rsid w:val="002E73E0"/>
    <w:rsid w:val="002F02E7"/>
    <w:rsid w:val="002F2973"/>
    <w:rsid w:val="002F3592"/>
    <w:rsid w:val="002F4F7B"/>
    <w:rsid w:val="003127F7"/>
    <w:rsid w:val="003206DF"/>
    <w:rsid w:val="00321182"/>
    <w:rsid w:val="003212AC"/>
    <w:rsid w:val="00321303"/>
    <w:rsid w:val="00323BE1"/>
    <w:rsid w:val="00324E20"/>
    <w:rsid w:val="00325ED3"/>
    <w:rsid w:val="00327518"/>
    <w:rsid w:val="003307C6"/>
    <w:rsid w:val="00331CB2"/>
    <w:rsid w:val="00333DB0"/>
    <w:rsid w:val="00335A73"/>
    <w:rsid w:val="00336B62"/>
    <w:rsid w:val="00342E4F"/>
    <w:rsid w:val="00342F68"/>
    <w:rsid w:val="00343272"/>
    <w:rsid w:val="00354E7A"/>
    <w:rsid w:val="00356A8F"/>
    <w:rsid w:val="00356E21"/>
    <w:rsid w:val="003572E0"/>
    <w:rsid w:val="00361E3A"/>
    <w:rsid w:val="003655C0"/>
    <w:rsid w:val="00365BAE"/>
    <w:rsid w:val="00366706"/>
    <w:rsid w:val="0037182D"/>
    <w:rsid w:val="00372940"/>
    <w:rsid w:val="003878A1"/>
    <w:rsid w:val="003936C2"/>
    <w:rsid w:val="00393FA5"/>
    <w:rsid w:val="003950C3"/>
    <w:rsid w:val="0039567B"/>
    <w:rsid w:val="003A0042"/>
    <w:rsid w:val="003A16B9"/>
    <w:rsid w:val="003A24FB"/>
    <w:rsid w:val="003A4891"/>
    <w:rsid w:val="003B2303"/>
    <w:rsid w:val="003B67D0"/>
    <w:rsid w:val="003C528D"/>
    <w:rsid w:val="003C55D8"/>
    <w:rsid w:val="003C5C12"/>
    <w:rsid w:val="003D417E"/>
    <w:rsid w:val="003D7815"/>
    <w:rsid w:val="003E46B9"/>
    <w:rsid w:val="003E7DB7"/>
    <w:rsid w:val="003F0CC6"/>
    <w:rsid w:val="003F4FB4"/>
    <w:rsid w:val="003F51E7"/>
    <w:rsid w:val="004013C3"/>
    <w:rsid w:val="00401BF2"/>
    <w:rsid w:val="00403029"/>
    <w:rsid w:val="004054C2"/>
    <w:rsid w:val="004149CD"/>
    <w:rsid w:val="00414A39"/>
    <w:rsid w:val="00423035"/>
    <w:rsid w:val="00424EDF"/>
    <w:rsid w:val="00430512"/>
    <w:rsid w:val="004323B6"/>
    <w:rsid w:val="00435C82"/>
    <w:rsid w:val="0043727E"/>
    <w:rsid w:val="00437395"/>
    <w:rsid w:val="00444419"/>
    <w:rsid w:val="00444FAB"/>
    <w:rsid w:val="00445099"/>
    <w:rsid w:val="00445B1E"/>
    <w:rsid w:val="00446851"/>
    <w:rsid w:val="00450064"/>
    <w:rsid w:val="004513D6"/>
    <w:rsid w:val="00452D6F"/>
    <w:rsid w:val="0046169F"/>
    <w:rsid w:val="00463869"/>
    <w:rsid w:val="004639B3"/>
    <w:rsid w:val="004663D9"/>
    <w:rsid w:val="004710E8"/>
    <w:rsid w:val="00471393"/>
    <w:rsid w:val="00471E26"/>
    <w:rsid w:val="00475FB4"/>
    <w:rsid w:val="00481D94"/>
    <w:rsid w:val="00481E5F"/>
    <w:rsid w:val="00482889"/>
    <w:rsid w:val="00487FC9"/>
    <w:rsid w:val="004911A8"/>
    <w:rsid w:val="00493BD0"/>
    <w:rsid w:val="0049485B"/>
    <w:rsid w:val="0049598C"/>
    <w:rsid w:val="00496862"/>
    <w:rsid w:val="00497A3C"/>
    <w:rsid w:val="004B03A1"/>
    <w:rsid w:val="004B283F"/>
    <w:rsid w:val="004B456D"/>
    <w:rsid w:val="004B4A72"/>
    <w:rsid w:val="004B71C5"/>
    <w:rsid w:val="004B788A"/>
    <w:rsid w:val="004C5D69"/>
    <w:rsid w:val="004D0CF8"/>
    <w:rsid w:val="004D1305"/>
    <w:rsid w:val="004D247C"/>
    <w:rsid w:val="004D2910"/>
    <w:rsid w:val="004D6711"/>
    <w:rsid w:val="004D7540"/>
    <w:rsid w:val="004F3324"/>
    <w:rsid w:val="00500952"/>
    <w:rsid w:val="0050652E"/>
    <w:rsid w:val="00506FC7"/>
    <w:rsid w:val="00515294"/>
    <w:rsid w:val="00520C82"/>
    <w:rsid w:val="00523029"/>
    <w:rsid w:val="00523557"/>
    <w:rsid w:val="005237E4"/>
    <w:rsid w:val="0052625E"/>
    <w:rsid w:val="00527245"/>
    <w:rsid w:val="00530627"/>
    <w:rsid w:val="00530FE7"/>
    <w:rsid w:val="005320F8"/>
    <w:rsid w:val="0053271F"/>
    <w:rsid w:val="00533011"/>
    <w:rsid w:val="00542BE8"/>
    <w:rsid w:val="005469FF"/>
    <w:rsid w:val="005471BE"/>
    <w:rsid w:val="005473B2"/>
    <w:rsid w:val="0055191B"/>
    <w:rsid w:val="00551D49"/>
    <w:rsid w:val="005527CC"/>
    <w:rsid w:val="0055482E"/>
    <w:rsid w:val="00555654"/>
    <w:rsid w:val="005556C5"/>
    <w:rsid w:val="005713BF"/>
    <w:rsid w:val="00574181"/>
    <w:rsid w:val="00574F01"/>
    <w:rsid w:val="00582FA5"/>
    <w:rsid w:val="0058706B"/>
    <w:rsid w:val="005906A1"/>
    <w:rsid w:val="005A3C67"/>
    <w:rsid w:val="005A4844"/>
    <w:rsid w:val="005A63CB"/>
    <w:rsid w:val="005A6F40"/>
    <w:rsid w:val="005A6FB0"/>
    <w:rsid w:val="005B0E3C"/>
    <w:rsid w:val="005B1A85"/>
    <w:rsid w:val="005B1CD1"/>
    <w:rsid w:val="005B3E7F"/>
    <w:rsid w:val="005B4AD3"/>
    <w:rsid w:val="005B72F7"/>
    <w:rsid w:val="005C3049"/>
    <w:rsid w:val="005C4956"/>
    <w:rsid w:val="005C5626"/>
    <w:rsid w:val="005C63B2"/>
    <w:rsid w:val="005D37A2"/>
    <w:rsid w:val="005D40F2"/>
    <w:rsid w:val="005D42EC"/>
    <w:rsid w:val="005E310F"/>
    <w:rsid w:val="005E39E4"/>
    <w:rsid w:val="005E5173"/>
    <w:rsid w:val="005F27D8"/>
    <w:rsid w:val="005F345A"/>
    <w:rsid w:val="00606388"/>
    <w:rsid w:val="00613801"/>
    <w:rsid w:val="00614618"/>
    <w:rsid w:val="006201D5"/>
    <w:rsid w:val="006232C5"/>
    <w:rsid w:val="006256A1"/>
    <w:rsid w:val="00630A2D"/>
    <w:rsid w:val="00634628"/>
    <w:rsid w:val="006348F0"/>
    <w:rsid w:val="00635D6A"/>
    <w:rsid w:val="006429AC"/>
    <w:rsid w:val="00645293"/>
    <w:rsid w:val="00645320"/>
    <w:rsid w:val="00653F9A"/>
    <w:rsid w:val="00656D8C"/>
    <w:rsid w:val="006573BB"/>
    <w:rsid w:val="006607A1"/>
    <w:rsid w:val="00664E4E"/>
    <w:rsid w:val="006653CB"/>
    <w:rsid w:val="00665425"/>
    <w:rsid w:val="006659AC"/>
    <w:rsid w:val="00667CE0"/>
    <w:rsid w:val="00671617"/>
    <w:rsid w:val="006752B5"/>
    <w:rsid w:val="006815F2"/>
    <w:rsid w:val="00682805"/>
    <w:rsid w:val="00683C3C"/>
    <w:rsid w:val="00690208"/>
    <w:rsid w:val="00691BE1"/>
    <w:rsid w:val="00694496"/>
    <w:rsid w:val="00694D12"/>
    <w:rsid w:val="006A1320"/>
    <w:rsid w:val="006A27D4"/>
    <w:rsid w:val="006C0866"/>
    <w:rsid w:val="006C0B74"/>
    <w:rsid w:val="006C1157"/>
    <w:rsid w:val="006C32E3"/>
    <w:rsid w:val="006C3347"/>
    <w:rsid w:val="006C6191"/>
    <w:rsid w:val="006C7788"/>
    <w:rsid w:val="006C7DF5"/>
    <w:rsid w:val="006D0B07"/>
    <w:rsid w:val="006D3A2E"/>
    <w:rsid w:val="006D4432"/>
    <w:rsid w:val="006D48DF"/>
    <w:rsid w:val="006D7498"/>
    <w:rsid w:val="006D7548"/>
    <w:rsid w:val="006E40A3"/>
    <w:rsid w:val="006E5A29"/>
    <w:rsid w:val="006E68DE"/>
    <w:rsid w:val="006F1054"/>
    <w:rsid w:val="006F1368"/>
    <w:rsid w:val="006F22DB"/>
    <w:rsid w:val="006F5026"/>
    <w:rsid w:val="007041C3"/>
    <w:rsid w:val="007106F1"/>
    <w:rsid w:val="00710B9C"/>
    <w:rsid w:val="007132B3"/>
    <w:rsid w:val="007134B7"/>
    <w:rsid w:val="007159AD"/>
    <w:rsid w:val="00717EB3"/>
    <w:rsid w:val="00720936"/>
    <w:rsid w:val="00722B1D"/>
    <w:rsid w:val="00743228"/>
    <w:rsid w:val="0074330D"/>
    <w:rsid w:val="00744910"/>
    <w:rsid w:val="00745195"/>
    <w:rsid w:val="00747661"/>
    <w:rsid w:val="00747AB9"/>
    <w:rsid w:val="00752CAC"/>
    <w:rsid w:val="00753875"/>
    <w:rsid w:val="007546EF"/>
    <w:rsid w:val="00756CCB"/>
    <w:rsid w:val="00760CB9"/>
    <w:rsid w:val="00761481"/>
    <w:rsid w:val="00761E49"/>
    <w:rsid w:val="00762365"/>
    <w:rsid w:val="00762A20"/>
    <w:rsid w:val="007702E5"/>
    <w:rsid w:val="0077197F"/>
    <w:rsid w:val="00774E2B"/>
    <w:rsid w:val="00775DF0"/>
    <w:rsid w:val="007777D0"/>
    <w:rsid w:val="007812BF"/>
    <w:rsid w:val="007833E8"/>
    <w:rsid w:val="007849A6"/>
    <w:rsid w:val="00790EAF"/>
    <w:rsid w:val="0079131A"/>
    <w:rsid w:val="00791977"/>
    <w:rsid w:val="00791AAD"/>
    <w:rsid w:val="007A23F9"/>
    <w:rsid w:val="007A5111"/>
    <w:rsid w:val="007B0A9C"/>
    <w:rsid w:val="007B0F84"/>
    <w:rsid w:val="007B3AA3"/>
    <w:rsid w:val="007B3D86"/>
    <w:rsid w:val="007C1887"/>
    <w:rsid w:val="007C1CBD"/>
    <w:rsid w:val="007C31D7"/>
    <w:rsid w:val="007C3991"/>
    <w:rsid w:val="007C4246"/>
    <w:rsid w:val="007C7B42"/>
    <w:rsid w:val="007D4BA6"/>
    <w:rsid w:val="007D774A"/>
    <w:rsid w:val="007E0039"/>
    <w:rsid w:val="007E1034"/>
    <w:rsid w:val="007E17B5"/>
    <w:rsid w:val="007E1CA6"/>
    <w:rsid w:val="00800E03"/>
    <w:rsid w:val="008017C6"/>
    <w:rsid w:val="00802F4B"/>
    <w:rsid w:val="00802FCB"/>
    <w:rsid w:val="00804A5E"/>
    <w:rsid w:val="00806327"/>
    <w:rsid w:val="0080715F"/>
    <w:rsid w:val="0081456A"/>
    <w:rsid w:val="00814B6C"/>
    <w:rsid w:val="008213AD"/>
    <w:rsid w:val="00822DD9"/>
    <w:rsid w:val="00824AB3"/>
    <w:rsid w:val="008306C5"/>
    <w:rsid w:val="00834529"/>
    <w:rsid w:val="008368D2"/>
    <w:rsid w:val="00843021"/>
    <w:rsid w:val="0084316F"/>
    <w:rsid w:val="00844438"/>
    <w:rsid w:val="00844BBD"/>
    <w:rsid w:val="00846066"/>
    <w:rsid w:val="0085059E"/>
    <w:rsid w:val="00851127"/>
    <w:rsid w:val="00853AEF"/>
    <w:rsid w:val="00856818"/>
    <w:rsid w:val="00857E6D"/>
    <w:rsid w:val="00857FD7"/>
    <w:rsid w:val="0086204A"/>
    <w:rsid w:val="008628AC"/>
    <w:rsid w:val="00864BEC"/>
    <w:rsid w:val="008669CB"/>
    <w:rsid w:val="00866B32"/>
    <w:rsid w:val="00870F1E"/>
    <w:rsid w:val="0087214C"/>
    <w:rsid w:val="0087256F"/>
    <w:rsid w:val="00872D09"/>
    <w:rsid w:val="0088006F"/>
    <w:rsid w:val="0088486D"/>
    <w:rsid w:val="0089060E"/>
    <w:rsid w:val="00892C9D"/>
    <w:rsid w:val="008947A9"/>
    <w:rsid w:val="00894AE3"/>
    <w:rsid w:val="00897525"/>
    <w:rsid w:val="008A0FB5"/>
    <w:rsid w:val="008A22CA"/>
    <w:rsid w:val="008A2FF9"/>
    <w:rsid w:val="008A6657"/>
    <w:rsid w:val="008B15CF"/>
    <w:rsid w:val="008B4903"/>
    <w:rsid w:val="008C01F6"/>
    <w:rsid w:val="008C02DB"/>
    <w:rsid w:val="008C08A1"/>
    <w:rsid w:val="008C0C1C"/>
    <w:rsid w:val="008C244E"/>
    <w:rsid w:val="008C3357"/>
    <w:rsid w:val="008C3547"/>
    <w:rsid w:val="008C46C7"/>
    <w:rsid w:val="008C725A"/>
    <w:rsid w:val="008D01EB"/>
    <w:rsid w:val="008D1B67"/>
    <w:rsid w:val="008E0105"/>
    <w:rsid w:val="008E1932"/>
    <w:rsid w:val="008E3139"/>
    <w:rsid w:val="008F07FC"/>
    <w:rsid w:val="0090167D"/>
    <w:rsid w:val="009034C4"/>
    <w:rsid w:val="00903F46"/>
    <w:rsid w:val="0090402C"/>
    <w:rsid w:val="00904BD0"/>
    <w:rsid w:val="00921F56"/>
    <w:rsid w:val="00922D72"/>
    <w:rsid w:val="00923F16"/>
    <w:rsid w:val="00924A04"/>
    <w:rsid w:val="009255C1"/>
    <w:rsid w:val="00925DED"/>
    <w:rsid w:val="0092636A"/>
    <w:rsid w:val="00926E98"/>
    <w:rsid w:val="00933682"/>
    <w:rsid w:val="0093495C"/>
    <w:rsid w:val="0093693A"/>
    <w:rsid w:val="00941D1F"/>
    <w:rsid w:val="00942AFD"/>
    <w:rsid w:val="00944623"/>
    <w:rsid w:val="00944968"/>
    <w:rsid w:val="009455D7"/>
    <w:rsid w:val="009506F8"/>
    <w:rsid w:val="009520D8"/>
    <w:rsid w:val="00955E6E"/>
    <w:rsid w:val="00955F9B"/>
    <w:rsid w:val="00957759"/>
    <w:rsid w:val="00957B1E"/>
    <w:rsid w:val="00961E16"/>
    <w:rsid w:val="00962695"/>
    <w:rsid w:val="00963365"/>
    <w:rsid w:val="00963C5E"/>
    <w:rsid w:val="00972611"/>
    <w:rsid w:val="009744B5"/>
    <w:rsid w:val="00975C2C"/>
    <w:rsid w:val="00975E7E"/>
    <w:rsid w:val="00976A6A"/>
    <w:rsid w:val="00976C29"/>
    <w:rsid w:val="00987C53"/>
    <w:rsid w:val="00991762"/>
    <w:rsid w:val="009929E8"/>
    <w:rsid w:val="00992E2A"/>
    <w:rsid w:val="0099555C"/>
    <w:rsid w:val="00995B69"/>
    <w:rsid w:val="009A1780"/>
    <w:rsid w:val="009A298A"/>
    <w:rsid w:val="009A4336"/>
    <w:rsid w:val="009B4DB4"/>
    <w:rsid w:val="009B5C00"/>
    <w:rsid w:val="009B63A2"/>
    <w:rsid w:val="009C0597"/>
    <w:rsid w:val="009C0739"/>
    <w:rsid w:val="009C25BF"/>
    <w:rsid w:val="009D4663"/>
    <w:rsid w:val="009D7030"/>
    <w:rsid w:val="009D7723"/>
    <w:rsid w:val="009E1163"/>
    <w:rsid w:val="009E2182"/>
    <w:rsid w:val="009E63DD"/>
    <w:rsid w:val="009E6522"/>
    <w:rsid w:val="009F10E9"/>
    <w:rsid w:val="009F2E83"/>
    <w:rsid w:val="00A01E98"/>
    <w:rsid w:val="00A07DE2"/>
    <w:rsid w:val="00A1196A"/>
    <w:rsid w:val="00A13BAE"/>
    <w:rsid w:val="00A14911"/>
    <w:rsid w:val="00A21BAC"/>
    <w:rsid w:val="00A251F0"/>
    <w:rsid w:val="00A3088A"/>
    <w:rsid w:val="00A330FA"/>
    <w:rsid w:val="00A36231"/>
    <w:rsid w:val="00A37C30"/>
    <w:rsid w:val="00A40C20"/>
    <w:rsid w:val="00A50AD7"/>
    <w:rsid w:val="00A51DB2"/>
    <w:rsid w:val="00A525CD"/>
    <w:rsid w:val="00A54BC0"/>
    <w:rsid w:val="00A55400"/>
    <w:rsid w:val="00A563C4"/>
    <w:rsid w:val="00A56FBA"/>
    <w:rsid w:val="00A579AD"/>
    <w:rsid w:val="00A61BE7"/>
    <w:rsid w:val="00A6453E"/>
    <w:rsid w:val="00A65162"/>
    <w:rsid w:val="00A65721"/>
    <w:rsid w:val="00A7460E"/>
    <w:rsid w:val="00A76D16"/>
    <w:rsid w:val="00A83E46"/>
    <w:rsid w:val="00A845C9"/>
    <w:rsid w:val="00A85CD5"/>
    <w:rsid w:val="00A86145"/>
    <w:rsid w:val="00A8745B"/>
    <w:rsid w:val="00A93698"/>
    <w:rsid w:val="00A944C7"/>
    <w:rsid w:val="00A95BAF"/>
    <w:rsid w:val="00A97AC5"/>
    <w:rsid w:val="00AA1F88"/>
    <w:rsid w:val="00AA29A8"/>
    <w:rsid w:val="00AA557C"/>
    <w:rsid w:val="00AA7B51"/>
    <w:rsid w:val="00AB15BE"/>
    <w:rsid w:val="00AB365F"/>
    <w:rsid w:val="00AB4036"/>
    <w:rsid w:val="00AB5259"/>
    <w:rsid w:val="00AC1808"/>
    <w:rsid w:val="00AC259E"/>
    <w:rsid w:val="00AC7D66"/>
    <w:rsid w:val="00AD2FA4"/>
    <w:rsid w:val="00AD4D1F"/>
    <w:rsid w:val="00AD5E20"/>
    <w:rsid w:val="00AE227E"/>
    <w:rsid w:val="00AE4B27"/>
    <w:rsid w:val="00AF0B0B"/>
    <w:rsid w:val="00AF304D"/>
    <w:rsid w:val="00AF4B60"/>
    <w:rsid w:val="00AF5C65"/>
    <w:rsid w:val="00B068BF"/>
    <w:rsid w:val="00B06D18"/>
    <w:rsid w:val="00B07D7D"/>
    <w:rsid w:val="00B07E53"/>
    <w:rsid w:val="00B13021"/>
    <w:rsid w:val="00B131EC"/>
    <w:rsid w:val="00B143F3"/>
    <w:rsid w:val="00B1480F"/>
    <w:rsid w:val="00B241F0"/>
    <w:rsid w:val="00B30441"/>
    <w:rsid w:val="00B30BAD"/>
    <w:rsid w:val="00B31187"/>
    <w:rsid w:val="00B33437"/>
    <w:rsid w:val="00B338C8"/>
    <w:rsid w:val="00B33E5B"/>
    <w:rsid w:val="00B35F0B"/>
    <w:rsid w:val="00B37C4A"/>
    <w:rsid w:val="00B438E5"/>
    <w:rsid w:val="00B458FC"/>
    <w:rsid w:val="00B52473"/>
    <w:rsid w:val="00B54EAC"/>
    <w:rsid w:val="00B62C20"/>
    <w:rsid w:val="00B64C7A"/>
    <w:rsid w:val="00B64D92"/>
    <w:rsid w:val="00B65480"/>
    <w:rsid w:val="00B669B3"/>
    <w:rsid w:val="00B73947"/>
    <w:rsid w:val="00B74028"/>
    <w:rsid w:val="00B750A3"/>
    <w:rsid w:val="00B75213"/>
    <w:rsid w:val="00B75A80"/>
    <w:rsid w:val="00B77C00"/>
    <w:rsid w:val="00B819C9"/>
    <w:rsid w:val="00B91E78"/>
    <w:rsid w:val="00B927B2"/>
    <w:rsid w:val="00B934F2"/>
    <w:rsid w:val="00B93B08"/>
    <w:rsid w:val="00B967A2"/>
    <w:rsid w:val="00B96D6C"/>
    <w:rsid w:val="00BA418E"/>
    <w:rsid w:val="00BA562C"/>
    <w:rsid w:val="00BA58D3"/>
    <w:rsid w:val="00BB0A04"/>
    <w:rsid w:val="00BB0D81"/>
    <w:rsid w:val="00BB223E"/>
    <w:rsid w:val="00BB5D96"/>
    <w:rsid w:val="00BC21D0"/>
    <w:rsid w:val="00BC2204"/>
    <w:rsid w:val="00BC35FB"/>
    <w:rsid w:val="00BC5CE5"/>
    <w:rsid w:val="00BD00CE"/>
    <w:rsid w:val="00BD0114"/>
    <w:rsid w:val="00BD1828"/>
    <w:rsid w:val="00BE285D"/>
    <w:rsid w:val="00BE67CC"/>
    <w:rsid w:val="00BF00BE"/>
    <w:rsid w:val="00BF0E84"/>
    <w:rsid w:val="00C009B9"/>
    <w:rsid w:val="00C03EC6"/>
    <w:rsid w:val="00C107C0"/>
    <w:rsid w:val="00C10A49"/>
    <w:rsid w:val="00C1330B"/>
    <w:rsid w:val="00C15436"/>
    <w:rsid w:val="00C255AF"/>
    <w:rsid w:val="00C30A67"/>
    <w:rsid w:val="00C330F6"/>
    <w:rsid w:val="00C34CD0"/>
    <w:rsid w:val="00C36A9E"/>
    <w:rsid w:val="00C3732F"/>
    <w:rsid w:val="00C45F5F"/>
    <w:rsid w:val="00C467A3"/>
    <w:rsid w:val="00C469E0"/>
    <w:rsid w:val="00C50047"/>
    <w:rsid w:val="00C51D79"/>
    <w:rsid w:val="00C52836"/>
    <w:rsid w:val="00C532DE"/>
    <w:rsid w:val="00C537B9"/>
    <w:rsid w:val="00C53DDF"/>
    <w:rsid w:val="00C70967"/>
    <w:rsid w:val="00C71FB3"/>
    <w:rsid w:val="00C752C7"/>
    <w:rsid w:val="00C81025"/>
    <w:rsid w:val="00C827D1"/>
    <w:rsid w:val="00C91610"/>
    <w:rsid w:val="00C96F9B"/>
    <w:rsid w:val="00CA1A7E"/>
    <w:rsid w:val="00CB1B31"/>
    <w:rsid w:val="00CB1C2A"/>
    <w:rsid w:val="00CB2DE9"/>
    <w:rsid w:val="00CB2E00"/>
    <w:rsid w:val="00CB59E6"/>
    <w:rsid w:val="00CB5AA4"/>
    <w:rsid w:val="00CB71EB"/>
    <w:rsid w:val="00CC205F"/>
    <w:rsid w:val="00CC26F6"/>
    <w:rsid w:val="00CC50D6"/>
    <w:rsid w:val="00CC6229"/>
    <w:rsid w:val="00CC646A"/>
    <w:rsid w:val="00CD49E5"/>
    <w:rsid w:val="00CD669E"/>
    <w:rsid w:val="00CE39D4"/>
    <w:rsid w:val="00CE4CB3"/>
    <w:rsid w:val="00CE617D"/>
    <w:rsid w:val="00CF4FAB"/>
    <w:rsid w:val="00CF5D47"/>
    <w:rsid w:val="00CF74EA"/>
    <w:rsid w:val="00D0229E"/>
    <w:rsid w:val="00D109C7"/>
    <w:rsid w:val="00D11898"/>
    <w:rsid w:val="00D15BC7"/>
    <w:rsid w:val="00D2080C"/>
    <w:rsid w:val="00D209A2"/>
    <w:rsid w:val="00D20F90"/>
    <w:rsid w:val="00D22EC4"/>
    <w:rsid w:val="00D25596"/>
    <w:rsid w:val="00D263AC"/>
    <w:rsid w:val="00D32FE0"/>
    <w:rsid w:val="00D40BA5"/>
    <w:rsid w:val="00D41802"/>
    <w:rsid w:val="00D45B9A"/>
    <w:rsid w:val="00D614BE"/>
    <w:rsid w:val="00D6356B"/>
    <w:rsid w:val="00D647DD"/>
    <w:rsid w:val="00D7127A"/>
    <w:rsid w:val="00D71CD3"/>
    <w:rsid w:val="00D72C8F"/>
    <w:rsid w:val="00D73A11"/>
    <w:rsid w:val="00D807D0"/>
    <w:rsid w:val="00D8091A"/>
    <w:rsid w:val="00D817B3"/>
    <w:rsid w:val="00D81E48"/>
    <w:rsid w:val="00D87F2F"/>
    <w:rsid w:val="00D914CB"/>
    <w:rsid w:val="00D94F45"/>
    <w:rsid w:val="00D956E2"/>
    <w:rsid w:val="00DA222C"/>
    <w:rsid w:val="00DA3393"/>
    <w:rsid w:val="00DB1805"/>
    <w:rsid w:val="00DB218D"/>
    <w:rsid w:val="00DB55E9"/>
    <w:rsid w:val="00DC1C56"/>
    <w:rsid w:val="00DC6090"/>
    <w:rsid w:val="00DD16D7"/>
    <w:rsid w:val="00DE03AB"/>
    <w:rsid w:val="00DE2137"/>
    <w:rsid w:val="00DE33DB"/>
    <w:rsid w:val="00DE5C92"/>
    <w:rsid w:val="00DE5F6E"/>
    <w:rsid w:val="00DF05F3"/>
    <w:rsid w:val="00DF0B33"/>
    <w:rsid w:val="00DF2BB5"/>
    <w:rsid w:val="00DF577C"/>
    <w:rsid w:val="00E00A4D"/>
    <w:rsid w:val="00E02A56"/>
    <w:rsid w:val="00E04E85"/>
    <w:rsid w:val="00E22DC8"/>
    <w:rsid w:val="00E26D80"/>
    <w:rsid w:val="00E321FE"/>
    <w:rsid w:val="00E34F17"/>
    <w:rsid w:val="00E35AD3"/>
    <w:rsid w:val="00E44B5B"/>
    <w:rsid w:val="00E46B93"/>
    <w:rsid w:val="00E54B4D"/>
    <w:rsid w:val="00E6089A"/>
    <w:rsid w:val="00E63C3C"/>
    <w:rsid w:val="00E71CBD"/>
    <w:rsid w:val="00E73BBB"/>
    <w:rsid w:val="00E772AC"/>
    <w:rsid w:val="00E82562"/>
    <w:rsid w:val="00E8277C"/>
    <w:rsid w:val="00E859FD"/>
    <w:rsid w:val="00E90C88"/>
    <w:rsid w:val="00E92C31"/>
    <w:rsid w:val="00E9771D"/>
    <w:rsid w:val="00EA2157"/>
    <w:rsid w:val="00EA283E"/>
    <w:rsid w:val="00EA3158"/>
    <w:rsid w:val="00EA4BB1"/>
    <w:rsid w:val="00EA6CE3"/>
    <w:rsid w:val="00EB0E9C"/>
    <w:rsid w:val="00EB7B91"/>
    <w:rsid w:val="00EC0E56"/>
    <w:rsid w:val="00EC18DF"/>
    <w:rsid w:val="00EC1EBD"/>
    <w:rsid w:val="00ED53CC"/>
    <w:rsid w:val="00ED5C5E"/>
    <w:rsid w:val="00ED6B65"/>
    <w:rsid w:val="00EE13C2"/>
    <w:rsid w:val="00EE2ADB"/>
    <w:rsid w:val="00EE3AAB"/>
    <w:rsid w:val="00EE3D13"/>
    <w:rsid w:val="00EE4E31"/>
    <w:rsid w:val="00EF452F"/>
    <w:rsid w:val="00EF7AA1"/>
    <w:rsid w:val="00F000CA"/>
    <w:rsid w:val="00F15B75"/>
    <w:rsid w:val="00F20876"/>
    <w:rsid w:val="00F21817"/>
    <w:rsid w:val="00F24471"/>
    <w:rsid w:val="00F25E26"/>
    <w:rsid w:val="00F30222"/>
    <w:rsid w:val="00F32BE9"/>
    <w:rsid w:val="00F342C9"/>
    <w:rsid w:val="00F353AB"/>
    <w:rsid w:val="00F4606F"/>
    <w:rsid w:val="00F50024"/>
    <w:rsid w:val="00F51DCB"/>
    <w:rsid w:val="00F542D8"/>
    <w:rsid w:val="00F60B4F"/>
    <w:rsid w:val="00F66984"/>
    <w:rsid w:val="00F76A19"/>
    <w:rsid w:val="00F77C25"/>
    <w:rsid w:val="00F8549E"/>
    <w:rsid w:val="00F85528"/>
    <w:rsid w:val="00F86213"/>
    <w:rsid w:val="00F87CF0"/>
    <w:rsid w:val="00F9133E"/>
    <w:rsid w:val="00F92410"/>
    <w:rsid w:val="00F9373B"/>
    <w:rsid w:val="00F943EC"/>
    <w:rsid w:val="00F95518"/>
    <w:rsid w:val="00F973D7"/>
    <w:rsid w:val="00FA6050"/>
    <w:rsid w:val="00FA7099"/>
    <w:rsid w:val="00FA75C4"/>
    <w:rsid w:val="00FB0E9B"/>
    <w:rsid w:val="00FB4AD7"/>
    <w:rsid w:val="00FB5EB9"/>
    <w:rsid w:val="00FD37D1"/>
    <w:rsid w:val="00FD7504"/>
    <w:rsid w:val="00FE0221"/>
    <w:rsid w:val="00FE0FA5"/>
    <w:rsid w:val="00FE26C1"/>
    <w:rsid w:val="00FE282A"/>
    <w:rsid w:val="00FF0F61"/>
    <w:rsid w:val="00FF1C5D"/>
    <w:rsid w:val="00FF31FC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624F8"/>
  <w15:chartTrackingRefBased/>
  <w15:docId w15:val="{E46F3AEE-9FDE-4E79-A133-E32143F9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5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9F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469FF"/>
    <w:pPr>
      <w:spacing w:after="200" w:line="240" w:lineRule="auto"/>
    </w:pPr>
    <w:rPr>
      <w:i/>
      <w:iCs/>
      <w:color w:val="44546A" w:themeColor="text2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0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97F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6A27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30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44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A2490"/>
    <w:pPr>
      <w:spacing w:after="0" w:line="240" w:lineRule="auto"/>
    </w:pPr>
    <w:rPr>
      <w:rFonts w:eastAsia="Times New Roman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6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9B3"/>
  </w:style>
  <w:style w:type="paragraph" w:styleId="Footer">
    <w:name w:val="footer"/>
    <w:basedOn w:val="Normal"/>
    <w:link w:val="FooterChar"/>
    <w:uiPriority w:val="99"/>
    <w:unhideWhenUsed/>
    <w:rsid w:val="00B669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9B3"/>
  </w:style>
  <w:style w:type="character" w:styleId="CommentReference">
    <w:name w:val="annotation reference"/>
    <w:basedOn w:val="DefaultParagraphFont"/>
    <w:uiPriority w:val="99"/>
    <w:semiHidden/>
    <w:unhideWhenUsed/>
    <w:rsid w:val="00587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06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7965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61E16"/>
  </w:style>
  <w:style w:type="character" w:customStyle="1" w:styleId="Heading1Char">
    <w:name w:val="Heading 1 Char"/>
    <w:basedOn w:val="DefaultParagraphFont"/>
    <w:link w:val="Heading1"/>
    <w:uiPriority w:val="9"/>
    <w:rsid w:val="00327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5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751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Sheet2!$C$24</c:f>
              <c:strCache>
                <c:ptCount val="1"/>
                <c:pt idx="0">
                  <c:v>Public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Sheet2!$A$25:$B$32</c:f>
              <c:multiLvlStrCache>
                <c:ptCount val="8"/>
                <c:lvl>
                  <c:pt idx="0">
                    <c:v>Vaccines</c:v>
                  </c:pt>
                  <c:pt idx="1">
                    <c:v>Health facility</c:v>
                  </c:pt>
                  <c:pt idx="2">
                    <c:v>Vaccines</c:v>
                  </c:pt>
                  <c:pt idx="3">
                    <c:v>Health facility</c:v>
                  </c:pt>
                  <c:pt idx="4">
                    <c:v>Vaccines</c:v>
                  </c:pt>
                  <c:pt idx="5">
                    <c:v>Health facility</c:v>
                  </c:pt>
                  <c:pt idx="6">
                    <c:v>Vaccines</c:v>
                  </c:pt>
                  <c:pt idx="7">
                    <c:v>Health facility</c:v>
                  </c:pt>
                </c:lvl>
                <c:lvl>
                  <c:pt idx="0">
                    <c:v>Jomvu</c:v>
                  </c:pt>
                  <c:pt idx="2">
                    <c:v>Njoro</c:v>
                  </c:pt>
                  <c:pt idx="4">
                    <c:v>Likoni</c:v>
                  </c:pt>
                  <c:pt idx="6">
                    <c:v>Nakuru North</c:v>
                  </c:pt>
                </c:lvl>
              </c:multiLvlStrCache>
            </c:multiLvlStrRef>
          </c:cat>
          <c:val>
            <c:numRef>
              <c:f>Sheet2!$C$25:$C$32</c:f>
              <c:numCache>
                <c:formatCode>General</c:formatCode>
                <c:ptCount val="8"/>
                <c:pt idx="0">
                  <c:v>12889</c:v>
                </c:pt>
                <c:pt idx="1">
                  <c:v>5</c:v>
                </c:pt>
                <c:pt idx="2">
                  <c:v>25039</c:v>
                </c:pt>
                <c:pt idx="3">
                  <c:v>25</c:v>
                </c:pt>
                <c:pt idx="4">
                  <c:v>5911</c:v>
                </c:pt>
                <c:pt idx="5">
                  <c:v>7</c:v>
                </c:pt>
                <c:pt idx="6">
                  <c:v>10192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4F-4DC6-AF08-D898520452BF}"/>
            </c:ext>
          </c:extLst>
        </c:ser>
        <c:ser>
          <c:idx val="1"/>
          <c:order val="1"/>
          <c:tx>
            <c:strRef>
              <c:f>Sheet2!$D$24</c:f>
              <c:strCache>
                <c:ptCount val="1"/>
                <c:pt idx="0">
                  <c:v>Private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Sheet2!$A$25:$B$32</c:f>
              <c:multiLvlStrCache>
                <c:ptCount val="8"/>
                <c:lvl>
                  <c:pt idx="0">
                    <c:v>Vaccines</c:v>
                  </c:pt>
                  <c:pt idx="1">
                    <c:v>Health facility</c:v>
                  </c:pt>
                  <c:pt idx="2">
                    <c:v>Vaccines</c:v>
                  </c:pt>
                  <c:pt idx="3">
                    <c:v>Health facility</c:v>
                  </c:pt>
                  <c:pt idx="4">
                    <c:v>Vaccines</c:v>
                  </c:pt>
                  <c:pt idx="5">
                    <c:v>Health facility</c:v>
                  </c:pt>
                  <c:pt idx="6">
                    <c:v>Vaccines</c:v>
                  </c:pt>
                  <c:pt idx="7">
                    <c:v>Health facility</c:v>
                  </c:pt>
                </c:lvl>
                <c:lvl>
                  <c:pt idx="0">
                    <c:v>Jomvu</c:v>
                  </c:pt>
                  <c:pt idx="2">
                    <c:v>Njoro</c:v>
                  </c:pt>
                  <c:pt idx="4">
                    <c:v>Likoni</c:v>
                  </c:pt>
                  <c:pt idx="6">
                    <c:v>Nakuru North</c:v>
                  </c:pt>
                </c:lvl>
              </c:multiLvlStrCache>
            </c:multiLvlStrRef>
          </c:cat>
          <c:val>
            <c:numRef>
              <c:f>Sheet2!$D$25:$D$32</c:f>
              <c:numCache>
                <c:formatCode>General</c:formatCode>
                <c:ptCount val="8"/>
                <c:pt idx="0">
                  <c:v>3530</c:v>
                </c:pt>
                <c:pt idx="1">
                  <c:v>5</c:v>
                </c:pt>
                <c:pt idx="2">
                  <c:v>4319</c:v>
                </c:pt>
                <c:pt idx="3">
                  <c:v>9</c:v>
                </c:pt>
                <c:pt idx="4">
                  <c:v>3851</c:v>
                </c:pt>
                <c:pt idx="5">
                  <c:v>8</c:v>
                </c:pt>
                <c:pt idx="6">
                  <c:v>1916</c:v>
                </c:pt>
                <c:pt idx="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4F-4DC6-AF08-D898520452BF}"/>
            </c:ext>
          </c:extLst>
        </c:ser>
        <c:ser>
          <c:idx val="2"/>
          <c:order val="2"/>
          <c:tx>
            <c:strRef>
              <c:f>Sheet2!$E$24</c:f>
              <c:strCache>
                <c:ptCount val="1"/>
                <c:pt idx="0">
                  <c:v>Faith based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Sheet2!$A$25:$B$32</c:f>
              <c:multiLvlStrCache>
                <c:ptCount val="8"/>
                <c:lvl>
                  <c:pt idx="0">
                    <c:v>Vaccines</c:v>
                  </c:pt>
                  <c:pt idx="1">
                    <c:v>Health facility</c:v>
                  </c:pt>
                  <c:pt idx="2">
                    <c:v>Vaccines</c:v>
                  </c:pt>
                  <c:pt idx="3">
                    <c:v>Health facility</c:v>
                  </c:pt>
                  <c:pt idx="4">
                    <c:v>Vaccines</c:v>
                  </c:pt>
                  <c:pt idx="5">
                    <c:v>Health facility</c:v>
                  </c:pt>
                  <c:pt idx="6">
                    <c:v>Vaccines</c:v>
                  </c:pt>
                  <c:pt idx="7">
                    <c:v>Health facility</c:v>
                  </c:pt>
                </c:lvl>
                <c:lvl>
                  <c:pt idx="0">
                    <c:v>Jomvu</c:v>
                  </c:pt>
                  <c:pt idx="2">
                    <c:v>Njoro</c:v>
                  </c:pt>
                  <c:pt idx="4">
                    <c:v>Likoni</c:v>
                  </c:pt>
                  <c:pt idx="6">
                    <c:v>Nakuru North</c:v>
                  </c:pt>
                </c:lvl>
              </c:multiLvlStrCache>
            </c:multiLvlStrRef>
          </c:cat>
          <c:val>
            <c:numRef>
              <c:f>Sheet2!$E$25:$E$32</c:f>
              <c:numCache>
                <c:formatCode>General</c:formatCode>
                <c:ptCount val="8"/>
                <c:pt idx="0">
                  <c:v>4560</c:v>
                </c:pt>
                <c:pt idx="1">
                  <c:v>3</c:v>
                </c:pt>
                <c:pt idx="2">
                  <c:v>1536</c:v>
                </c:pt>
                <c:pt idx="3">
                  <c:v>3</c:v>
                </c:pt>
                <c:pt idx="4">
                  <c:v>1955</c:v>
                </c:pt>
                <c:pt idx="5">
                  <c:v>2</c:v>
                </c:pt>
                <c:pt idx="6">
                  <c:v>1579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4F-4DC6-AF08-D898520452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574507760"/>
        <c:axId val="574498608"/>
      </c:barChart>
      <c:catAx>
        <c:axId val="574507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4498608"/>
        <c:crosses val="autoZero"/>
        <c:auto val="1"/>
        <c:lblAlgn val="ctr"/>
        <c:lblOffset val="100"/>
        <c:noMultiLvlLbl val="0"/>
      </c:catAx>
      <c:valAx>
        <c:axId val="574498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450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6490-AFFC-4356-8C2C-6049C86F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1696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Dawa</dc:creator>
  <cp:keywords/>
  <dc:description/>
  <cp:lastModifiedBy>Emukule, Gideon O. (CDC/NCIRD/ID)</cp:lastModifiedBy>
  <cp:revision>2</cp:revision>
  <dcterms:created xsi:type="dcterms:W3CDTF">2024-08-01T06:23:00Z</dcterms:created>
  <dcterms:modified xsi:type="dcterms:W3CDTF">2024-08-01T06:23:00Z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https://csl.mendeley.com/styles/595610651/vancouver-2</vt:lpwstr>
  </property>
  <property fmtid="{D5CDD505-2E9C-101B-9397-08002B2CF9AE}" pid="21" name="Mendeley Recent Style Name 9_1">
    <vt:lpwstr>Vancouver - Jeanette Dawa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9cd1d119-940f-3fb6-862d-9f3155769170</vt:lpwstr>
  </property>
  <property fmtid="{D5CDD505-2E9C-101B-9397-08002B2CF9AE}" pid="24" name="Mendeley Citation Style_1">
    <vt:lpwstr>http://www.zotero.org/styles/vancouver</vt:lpwstr>
  </property>
  <property fmtid="{D5CDD505-2E9C-101B-9397-08002B2CF9AE}" pid="25" name="MSIP_Label_7b94a7b8-f06c-4dfe-bdcc-9b548fd58c31_Enabled">
    <vt:lpwstr>true</vt:lpwstr>
  </property>
  <property fmtid="{D5CDD505-2E9C-101B-9397-08002B2CF9AE}" pid="26" name="MSIP_Label_7b94a7b8-f06c-4dfe-bdcc-9b548fd58c31_SetDate">
    <vt:lpwstr>2024-08-01T06:22:40Z</vt:lpwstr>
  </property>
  <property fmtid="{D5CDD505-2E9C-101B-9397-08002B2CF9AE}" pid="27" name="MSIP_Label_7b94a7b8-f06c-4dfe-bdcc-9b548fd58c31_Method">
    <vt:lpwstr>Privileged</vt:lpwstr>
  </property>
  <property fmtid="{D5CDD505-2E9C-101B-9397-08002B2CF9AE}" pid="28" name="MSIP_Label_7b94a7b8-f06c-4dfe-bdcc-9b548fd58c31_Name">
    <vt:lpwstr>7b94a7b8-f06c-4dfe-bdcc-9b548fd58c31</vt:lpwstr>
  </property>
  <property fmtid="{D5CDD505-2E9C-101B-9397-08002B2CF9AE}" pid="29" name="MSIP_Label_7b94a7b8-f06c-4dfe-bdcc-9b548fd58c31_SiteId">
    <vt:lpwstr>9ce70869-60db-44fd-abe8-d2767077fc8f</vt:lpwstr>
  </property>
  <property fmtid="{D5CDD505-2E9C-101B-9397-08002B2CF9AE}" pid="30" name="MSIP_Label_7b94a7b8-f06c-4dfe-bdcc-9b548fd58c31_ActionId">
    <vt:lpwstr>23d5ee32-9329-4254-8776-454614b5c50e</vt:lpwstr>
  </property>
  <property fmtid="{D5CDD505-2E9C-101B-9397-08002B2CF9AE}" pid="31" name="MSIP_Label_7b94a7b8-f06c-4dfe-bdcc-9b548fd58c31_ContentBits">
    <vt:lpwstr>0</vt:lpwstr>
  </property>
</Properties>
</file>