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B7" w:rsidRDefault="002408B7" w:rsidP="002408B7">
      <w:pPr>
        <w:spacing w:after="0" w:line="240" w:lineRule="auto"/>
        <w:outlineLvl w:val="0"/>
        <w:rPr>
          <w:rFonts w:cs="Courier New"/>
          <w:b/>
        </w:rPr>
      </w:pPr>
      <w:bookmarkStart w:id="0" w:name="_GoBack"/>
      <w:bookmarkEnd w:id="0"/>
      <w:r w:rsidRPr="00186308">
        <w:rPr>
          <w:rFonts w:cs="Courier New"/>
          <w:b/>
        </w:rPr>
        <w:t xml:space="preserve">Supplemental Table </w:t>
      </w:r>
      <w:r>
        <w:rPr>
          <w:rFonts w:cs="Courier New"/>
          <w:b/>
        </w:rPr>
        <w:t>1</w:t>
      </w:r>
      <w:r w:rsidRPr="00186308">
        <w:rPr>
          <w:rFonts w:cs="Courier New"/>
          <w:b/>
        </w:rPr>
        <w:t>.</w:t>
      </w:r>
      <w:r w:rsidRPr="00186308">
        <w:rPr>
          <w:b/>
        </w:rPr>
        <w:t xml:space="preserve"> C</w:t>
      </w:r>
      <w:r w:rsidRPr="00186308">
        <w:rPr>
          <w:rFonts w:cs="Courier New"/>
          <w:b/>
        </w:rPr>
        <w:t>haracteristics of discharges from 145 US hospitals compared with the HCUP National Inpatient Sample</w:t>
      </w:r>
      <w:r>
        <w:rPr>
          <w:rFonts w:cs="Courier New"/>
          <w:b/>
        </w:rPr>
        <w:t>,</w:t>
      </w:r>
      <w:r w:rsidRPr="00186308">
        <w:rPr>
          <w:rFonts w:cs="Courier New"/>
          <w:b/>
        </w:rPr>
        <w:t xml:space="preserve"> 2012</w:t>
      </w:r>
      <w:r>
        <w:rPr>
          <w:rFonts w:cs="Courier New"/>
          <w:b/>
        </w:rPr>
        <w:t>.</w:t>
      </w:r>
    </w:p>
    <w:p w:rsidR="002408B7" w:rsidRPr="00186308" w:rsidRDefault="002408B7" w:rsidP="002408B7">
      <w:pPr>
        <w:spacing w:after="0" w:line="240" w:lineRule="auto"/>
        <w:rPr>
          <w:rFonts w:cs="Courier New"/>
          <w:b/>
        </w:rPr>
      </w:pPr>
    </w:p>
    <w:tbl>
      <w:tblPr>
        <w:tblW w:w="11736" w:type="dxa"/>
        <w:tblBorders>
          <w:top w:val="single" w:sz="4" w:space="0" w:color="auto"/>
          <w:bottom w:val="single" w:sz="4" w:space="0" w:color="auto"/>
        </w:tblBorders>
        <w:tblLayout w:type="fixed"/>
        <w:tblLook w:val="04A0" w:firstRow="1" w:lastRow="0" w:firstColumn="1" w:lastColumn="0" w:noHBand="0" w:noVBand="1"/>
      </w:tblPr>
      <w:tblGrid>
        <w:gridCol w:w="2362"/>
        <w:gridCol w:w="3936"/>
        <w:gridCol w:w="2012"/>
        <w:gridCol w:w="1412"/>
        <w:gridCol w:w="1564"/>
        <w:gridCol w:w="14"/>
        <w:gridCol w:w="436"/>
      </w:tblGrid>
      <w:tr w:rsidR="002408B7" w:rsidRPr="00186308" w:rsidTr="00F17C58">
        <w:trPr>
          <w:trHeight w:val="300"/>
          <w:tblHeader/>
        </w:trPr>
        <w:tc>
          <w:tcPr>
            <w:tcW w:w="2362" w:type="dxa"/>
            <w:shd w:val="clear" w:color="auto" w:fill="auto"/>
            <w:noWrap/>
            <w:vAlign w:val="bottom"/>
            <w:hideMark/>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r w:rsidRPr="00186308">
              <w:rPr>
                <w:rFonts w:eastAsia="Times New Roman" w:cs="Times New Roman"/>
                <w:b/>
                <w:bCs/>
                <w:color w:val="000000"/>
              </w:rPr>
              <w:t>Variable</w:t>
            </w:r>
          </w:p>
        </w:tc>
        <w:tc>
          <w:tcPr>
            <w:tcW w:w="3936" w:type="dxa"/>
            <w:shd w:val="clear" w:color="auto" w:fill="auto"/>
            <w:noWrap/>
            <w:vAlign w:val="bottom"/>
            <w:hideMark/>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r w:rsidRPr="00186308">
              <w:rPr>
                <w:rFonts w:eastAsia="Times New Roman" w:cs="Times New Roman"/>
                <w:b/>
                <w:bCs/>
                <w:color w:val="000000"/>
              </w:rPr>
              <w:t>Value</w:t>
            </w:r>
          </w:p>
        </w:tc>
        <w:tc>
          <w:tcPr>
            <w:tcW w:w="2012" w:type="dxa"/>
            <w:vAlign w:val="bottom"/>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r>
              <w:rPr>
                <w:rFonts w:eastAsia="Times New Roman" w:cs="Times New Roman"/>
                <w:b/>
                <w:bCs/>
                <w:color w:val="000000"/>
              </w:rPr>
              <w:t>HDD 2012</w:t>
            </w:r>
          </w:p>
        </w:tc>
        <w:tc>
          <w:tcPr>
            <w:tcW w:w="1412" w:type="dxa"/>
            <w:vAlign w:val="bottom"/>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r w:rsidRPr="00186308">
              <w:rPr>
                <w:rFonts w:eastAsia="Times New Roman" w:cs="Times New Roman"/>
                <w:b/>
                <w:bCs/>
                <w:color w:val="000000"/>
              </w:rPr>
              <w:t>NIS</w:t>
            </w:r>
            <w:r>
              <w:rPr>
                <w:rFonts w:eastAsia="Times New Roman" w:cs="Times New Roman"/>
                <w:b/>
                <w:bCs/>
                <w:color w:val="000000"/>
              </w:rPr>
              <w:t xml:space="preserve"> 2012</w:t>
            </w:r>
          </w:p>
        </w:tc>
        <w:tc>
          <w:tcPr>
            <w:tcW w:w="1578" w:type="dxa"/>
            <w:gridSpan w:val="2"/>
            <w:shd w:val="clear" w:color="auto" w:fill="auto"/>
            <w:vAlign w:val="bottom"/>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r w:rsidRPr="00186308">
              <w:rPr>
                <w:rFonts w:eastAsia="Times New Roman" w:cs="Times New Roman"/>
                <w:b/>
                <w:bCs/>
                <w:color w:val="000000"/>
              </w:rPr>
              <w:t>% difference</w:t>
            </w:r>
            <w:r w:rsidRPr="00186308">
              <w:rPr>
                <w:rFonts w:eastAsia="Times New Roman" w:cs="Times New Roman"/>
                <w:bCs/>
                <w:color w:val="000000"/>
              </w:rPr>
              <w:t>†</w:t>
            </w:r>
          </w:p>
        </w:tc>
        <w:tc>
          <w:tcPr>
            <w:tcW w:w="436" w:type="dxa"/>
            <w:vAlign w:val="bottom"/>
          </w:tcPr>
          <w:p w:rsidR="002408B7" w:rsidRPr="00186308" w:rsidRDefault="002408B7" w:rsidP="001801E9">
            <w:pPr>
              <w:pBdr>
                <w:bottom w:val="single" w:sz="4" w:space="1" w:color="auto"/>
              </w:pBdr>
              <w:spacing w:after="0" w:line="240" w:lineRule="auto"/>
              <w:jc w:val="center"/>
              <w:rPr>
                <w:rFonts w:eastAsia="Times New Roman" w:cs="Times New Roman"/>
                <w:b/>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Discharges, n</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1,976,167</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36,484,846</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right"/>
              <w:rPr>
                <w:rFonts w:eastAsia="Times New Roman" w:cs="Times New Roman"/>
                <w:color w:val="000000"/>
              </w:rPr>
            </w:pPr>
          </w:p>
        </w:tc>
      </w:tr>
      <w:tr w:rsidR="002408B7" w:rsidRPr="00186308" w:rsidTr="00F17C58">
        <w:trPr>
          <w:trHeight w:val="300"/>
        </w:trPr>
        <w:tc>
          <w:tcPr>
            <w:tcW w:w="2362" w:type="dxa"/>
            <w:tcBorders>
              <w:bottom w:val="nil"/>
            </w:tcBorders>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Hospitals, n</w:t>
            </w:r>
          </w:p>
        </w:tc>
        <w:tc>
          <w:tcPr>
            <w:tcW w:w="3936" w:type="dxa"/>
            <w:tcBorders>
              <w:bottom w:val="nil"/>
            </w:tcBorders>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2012" w:type="dxa"/>
            <w:tcBorders>
              <w:bottom w:val="nil"/>
            </w:tcBorders>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145</w:t>
            </w:r>
          </w:p>
        </w:tc>
        <w:tc>
          <w:tcPr>
            <w:tcW w:w="1412" w:type="dxa"/>
            <w:tcBorders>
              <w:bottom w:val="nil"/>
            </w:tcBorders>
            <w:vAlign w:val="bottom"/>
          </w:tcPr>
          <w:p w:rsidR="002408B7" w:rsidRPr="00186308" w:rsidRDefault="002408B7" w:rsidP="001801E9">
            <w:pPr>
              <w:spacing w:after="0" w:line="240" w:lineRule="auto"/>
              <w:jc w:val="right"/>
              <w:rPr>
                <w:rFonts w:eastAsia="Times New Roman" w:cs="Times New Roman"/>
                <w:color w:val="000000"/>
              </w:rPr>
            </w:pPr>
          </w:p>
        </w:tc>
        <w:tc>
          <w:tcPr>
            <w:tcW w:w="1578" w:type="dxa"/>
            <w:gridSpan w:val="2"/>
            <w:tcBorders>
              <w:bottom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tcBorders>
              <w:bottom w:val="nil"/>
            </w:tcBorders>
            <w:vAlign w:val="bottom"/>
          </w:tcPr>
          <w:p w:rsidR="002408B7" w:rsidRPr="00186308" w:rsidRDefault="002408B7" w:rsidP="001801E9">
            <w:pPr>
              <w:spacing w:after="0" w:line="240" w:lineRule="auto"/>
              <w:jc w:val="right"/>
              <w:rPr>
                <w:rFonts w:eastAsia="Times New Roman" w:cs="Times New Roman"/>
                <w:color w:val="000000"/>
              </w:rPr>
            </w:pPr>
          </w:p>
        </w:tc>
      </w:tr>
      <w:tr w:rsidR="002408B7" w:rsidRPr="00186308" w:rsidTr="00F17C58">
        <w:trPr>
          <w:trHeight w:val="300"/>
        </w:trPr>
        <w:tc>
          <w:tcPr>
            <w:tcW w:w="2362" w:type="dxa"/>
            <w:tcBorders>
              <w:top w:val="single" w:sz="4" w:space="0" w:color="auto"/>
              <w:bottom w:val="nil"/>
            </w:tcBorders>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u w:val="single"/>
              </w:rPr>
              <w:t>Patient</w:t>
            </w:r>
          </w:p>
        </w:tc>
        <w:tc>
          <w:tcPr>
            <w:tcW w:w="3936" w:type="dxa"/>
            <w:tcBorders>
              <w:top w:val="single" w:sz="4" w:space="0" w:color="auto"/>
              <w:bottom w:val="nil"/>
            </w:tcBorders>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2012" w:type="dxa"/>
            <w:tcBorders>
              <w:top w:val="single" w:sz="4" w:space="0" w:color="auto"/>
              <w:bottom w:val="nil"/>
            </w:tcBorders>
            <w:vAlign w:val="bottom"/>
          </w:tcPr>
          <w:p w:rsidR="002408B7" w:rsidRPr="00186308" w:rsidRDefault="002408B7" w:rsidP="001801E9">
            <w:pPr>
              <w:spacing w:after="0" w:line="240" w:lineRule="auto"/>
              <w:jc w:val="right"/>
              <w:rPr>
                <w:rFonts w:eastAsia="Times New Roman" w:cs="Times New Roman"/>
                <w:color w:val="000000"/>
              </w:rPr>
            </w:pPr>
          </w:p>
        </w:tc>
        <w:tc>
          <w:tcPr>
            <w:tcW w:w="1412" w:type="dxa"/>
            <w:tcBorders>
              <w:top w:val="single" w:sz="4" w:space="0" w:color="auto"/>
              <w:bottom w:val="nil"/>
            </w:tcBorders>
            <w:vAlign w:val="bottom"/>
          </w:tcPr>
          <w:p w:rsidR="002408B7" w:rsidRPr="00186308" w:rsidRDefault="002408B7" w:rsidP="001801E9">
            <w:pPr>
              <w:spacing w:after="0" w:line="240" w:lineRule="auto"/>
              <w:jc w:val="right"/>
              <w:rPr>
                <w:rFonts w:eastAsia="Times New Roman" w:cs="Times New Roman"/>
                <w:color w:val="000000"/>
              </w:rPr>
            </w:pPr>
          </w:p>
        </w:tc>
        <w:tc>
          <w:tcPr>
            <w:tcW w:w="1578" w:type="dxa"/>
            <w:gridSpan w:val="2"/>
            <w:tcBorders>
              <w:top w:val="single" w:sz="4" w:space="0" w:color="auto"/>
              <w:bottom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tcBorders>
              <w:top w:val="single" w:sz="4" w:space="0" w:color="auto"/>
              <w:bottom w:val="nil"/>
            </w:tcBorders>
            <w:vAlign w:val="bottom"/>
          </w:tcPr>
          <w:p w:rsidR="002408B7" w:rsidRPr="00186308" w:rsidRDefault="002408B7" w:rsidP="001801E9">
            <w:pPr>
              <w:spacing w:after="0" w:line="240" w:lineRule="auto"/>
              <w:jc w:val="right"/>
              <w:rPr>
                <w:rFonts w:eastAsia="Times New Roman" w:cs="Times New Roman"/>
                <w:color w:val="000000"/>
              </w:rPr>
            </w:pPr>
          </w:p>
        </w:tc>
      </w:tr>
      <w:tr w:rsidR="002408B7" w:rsidRPr="00186308" w:rsidTr="00F17C58">
        <w:trPr>
          <w:trHeight w:val="300"/>
        </w:trPr>
        <w:tc>
          <w:tcPr>
            <w:tcW w:w="2362" w:type="dxa"/>
            <w:tcBorders>
              <w:top w:val="nil"/>
              <w:bottom w:val="nil"/>
            </w:tcBorders>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Age category</w:t>
            </w:r>
          </w:p>
        </w:tc>
        <w:tc>
          <w:tcPr>
            <w:tcW w:w="3936" w:type="dxa"/>
            <w:tcBorders>
              <w:top w:val="nil"/>
              <w:bottom w:val="nil"/>
            </w:tcBorders>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0 years</w:t>
            </w:r>
          </w:p>
        </w:tc>
        <w:tc>
          <w:tcPr>
            <w:tcW w:w="2012" w:type="dxa"/>
            <w:tcBorders>
              <w:top w:val="nil"/>
              <w:bottom w:val="nil"/>
            </w:tcBorders>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10.0%</w:t>
            </w:r>
          </w:p>
        </w:tc>
        <w:tc>
          <w:tcPr>
            <w:tcW w:w="1412" w:type="dxa"/>
            <w:tcBorders>
              <w:top w:val="nil"/>
              <w:bottom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11.7%</w:t>
            </w:r>
          </w:p>
        </w:tc>
        <w:tc>
          <w:tcPr>
            <w:tcW w:w="1578" w:type="dxa"/>
            <w:gridSpan w:val="2"/>
            <w:tcBorders>
              <w:top w:val="nil"/>
              <w:bottom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14.4%</w:t>
            </w:r>
          </w:p>
        </w:tc>
        <w:tc>
          <w:tcPr>
            <w:tcW w:w="436" w:type="dxa"/>
            <w:tcBorders>
              <w:top w:val="nil"/>
              <w:bottom w:val="nil"/>
            </w:tcBorders>
            <w:vAlign w:val="bottom"/>
          </w:tcPr>
          <w:p w:rsidR="002408B7" w:rsidRPr="00186308" w:rsidRDefault="002408B7" w:rsidP="001801E9">
            <w:pPr>
              <w:spacing w:after="0" w:line="240" w:lineRule="auto"/>
              <w:jc w:val="center"/>
              <w:rPr>
                <w:rFonts w:eastAsia="Times New Roman" w:cs="Times New Roman"/>
                <w:color w:val="000000"/>
              </w:rPr>
            </w:pPr>
            <w:r w:rsidRPr="00186308">
              <w:rPr>
                <w:rFonts w:eastAsia="Times New Roman" w:cs="Times New Roman"/>
                <w:color w:val="000000"/>
              </w:rPr>
              <w:t>‡</w:t>
            </w:r>
          </w:p>
        </w:tc>
      </w:tr>
      <w:tr w:rsidR="002408B7" w:rsidRPr="00186308" w:rsidTr="00F17C58">
        <w:trPr>
          <w:trHeight w:val="300"/>
        </w:trPr>
        <w:tc>
          <w:tcPr>
            <w:tcW w:w="2362" w:type="dxa"/>
            <w:tcBorders>
              <w:top w:val="nil"/>
              <w:bottom w:val="nil"/>
            </w:tcBorders>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tcBorders>
              <w:top w:val="nil"/>
              <w:bottom w:val="nil"/>
            </w:tcBorders>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1-17 years</w:t>
            </w:r>
          </w:p>
        </w:tc>
        <w:tc>
          <w:tcPr>
            <w:tcW w:w="2012" w:type="dxa"/>
            <w:tcBorders>
              <w:top w:val="nil"/>
              <w:bottom w:val="nil"/>
            </w:tcBorders>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2.7</w:t>
            </w:r>
            <w:r>
              <w:rPr>
                <w:rFonts w:eastAsia="Times New Roman" w:cs="Times New Roman"/>
                <w:color w:val="000000"/>
              </w:rPr>
              <w:t>%</w:t>
            </w:r>
          </w:p>
        </w:tc>
        <w:tc>
          <w:tcPr>
            <w:tcW w:w="1412" w:type="dxa"/>
            <w:tcBorders>
              <w:top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4.0%</w:t>
            </w:r>
          </w:p>
        </w:tc>
        <w:tc>
          <w:tcPr>
            <w:tcW w:w="1578" w:type="dxa"/>
            <w:gridSpan w:val="2"/>
            <w:tcBorders>
              <w:top w:val="nil"/>
            </w:tcBorders>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32.</w:t>
            </w:r>
            <w:r>
              <w:rPr>
                <w:rFonts w:ascii="Calibri" w:hAnsi="Calibri" w:cs="Calibri"/>
                <w:color w:val="000000"/>
              </w:rPr>
              <w:t>9</w:t>
            </w:r>
            <w:r w:rsidRPr="00186308">
              <w:rPr>
                <w:rFonts w:ascii="Calibri" w:hAnsi="Calibri" w:cs="Calibri"/>
                <w:color w:val="000000"/>
              </w:rPr>
              <w:t>%</w:t>
            </w:r>
          </w:p>
        </w:tc>
        <w:tc>
          <w:tcPr>
            <w:tcW w:w="436" w:type="dxa"/>
            <w:tcBorders>
              <w:top w:val="nil"/>
            </w:tcBorders>
            <w:vAlign w:val="bottom"/>
          </w:tcPr>
          <w:p w:rsidR="002408B7" w:rsidRPr="00186308" w:rsidRDefault="002408B7" w:rsidP="001801E9">
            <w:pPr>
              <w:spacing w:after="0" w:line="240" w:lineRule="auto"/>
              <w:jc w:val="center"/>
              <w:rPr>
                <w:rFonts w:eastAsia="Times New Roman" w:cs="Times New Roman"/>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18-64 years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w:t>
            </w:r>
            <w:r>
              <w:rPr>
                <w:rFonts w:eastAsia="Times New Roman" w:cs="Times New Roman"/>
                <w:color w:val="000000"/>
              </w:rPr>
              <w:t>8.0</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49.</w:t>
            </w:r>
            <w:r>
              <w:rPr>
                <w:rFonts w:eastAsia="Times New Roman" w:cs="Times New Roman"/>
                <w:color w:val="000000"/>
              </w:rPr>
              <w:t>4</w:t>
            </w: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2.8%</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65-84 years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Pr>
                <w:rFonts w:eastAsia="Times New Roman" w:cs="Times New Roman"/>
                <w:color w:val="000000"/>
              </w:rPr>
              <w:t>30.0</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26.65%</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-12.</w:t>
            </w:r>
            <w:r>
              <w:rPr>
                <w:rFonts w:ascii="Calibri" w:hAnsi="Calibri" w:cs="Calibri"/>
                <w:color w:val="000000"/>
              </w:rPr>
              <w:t>5</w:t>
            </w:r>
            <w:r w:rsidRPr="00186308">
              <w:rPr>
                <w:rFonts w:ascii="Calibri" w:hAnsi="Calibri" w:cs="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Pr>
                <w:rFonts w:eastAsia="Times New Roman" w:cs="Times New Roman"/>
                <w:bCs/>
                <w:color w:val="000000"/>
              </w:rPr>
              <w:t>≥85</w:t>
            </w:r>
            <w:r w:rsidRPr="00186308">
              <w:rPr>
                <w:rFonts w:eastAsia="Times New Roman" w:cs="Times New Roman"/>
                <w:bCs/>
                <w:color w:val="000000"/>
              </w:rPr>
              <w:t xml:space="preserve"> years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9.</w:t>
            </w:r>
            <w:r>
              <w:rPr>
                <w:rFonts w:eastAsia="Times New Roman" w:cs="Times New Roman"/>
                <w:color w:val="000000"/>
              </w:rPr>
              <w:t>3</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8.</w:t>
            </w:r>
            <w:r>
              <w:rPr>
                <w:rFonts w:cs="Verdana"/>
                <w:color w:val="000000"/>
              </w:rPr>
              <w:t>2</w:t>
            </w:r>
            <w:r w:rsidRPr="00186308">
              <w:rPr>
                <w:rFonts w:cs="Verdana"/>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-13.</w:t>
            </w:r>
            <w:r>
              <w:rPr>
                <w:rFonts w:ascii="Calibri" w:hAnsi="Calibri" w:cs="Calibri"/>
                <w:color w:val="000000"/>
              </w:rPr>
              <w:t>6</w:t>
            </w:r>
            <w:r w:rsidRPr="00186308">
              <w:rPr>
                <w:rFonts w:ascii="Calibri" w:hAnsi="Calibri" w:cs="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Sex</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Male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42.9%</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42.3%</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-1.4%</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Female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57.</w:t>
            </w:r>
            <w:r>
              <w:rPr>
                <w:rFonts w:eastAsia="Times New Roman" w:cs="Times New Roman"/>
                <w:color w:val="000000"/>
              </w:rPr>
              <w:t>1</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57.</w:t>
            </w:r>
            <w:r>
              <w:rPr>
                <w:rFonts w:eastAsia="Times New Roman" w:cs="Times New Roman"/>
                <w:color w:val="000000"/>
              </w:rPr>
              <w:t>7</w:t>
            </w: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1.0%</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Principal payer</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Medicare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43.</w:t>
            </w:r>
            <w:r>
              <w:rPr>
                <w:rFonts w:eastAsia="Times New Roman" w:cs="Times New Roman"/>
                <w:color w:val="000000"/>
              </w:rPr>
              <w:t>1</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39.1%</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-10.1%</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Medicaid</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19.</w:t>
            </w:r>
            <w:r>
              <w:rPr>
                <w:rFonts w:eastAsia="Times New Roman" w:cs="Times New Roman"/>
                <w:color w:val="000000"/>
              </w:rPr>
              <w:t>7</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20.9%</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5.</w:t>
            </w:r>
            <w:r>
              <w:rPr>
                <w:rFonts w:ascii="Calibri" w:hAnsi="Calibri" w:cs="Calibri"/>
                <w:color w:val="000000"/>
              </w:rPr>
              <w:t>8</w:t>
            </w:r>
            <w:r w:rsidRPr="00186308">
              <w:rPr>
                <w:rFonts w:ascii="Calibri" w:hAnsi="Calibri" w:cs="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Private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25.9%</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30.6%</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15.4%</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Other</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w:t>
            </w:r>
            <w:r>
              <w:rPr>
                <w:rFonts w:eastAsia="Times New Roman" w:cs="Times New Roman"/>
                <w:color w:val="000000"/>
              </w:rPr>
              <w:t>3</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3.5%</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6.5%</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Self-pay or no charge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7.</w:t>
            </w:r>
            <w:r>
              <w:rPr>
                <w:rFonts w:eastAsia="Times New Roman" w:cs="Times New Roman"/>
                <w:color w:val="000000"/>
              </w:rPr>
              <w:t>7</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5.6%</w:t>
            </w:r>
          </w:p>
        </w:tc>
        <w:tc>
          <w:tcPr>
            <w:tcW w:w="1564" w:type="dxa"/>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-37.</w:t>
            </w:r>
            <w:r>
              <w:rPr>
                <w:rFonts w:ascii="Calibri" w:hAnsi="Calibri" w:cs="Calibri"/>
                <w:color w:val="000000"/>
              </w:rPr>
              <w:t>3</w:t>
            </w:r>
            <w:r w:rsidRPr="00186308">
              <w:rPr>
                <w:rFonts w:ascii="Calibri" w:hAnsi="Calibri" w:cs="Calibri"/>
                <w:color w:val="000000"/>
              </w:rPr>
              <w:t>%</w:t>
            </w:r>
          </w:p>
        </w:tc>
        <w:tc>
          <w:tcPr>
            <w:tcW w:w="450" w:type="dxa"/>
            <w:gridSpan w:val="2"/>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Unknown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w:t>
            </w:r>
            <w:r>
              <w:rPr>
                <w:rFonts w:eastAsia="Times New Roman" w:cs="Times New Roman"/>
                <w:color w:val="000000"/>
              </w:rPr>
              <w:t>4</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0.25%</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bCs/>
                <w:color w:val="000000"/>
                <w:u w:val="single"/>
              </w:rPr>
            </w:pPr>
            <w:r w:rsidRPr="00186308">
              <w:rPr>
                <w:rFonts w:eastAsia="Times New Roman" w:cs="Times New Roman"/>
                <w:bCs/>
                <w:color w:val="000000"/>
                <w:u w:val="single"/>
              </w:rPr>
              <w:t>Hospital</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Census region</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Northeast</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0.3%</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t>19.1%</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98.4%</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i/>
                <w:iCs/>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Midwest</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19.</w:t>
            </w:r>
            <w:r>
              <w:rPr>
                <w:rFonts w:eastAsia="Times New Roman" w:cs="Times New Roman"/>
                <w:color w:val="000000"/>
              </w:rPr>
              <w:t>1</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t>22.</w:t>
            </w:r>
            <w:r>
              <w:t>6</w:t>
            </w:r>
            <w:r w:rsidRPr="00186308">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15.6%</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South</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65.8%</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t>38.</w:t>
            </w:r>
            <w:r>
              <w:t>7</w:t>
            </w:r>
            <w:r w:rsidRPr="00186308">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-70.</w:t>
            </w:r>
            <w:r>
              <w:rPr>
                <w:rFonts w:ascii="Calibri" w:hAnsi="Calibri" w:cs="Calibri"/>
                <w:color w:val="000000"/>
              </w:rPr>
              <w:t>2</w:t>
            </w:r>
            <w:r w:rsidRPr="00186308">
              <w:rPr>
                <w:rFonts w:ascii="Calibri" w:hAnsi="Calibri" w:cs="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West</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14.8%</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t>19.6%</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s="Calibri"/>
                <w:color w:val="000000"/>
              </w:rPr>
              <w:t>24.4%</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r w:rsidRPr="00186308">
              <w:rPr>
                <w:rFonts w:eastAsia="Times New Roman" w:cs="Times New Roman"/>
                <w:color w:val="000000"/>
              </w:rPr>
              <w:t>‡</w:t>
            </w: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Urban/rural</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Rural</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11.</w:t>
            </w:r>
            <w:r>
              <w:rPr>
                <w:rFonts w:eastAsia="Times New Roman" w:cs="Times New Roman"/>
                <w:color w:val="000000"/>
              </w:rPr>
              <w:t>4</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11.35%</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-0.3%</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Urban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88.6%</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88.6%</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r w:rsidRPr="00186308">
              <w:rPr>
                <w:rFonts w:ascii="Calibri" w:hAnsi="Calibri" w:cs="Calibri"/>
                <w:color w:val="000000"/>
              </w:rPr>
              <w:t>0.0%</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Bed category</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1-199 beds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21.9%</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200-299 beds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19.</w:t>
            </w:r>
            <w:r>
              <w:rPr>
                <w:rFonts w:eastAsia="Times New Roman" w:cs="Times New Roman"/>
                <w:color w:val="000000"/>
              </w:rPr>
              <w:t>2</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300-499 beds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32.</w:t>
            </w:r>
            <w:r>
              <w:rPr>
                <w:rFonts w:eastAsia="Times New Roman" w:cs="Times New Roman"/>
                <w:color w:val="000000"/>
              </w:rPr>
              <w:t>2</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500 or more beds</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26.</w:t>
            </w:r>
            <w:r>
              <w:rPr>
                <w:rFonts w:eastAsia="Times New Roman" w:cs="Times New Roman"/>
                <w:color w:val="000000"/>
              </w:rPr>
              <w:t>7</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bCs/>
                <w:color w:val="000000"/>
              </w:rPr>
              <w:t>Teaching</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9.4%</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u w:val="single"/>
              </w:rPr>
            </w:pPr>
            <w:r w:rsidRPr="00186308">
              <w:rPr>
                <w:rFonts w:eastAsia="Times New Roman" w:cs="Times New Roman"/>
                <w:color w:val="000000"/>
                <w:u w:val="single"/>
              </w:rPr>
              <w:lastRenderedPageBreak/>
              <w:t>Hospitalization</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Admission type</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Elective</w:t>
            </w:r>
            <w:r>
              <w:rPr>
                <w:rFonts w:eastAsia="Times New Roman" w:cs="Times New Roman"/>
                <w:bCs/>
                <w:color w:val="000000"/>
              </w:rPr>
              <w:t>, r</w:t>
            </w:r>
            <w:r w:rsidRPr="00186308">
              <w:rPr>
                <w:rFonts w:eastAsia="Times New Roman" w:cs="Times New Roman"/>
                <w:bCs/>
                <w:color w:val="000000"/>
              </w:rPr>
              <w:t>outine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21.</w:t>
            </w:r>
            <w:r>
              <w:rPr>
                <w:rFonts w:eastAsia="Times New Roman" w:cs="Times New Roman"/>
                <w:color w:val="000000"/>
              </w:rPr>
              <w:t>2</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Emergency</w:t>
            </w:r>
            <w:r>
              <w:rPr>
                <w:rFonts w:eastAsia="Times New Roman" w:cs="Times New Roman"/>
                <w:bCs/>
                <w:color w:val="000000"/>
              </w:rPr>
              <w:t xml:space="preserve"> a</w:t>
            </w:r>
            <w:r w:rsidRPr="00186308">
              <w:rPr>
                <w:rFonts w:eastAsia="Times New Roman" w:cs="Times New Roman"/>
                <w:bCs/>
                <w:color w:val="000000"/>
              </w:rPr>
              <w:t>dmit</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50.7%</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Newborn</w:t>
            </w:r>
            <w:r>
              <w:rPr>
                <w:rFonts w:eastAsia="Times New Roman" w:cs="Times New Roman"/>
                <w:bCs/>
                <w:color w:val="000000"/>
              </w:rPr>
              <w:t xml:space="preserve"> d</w:t>
            </w:r>
            <w:r w:rsidRPr="00186308">
              <w:rPr>
                <w:rFonts w:eastAsia="Times New Roman" w:cs="Times New Roman"/>
                <w:bCs/>
                <w:color w:val="000000"/>
              </w:rPr>
              <w:t>elivery</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9.3%</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Other</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0.6%</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Urgent</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18.1%</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Admission source</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rPr>
            </w:pPr>
            <w:r w:rsidRPr="00186308">
              <w:rPr>
                <w:rFonts w:eastAsia="Times New Roman" w:cs="Times New Roman"/>
              </w:rPr>
              <w:t>Inpatient healthcare facility</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6.5%</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rPr>
            </w:pPr>
          </w:p>
        </w:tc>
        <w:tc>
          <w:tcPr>
            <w:tcW w:w="436" w:type="dxa"/>
            <w:vAlign w:val="bottom"/>
          </w:tcPr>
          <w:p w:rsidR="002408B7" w:rsidRPr="00186308" w:rsidRDefault="002408B7" w:rsidP="001801E9">
            <w:pPr>
              <w:spacing w:after="0" w:line="240" w:lineRule="auto"/>
              <w:jc w:val="center"/>
              <w:rPr>
                <w:rFonts w:eastAsia="Times New Roman" w:cs="Times New Roman"/>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Referral</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83.</w:t>
            </w:r>
            <w:r>
              <w:rPr>
                <w:rFonts w:eastAsia="Times New Roman" w:cs="Times New Roman"/>
                <w:color w:val="000000"/>
              </w:rPr>
              <w:t>2</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Newborn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9.3%</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Other</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0.9%</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d/c disposition</w:t>
            </w:r>
          </w:p>
        </w:tc>
        <w:tc>
          <w:tcPr>
            <w:tcW w:w="3936" w:type="dxa"/>
            <w:shd w:val="clear" w:color="auto" w:fill="auto"/>
            <w:noWrap/>
            <w:vAlign w:val="bottom"/>
            <w:hideMark/>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Transferred to another healthcare facility</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w:t>
            </w:r>
            <w:r>
              <w:rPr>
                <w:rFonts w:eastAsia="Times New Roman" w:cs="Times New Roman"/>
                <w:color w:val="000000"/>
              </w:rPr>
              <w:t>5</w:t>
            </w:r>
            <w:r w:rsidRPr="00186308">
              <w:rPr>
                <w:rFonts w:eastAsia="Times New Roman" w:cs="Times New Roman"/>
                <w:color w:val="000000"/>
              </w:rPr>
              <w:t>.</w:t>
            </w:r>
            <w:r>
              <w:rPr>
                <w:rFonts w:eastAsia="Times New Roman" w:cs="Times New Roman"/>
                <w:color w:val="000000"/>
              </w:rPr>
              <w:t>0</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15.3%</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ascii="Calibri" w:hAnsi="Calibri"/>
                <w:color w:val="000000"/>
              </w:rPr>
              <w:t>-</w:t>
            </w:r>
            <w:r w:rsidRPr="00186308">
              <w:rPr>
                <w:rFonts w:ascii="Calibri" w:hAnsi="Calibri"/>
                <w:color w:val="000000"/>
              </w:rPr>
              <w:t>2.</w:t>
            </w:r>
            <w:r>
              <w:rPr>
                <w:rFonts w:ascii="Calibri" w:hAnsi="Calibri"/>
                <w:color w:val="000000"/>
              </w:rPr>
              <w:t>6</w:t>
            </w:r>
            <w:r w:rsidRPr="00186308">
              <w:rPr>
                <w:rFonts w:ascii="Calibri" w:hAnsi="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Discharged to home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81.9%</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81.7%</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olor w:val="000000"/>
              </w:rPr>
              <w:t>0.2%</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Left against medical advice</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1.0%</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1.0%</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ascii="Calibri" w:hAnsi="Calibri"/>
                <w:color w:val="000000"/>
              </w:rPr>
              <w:t>-1.0</w:t>
            </w:r>
            <w:r w:rsidRPr="00186308">
              <w:rPr>
                <w:rFonts w:ascii="Calibri" w:hAnsi="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Died</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Pr>
                <w:rFonts w:eastAsia="Times New Roman" w:cs="Times New Roman"/>
                <w:color w:val="000000"/>
              </w:rPr>
              <w:t>2.0</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1.8%</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ascii="Calibri" w:hAnsi="Calibri"/>
                <w:color w:val="000000"/>
              </w:rPr>
              <w:t>6.6</w:t>
            </w:r>
            <w:r w:rsidRPr="00186308">
              <w:rPr>
                <w:rFonts w:ascii="Calibri" w:hAnsi="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hideMark/>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Pr>
                <w:rFonts w:eastAsia="Times New Roman" w:cs="Times New Roman"/>
                <w:bCs/>
                <w:color w:val="000000"/>
              </w:rPr>
              <w:t>Missing</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w:t>
            </w:r>
            <w:r>
              <w:rPr>
                <w:rFonts w:eastAsia="Times New Roman" w:cs="Times New Roman"/>
                <w:color w:val="000000"/>
              </w:rPr>
              <w:t>2</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w:t>
            </w:r>
            <w:r>
              <w:rPr>
                <w:rFonts w:eastAsia="Times New Roman" w:cs="Times New Roman"/>
                <w:color w:val="000000"/>
              </w:rPr>
              <w:t>0</w:t>
            </w: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Length of Stay, days</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Mean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w:t>
            </w:r>
            <w:r>
              <w:rPr>
                <w:rFonts w:eastAsia="Times New Roman" w:cs="Times New Roman"/>
                <w:color w:val="000000"/>
              </w:rPr>
              <w:t>5</w:t>
            </w:r>
            <w:r w:rsidRPr="00186308">
              <w:rPr>
                <w:rFonts w:eastAsia="Times New Roman" w:cs="Times New Roman"/>
                <w:color w:val="000000"/>
              </w:rPr>
              <w:t xml:space="preserve"> days</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4.5 days</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eastAsia="Times New Roman" w:cs="Times New Roman"/>
                <w:bCs/>
                <w:color w:val="000000"/>
              </w:rPr>
              <w:t>0.7%</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Median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3.0 days</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3.0 days</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eastAsia="Times New Roman" w:cs="Times New Roman"/>
                <w:bCs/>
                <w:color w:val="000000"/>
              </w:rPr>
              <w:t>0</w:t>
            </w:r>
            <w:r>
              <w:rPr>
                <w:rFonts w:eastAsia="Times New Roman" w:cs="Times New Roman"/>
                <w:bCs/>
                <w:color w:val="000000"/>
              </w:rPr>
              <w:t>.0</w:t>
            </w:r>
            <w:r w:rsidRPr="00186308">
              <w:rPr>
                <w:rFonts w:eastAsia="Times New Roman" w:cs="Times New Roman"/>
                <w:bCs/>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Charge, $</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Mean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$34,915</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$36,701</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olor w:val="000000"/>
              </w:rPr>
              <w:t>4.</w:t>
            </w:r>
            <w:r>
              <w:rPr>
                <w:rFonts w:ascii="Calibri" w:hAnsi="Calibri"/>
                <w:color w:val="000000"/>
              </w:rPr>
              <w:t>9</w:t>
            </w:r>
            <w:r w:rsidRPr="00186308">
              <w:rPr>
                <w:rFonts w:ascii="Calibri" w:hAnsi="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cs="Courier New"/>
              </w:rPr>
            </w:pPr>
            <w:r w:rsidRPr="00186308">
              <w:rPr>
                <w:rFonts w:cs="Courier New"/>
              </w:rPr>
              <w:t>Median</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$20,786</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cs="Verdana"/>
                <w:color w:val="000000"/>
              </w:rPr>
              <w:t>$19,660</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sidRPr="00186308">
              <w:rPr>
                <w:rFonts w:ascii="Calibri" w:hAnsi="Calibri"/>
                <w:color w:val="000000"/>
              </w:rPr>
              <w:t>-5.7%</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Any stay in ICU</w:t>
            </w:r>
          </w:p>
        </w:tc>
        <w:tc>
          <w:tcPr>
            <w:tcW w:w="3936" w:type="dxa"/>
            <w:shd w:val="clear" w:color="auto" w:fill="auto"/>
            <w:noWrap/>
            <w:vAlign w:val="bottom"/>
          </w:tcPr>
          <w:p w:rsidR="002408B7" w:rsidRPr="00186308" w:rsidRDefault="002408B7" w:rsidP="001801E9">
            <w:pPr>
              <w:spacing w:after="0" w:line="240" w:lineRule="auto"/>
              <w:rPr>
                <w:rFonts w:cs="Courier New"/>
              </w:rPr>
            </w:pP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26.5%</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26.9%§</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eastAsia="Times New Roman" w:cs="Times New Roman"/>
                <w:bCs/>
                <w:color w:val="000000"/>
              </w:rPr>
              <w:t>-1.5%</w:t>
            </w:r>
          </w:p>
        </w:tc>
        <w:tc>
          <w:tcPr>
            <w:tcW w:w="436" w:type="dxa"/>
            <w:vAlign w:val="bottom"/>
          </w:tcPr>
          <w:p w:rsidR="002408B7" w:rsidRPr="00186308" w:rsidRDefault="002408B7" w:rsidP="001801E9">
            <w:pPr>
              <w:spacing w:after="0" w:line="240" w:lineRule="auto"/>
              <w:jc w:val="center"/>
              <w:rPr>
                <w:rFonts w:eastAsia="Times New Roman" w:cs="Times New Roman"/>
                <w:bCs/>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CDI diagnosis</w:t>
            </w: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 xml:space="preserve">Primary code </w:t>
            </w:r>
            <w:r w:rsidRPr="00186308">
              <w:rPr>
                <w:rFonts w:eastAsia="Times New Roman" w:cs="Times New Roman"/>
                <w:color w:val="000000"/>
              </w:rPr>
              <w:t>(ICD-9-CM code: 008.45)</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w:t>
            </w:r>
            <w:r>
              <w:rPr>
                <w:rFonts w:eastAsia="Times New Roman" w:cs="Times New Roman"/>
                <w:color w:val="000000"/>
              </w:rPr>
              <w:t>4</w:t>
            </w:r>
            <w:r w:rsidRPr="00186308">
              <w:rPr>
                <w:rFonts w:eastAsia="Times New Roman" w:cs="Times New Roman"/>
                <w:color w:val="000000"/>
              </w:rPr>
              <w:t>%</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sidRPr="00186308">
              <w:rPr>
                <w:rFonts w:eastAsia="Times New Roman" w:cs="Times New Roman"/>
                <w:color w:val="000000"/>
              </w:rPr>
              <w:t>0.3%</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ascii="Calibri" w:hAnsi="Calibri"/>
                <w:color w:val="000000"/>
              </w:rPr>
              <w:t>8.3</w:t>
            </w:r>
            <w:r w:rsidRPr="00186308">
              <w:rPr>
                <w:rFonts w:ascii="Calibri" w:hAnsi="Calibri"/>
                <w:color w:val="000000"/>
              </w:rPr>
              <w:t>%</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2408B7" w:rsidRPr="00186308" w:rsidTr="00F17C58">
        <w:trPr>
          <w:trHeight w:val="300"/>
        </w:trPr>
        <w:tc>
          <w:tcPr>
            <w:tcW w:w="2362" w:type="dxa"/>
            <w:shd w:val="clear" w:color="auto" w:fill="auto"/>
            <w:noWrap/>
            <w:vAlign w:val="bottom"/>
          </w:tcPr>
          <w:p w:rsidR="002408B7" w:rsidRPr="00186308" w:rsidRDefault="002408B7" w:rsidP="001801E9">
            <w:pPr>
              <w:spacing w:after="0" w:line="240" w:lineRule="auto"/>
              <w:rPr>
                <w:rFonts w:eastAsia="Times New Roman" w:cs="Times New Roman"/>
                <w:color w:val="000000"/>
              </w:rPr>
            </w:pPr>
          </w:p>
        </w:tc>
        <w:tc>
          <w:tcPr>
            <w:tcW w:w="3936" w:type="dxa"/>
            <w:shd w:val="clear" w:color="auto" w:fill="auto"/>
            <w:noWrap/>
            <w:vAlign w:val="bottom"/>
          </w:tcPr>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bCs/>
                <w:color w:val="000000"/>
              </w:rPr>
              <w:t xml:space="preserve">All-listed codes </w:t>
            </w:r>
            <w:r w:rsidRPr="00186308">
              <w:rPr>
                <w:rFonts w:eastAsia="Times New Roman" w:cs="Times New Roman"/>
                <w:color w:val="000000"/>
              </w:rPr>
              <w:t>(ICD-9-CM code: 008.45)</w:t>
            </w:r>
          </w:p>
        </w:tc>
        <w:tc>
          <w:tcPr>
            <w:tcW w:w="2012" w:type="dxa"/>
            <w:vAlign w:val="bottom"/>
          </w:tcPr>
          <w:p w:rsidR="002408B7" w:rsidRPr="00186308" w:rsidRDefault="002408B7" w:rsidP="001801E9">
            <w:pPr>
              <w:spacing w:after="0" w:line="240" w:lineRule="auto"/>
              <w:jc w:val="right"/>
              <w:rPr>
                <w:rFonts w:eastAsia="Times New Roman" w:cs="Times New Roman"/>
                <w:color w:val="000000"/>
              </w:rPr>
            </w:pPr>
            <w:r>
              <w:rPr>
                <w:rFonts w:eastAsia="Times New Roman" w:cs="Times New Roman"/>
                <w:color w:val="000000"/>
              </w:rPr>
              <w:t>1.</w:t>
            </w:r>
            <w:r w:rsidRPr="00186308">
              <w:rPr>
                <w:rFonts w:eastAsia="Times New Roman" w:cs="Times New Roman"/>
                <w:color w:val="000000"/>
              </w:rPr>
              <w:t>0%</w:t>
            </w:r>
          </w:p>
        </w:tc>
        <w:tc>
          <w:tcPr>
            <w:tcW w:w="1412" w:type="dxa"/>
            <w:vAlign w:val="bottom"/>
          </w:tcPr>
          <w:p w:rsidR="002408B7" w:rsidRPr="00186308" w:rsidRDefault="002408B7" w:rsidP="001801E9">
            <w:pPr>
              <w:spacing w:after="0" w:line="240" w:lineRule="auto"/>
              <w:jc w:val="right"/>
              <w:rPr>
                <w:rFonts w:eastAsia="Times New Roman" w:cs="Times New Roman"/>
                <w:color w:val="000000"/>
              </w:rPr>
            </w:pPr>
            <w:r>
              <w:rPr>
                <w:rFonts w:eastAsia="Times New Roman" w:cs="Times New Roman"/>
                <w:color w:val="000000"/>
              </w:rPr>
              <w:t>1.0</w:t>
            </w:r>
            <w:r w:rsidRPr="00186308">
              <w:rPr>
                <w:rFonts w:eastAsia="Times New Roman" w:cs="Times New Roman"/>
                <w:color w:val="000000"/>
              </w:rPr>
              <w:t>%</w:t>
            </w:r>
          </w:p>
        </w:tc>
        <w:tc>
          <w:tcPr>
            <w:tcW w:w="1578" w:type="dxa"/>
            <w:gridSpan w:val="2"/>
            <w:shd w:val="clear" w:color="auto" w:fill="auto"/>
            <w:vAlign w:val="bottom"/>
          </w:tcPr>
          <w:p w:rsidR="002408B7" w:rsidRPr="00186308" w:rsidRDefault="002408B7" w:rsidP="001801E9">
            <w:pPr>
              <w:spacing w:after="0" w:line="240" w:lineRule="auto"/>
              <w:jc w:val="right"/>
              <w:rPr>
                <w:rFonts w:eastAsia="Times New Roman" w:cs="Times New Roman"/>
                <w:bCs/>
                <w:color w:val="000000"/>
              </w:rPr>
            </w:pPr>
            <w:r>
              <w:rPr>
                <w:rFonts w:ascii="Calibri" w:hAnsi="Calibri"/>
                <w:color w:val="000000"/>
              </w:rPr>
              <w:t>-</w:t>
            </w:r>
            <w:r w:rsidRPr="00186308">
              <w:rPr>
                <w:rFonts w:ascii="Calibri" w:hAnsi="Calibri"/>
                <w:color w:val="000000"/>
              </w:rPr>
              <w:t>1.0%</w:t>
            </w:r>
          </w:p>
        </w:tc>
        <w:tc>
          <w:tcPr>
            <w:tcW w:w="436" w:type="dxa"/>
            <w:vAlign w:val="bottom"/>
          </w:tcPr>
          <w:p w:rsidR="002408B7" w:rsidRPr="00186308" w:rsidRDefault="002408B7" w:rsidP="001801E9">
            <w:pPr>
              <w:spacing w:after="0" w:line="240" w:lineRule="auto"/>
              <w:jc w:val="center"/>
              <w:rPr>
                <w:rFonts w:eastAsia="Times New Roman" w:cs="Times New Roman"/>
                <w:color w:val="000000"/>
              </w:rPr>
            </w:pPr>
          </w:p>
        </w:tc>
      </w:tr>
      <w:tr w:rsidR="00F17C58" w:rsidRPr="00186308" w:rsidTr="00F17C58">
        <w:trPr>
          <w:trHeight w:val="300"/>
        </w:trPr>
        <w:tc>
          <w:tcPr>
            <w:tcW w:w="2362" w:type="dxa"/>
            <w:tcBorders>
              <w:bottom w:val="single" w:sz="4" w:space="0" w:color="auto"/>
            </w:tcBorders>
            <w:shd w:val="clear" w:color="auto" w:fill="auto"/>
            <w:noWrap/>
            <w:vAlign w:val="bottom"/>
          </w:tcPr>
          <w:p w:rsidR="00F17C58" w:rsidRPr="00186308" w:rsidRDefault="00F17C58" w:rsidP="001801E9">
            <w:pPr>
              <w:spacing w:after="0" w:line="240" w:lineRule="auto"/>
              <w:rPr>
                <w:rFonts w:eastAsia="Times New Roman" w:cs="Times New Roman"/>
                <w:color w:val="000000"/>
              </w:rPr>
            </w:pPr>
            <w:r w:rsidRPr="00186308">
              <w:rPr>
                <w:rFonts w:eastAsia="Times New Roman" w:cs="Times New Roman"/>
                <w:color w:val="000000"/>
              </w:rPr>
              <w:t>Antimicrobial use</w:t>
            </w:r>
          </w:p>
        </w:tc>
        <w:tc>
          <w:tcPr>
            <w:tcW w:w="3936" w:type="dxa"/>
            <w:tcBorders>
              <w:bottom w:val="single" w:sz="4" w:space="0" w:color="auto"/>
            </w:tcBorders>
            <w:shd w:val="clear" w:color="auto" w:fill="auto"/>
            <w:noWrap/>
            <w:vAlign w:val="bottom"/>
          </w:tcPr>
          <w:p w:rsidR="00F17C58" w:rsidRPr="00186308" w:rsidRDefault="00F17C58" w:rsidP="001801E9">
            <w:pPr>
              <w:spacing w:after="0" w:line="240" w:lineRule="auto"/>
              <w:rPr>
                <w:rFonts w:eastAsia="Times New Roman" w:cs="Times New Roman"/>
                <w:bCs/>
                <w:color w:val="000000"/>
              </w:rPr>
            </w:pPr>
          </w:p>
        </w:tc>
        <w:tc>
          <w:tcPr>
            <w:tcW w:w="2012" w:type="dxa"/>
            <w:tcBorders>
              <w:bottom w:val="single" w:sz="4" w:space="0" w:color="auto"/>
            </w:tcBorders>
            <w:vAlign w:val="bottom"/>
          </w:tcPr>
          <w:p w:rsidR="00F17C58" w:rsidRPr="00186308" w:rsidRDefault="00F17C58" w:rsidP="001801E9">
            <w:pPr>
              <w:spacing w:after="0" w:line="240" w:lineRule="auto"/>
              <w:jc w:val="right"/>
              <w:rPr>
                <w:rFonts w:eastAsia="Times New Roman" w:cs="Times New Roman"/>
                <w:color w:val="000000"/>
              </w:rPr>
            </w:pPr>
            <w:r w:rsidRPr="00186308">
              <w:rPr>
                <w:rFonts w:eastAsia="Times New Roman" w:cs="Times New Roman"/>
                <w:color w:val="000000"/>
              </w:rPr>
              <w:t>58.0%</w:t>
            </w:r>
          </w:p>
        </w:tc>
        <w:tc>
          <w:tcPr>
            <w:tcW w:w="1412" w:type="dxa"/>
            <w:tcBorders>
              <w:bottom w:val="single" w:sz="4" w:space="0" w:color="auto"/>
            </w:tcBorders>
            <w:vAlign w:val="bottom"/>
          </w:tcPr>
          <w:p w:rsidR="00F17C58" w:rsidRPr="00186308" w:rsidRDefault="00F17C58" w:rsidP="001801E9">
            <w:pPr>
              <w:spacing w:after="0" w:line="240" w:lineRule="auto"/>
              <w:jc w:val="right"/>
              <w:rPr>
                <w:rFonts w:eastAsia="Times New Roman" w:cs="Times New Roman"/>
                <w:color w:val="000000"/>
              </w:rPr>
            </w:pPr>
            <w:r w:rsidRPr="00186308">
              <w:rPr>
                <w:rFonts w:eastAsia="Times New Roman" w:cs="Times New Roman"/>
                <w:color w:val="000000"/>
              </w:rPr>
              <w:t>*</w:t>
            </w:r>
          </w:p>
        </w:tc>
        <w:tc>
          <w:tcPr>
            <w:tcW w:w="1578" w:type="dxa"/>
            <w:gridSpan w:val="2"/>
            <w:tcBorders>
              <w:bottom w:val="single" w:sz="4" w:space="0" w:color="auto"/>
            </w:tcBorders>
            <w:shd w:val="clear" w:color="auto" w:fill="auto"/>
            <w:vAlign w:val="bottom"/>
          </w:tcPr>
          <w:p w:rsidR="00F17C58" w:rsidRPr="00186308" w:rsidRDefault="00F17C58" w:rsidP="001801E9">
            <w:pPr>
              <w:spacing w:after="0" w:line="240" w:lineRule="auto"/>
              <w:jc w:val="right"/>
              <w:rPr>
                <w:rFonts w:eastAsia="Times New Roman" w:cs="Times New Roman"/>
                <w:bCs/>
                <w:color w:val="000000"/>
              </w:rPr>
            </w:pPr>
          </w:p>
        </w:tc>
        <w:tc>
          <w:tcPr>
            <w:tcW w:w="436" w:type="dxa"/>
            <w:tcBorders>
              <w:bottom w:val="single" w:sz="4" w:space="0" w:color="auto"/>
            </w:tcBorders>
            <w:vAlign w:val="bottom"/>
          </w:tcPr>
          <w:p w:rsidR="00F17C58" w:rsidRPr="00186308" w:rsidRDefault="00F17C58" w:rsidP="001801E9">
            <w:pPr>
              <w:spacing w:after="0" w:line="240" w:lineRule="auto"/>
              <w:jc w:val="center"/>
              <w:rPr>
                <w:rFonts w:eastAsia="Times New Roman" w:cs="Times New Roman"/>
                <w:bCs/>
                <w:color w:val="000000"/>
              </w:rPr>
            </w:pPr>
          </w:p>
        </w:tc>
      </w:tr>
      <w:tr w:rsidR="002408B7" w:rsidRPr="00186308" w:rsidTr="00F17C58">
        <w:trPr>
          <w:trHeight w:val="300"/>
        </w:trPr>
        <w:tc>
          <w:tcPr>
            <w:tcW w:w="11736" w:type="dxa"/>
            <w:gridSpan w:val="7"/>
            <w:tcBorders>
              <w:top w:val="single" w:sz="4" w:space="0" w:color="auto"/>
              <w:bottom w:val="single" w:sz="4" w:space="0" w:color="auto"/>
            </w:tcBorders>
            <w:vAlign w:val="bottom"/>
          </w:tcPr>
          <w:p w:rsidR="002408B7" w:rsidRDefault="002408B7" w:rsidP="001801E9">
            <w:pPr>
              <w:spacing w:after="0" w:line="240" w:lineRule="auto"/>
              <w:rPr>
                <w:rFonts w:eastAsia="Times New Roman" w:cs="Times New Roman"/>
                <w:bCs/>
                <w:color w:val="000000"/>
              </w:rPr>
            </w:pPr>
            <w:r w:rsidRPr="00186308">
              <w:rPr>
                <w:rFonts w:cs="Courier New"/>
                <w:iCs/>
              </w:rPr>
              <w:t xml:space="preserve">Abbreviations: </w:t>
            </w:r>
            <w:r>
              <w:rPr>
                <w:rFonts w:cs="Courier New"/>
                <w:iCs/>
              </w:rPr>
              <w:t xml:space="preserve">CDI, </w:t>
            </w:r>
            <w:r w:rsidRPr="006B67F0">
              <w:rPr>
                <w:rFonts w:cs="Courier New"/>
                <w:i/>
                <w:iCs/>
              </w:rPr>
              <w:t>Clostridium difficile</w:t>
            </w:r>
            <w:r>
              <w:rPr>
                <w:rFonts w:cs="Courier New"/>
                <w:iCs/>
              </w:rPr>
              <w:t xml:space="preserve"> infection; CI, confidence interval; </w:t>
            </w:r>
            <w:r w:rsidRPr="00186308">
              <w:rPr>
                <w:rFonts w:eastAsia="Times New Roman" w:cs="Times New Roman"/>
                <w:bCs/>
                <w:color w:val="000000"/>
              </w:rPr>
              <w:t>HMO</w:t>
            </w:r>
            <w:r>
              <w:rPr>
                <w:rFonts w:eastAsia="Times New Roman" w:cs="Times New Roman"/>
                <w:bCs/>
                <w:color w:val="000000"/>
              </w:rPr>
              <w:t>, health maintenance organization</w:t>
            </w:r>
            <w:r>
              <w:rPr>
                <w:rFonts w:cs="Courier New"/>
              </w:rPr>
              <w:t xml:space="preserve">; HDD, </w:t>
            </w:r>
            <w:proofErr w:type="spellStart"/>
            <w:r w:rsidRPr="00186308">
              <w:t>MarketScan</w:t>
            </w:r>
            <w:proofErr w:type="spellEnd"/>
            <w:r w:rsidRPr="00186308">
              <w:t>® Hospital Drug Database</w:t>
            </w:r>
            <w:r>
              <w:t>;</w:t>
            </w:r>
            <w:r w:rsidRPr="00186308">
              <w:rPr>
                <w:rFonts w:cs="Courier New"/>
              </w:rPr>
              <w:t xml:space="preserve"> </w:t>
            </w:r>
            <w:r w:rsidRPr="00186308">
              <w:rPr>
                <w:rFonts w:cs="Courier New"/>
                <w:iCs/>
              </w:rPr>
              <w:t>ICD-9-CM, International Classification of Diseases, version 9, Clinical Mo</w:t>
            </w:r>
            <w:r>
              <w:rPr>
                <w:rFonts w:cs="Courier New"/>
                <w:iCs/>
              </w:rPr>
              <w:t>dification; NIS, National Inpatient Sample</w:t>
            </w:r>
            <w:r w:rsidRPr="00186308">
              <w:rPr>
                <w:rFonts w:cs="Courier New"/>
                <w:iCs/>
              </w:rPr>
              <w:t>.</w:t>
            </w:r>
          </w:p>
          <w:p w:rsidR="002408B7" w:rsidRPr="00186308" w:rsidRDefault="002408B7" w:rsidP="001801E9">
            <w:pPr>
              <w:spacing w:after="0" w:line="240" w:lineRule="auto"/>
              <w:rPr>
                <w:rFonts w:eastAsia="Times New Roman" w:cs="Times New Roman"/>
                <w:bCs/>
                <w:color w:val="000000"/>
              </w:rPr>
            </w:pPr>
          </w:p>
          <w:p w:rsidR="002408B7" w:rsidRPr="00D975E6" w:rsidRDefault="002408B7" w:rsidP="001801E9">
            <w:pPr>
              <w:spacing w:after="0" w:line="240" w:lineRule="auto"/>
              <w:rPr>
                <w:rFonts w:eastAsia="Times New Roman" w:cs="Times New Roman"/>
                <w:bCs/>
                <w:color w:val="000000"/>
              </w:rPr>
            </w:pPr>
            <w:r w:rsidRPr="00D975E6">
              <w:rPr>
                <w:rFonts w:eastAsia="Times New Roman" w:cs="Times New Roman"/>
                <w:bCs/>
                <w:color w:val="000000"/>
              </w:rPr>
              <w:t>*</w:t>
            </w:r>
            <w:r>
              <w:rPr>
                <w:rFonts w:eastAsia="Times New Roman" w:cs="Times New Roman"/>
                <w:bCs/>
                <w:color w:val="000000"/>
              </w:rPr>
              <w:t xml:space="preserve"> C</w:t>
            </w:r>
            <w:r w:rsidRPr="00D975E6">
              <w:rPr>
                <w:rFonts w:eastAsia="Times New Roman" w:cs="Times New Roman"/>
                <w:bCs/>
                <w:color w:val="000000"/>
              </w:rPr>
              <w:t>omparison not feasible between HDD and NIS due to differing categories or not assessed in NIS.</w:t>
            </w:r>
          </w:p>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bCs/>
                <w:color w:val="000000"/>
              </w:rPr>
              <w:t>†</w:t>
            </w:r>
            <w:r>
              <w:rPr>
                <w:rFonts w:eastAsia="Times New Roman" w:cs="Times New Roman"/>
                <w:bCs/>
                <w:color w:val="000000"/>
              </w:rPr>
              <w:t xml:space="preserve"> </w:t>
            </w:r>
            <w:r w:rsidRPr="00186308">
              <w:rPr>
                <w:rFonts w:eastAsia="Times New Roman" w:cs="Times New Roman"/>
                <w:bCs/>
                <w:color w:val="000000"/>
              </w:rPr>
              <w:t>Percent (%) difference</w:t>
            </w:r>
            <w:proofErr w:type="gramStart"/>
            <w:r w:rsidRPr="00186308">
              <w:rPr>
                <w:rFonts w:eastAsia="Times New Roman" w:cs="Times New Roman"/>
                <w:bCs/>
                <w:color w:val="000000"/>
              </w:rPr>
              <w:t>=(</w:t>
            </w:r>
            <w:proofErr w:type="gramEnd"/>
            <w:r w:rsidRPr="00186308">
              <w:rPr>
                <w:rFonts w:eastAsia="Times New Roman" w:cs="Times New Roman"/>
                <w:color w:val="000000"/>
              </w:rPr>
              <w:t>1-(HDD/NIS))*100</w:t>
            </w:r>
            <w:r>
              <w:rPr>
                <w:rFonts w:eastAsia="Times New Roman" w:cs="Times New Roman"/>
                <w:color w:val="000000"/>
              </w:rPr>
              <w:t>.</w:t>
            </w:r>
          </w:p>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color w:val="000000"/>
              </w:rPr>
              <w:t>‡</w:t>
            </w:r>
            <w:r>
              <w:rPr>
                <w:rFonts w:eastAsia="Times New Roman" w:cs="Times New Roman"/>
                <w:color w:val="000000"/>
              </w:rPr>
              <w:t xml:space="preserve"> </w:t>
            </w:r>
            <w:r w:rsidRPr="00186308">
              <w:rPr>
                <w:rFonts w:eastAsia="Times New Roman" w:cs="Times New Roman"/>
                <w:color w:val="000000"/>
              </w:rPr>
              <w:t>Greater than 10% difference</w:t>
            </w:r>
            <w:r>
              <w:rPr>
                <w:rFonts w:eastAsia="Times New Roman" w:cs="Times New Roman"/>
                <w:color w:val="000000"/>
              </w:rPr>
              <w:t xml:space="preserve"> in prevalence between HDD and NIS samples.</w:t>
            </w:r>
          </w:p>
          <w:p w:rsidR="002408B7" w:rsidRPr="00186308" w:rsidRDefault="002408B7" w:rsidP="001801E9">
            <w:pPr>
              <w:spacing w:after="0" w:line="240" w:lineRule="auto"/>
              <w:rPr>
                <w:rFonts w:eastAsia="Times New Roman" w:cs="Times New Roman"/>
                <w:bCs/>
                <w:color w:val="000000"/>
              </w:rPr>
            </w:pPr>
            <w:r w:rsidRPr="00186308">
              <w:rPr>
                <w:rFonts w:eastAsia="Times New Roman" w:cs="Times New Roman"/>
                <w:color w:val="000000"/>
              </w:rPr>
              <w:lastRenderedPageBreak/>
              <w:t>§</w:t>
            </w:r>
            <w:r>
              <w:rPr>
                <w:rFonts w:eastAsia="Times New Roman" w:cs="Times New Roman"/>
                <w:color w:val="000000"/>
              </w:rPr>
              <w:t xml:space="preserve"> </w:t>
            </w:r>
            <w:r w:rsidRPr="00186308">
              <w:rPr>
                <w:rFonts w:eastAsia="Times New Roman" w:cs="Times New Roman"/>
                <w:color w:val="000000"/>
              </w:rPr>
              <w:t xml:space="preserve">In </w:t>
            </w:r>
            <w:r w:rsidRPr="00180812">
              <w:rPr>
                <w:rFonts w:eastAsia="Times New Roman" w:cs="Times New Roman"/>
                <w:color w:val="000000"/>
              </w:rPr>
              <w:t xml:space="preserve">2011, 26.9% of hospitalizations in 29 states had ICU charges; source: </w:t>
            </w:r>
            <w:r w:rsidRPr="00180812">
              <w:t xml:space="preserve">Barrett ML, Smith MW, </w:t>
            </w:r>
            <w:proofErr w:type="spellStart"/>
            <w:r w:rsidRPr="00180812">
              <w:t>Elixhauser</w:t>
            </w:r>
            <w:proofErr w:type="spellEnd"/>
            <w:r w:rsidRPr="00180812">
              <w:t xml:space="preserve"> A, </w:t>
            </w:r>
            <w:proofErr w:type="spellStart"/>
            <w:r w:rsidRPr="00180812">
              <w:t>Honigman</w:t>
            </w:r>
            <w:proofErr w:type="spellEnd"/>
            <w:r w:rsidRPr="00180812">
              <w:t xml:space="preserve"> LS, </w:t>
            </w:r>
            <w:proofErr w:type="gramStart"/>
            <w:r w:rsidRPr="00180812">
              <w:t>Pines</w:t>
            </w:r>
            <w:proofErr w:type="gramEnd"/>
            <w:r w:rsidRPr="00180812">
              <w:t xml:space="preserve"> JM. Utilization of Intensive Care Services, 2011. HCUP Statistical Brief #185. December 2014. Agency for Healthcare Research and Quality, Rockville, MD. http://www.hcup-us.ahrq.gov/reports/statbriefs/sb185-Hospital-Intensive-Care-Units-2011.pdf.</w:t>
            </w:r>
          </w:p>
        </w:tc>
      </w:tr>
    </w:tbl>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sectPr w:rsidR="002408B7" w:rsidRPr="00186308" w:rsidSect="00FD4EB6">
          <w:footerReference w:type="default" r:id="rId7"/>
          <w:pgSz w:w="15840" w:h="12240" w:orient="landscape"/>
          <w:pgMar w:top="1440" w:right="1440" w:bottom="1440" w:left="1440" w:header="720" w:footer="720" w:gutter="0"/>
          <w:cols w:space="720"/>
          <w:docGrid w:linePitch="360"/>
        </w:sectPr>
      </w:pPr>
    </w:p>
    <w:p w:rsidR="002408B7" w:rsidRPr="00186308" w:rsidRDefault="002408B7" w:rsidP="002408B7">
      <w:pPr>
        <w:tabs>
          <w:tab w:val="left" w:pos="2880"/>
        </w:tabs>
        <w:spacing w:after="0" w:line="240" w:lineRule="auto"/>
        <w:outlineLvl w:val="0"/>
        <w:rPr>
          <w:rFonts w:cs="Courier New"/>
          <w:b/>
        </w:rPr>
      </w:pPr>
      <w:r w:rsidRPr="00186308">
        <w:rPr>
          <w:rFonts w:cs="Courier New"/>
          <w:b/>
        </w:rPr>
        <w:lastRenderedPageBreak/>
        <w:t xml:space="preserve">Supplemental Table </w:t>
      </w:r>
      <w:r>
        <w:rPr>
          <w:rFonts w:cs="Courier New"/>
          <w:b/>
        </w:rPr>
        <w:t>2</w:t>
      </w:r>
      <w:r w:rsidRPr="00186308">
        <w:rPr>
          <w:rFonts w:cs="Courier New"/>
          <w:b/>
        </w:rPr>
        <w:t>.</w:t>
      </w:r>
      <w:r w:rsidRPr="00186308">
        <w:rPr>
          <w:b/>
        </w:rPr>
        <w:t xml:space="preserve"> Ten most frequent diagnostic categories based on primary ICD-9-CM diagnosis codes</w:t>
      </w:r>
      <w:r w:rsidRPr="00186308">
        <w:rPr>
          <w:rFonts w:cs="Courier New"/>
          <w:b/>
        </w:rPr>
        <w:t xml:space="preserve"> among discharges from 145 US hospitals compared with the HCUP National Inpatient Sample</w:t>
      </w:r>
      <w:r>
        <w:rPr>
          <w:rFonts w:cs="Courier New"/>
          <w:b/>
        </w:rPr>
        <w:t>,</w:t>
      </w:r>
      <w:r w:rsidRPr="00186308">
        <w:rPr>
          <w:rFonts w:cs="Courier New"/>
          <w:b/>
        </w:rPr>
        <w:t xml:space="preserve"> 2012.</w:t>
      </w:r>
    </w:p>
    <w:p w:rsidR="002408B7" w:rsidRPr="00186308" w:rsidRDefault="002408B7" w:rsidP="002408B7">
      <w:pPr>
        <w:tabs>
          <w:tab w:val="left" w:pos="2880"/>
        </w:tabs>
        <w:spacing w:after="0" w:line="240" w:lineRule="auto"/>
        <w:rPr>
          <w:rFonts w:cs="Courier New"/>
          <w:b/>
        </w:rPr>
      </w:pPr>
    </w:p>
    <w:tbl>
      <w:tblPr>
        <w:tblW w:w="11466" w:type="dxa"/>
        <w:tblLayout w:type="fixed"/>
        <w:tblCellMar>
          <w:left w:w="14" w:type="dxa"/>
          <w:right w:w="14" w:type="dxa"/>
        </w:tblCellMar>
        <w:tblLook w:val="0600" w:firstRow="0" w:lastRow="0" w:firstColumn="0" w:lastColumn="0" w:noHBand="1" w:noVBand="1"/>
      </w:tblPr>
      <w:tblGrid>
        <w:gridCol w:w="585"/>
        <w:gridCol w:w="6255"/>
        <w:gridCol w:w="566"/>
        <w:gridCol w:w="885"/>
        <w:gridCol w:w="566"/>
        <w:gridCol w:w="931"/>
        <w:gridCol w:w="1390"/>
        <w:gridCol w:w="288"/>
      </w:tblGrid>
      <w:tr w:rsidR="002408B7" w:rsidRPr="00186308" w:rsidTr="001801E9">
        <w:trPr>
          <w:cantSplit/>
          <w:trHeight w:val="288"/>
          <w:tblHeader/>
        </w:trPr>
        <w:tc>
          <w:tcPr>
            <w:tcW w:w="585" w:type="dxa"/>
            <w:tcBorders>
              <w:top w:val="single" w:sz="4" w:space="0" w:color="auto"/>
              <w:left w:val="nil"/>
              <w:right w:val="nil"/>
            </w:tcBorders>
            <w:shd w:val="clear" w:color="auto" w:fill="auto"/>
          </w:tcPr>
          <w:p w:rsidR="002408B7" w:rsidRPr="00186308" w:rsidRDefault="002408B7" w:rsidP="001801E9">
            <w:pPr>
              <w:spacing w:after="0" w:line="240" w:lineRule="auto"/>
              <w:jc w:val="center"/>
              <w:rPr>
                <w:rFonts w:cs="Courier New"/>
                <w:b/>
              </w:rPr>
            </w:pPr>
            <w:r w:rsidRPr="00186308">
              <w:rPr>
                <w:rFonts w:cs="Courier New"/>
                <w:b/>
              </w:rPr>
              <w:t>CCS</w:t>
            </w:r>
            <w:r w:rsidRPr="00186308">
              <w:rPr>
                <w:rFonts w:cs="Courier New"/>
              </w:rPr>
              <w:t>‡</w:t>
            </w:r>
          </w:p>
        </w:tc>
        <w:tc>
          <w:tcPr>
            <w:tcW w:w="6255" w:type="dxa"/>
            <w:tcBorders>
              <w:top w:val="single" w:sz="4" w:space="0" w:color="auto"/>
              <w:left w:val="nil"/>
              <w:right w:val="nil"/>
            </w:tcBorders>
          </w:tcPr>
          <w:p w:rsidR="002408B7" w:rsidRPr="00186308" w:rsidRDefault="002408B7" w:rsidP="001801E9">
            <w:pPr>
              <w:spacing w:after="0" w:line="240" w:lineRule="auto"/>
              <w:rPr>
                <w:rFonts w:ascii="Calibri" w:eastAsia="Times New Roman" w:hAnsi="Calibri" w:cs="Times New Roman"/>
                <w:b/>
                <w:bCs/>
                <w:color w:val="000000"/>
              </w:rPr>
            </w:pPr>
            <w:r w:rsidRPr="00186308">
              <w:rPr>
                <w:rFonts w:ascii="Calibri" w:eastAsia="Times New Roman" w:hAnsi="Calibri" w:cs="Times New Roman"/>
                <w:b/>
                <w:bCs/>
                <w:color w:val="000000"/>
              </w:rPr>
              <w:t>CCS category description</w:t>
            </w:r>
          </w:p>
        </w:tc>
        <w:tc>
          <w:tcPr>
            <w:tcW w:w="1451" w:type="dxa"/>
            <w:gridSpan w:val="2"/>
            <w:tcBorders>
              <w:top w:val="single" w:sz="4" w:space="0" w:color="auto"/>
              <w:left w:val="nil"/>
              <w:right w:val="nil"/>
            </w:tcBorders>
          </w:tcPr>
          <w:p w:rsidR="002408B7" w:rsidRPr="00186308" w:rsidRDefault="002408B7" w:rsidP="001801E9">
            <w:pPr>
              <w:spacing w:after="0" w:line="240" w:lineRule="auto"/>
              <w:jc w:val="center"/>
              <w:rPr>
                <w:rFonts w:cs="Courier New"/>
                <w:b/>
              </w:rPr>
            </w:pPr>
            <w:r w:rsidRPr="00186308">
              <w:rPr>
                <w:rFonts w:ascii="Calibri" w:eastAsia="Times New Roman" w:hAnsi="Calibri" w:cs="Times New Roman"/>
                <w:b/>
                <w:bCs/>
                <w:color w:val="000000"/>
              </w:rPr>
              <w:t>HDD 2012</w:t>
            </w:r>
          </w:p>
        </w:tc>
        <w:tc>
          <w:tcPr>
            <w:tcW w:w="1497" w:type="dxa"/>
            <w:gridSpan w:val="2"/>
            <w:tcBorders>
              <w:top w:val="single" w:sz="4" w:space="0" w:color="auto"/>
              <w:left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b/>
              </w:rPr>
            </w:pPr>
            <w:r w:rsidRPr="00186308">
              <w:rPr>
                <w:rFonts w:ascii="Calibri" w:eastAsia="Times New Roman" w:hAnsi="Calibri" w:cs="Times New Roman"/>
                <w:b/>
                <w:bCs/>
                <w:color w:val="000000"/>
              </w:rPr>
              <w:t>NIS 2012</w:t>
            </w:r>
          </w:p>
        </w:tc>
        <w:tc>
          <w:tcPr>
            <w:tcW w:w="1390" w:type="dxa"/>
            <w:tcBorders>
              <w:top w:val="single" w:sz="4" w:space="0" w:color="auto"/>
              <w:left w:val="nil"/>
              <w:right w:val="nil"/>
            </w:tcBorders>
          </w:tcPr>
          <w:p w:rsidR="002408B7" w:rsidRPr="00186308" w:rsidRDefault="002408B7" w:rsidP="001801E9">
            <w:pPr>
              <w:spacing w:after="0" w:line="240" w:lineRule="auto"/>
              <w:jc w:val="center"/>
              <w:rPr>
                <w:rFonts w:cs="Courier New"/>
                <w:b/>
              </w:rPr>
            </w:pPr>
            <w:r w:rsidRPr="00186308">
              <w:rPr>
                <w:rFonts w:cs="Courier New"/>
                <w:b/>
              </w:rPr>
              <w:t>Comparison</w:t>
            </w:r>
          </w:p>
        </w:tc>
        <w:tc>
          <w:tcPr>
            <w:tcW w:w="288" w:type="dxa"/>
            <w:tcBorders>
              <w:top w:val="single" w:sz="4" w:space="0" w:color="auto"/>
              <w:left w:val="nil"/>
              <w:right w:val="nil"/>
            </w:tcBorders>
          </w:tcPr>
          <w:p w:rsidR="002408B7" w:rsidRPr="00186308" w:rsidRDefault="002408B7" w:rsidP="001801E9">
            <w:pPr>
              <w:spacing w:after="0" w:line="240" w:lineRule="auto"/>
              <w:jc w:val="center"/>
              <w:rPr>
                <w:rFonts w:cs="Courier New"/>
                <w:b/>
              </w:rPr>
            </w:pPr>
          </w:p>
        </w:tc>
      </w:tr>
      <w:tr w:rsidR="002408B7" w:rsidRPr="00186308" w:rsidTr="001801E9">
        <w:trPr>
          <w:cantSplit/>
          <w:trHeight w:val="288"/>
          <w:tblHeader/>
        </w:trPr>
        <w:tc>
          <w:tcPr>
            <w:tcW w:w="585" w:type="dxa"/>
            <w:tcBorders>
              <w:left w:val="nil"/>
              <w:bottom w:val="single" w:sz="4" w:space="0" w:color="auto"/>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center"/>
              <w:rPr>
                <w:rFonts w:cs="Courier New"/>
                <w:b/>
              </w:rPr>
            </w:pPr>
          </w:p>
        </w:tc>
        <w:tc>
          <w:tcPr>
            <w:tcW w:w="6255" w:type="dxa"/>
            <w:tcBorders>
              <w:left w:val="nil"/>
              <w:bottom w:val="single" w:sz="4" w:space="0" w:color="auto"/>
              <w:right w:val="nil"/>
            </w:tcBorders>
          </w:tcPr>
          <w:p w:rsidR="002408B7" w:rsidRPr="00186308" w:rsidRDefault="002408B7" w:rsidP="001801E9">
            <w:pPr>
              <w:spacing w:after="0" w:line="240" w:lineRule="auto"/>
              <w:jc w:val="center"/>
              <w:rPr>
                <w:b/>
              </w:rPr>
            </w:pPr>
          </w:p>
        </w:tc>
        <w:tc>
          <w:tcPr>
            <w:tcW w:w="566" w:type="dxa"/>
            <w:tcBorders>
              <w:left w:val="nil"/>
              <w:bottom w:val="single" w:sz="4" w:space="0" w:color="auto"/>
              <w:right w:val="nil"/>
            </w:tcBorders>
            <w:tcMar>
              <w:top w:w="14" w:type="dxa"/>
              <w:left w:w="14" w:type="dxa"/>
              <w:bottom w:w="14" w:type="dxa"/>
              <w:right w:w="14" w:type="dxa"/>
            </w:tcMar>
          </w:tcPr>
          <w:p w:rsidR="002408B7" w:rsidRPr="00186308" w:rsidRDefault="002408B7" w:rsidP="001801E9">
            <w:pPr>
              <w:spacing w:after="0" w:line="240" w:lineRule="auto"/>
              <w:jc w:val="center"/>
              <w:rPr>
                <w:b/>
              </w:rPr>
            </w:pPr>
            <w:r w:rsidRPr="00186308">
              <w:rPr>
                <w:b/>
              </w:rPr>
              <w:t>Rank</w:t>
            </w:r>
          </w:p>
        </w:tc>
        <w:tc>
          <w:tcPr>
            <w:tcW w:w="885" w:type="dxa"/>
            <w:tcBorders>
              <w:left w:val="nil"/>
              <w:bottom w:val="single" w:sz="4" w:space="0" w:color="auto"/>
              <w:right w:val="nil"/>
            </w:tcBorders>
          </w:tcPr>
          <w:p w:rsidR="002408B7" w:rsidRPr="00186308" w:rsidRDefault="002408B7" w:rsidP="001801E9">
            <w:pPr>
              <w:spacing w:after="0" w:line="240" w:lineRule="auto"/>
              <w:jc w:val="center"/>
              <w:rPr>
                <w:rFonts w:ascii="Calibri" w:eastAsia="Times New Roman" w:hAnsi="Calibri" w:cs="Times New Roman"/>
                <w:b/>
                <w:bCs/>
                <w:color w:val="000000"/>
              </w:rPr>
            </w:pPr>
            <w:r w:rsidRPr="00186308">
              <w:rPr>
                <w:rFonts w:ascii="Calibri" w:eastAsia="Times New Roman" w:hAnsi="Calibri" w:cs="Times New Roman"/>
                <w:b/>
                <w:bCs/>
                <w:color w:val="000000"/>
              </w:rPr>
              <w:t>%</w:t>
            </w:r>
          </w:p>
        </w:tc>
        <w:tc>
          <w:tcPr>
            <w:tcW w:w="566" w:type="dxa"/>
            <w:tcBorders>
              <w:left w:val="nil"/>
              <w:bottom w:val="single" w:sz="4" w:space="0" w:color="auto"/>
              <w:right w:val="nil"/>
            </w:tcBorders>
            <w:tcMar>
              <w:top w:w="14" w:type="dxa"/>
              <w:left w:w="14" w:type="dxa"/>
              <w:bottom w:w="14" w:type="dxa"/>
              <w:right w:w="14" w:type="dxa"/>
            </w:tcMar>
          </w:tcPr>
          <w:p w:rsidR="002408B7" w:rsidRPr="00186308" w:rsidRDefault="002408B7" w:rsidP="001801E9">
            <w:pPr>
              <w:spacing w:after="0" w:line="240" w:lineRule="auto"/>
              <w:jc w:val="center"/>
              <w:rPr>
                <w:b/>
              </w:rPr>
            </w:pPr>
            <w:r w:rsidRPr="00186308">
              <w:rPr>
                <w:b/>
              </w:rPr>
              <w:t>Rank</w:t>
            </w:r>
          </w:p>
        </w:tc>
        <w:tc>
          <w:tcPr>
            <w:tcW w:w="931" w:type="dxa"/>
            <w:tcBorders>
              <w:left w:val="nil"/>
              <w:bottom w:val="single" w:sz="4" w:space="0" w:color="auto"/>
              <w:right w:val="nil"/>
            </w:tcBorders>
          </w:tcPr>
          <w:p w:rsidR="002408B7" w:rsidRPr="00186308" w:rsidRDefault="002408B7" w:rsidP="001801E9">
            <w:pPr>
              <w:spacing w:after="0" w:line="240" w:lineRule="auto"/>
              <w:jc w:val="center"/>
              <w:rPr>
                <w:rFonts w:ascii="Calibri" w:eastAsia="Times New Roman" w:hAnsi="Calibri" w:cs="Times New Roman"/>
                <w:b/>
                <w:bCs/>
                <w:color w:val="000000"/>
              </w:rPr>
            </w:pPr>
            <w:r w:rsidRPr="00186308">
              <w:rPr>
                <w:rFonts w:ascii="Calibri" w:eastAsia="Times New Roman" w:hAnsi="Calibri" w:cs="Times New Roman"/>
                <w:b/>
                <w:bCs/>
                <w:color w:val="000000"/>
              </w:rPr>
              <w:t>%</w:t>
            </w:r>
          </w:p>
        </w:tc>
        <w:tc>
          <w:tcPr>
            <w:tcW w:w="1390" w:type="dxa"/>
            <w:tcBorders>
              <w:left w:val="nil"/>
              <w:bottom w:val="single" w:sz="4" w:space="0" w:color="auto"/>
              <w:right w:val="nil"/>
            </w:tcBorders>
          </w:tcPr>
          <w:p w:rsidR="002408B7" w:rsidRPr="00186308" w:rsidRDefault="002408B7" w:rsidP="001801E9">
            <w:pPr>
              <w:spacing w:after="0" w:line="240" w:lineRule="auto"/>
              <w:jc w:val="center"/>
              <w:rPr>
                <w:rFonts w:ascii="Calibri" w:eastAsia="Times New Roman" w:hAnsi="Calibri" w:cs="Times New Roman"/>
                <w:b/>
                <w:bCs/>
                <w:color w:val="000000"/>
              </w:rPr>
            </w:pPr>
            <w:r w:rsidRPr="00186308">
              <w:rPr>
                <w:rFonts w:eastAsia="Times New Roman" w:cs="Times New Roman"/>
                <w:b/>
                <w:bCs/>
                <w:color w:val="000000"/>
              </w:rPr>
              <w:t>% difference*</w:t>
            </w:r>
          </w:p>
        </w:tc>
        <w:tc>
          <w:tcPr>
            <w:tcW w:w="288" w:type="dxa"/>
            <w:tcBorders>
              <w:left w:val="nil"/>
              <w:bottom w:val="single" w:sz="4" w:space="0" w:color="auto"/>
              <w:right w:val="nil"/>
            </w:tcBorders>
          </w:tcPr>
          <w:p w:rsidR="002408B7" w:rsidRPr="00186308" w:rsidRDefault="002408B7" w:rsidP="001801E9">
            <w:pPr>
              <w:spacing w:after="0" w:line="240" w:lineRule="auto"/>
              <w:jc w:val="center"/>
              <w:rPr>
                <w:rFonts w:eastAsia="Times New Roman" w:cs="Times New Roman"/>
                <w:b/>
                <w:bCs/>
                <w:color w:val="000000"/>
              </w:rPr>
            </w:pPr>
          </w:p>
        </w:tc>
      </w:tr>
      <w:tr w:rsidR="002408B7" w:rsidRPr="00186308" w:rsidTr="001801E9">
        <w:trPr>
          <w:cantSplit/>
          <w:trHeight w:val="288"/>
        </w:trPr>
        <w:tc>
          <w:tcPr>
            <w:tcW w:w="585" w:type="dxa"/>
            <w:tcBorders>
              <w:top w:val="single" w:sz="4" w:space="0" w:color="auto"/>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218</w:t>
            </w:r>
          </w:p>
        </w:tc>
        <w:tc>
          <w:tcPr>
            <w:tcW w:w="6255" w:type="dxa"/>
            <w:tcBorders>
              <w:top w:val="single" w:sz="4" w:space="0" w:color="auto"/>
              <w:left w:val="nil"/>
              <w:bottom w:val="nil"/>
              <w:right w:val="nil"/>
            </w:tcBorders>
          </w:tcPr>
          <w:p w:rsidR="002408B7" w:rsidRPr="00186308" w:rsidRDefault="002408B7" w:rsidP="001801E9">
            <w:pPr>
              <w:spacing w:after="0" w:line="240" w:lineRule="auto"/>
              <w:rPr>
                <w:rFonts w:ascii="Calibri" w:hAnsi="Calibri"/>
                <w:color w:val="000000"/>
              </w:rPr>
            </w:pPr>
            <w:proofErr w:type="spellStart"/>
            <w:r w:rsidRPr="00186308">
              <w:t>Liveborn</w:t>
            </w:r>
            <w:proofErr w:type="spellEnd"/>
          </w:p>
        </w:tc>
        <w:tc>
          <w:tcPr>
            <w:tcW w:w="566" w:type="dxa"/>
            <w:tcBorders>
              <w:top w:val="single" w:sz="4" w:space="0" w:color="auto"/>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w:t>
            </w:r>
          </w:p>
        </w:tc>
        <w:tc>
          <w:tcPr>
            <w:tcW w:w="885" w:type="dxa"/>
            <w:tcBorders>
              <w:top w:val="single" w:sz="4" w:space="0" w:color="auto"/>
              <w:left w:val="nil"/>
              <w:bottom w:val="nil"/>
              <w:right w:val="nil"/>
            </w:tcBorders>
          </w:tcPr>
          <w:p w:rsidR="002408B7" w:rsidRPr="00186308" w:rsidRDefault="002408B7" w:rsidP="001801E9">
            <w:pPr>
              <w:spacing w:after="0" w:line="240" w:lineRule="auto"/>
              <w:jc w:val="right"/>
            </w:pPr>
            <w:r w:rsidRPr="00186308">
              <w:t>9.</w:t>
            </w:r>
            <w:r>
              <w:t>4</w:t>
            </w:r>
          </w:p>
        </w:tc>
        <w:tc>
          <w:tcPr>
            <w:tcW w:w="566" w:type="dxa"/>
            <w:tcBorders>
              <w:top w:val="single" w:sz="4" w:space="0" w:color="auto"/>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w:t>
            </w:r>
          </w:p>
        </w:tc>
        <w:tc>
          <w:tcPr>
            <w:tcW w:w="931" w:type="dxa"/>
            <w:tcBorders>
              <w:top w:val="single" w:sz="4" w:space="0" w:color="auto"/>
              <w:left w:val="nil"/>
              <w:bottom w:val="nil"/>
              <w:right w:val="nil"/>
            </w:tcBorders>
          </w:tcPr>
          <w:p w:rsidR="002408B7" w:rsidRPr="00186308" w:rsidRDefault="002408B7" w:rsidP="001801E9">
            <w:pPr>
              <w:spacing w:after="0" w:line="240" w:lineRule="auto"/>
              <w:jc w:val="right"/>
            </w:pPr>
            <w:r w:rsidRPr="00186308">
              <w:t>10.4</w:t>
            </w:r>
          </w:p>
        </w:tc>
        <w:tc>
          <w:tcPr>
            <w:tcW w:w="1390" w:type="dxa"/>
            <w:tcBorders>
              <w:top w:val="single" w:sz="4" w:space="0" w:color="auto"/>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10.</w:t>
            </w:r>
            <w:r>
              <w:rPr>
                <w:rFonts w:ascii="Calibri" w:hAnsi="Calibri"/>
                <w:color w:val="000000"/>
              </w:rPr>
              <w:t>1</w:t>
            </w:r>
          </w:p>
        </w:tc>
        <w:tc>
          <w:tcPr>
            <w:tcW w:w="288" w:type="dxa"/>
            <w:tcBorders>
              <w:top w:val="single" w:sz="4" w:space="0" w:color="auto"/>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2</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Septicemia (except in labor)</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2</w:t>
            </w:r>
          </w:p>
        </w:tc>
        <w:tc>
          <w:tcPr>
            <w:tcW w:w="885" w:type="dxa"/>
            <w:tcBorders>
              <w:left w:val="nil"/>
              <w:bottom w:val="nil"/>
              <w:right w:val="nil"/>
            </w:tcBorders>
          </w:tcPr>
          <w:p w:rsidR="002408B7" w:rsidRPr="00186308" w:rsidRDefault="002408B7" w:rsidP="001801E9">
            <w:pPr>
              <w:spacing w:after="0" w:line="240" w:lineRule="auto"/>
              <w:jc w:val="right"/>
            </w:pPr>
            <w:r w:rsidRPr="00186308">
              <w:t>3.</w:t>
            </w:r>
            <w:r>
              <w:t>1</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2</w:t>
            </w:r>
          </w:p>
        </w:tc>
        <w:tc>
          <w:tcPr>
            <w:tcW w:w="931" w:type="dxa"/>
            <w:tcBorders>
              <w:left w:val="nil"/>
              <w:bottom w:val="nil"/>
              <w:right w:val="nil"/>
            </w:tcBorders>
          </w:tcPr>
          <w:p w:rsidR="002408B7" w:rsidRPr="00186308" w:rsidRDefault="002408B7" w:rsidP="001801E9">
            <w:pPr>
              <w:spacing w:after="0" w:line="240" w:lineRule="auto"/>
              <w:jc w:val="right"/>
            </w:pPr>
            <w:r w:rsidRPr="00186308">
              <w:t>3.1</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1.6</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203</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Osteoarthritis</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3</w:t>
            </w:r>
          </w:p>
        </w:tc>
        <w:tc>
          <w:tcPr>
            <w:tcW w:w="885" w:type="dxa"/>
            <w:tcBorders>
              <w:left w:val="nil"/>
              <w:bottom w:val="nil"/>
              <w:right w:val="nil"/>
            </w:tcBorders>
          </w:tcPr>
          <w:p w:rsidR="002408B7" w:rsidRPr="00186308" w:rsidRDefault="002408B7" w:rsidP="001801E9">
            <w:pPr>
              <w:spacing w:after="0" w:line="240" w:lineRule="auto"/>
              <w:jc w:val="right"/>
            </w:pPr>
            <w:r w:rsidRPr="00186308">
              <w:t>2.</w:t>
            </w:r>
            <w:r>
              <w:t>9</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4</w:t>
            </w:r>
          </w:p>
        </w:tc>
        <w:tc>
          <w:tcPr>
            <w:tcW w:w="931" w:type="dxa"/>
            <w:tcBorders>
              <w:left w:val="nil"/>
              <w:bottom w:val="nil"/>
              <w:right w:val="nil"/>
            </w:tcBorders>
          </w:tcPr>
          <w:p w:rsidR="002408B7" w:rsidRPr="00186308" w:rsidRDefault="002408B7" w:rsidP="001801E9">
            <w:pPr>
              <w:spacing w:after="0" w:line="240" w:lineRule="auto"/>
              <w:jc w:val="right"/>
            </w:pPr>
            <w:r w:rsidRPr="00186308">
              <w:t>2.</w:t>
            </w:r>
            <w:r>
              <w:t>7</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-7.9</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122</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Pneumonia (except that caused by tuberculosis and sexually transmitted diseases)</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4</w:t>
            </w:r>
          </w:p>
        </w:tc>
        <w:tc>
          <w:tcPr>
            <w:tcW w:w="885" w:type="dxa"/>
            <w:tcBorders>
              <w:left w:val="nil"/>
              <w:bottom w:val="nil"/>
              <w:right w:val="nil"/>
            </w:tcBorders>
          </w:tcPr>
          <w:p w:rsidR="002408B7" w:rsidRPr="00186308" w:rsidRDefault="002408B7" w:rsidP="001801E9">
            <w:pPr>
              <w:spacing w:after="0" w:line="240" w:lineRule="auto"/>
              <w:jc w:val="right"/>
            </w:pPr>
            <w:r w:rsidRPr="00186308">
              <w:t>2.</w:t>
            </w:r>
            <w:r>
              <w:t>8</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3</w:t>
            </w:r>
          </w:p>
        </w:tc>
        <w:tc>
          <w:tcPr>
            <w:tcW w:w="931" w:type="dxa"/>
            <w:tcBorders>
              <w:left w:val="nil"/>
              <w:bottom w:val="nil"/>
              <w:right w:val="nil"/>
            </w:tcBorders>
          </w:tcPr>
          <w:p w:rsidR="002408B7" w:rsidRPr="00186308" w:rsidRDefault="002408B7" w:rsidP="001801E9">
            <w:pPr>
              <w:spacing w:after="0" w:line="240" w:lineRule="auto"/>
              <w:jc w:val="right"/>
            </w:pPr>
            <w:r w:rsidRPr="00186308">
              <w:t>2.</w:t>
            </w:r>
            <w:r>
              <w:t>8</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-0.</w:t>
            </w:r>
            <w:r>
              <w:rPr>
                <w:rFonts w:ascii="Calibri" w:hAnsi="Calibri"/>
                <w:color w:val="000000"/>
              </w:rPr>
              <w:t>4</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108</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 xml:space="preserve">Congestive heart failure, </w:t>
            </w:r>
            <w:proofErr w:type="spellStart"/>
            <w:r w:rsidRPr="00186308">
              <w:t>nonhypertensive</w:t>
            </w:r>
            <w:proofErr w:type="spellEnd"/>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5</w:t>
            </w:r>
          </w:p>
        </w:tc>
        <w:tc>
          <w:tcPr>
            <w:tcW w:w="885" w:type="dxa"/>
            <w:tcBorders>
              <w:left w:val="nil"/>
              <w:bottom w:val="nil"/>
              <w:right w:val="nil"/>
            </w:tcBorders>
          </w:tcPr>
          <w:p w:rsidR="002408B7" w:rsidRPr="00186308" w:rsidRDefault="002408B7" w:rsidP="001801E9">
            <w:pPr>
              <w:spacing w:after="0" w:line="240" w:lineRule="auto"/>
              <w:jc w:val="right"/>
            </w:pPr>
            <w:r w:rsidRPr="00186308">
              <w:t>2.6</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5</w:t>
            </w:r>
          </w:p>
        </w:tc>
        <w:tc>
          <w:tcPr>
            <w:tcW w:w="931" w:type="dxa"/>
            <w:tcBorders>
              <w:left w:val="nil"/>
              <w:bottom w:val="nil"/>
              <w:right w:val="nil"/>
            </w:tcBorders>
          </w:tcPr>
          <w:p w:rsidR="002408B7" w:rsidRPr="00186308" w:rsidRDefault="002408B7" w:rsidP="001801E9">
            <w:pPr>
              <w:spacing w:after="0" w:line="240" w:lineRule="auto"/>
              <w:jc w:val="right"/>
            </w:pPr>
            <w:r w:rsidRPr="00186308">
              <w:t>2.4</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-9.</w:t>
            </w:r>
            <w:r>
              <w:rPr>
                <w:rFonts w:ascii="Calibri" w:hAnsi="Calibri"/>
                <w:color w:val="000000"/>
              </w:rPr>
              <w:t>6</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106</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Cardiac dysrhythmias</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6</w:t>
            </w:r>
          </w:p>
        </w:tc>
        <w:tc>
          <w:tcPr>
            <w:tcW w:w="885" w:type="dxa"/>
            <w:tcBorders>
              <w:left w:val="nil"/>
              <w:bottom w:val="nil"/>
              <w:right w:val="nil"/>
            </w:tcBorders>
          </w:tcPr>
          <w:p w:rsidR="002408B7" w:rsidRPr="00186308" w:rsidRDefault="002408B7" w:rsidP="001801E9">
            <w:pPr>
              <w:spacing w:after="0" w:line="240" w:lineRule="auto"/>
              <w:jc w:val="right"/>
            </w:pPr>
            <w:r w:rsidRPr="00186308">
              <w:t>2.</w:t>
            </w:r>
            <w:r>
              <w:t>4</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7</w:t>
            </w:r>
          </w:p>
        </w:tc>
        <w:tc>
          <w:tcPr>
            <w:tcW w:w="931" w:type="dxa"/>
            <w:tcBorders>
              <w:left w:val="nil"/>
              <w:bottom w:val="nil"/>
              <w:right w:val="nil"/>
            </w:tcBorders>
          </w:tcPr>
          <w:p w:rsidR="002408B7" w:rsidRPr="00186308" w:rsidRDefault="002408B7" w:rsidP="001801E9">
            <w:pPr>
              <w:spacing w:after="0" w:line="240" w:lineRule="auto"/>
              <w:jc w:val="right"/>
            </w:pPr>
            <w:r w:rsidRPr="00186308">
              <w:t>2.</w:t>
            </w:r>
            <w:r>
              <w:t>1</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-14.6</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r w:rsidRPr="00186308">
              <w:rPr>
                <w:rFonts w:eastAsia="Times New Roman" w:cs="Times New Roman"/>
                <w:bCs/>
                <w:color w:val="000000"/>
              </w:rPr>
              <w:t>†</w:t>
            </w: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657</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Mood disorders</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7</w:t>
            </w:r>
          </w:p>
        </w:tc>
        <w:tc>
          <w:tcPr>
            <w:tcW w:w="885" w:type="dxa"/>
            <w:tcBorders>
              <w:left w:val="nil"/>
              <w:bottom w:val="nil"/>
              <w:right w:val="nil"/>
            </w:tcBorders>
          </w:tcPr>
          <w:p w:rsidR="002408B7" w:rsidRPr="00186308" w:rsidRDefault="002408B7" w:rsidP="001801E9">
            <w:pPr>
              <w:spacing w:after="0" w:line="240" w:lineRule="auto"/>
              <w:jc w:val="right"/>
            </w:pPr>
            <w:r w:rsidRPr="00186308">
              <w:t>2.</w:t>
            </w:r>
            <w:r>
              <w:t>2</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6</w:t>
            </w:r>
          </w:p>
        </w:tc>
        <w:tc>
          <w:tcPr>
            <w:tcW w:w="931" w:type="dxa"/>
            <w:tcBorders>
              <w:left w:val="nil"/>
              <w:bottom w:val="nil"/>
              <w:right w:val="nil"/>
            </w:tcBorders>
          </w:tcPr>
          <w:p w:rsidR="002408B7" w:rsidRPr="00186308" w:rsidRDefault="002408B7" w:rsidP="001801E9">
            <w:pPr>
              <w:spacing w:after="0" w:line="240" w:lineRule="auto"/>
              <w:jc w:val="right"/>
            </w:pPr>
            <w:r w:rsidRPr="00186308">
              <w:t>2.3</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6.</w:t>
            </w:r>
            <w:r>
              <w:rPr>
                <w:rFonts w:ascii="Calibri" w:hAnsi="Calibri"/>
                <w:color w:val="000000"/>
              </w:rPr>
              <w:t>5</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100</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Acute myocardial infarction</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8</w:t>
            </w:r>
          </w:p>
        </w:tc>
        <w:tc>
          <w:tcPr>
            <w:tcW w:w="885" w:type="dxa"/>
            <w:tcBorders>
              <w:left w:val="nil"/>
              <w:bottom w:val="nil"/>
              <w:right w:val="nil"/>
            </w:tcBorders>
          </w:tcPr>
          <w:p w:rsidR="002408B7" w:rsidRPr="00186308" w:rsidRDefault="002408B7" w:rsidP="001801E9">
            <w:pPr>
              <w:spacing w:after="0" w:line="240" w:lineRule="auto"/>
              <w:jc w:val="right"/>
            </w:pPr>
            <w:r>
              <w:t>2</w:t>
            </w:r>
            <w:r w:rsidRPr="00186308">
              <w:t>.</w:t>
            </w:r>
            <w:r>
              <w:t>0</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13</w:t>
            </w:r>
          </w:p>
        </w:tc>
        <w:tc>
          <w:tcPr>
            <w:tcW w:w="931" w:type="dxa"/>
            <w:tcBorders>
              <w:left w:val="nil"/>
              <w:bottom w:val="nil"/>
              <w:right w:val="nil"/>
            </w:tcBorders>
          </w:tcPr>
          <w:p w:rsidR="002408B7" w:rsidRPr="00186308" w:rsidRDefault="002408B7" w:rsidP="001801E9">
            <w:pPr>
              <w:spacing w:after="0" w:line="240" w:lineRule="auto"/>
              <w:jc w:val="right"/>
            </w:pPr>
            <w:r w:rsidRPr="00186308">
              <w:t>1.7</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-16.</w:t>
            </w:r>
            <w:r>
              <w:rPr>
                <w:rFonts w:ascii="Calibri" w:hAnsi="Calibri"/>
                <w:color w:val="000000"/>
              </w:rPr>
              <w:t>8</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r w:rsidRPr="00186308">
              <w:rPr>
                <w:rFonts w:eastAsia="Times New Roman" w:cs="Times New Roman"/>
                <w:bCs/>
                <w:color w:val="000000"/>
              </w:rPr>
              <w:t>†</w:t>
            </w: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127</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Chronic obstructive pulmonary disease and bronchiectasis</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9</w:t>
            </w:r>
          </w:p>
        </w:tc>
        <w:tc>
          <w:tcPr>
            <w:tcW w:w="885" w:type="dxa"/>
            <w:tcBorders>
              <w:left w:val="nil"/>
              <w:bottom w:val="nil"/>
              <w:right w:val="nil"/>
            </w:tcBorders>
          </w:tcPr>
          <w:p w:rsidR="002408B7" w:rsidRPr="00186308" w:rsidRDefault="002408B7" w:rsidP="001801E9">
            <w:pPr>
              <w:spacing w:after="0" w:line="240" w:lineRule="auto"/>
              <w:jc w:val="right"/>
            </w:pPr>
            <w:r w:rsidRPr="00186308">
              <w:t>1.9</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8</w:t>
            </w:r>
          </w:p>
        </w:tc>
        <w:tc>
          <w:tcPr>
            <w:tcW w:w="931" w:type="dxa"/>
            <w:tcBorders>
              <w:left w:val="nil"/>
              <w:bottom w:val="nil"/>
              <w:right w:val="nil"/>
            </w:tcBorders>
          </w:tcPr>
          <w:p w:rsidR="002408B7" w:rsidRPr="00186308" w:rsidRDefault="002408B7" w:rsidP="001801E9">
            <w:pPr>
              <w:spacing w:after="0" w:line="240" w:lineRule="auto"/>
              <w:jc w:val="right"/>
            </w:pPr>
            <w:r w:rsidRPr="00186308">
              <w:t>1.8</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-5.4</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109</w:t>
            </w:r>
          </w:p>
        </w:tc>
        <w:tc>
          <w:tcPr>
            <w:tcW w:w="6255" w:type="dxa"/>
            <w:tcBorders>
              <w:left w:val="nil"/>
              <w:bottom w:val="nil"/>
              <w:right w:val="nil"/>
            </w:tcBorders>
          </w:tcPr>
          <w:p w:rsidR="002408B7" w:rsidRPr="00186308" w:rsidRDefault="002408B7" w:rsidP="001801E9">
            <w:pPr>
              <w:spacing w:after="0" w:line="240" w:lineRule="auto"/>
              <w:rPr>
                <w:rFonts w:ascii="Calibri" w:hAnsi="Calibri"/>
                <w:color w:val="000000"/>
              </w:rPr>
            </w:pPr>
            <w:r w:rsidRPr="00186308">
              <w:t>Acute cerebrovascular disease</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10</w:t>
            </w:r>
          </w:p>
        </w:tc>
        <w:tc>
          <w:tcPr>
            <w:tcW w:w="885" w:type="dxa"/>
            <w:tcBorders>
              <w:left w:val="nil"/>
              <w:bottom w:val="nil"/>
              <w:right w:val="nil"/>
            </w:tcBorders>
          </w:tcPr>
          <w:p w:rsidR="002408B7" w:rsidRPr="00186308" w:rsidRDefault="002408B7" w:rsidP="001801E9">
            <w:pPr>
              <w:spacing w:after="0" w:line="240" w:lineRule="auto"/>
              <w:jc w:val="right"/>
            </w:pPr>
            <w:r w:rsidRPr="00186308">
              <w:t>1.8</w:t>
            </w:r>
          </w:p>
        </w:tc>
        <w:tc>
          <w:tcPr>
            <w:tcW w:w="566" w:type="dxa"/>
            <w:tcBorders>
              <w:left w:val="nil"/>
              <w:bottom w:val="nil"/>
              <w:right w:val="nil"/>
            </w:tcBorders>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15</w:t>
            </w:r>
          </w:p>
        </w:tc>
        <w:tc>
          <w:tcPr>
            <w:tcW w:w="931" w:type="dxa"/>
            <w:tcBorders>
              <w:left w:val="nil"/>
              <w:bottom w:val="nil"/>
              <w:right w:val="nil"/>
            </w:tcBorders>
          </w:tcPr>
          <w:p w:rsidR="002408B7" w:rsidRPr="00186308" w:rsidRDefault="002408B7" w:rsidP="001801E9">
            <w:pPr>
              <w:spacing w:after="0" w:line="240" w:lineRule="auto"/>
              <w:jc w:val="right"/>
            </w:pPr>
            <w:r w:rsidRPr="00186308">
              <w:t>1.</w:t>
            </w:r>
            <w:r>
              <w:t>6</w:t>
            </w:r>
          </w:p>
        </w:tc>
        <w:tc>
          <w:tcPr>
            <w:tcW w:w="1390" w:type="dxa"/>
            <w:tcBorders>
              <w:left w:val="nil"/>
              <w:bottom w:val="nil"/>
              <w:right w:val="nil"/>
            </w:tcBorders>
          </w:tcPr>
          <w:p w:rsidR="002408B7" w:rsidRPr="00186308" w:rsidRDefault="002408B7" w:rsidP="001801E9">
            <w:pPr>
              <w:spacing w:after="0" w:line="240" w:lineRule="auto"/>
              <w:jc w:val="right"/>
            </w:pPr>
            <w:r w:rsidRPr="00186308">
              <w:rPr>
                <w:rFonts w:ascii="Calibri" w:hAnsi="Calibri"/>
                <w:color w:val="000000"/>
              </w:rPr>
              <w:t>-13.9</w:t>
            </w:r>
          </w:p>
        </w:tc>
        <w:tc>
          <w:tcPr>
            <w:tcW w:w="288" w:type="dxa"/>
            <w:tcBorders>
              <w:left w:val="nil"/>
              <w:bottom w:val="nil"/>
              <w:right w:val="nil"/>
            </w:tcBorders>
          </w:tcPr>
          <w:p w:rsidR="002408B7" w:rsidRPr="00186308" w:rsidRDefault="002408B7" w:rsidP="001801E9">
            <w:pPr>
              <w:spacing w:after="0" w:line="240" w:lineRule="auto"/>
              <w:jc w:val="center"/>
              <w:rPr>
                <w:rFonts w:ascii="Calibri" w:hAnsi="Calibri"/>
                <w:color w:val="000000"/>
              </w:rPr>
            </w:pPr>
            <w:r w:rsidRPr="00186308">
              <w:rPr>
                <w:rFonts w:eastAsia="Times New Roman" w:cs="Times New Roman"/>
                <w:bCs/>
                <w:color w:val="000000"/>
              </w:rPr>
              <w:t>†</w:t>
            </w:r>
          </w:p>
        </w:tc>
      </w:tr>
      <w:tr w:rsidR="002408B7" w:rsidRPr="00186308" w:rsidTr="001801E9">
        <w:trPr>
          <w:cantSplit/>
          <w:trHeight w:val="288"/>
        </w:trPr>
        <w:tc>
          <w:tcPr>
            <w:tcW w:w="585" w:type="dxa"/>
            <w:tcBorders>
              <w:left w:val="nil"/>
              <w:bottom w:val="nil"/>
              <w:right w:val="nil"/>
            </w:tcBorders>
            <w:shd w:val="clear" w:color="auto" w:fill="D9D9D9" w:themeFill="background1" w:themeFillShade="D9"/>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237</w:t>
            </w:r>
          </w:p>
        </w:tc>
        <w:tc>
          <w:tcPr>
            <w:tcW w:w="6255" w:type="dxa"/>
            <w:tcBorders>
              <w:left w:val="nil"/>
              <w:bottom w:val="nil"/>
              <w:right w:val="nil"/>
            </w:tcBorders>
            <w:shd w:val="clear" w:color="auto" w:fill="D9D9D9" w:themeFill="background1" w:themeFillShade="D9"/>
          </w:tcPr>
          <w:p w:rsidR="002408B7" w:rsidRPr="00186308" w:rsidRDefault="002408B7" w:rsidP="001801E9">
            <w:pPr>
              <w:spacing w:after="0" w:line="240" w:lineRule="auto"/>
            </w:pPr>
            <w:r w:rsidRPr="00186308">
              <w:t>Complication of device, implant or graft</w:t>
            </w:r>
          </w:p>
        </w:tc>
        <w:tc>
          <w:tcPr>
            <w:tcW w:w="566" w:type="dxa"/>
            <w:tcBorders>
              <w:left w:val="nil"/>
              <w:bottom w:val="nil"/>
              <w:right w:val="nil"/>
            </w:tcBorders>
            <w:shd w:val="clear" w:color="auto" w:fill="D9D9D9" w:themeFill="background1" w:themeFillShade="D9"/>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12</w:t>
            </w:r>
          </w:p>
        </w:tc>
        <w:tc>
          <w:tcPr>
            <w:tcW w:w="885"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t>1.</w:t>
            </w:r>
            <w:r>
              <w:t>8</w:t>
            </w:r>
          </w:p>
        </w:tc>
        <w:tc>
          <w:tcPr>
            <w:tcW w:w="566" w:type="dxa"/>
            <w:tcBorders>
              <w:left w:val="nil"/>
              <w:bottom w:val="nil"/>
              <w:right w:val="nil"/>
            </w:tcBorders>
            <w:shd w:val="clear" w:color="auto" w:fill="D9D9D9" w:themeFill="background1" w:themeFillShade="D9"/>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9</w:t>
            </w:r>
          </w:p>
        </w:tc>
        <w:tc>
          <w:tcPr>
            <w:tcW w:w="931"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t>1.</w:t>
            </w:r>
            <w:r>
              <w:t>8</w:t>
            </w:r>
          </w:p>
        </w:tc>
        <w:tc>
          <w:tcPr>
            <w:tcW w:w="1390"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rPr>
                <w:rFonts w:ascii="Calibri" w:hAnsi="Calibri"/>
                <w:color w:val="000000"/>
              </w:rPr>
              <w:t>-0.</w:t>
            </w:r>
            <w:r>
              <w:rPr>
                <w:rFonts w:ascii="Calibri" w:hAnsi="Calibri"/>
                <w:color w:val="000000"/>
              </w:rPr>
              <w:t>6</w:t>
            </w:r>
          </w:p>
        </w:tc>
        <w:tc>
          <w:tcPr>
            <w:tcW w:w="288"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center"/>
              <w:rPr>
                <w:rFonts w:ascii="Calibri" w:hAnsi="Calibri"/>
                <w:color w:val="000000"/>
              </w:rPr>
            </w:pPr>
          </w:p>
        </w:tc>
      </w:tr>
      <w:tr w:rsidR="002408B7" w:rsidRPr="00186308" w:rsidTr="001801E9">
        <w:trPr>
          <w:cantSplit/>
          <w:trHeight w:val="288"/>
        </w:trPr>
        <w:tc>
          <w:tcPr>
            <w:tcW w:w="585" w:type="dxa"/>
            <w:tcBorders>
              <w:left w:val="nil"/>
              <w:bottom w:val="nil"/>
              <w:right w:val="nil"/>
            </w:tcBorders>
            <w:shd w:val="clear" w:color="auto" w:fill="D9D9D9" w:themeFill="background1" w:themeFillShade="D9"/>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t>195</w:t>
            </w:r>
          </w:p>
        </w:tc>
        <w:tc>
          <w:tcPr>
            <w:tcW w:w="6255" w:type="dxa"/>
            <w:tcBorders>
              <w:left w:val="nil"/>
              <w:bottom w:val="nil"/>
              <w:right w:val="nil"/>
            </w:tcBorders>
            <w:shd w:val="clear" w:color="auto" w:fill="D9D9D9" w:themeFill="background1" w:themeFillShade="D9"/>
          </w:tcPr>
          <w:p w:rsidR="002408B7" w:rsidRPr="00186308" w:rsidRDefault="002408B7" w:rsidP="001801E9">
            <w:pPr>
              <w:spacing w:after="0" w:line="240" w:lineRule="auto"/>
            </w:pPr>
            <w:r w:rsidRPr="00186308">
              <w:t>Other complications of birth, puerperium affecting management of the mother</w:t>
            </w:r>
          </w:p>
        </w:tc>
        <w:tc>
          <w:tcPr>
            <w:tcW w:w="566" w:type="dxa"/>
            <w:tcBorders>
              <w:left w:val="nil"/>
              <w:bottom w:val="nil"/>
              <w:right w:val="nil"/>
            </w:tcBorders>
            <w:shd w:val="clear" w:color="auto" w:fill="D9D9D9" w:themeFill="background1" w:themeFillShade="D9"/>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19</w:t>
            </w:r>
          </w:p>
        </w:tc>
        <w:tc>
          <w:tcPr>
            <w:tcW w:w="885"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t>1.5</w:t>
            </w:r>
          </w:p>
        </w:tc>
        <w:tc>
          <w:tcPr>
            <w:tcW w:w="566" w:type="dxa"/>
            <w:tcBorders>
              <w:left w:val="nil"/>
              <w:bottom w:val="nil"/>
              <w:right w:val="nil"/>
            </w:tcBorders>
            <w:shd w:val="clear" w:color="auto" w:fill="D9D9D9" w:themeFill="background1" w:themeFillShade="D9"/>
            <w:tcMar>
              <w:top w:w="14" w:type="dxa"/>
              <w:left w:w="14" w:type="dxa"/>
              <w:bottom w:w="14" w:type="dxa"/>
              <w:right w:w="14" w:type="dxa"/>
            </w:tcMar>
          </w:tcPr>
          <w:p w:rsidR="002408B7" w:rsidRPr="00186308" w:rsidRDefault="002408B7" w:rsidP="001801E9">
            <w:pPr>
              <w:spacing w:after="0" w:line="240" w:lineRule="auto"/>
              <w:jc w:val="center"/>
              <w:rPr>
                <w:rFonts w:cs="Courier New"/>
              </w:rPr>
            </w:pPr>
            <w:r w:rsidRPr="00186308">
              <w:t>10</w:t>
            </w:r>
          </w:p>
        </w:tc>
        <w:tc>
          <w:tcPr>
            <w:tcW w:w="931"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t>1.7</w:t>
            </w:r>
          </w:p>
        </w:tc>
        <w:tc>
          <w:tcPr>
            <w:tcW w:w="1390"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right"/>
            </w:pPr>
            <w:r w:rsidRPr="00186308">
              <w:rPr>
                <w:rFonts w:ascii="Calibri" w:hAnsi="Calibri"/>
                <w:color w:val="000000"/>
              </w:rPr>
              <w:t>12.6</w:t>
            </w:r>
          </w:p>
        </w:tc>
        <w:tc>
          <w:tcPr>
            <w:tcW w:w="288" w:type="dxa"/>
            <w:tcBorders>
              <w:left w:val="nil"/>
              <w:bottom w:val="nil"/>
              <w:right w:val="nil"/>
            </w:tcBorders>
            <w:shd w:val="clear" w:color="auto" w:fill="D9D9D9" w:themeFill="background1" w:themeFillShade="D9"/>
          </w:tcPr>
          <w:p w:rsidR="002408B7" w:rsidRPr="00186308" w:rsidRDefault="002408B7" w:rsidP="001801E9">
            <w:pPr>
              <w:spacing w:after="0" w:line="240" w:lineRule="auto"/>
              <w:jc w:val="center"/>
              <w:rPr>
                <w:rFonts w:ascii="Calibri" w:hAnsi="Calibri"/>
                <w:color w:val="000000"/>
              </w:rPr>
            </w:pPr>
            <w:r w:rsidRPr="00186308">
              <w:rPr>
                <w:rFonts w:eastAsia="Times New Roman" w:cs="Times New Roman"/>
                <w:bCs/>
                <w:color w:val="000000"/>
              </w:rPr>
              <w:t>†</w:t>
            </w:r>
          </w:p>
        </w:tc>
      </w:tr>
      <w:tr w:rsidR="002408B7" w:rsidRPr="00186308" w:rsidTr="001801E9">
        <w:trPr>
          <w:cantSplit/>
          <w:trHeight w:val="288"/>
        </w:trPr>
        <w:tc>
          <w:tcPr>
            <w:tcW w:w="11466" w:type="dxa"/>
            <w:gridSpan w:val="8"/>
            <w:tcBorders>
              <w:top w:val="single" w:sz="4" w:space="0" w:color="auto"/>
              <w:left w:val="nil"/>
              <w:bottom w:val="single" w:sz="4" w:space="0" w:color="auto"/>
              <w:right w:val="nil"/>
            </w:tcBorders>
          </w:tcPr>
          <w:p w:rsidR="002408B7" w:rsidRPr="00186308" w:rsidRDefault="002408B7" w:rsidP="001801E9">
            <w:pPr>
              <w:spacing w:after="0" w:line="240" w:lineRule="auto"/>
              <w:rPr>
                <w:rFonts w:cs="Courier New"/>
                <w:iCs/>
              </w:rPr>
            </w:pPr>
            <w:r w:rsidRPr="00186308">
              <w:rPr>
                <w:rFonts w:cs="Courier New"/>
                <w:iCs/>
              </w:rPr>
              <w:t xml:space="preserve">Abbreviations: CCS, Clinical Classifications Software; HCUP, Hospital Cost and Utilization Project; HDD, </w:t>
            </w:r>
            <w:proofErr w:type="spellStart"/>
            <w:r w:rsidRPr="00186308">
              <w:rPr>
                <w:rFonts w:cs="Courier New"/>
                <w:iCs/>
              </w:rPr>
              <w:t>MarketScan</w:t>
            </w:r>
            <w:proofErr w:type="spellEnd"/>
            <w:r w:rsidRPr="00186308">
              <w:t>®</w:t>
            </w:r>
            <w:r w:rsidRPr="00186308">
              <w:rPr>
                <w:rFonts w:cs="Courier New"/>
                <w:iCs/>
              </w:rPr>
              <w:t xml:space="preserve"> Hospital Drug Database</w:t>
            </w:r>
            <w:r>
              <w:rPr>
                <w:rFonts w:cs="Courier New"/>
                <w:iCs/>
              </w:rPr>
              <w:t xml:space="preserve">; </w:t>
            </w:r>
            <w:r w:rsidRPr="00186308">
              <w:rPr>
                <w:rFonts w:cs="Courier New"/>
                <w:iCs/>
              </w:rPr>
              <w:t xml:space="preserve">ICD-9-CM, International Classification of Diseases, version 9, Clinical Modification; </w:t>
            </w:r>
            <w:r>
              <w:rPr>
                <w:rFonts w:cs="Courier New"/>
                <w:iCs/>
              </w:rPr>
              <w:t>NIS, National Inpatient Sample</w:t>
            </w:r>
            <w:r w:rsidRPr="00186308">
              <w:rPr>
                <w:rFonts w:cs="Courier New"/>
                <w:iCs/>
              </w:rPr>
              <w:t>.</w:t>
            </w:r>
          </w:p>
          <w:p w:rsidR="002408B7" w:rsidRPr="00186308" w:rsidRDefault="002408B7" w:rsidP="001801E9">
            <w:pPr>
              <w:spacing w:after="0" w:line="240" w:lineRule="auto"/>
              <w:rPr>
                <w:rFonts w:cs="Courier New"/>
                <w:iCs/>
              </w:rPr>
            </w:pPr>
          </w:p>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bCs/>
                <w:color w:val="000000"/>
              </w:rPr>
              <w:t>*</w:t>
            </w:r>
            <w:r>
              <w:rPr>
                <w:rFonts w:eastAsia="Times New Roman" w:cs="Times New Roman"/>
                <w:bCs/>
                <w:color w:val="000000"/>
              </w:rPr>
              <w:t xml:space="preserve"> </w:t>
            </w:r>
            <w:r w:rsidRPr="00186308">
              <w:rPr>
                <w:rFonts w:eastAsia="Times New Roman" w:cs="Times New Roman"/>
                <w:bCs/>
                <w:color w:val="000000"/>
              </w:rPr>
              <w:t>Percent (%) difference</w:t>
            </w:r>
            <w:proofErr w:type="gramStart"/>
            <w:r w:rsidRPr="00186308">
              <w:rPr>
                <w:rFonts w:eastAsia="Times New Roman" w:cs="Times New Roman"/>
                <w:bCs/>
                <w:color w:val="000000"/>
              </w:rPr>
              <w:t>=(</w:t>
            </w:r>
            <w:proofErr w:type="gramEnd"/>
            <w:r w:rsidRPr="00186308">
              <w:rPr>
                <w:rFonts w:eastAsia="Times New Roman" w:cs="Times New Roman"/>
                <w:color w:val="000000"/>
              </w:rPr>
              <w:t>1-(HDD/NIS))*100.</w:t>
            </w:r>
          </w:p>
          <w:p w:rsidR="002408B7" w:rsidRPr="00186308" w:rsidRDefault="002408B7" w:rsidP="001801E9">
            <w:pPr>
              <w:spacing w:after="0" w:line="240" w:lineRule="auto"/>
              <w:rPr>
                <w:rFonts w:eastAsia="Times New Roman" w:cs="Times New Roman"/>
                <w:color w:val="000000"/>
              </w:rPr>
            </w:pPr>
            <w:r w:rsidRPr="00186308">
              <w:rPr>
                <w:rFonts w:eastAsia="Times New Roman" w:cs="Times New Roman"/>
                <w:bCs/>
                <w:color w:val="000000"/>
              </w:rPr>
              <w:t>†</w:t>
            </w:r>
            <w:r>
              <w:rPr>
                <w:rFonts w:eastAsia="Times New Roman" w:cs="Times New Roman"/>
                <w:bCs/>
                <w:color w:val="000000"/>
              </w:rPr>
              <w:t xml:space="preserve"> </w:t>
            </w:r>
            <w:r w:rsidRPr="00186308">
              <w:rPr>
                <w:rFonts w:eastAsia="Times New Roman" w:cs="Times New Roman"/>
                <w:color w:val="000000"/>
              </w:rPr>
              <w:t>Greater than 10% difference</w:t>
            </w:r>
            <w:r>
              <w:rPr>
                <w:rFonts w:eastAsia="Times New Roman" w:cs="Times New Roman"/>
                <w:color w:val="000000"/>
              </w:rPr>
              <w:t xml:space="preserve"> in prevalence between HDD and NIS samples</w:t>
            </w:r>
            <w:r w:rsidRPr="00186308">
              <w:rPr>
                <w:rFonts w:eastAsia="Times New Roman" w:cs="Times New Roman"/>
                <w:color w:val="000000"/>
              </w:rPr>
              <w:t>.</w:t>
            </w:r>
          </w:p>
          <w:p w:rsidR="002408B7" w:rsidRPr="00186308" w:rsidRDefault="002408B7" w:rsidP="001801E9">
            <w:pPr>
              <w:spacing w:after="0" w:line="240" w:lineRule="auto"/>
              <w:rPr>
                <w:rFonts w:cs="Courier New"/>
                <w:iCs/>
              </w:rPr>
            </w:pPr>
            <w:r w:rsidRPr="00186308">
              <w:rPr>
                <w:rFonts w:cs="Courier New"/>
              </w:rPr>
              <w:t>‡</w:t>
            </w:r>
            <w:r>
              <w:rPr>
                <w:rFonts w:cs="Courier New"/>
              </w:rPr>
              <w:t xml:space="preserve"> </w:t>
            </w:r>
            <w:r w:rsidRPr="00186308">
              <w:rPr>
                <w:rFonts w:cs="Courier New"/>
                <w:iCs/>
              </w:rPr>
              <w:t>Reference: HCUP CCS. Healthcare Cost and Utilization Project (HCUP). June 2015. Agency for Healthcare Research and Quality, Rockville, MD. www.hcup-us.ahrq.gov/toolssoftware/ccs/ccs.jsp.</w:t>
            </w:r>
          </w:p>
        </w:tc>
      </w:tr>
    </w:tbl>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pPr>
    </w:p>
    <w:p w:rsidR="002408B7" w:rsidRDefault="002408B7" w:rsidP="002408B7">
      <w:pPr>
        <w:spacing w:after="0" w:line="240" w:lineRule="auto"/>
        <w:rPr>
          <w:rFonts w:cs="Courier New"/>
        </w:rPr>
        <w:sectPr w:rsidR="002408B7" w:rsidSect="00FD4EB6">
          <w:pgSz w:w="15840" w:h="12240" w:orient="landscape"/>
          <w:pgMar w:top="1440" w:right="1440" w:bottom="1440" w:left="1440" w:header="720" w:footer="720" w:gutter="0"/>
          <w:cols w:space="720"/>
          <w:docGrid w:linePitch="360"/>
        </w:sectPr>
      </w:pPr>
    </w:p>
    <w:p w:rsidR="002408B7" w:rsidRPr="00186308" w:rsidRDefault="002408B7" w:rsidP="002408B7">
      <w:pPr>
        <w:spacing w:after="0" w:line="240" w:lineRule="auto"/>
        <w:outlineLvl w:val="0"/>
        <w:rPr>
          <w:rFonts w:cs="Courier New"/>
          <w:b/>
        </w:rPr>
      </w:pPr>
      <w:r w:rsidRPr="00186308">
        <w:rPr>
          <w:rFonts w:cs="Courier New"/>
          <w:b/>
        </w:rPr>
        <w:lastRenderedPageBreak/>
        <w:t xml:space="preserve">Supplemental Table </w:t>
      </w:r>
      <w:r>
        <w:rPr>
          <w:rFonts w:cs="Courier New"/>
          <w:b/>
        </w:rPr>
        <w:t>3</w:t>
      </w:r>
      <w:r w:rsidRPr="00186308">
        <w:rPr>
          <w:rFonts w:cs="Courier New"/>
          <w:b/>
        </w:rPr>
        <w:t>. List of search terms used to identify potential probiotic products.</w:t>
      </w:r>
    </w:p>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sectPr w:rsidR="002408B7" w:rsidRPr="00186308" w:rsidSect="00FD4EB6">
          <w:pgSz w:w="15840" w:h="12240" w:orient="landscape"/>
          <w:pgMar w:top="1440" w:right="1440" w:bottom="1440" w:left="1440" w:header="720" w:footer="720" w:gutter="0"/>
          <w:cols w:space="720"/>
          <w:docGrid w:linePitch="360"/>
        </w:sectPr>
      </w:pPr>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lastRenderedPageBreak/>
        <w:t>acidilactici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acidoph</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acidophilus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adolescentis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alactus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amylovorus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animalis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bacillus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bifidobacterium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bifidum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boulardii</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breve</w:t>
      </w:r>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brevis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buchneri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bulgar</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bulgaricus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butyricum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caseii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caucasicus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cereus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ceti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cibaria</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clausii</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clostridium</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coagulans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coli</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confusa</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coryniformis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cremoris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crispatus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delbrueckii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diacetylactis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lastRenderedPageBreak/>
        <w:t>durans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e*</w:t>
      </w:r>
      <w:proofErr w:type="gramEnd"/>
      <w:r w:rsidRPr="00186308">
        <w:rPr>
          <w:rFonts w:cs="Courier New"/>
        </w:rPr>
        <w:t>coli</w:t>
      </w:r>
    </w:p>
    <w:p w:rsidR="002408B7" w:rsidRPr="00186308" w:rsidRDefault="002408B7" w:rsidP="002408B7">
      <w:pPr>
        <w:spacing w:after="0" w:line="240" w:lineRule="auto"/>
        <w:contextualSpacing/>
        <w:rPr>
          <w:rFonts w:cs="Courier New"/>
        </w:rPr>
      </w:pPr>
      <w:proofErr w:type="gramStart"/>
      <w:r w:rsidRPr="00186308">
        <w:rPr>
          <w:rFonts w:cs="Courier New"/>
        </w:rPr>
        <w:t>enterococcus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escherichia</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faecalis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faecium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fermenti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fermentum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florentinus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freudenreichii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gallinarum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gasseri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helveticus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infantis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inulinus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jagurti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johnsonii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lactis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lactobacillus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lactococcus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leichmannii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leuconostoc</w:t>
      </w:r>
      <w:proofErr w:type="spellEnd"/>
      <w:proofErr w:type="gramEnd"/>
    </w:p>
    <w:p w:rsidR="002408B7" w:rsidRPr="00186308" w:rsidRDefault="002408B7" w:rsidP="002408B7">
      <w:pPr>
        <w:spacing w:after="0" w:line="240" w:lineRule="auto"/>
        <w:contextualSpacing/>
        <w:rPr>
          <w:rFonts w:cs="Courier New"/>
        </w:rPr>
      </w:pPr>
      <w:r w:rsidRPr="00186308">
        <w:rPr>
          <w:rFonts w:cs="Courier New"/>
        </w:rPr>
        <w:t>LGG</w:t>
      </w:r>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licheniformis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longum</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mesentericus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mesenteroides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mitis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monascus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nissle</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oligonitrophilus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oralis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lastRenderedPageBreak/>
        <w:t>paracasei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pediococcus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pentosaceus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plantarum</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probiotic</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propionibacterium</w:t>
      </w:r>
      <w:proofErr w:type="spellEnd"/>
      <w:proofErr w:type="gramEnd"/>
    </w:p>
    <w:p w:rsidR="002408B7" w:rsidRPr="00186308" w:rsidRDefault="002408B7" w:rsidP="002408B7">
      <w:pPr>
        <w:spacing w:after="0" w:line="240" w:lineRule="auto"/>
        <w:contextualSpacing/>
        <w:rPr>
          <w:rFonts w:cs="Courier New"/>
        </w:rPr>
      </w:pPr>
      <w:proofErr w:type="spellStart"/>
      <w:r w:rsidRPr="00186308">
        <w:rPr>
          <w:rFonts w:cs="Courier New"/>
        </w:rPr>
        <w:t>Protectis</w:t>
      </w:r>
      <w:proofErr w:type="spell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purpureus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rattus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reuteri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rhamnosus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saccharomyces</w:t>
      </w:r>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saliva</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salivarius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sanguis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shermanii</w:t>
      </w:r>
      <w:proofErr w:type="spellEnd"/>
      <w:proofErr w:type="gramEnd"/>
    </w:p>
    <w:p w:rsidR="002408B7" w:rsidRPr="00186308" w:rsidRDefault="002408B7" w:rsidP="002408B7">
      <w:pPr>
        <w:spacing w:after="0" w:line="240" w:lineRule="auto"/>
        <w:contextualSpacing/>
        <w:rPr>
          <w:rFonts w:cs="Courier New"/>
        </w:rPr>
      </w:pPr>
      <w:r w:rsidRPr="00186308">
        <w:rPr>
          <w:rFonts w:cs="Courier New"/>
        </w:rPr>
        <w:t>Shirota</w:t>
      </w:r>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sporogenes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sporolactobacillus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stearothermophilus</w:t>
      </w:r>
      <w:proofErr w:type="spellEnd"/>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streptococci</w:t>
      </w:r>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streptococcus</w:t>
      </w:r>
      <w:proofErr w:type="gramEnd"/>
    </w:p>
    <w:p w:rsidR="002408B7" w:rsidRPr="00186308" w:rsidRDefault="002408B7" w:rsidP="002408B7">
      <w:pPr>
        <w:spacing w:after="0" w:line="240" w:lineRule="auto"/>
        <w:contextualSpacing/>
        <w:rPr>
          <w:rFonts w:cs="Courier New"/>
        </w:rPr>
      </w:pPr>
      <w:proofErr w:type="gramStart"/>
      <w:r w:rsidRPr="00186308">
        <w:rPr>
          <w:rFonts w:cs="Courier New"/>
        </w:rPr>
        <w:t>subtilis</w:t>
      </w:r>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synbiotic</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thermophilus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toyoi</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uberis</w:t>
      </w:r>
      <w:proofErr w:type="spellEnd"/>
      <w:proofErr w:type="gramEnd"/>
    </w:p>
    <w:p w:rsidR="002408B7" w:rsidRPr="00186308" w:rsidRDefault="002408B7" w:rsidP="002408B7">
      <w:pPr>
        <w:spacing w:after="0" w:line="240" w:lineRule="auto"/>
        <w:contextualSpacing/>
        <w:rPr>
          <w:rFonts w:cs="Courier New"/>
        </w:rPr>
      </w:pPr>
      <w:proofErr w:type="spellStart"/>
      <w:proofErr w:type="gramStart"/>
      <w:r w:rsidRPr="00186308">
        <w:rPr>
          <w:rFonts w:cs="Courier New"/>
        </w:rPr>
        <w:t>weisella</w:t>
      </w:r>
      <w:proofErr w:type="spellEnd"/>
      <w:proofErr w:type="gramEnd"/>
    </w:p>
    <w:p w:rsidR="002408B7" w:rsidRPr="00186308" w:rsidRDefault="002408B7" w:rsidP="002408B7">
      <w:pPr>
        <w:spacing w:after="0" w:line="240" w:lineRule="auto"/>
        <w:contextualSpacing/>
        <w:rPr>
          <w:rFonts w:cs="Courier New"/>
        </w:rPr>
      </w:pPr>
      <w:r w:rsidRPr="00186308">
        <w:rPr>
          <w:rFonts w:cs="Courier New"/>
        </w:rPr>
        <w:t>Yakult</w:t>
      </w:r>
    </w:p>
    <w:p w:rsidR="002408B7" w:rsidRPr="00186308" w:rsidRDefault="002408B7" w:rsidP="002408B7">
      <w:pPr>
        <w:spacing w:after="0" w:line="240" w:lineRule="auto"/>
        <w:contextualSpacing/>
        <w:rPr>
          <w:rFonts w:cs="Courier New"/>
        </w:rPr>
        <w:sectPr w:rsidR="002408B7" w:rsidRPr="00186308" w:rsidSect="005D78B3">
          <w:type w:val="continuous"/>
          <w:pgSz w:w="15840" w:h="12240" w:orient="landscape"/>
          <w:pgMar w:top="1440" w:right="1440" w:bottom="1440" w:left="1440" w:header="720" w:footer="720" w:gutter="0"/>
          <w:cols w:num="3" w:space="720"/>
          <w:docGrid w:linePitch="360"/>
        </w:sectPr>
      </w:pPr>
      <w:proofErr w:type="gramStart"/>
      <w:r w:rsidRPr="00186308">
        <w:rPr>
          <w:rFonts w:cs="Courier New"/>
        </w:rPr>
        <w:t>yogurt</w:t>
      </w:r>
      <w:proofErr w:type="gramEnd"/>
    </w:p>
    <w:p w:rsidR="002408B7" w:rsidRPr="00186308" w:rsidRDefault="002408B7" w:rsidP="002408B7">
      <w:pPr>
        <w:spacing w:after="0" w:line="240" w:lineRule="auto"/>
        <w:rPr>
          <w:rFonts w:cs="Courier New"/>
        </w:rPr>
        <w:sectPr w:rsidR="002408B7" w:rsidRPr="00186308" w:rsidSect="005D78B3">
          <w:type w:val="continuous"/>
          <w:pgSz w:w="15840" w:h="12240" w:orient="landscape"/>
          <w:pgMar w:top="1440" w:right="1440" w:bottom="1440" w:left="1440" w:header="720" w:footer="720" w:gutter="0"/>
          <w:cols w:space="720"/>
          <w:docGrid w:linePitch="360"/>
        </w:sectPr>
      </w:pPr>
    </w:p>
    <w:p w:rsidR="002408B7" w:rsidRPr="00186308" w:rsidRDefault="002408B7" w:rsidP="002408B7">
      <w:pPr>
        <w:spacing w:after="0" w:line="240" w:lineRule="auto"/>
        <w:outlineLvl w:val="0"/>
        <w:rPr>
          <w:rFonts w:cs="Courier New"/>
          <w:b/>
        </w:rPr>
      </w:pPr>
      <w:r w:rsidRPr="00186308">
        <w:rPr>
          <w:rFonts w:cs="Courier New"/>
          <w:b/>
        </w:rPr>
        <w:lastRenderedPageBreak/>
        <w:t xml:space="preserve">Supplemental Table </w:t>
      </w:r>
      <w:r>
        <w:rPr>
          <w:rFonts w:cs="Courier New"/>
          <w:b/>
        </w:rPr>
        <w:t>4</w:t>
      </w:r>
      <w:r w:rsidRPr="00186308">
        <w:rPr>
          <w:rFonts w:cs="Courier New"/>
          <w:b/>
        </w:rPr>
        <w:t xml:space="preserve">. Examples of </w:t>
      </w:r>
      <w:r>
        <w:rPr>
          <w:rFonts w:cs="Courier New"/>
          <w:b/>
        </w:rPr>
        <w:t>search terms matching to non-</w:t>
      </w:r>
      <w:r w:rsidRPr="00186308">
        <w:rPr>
          <w:rFonts w:cs="Courier New"/>
          <w:b/>
        </w:rPr>
        <w:t>probiotic products</w:t>
      </w:r>
      <w:r w:rsidRPr="009375E0">
        <w:rPr>
          <w:rFonts w:cs="Courier New"/>
          <w:b/>
        </w:rPr>
        <w:t xml:space="preserve">, </w:t>
      </w:r>
      <w:proofErr w:type="spellStart"/>
      <w:r w:rsidRPr="009375E0">
        <w:rPr>
          <w:b/>
        </w:rPr>
        <w:t>Truven</w:t>
      </w:r>
      <w:proofErr w:type="spellEnd"/>
      <w:r w:rsidRPr="009375E0">
        <w:rPr>
          <w:b/>
        </w:rPr>
        <w:t xml:space="preserve"> Health </w:t>
      </w:r>
      <w:proofErr w:type="spellStart"/>
      <w:r w:rsidRPr="009375E0">
        <w:rPr>
          <w:b/>
        </w:rPr>
        <w:t>MarketScan</w:t>
      </w:r>
      <w:proofErr w:type="spellEnd"/>
      <w:r w:rsidRPr="009375E0">
        <w:rPr>
          <w:b/>
        </w:rPr>
        <w:t>® Hospital Drug Database Drug Reference Tables, 2006-2012</w:t>
      </w:r>
      <w:r w:rsidRPr="009375E0">
        <w:rPr>
          <w:rFonts w:cs="Courier New"/>
          <w:b/>
        </w:rPr>
        <w:t>.</w:t>
      </w:r>
    </w:p>
    <w:p w:rsidR="002408B7" w:rsidRPr="00186308" w:rsidRDefault="002408B7" w:rsidP="002408B7">
      <w:pPr>
        <w:spacing w:after="0" w:line="240" w:lineRule="auto"/>
        <w:rPr>
          <w:rFonts w:cs="Courier New"/>
        </w:rPr>
      </w:pPr>
    </w:p>
    <w:tbl>
      <w:tblPr>
        <w:tblStyle w:val="TableGrid"/>
        <w:tblW w:w="12897" w:type="dxa"/>
        <w:tblLook w:val="04A0" w:firstRow="1" w:lastRow="0" w:firstColumn="1" w:lastColumn="0" w:noHBand="0" w:noVBand="1"/>
      </w:tblPr>
      <w:tblGrid>
        <w:gridCol w:w="2660"/>
        <w:gridCol w:w="2543"/>
        <w:gridCol w:w="7694"/>
      </w:tblGrid>
      <w:tr w:rsidR="002408B7" w:rsidRPr="00186308" w:rsidTr="001801E9">
        <w:tc>
          <w:tcPr>
            <w:tcW w:w="2660" w:type="dxa"/>
          </w:tcPr>
          <w:p w:rsidR="002408B7" w:rsidRPr="00186308" w:rsidRDefault="002408B7" w:rsidP="002408B7">
            <w:pPr>
              <w:spacing w:after="0" w:line="240" w:lineRule="auto"/>
              <w:rPr>
                <w:rFonts w:cs="Courier New"/>
                <w:b/>
              </w:rPr>
            </w:pPr>
            <w:r w:rsidRPr="00186308">
              <w:rPr>
                <w:rFonts w:cs="Courier New"/>
                <w:b/>
              </w:rPr>
              <w:t>Search term</w:t>
            </w:r>
          </w:p>
        </w:tc>
        <w:tc>
          <w:tcPr>
            <w:tcW w:w="2543" w:type="dxa"/>
          </w:tcPr>
          <w:p w:rsidR="002408B7" w:rsidRPr="00186308" w:rsidRDefault="002408B7" w:rsidP="002408B7">
            <w:pPr>
              <w:spacing w:after="0" w:line="240" w:lineRule="auto"/>
              <w:rPr>
                <w:rFonts w:cs="Courier New"/>
                <w:b/>
              </w:rPr>
            </w:pPr>
            <w:proofErr w:type="spellStart"/>
            <w:r w:rsidRPr="00186308">
              <w:rPr>
                <w:rFonts w:cs="Courier New"/>
                <w:b/>
              </w:rPr>
              <w:t>PRXmatch</w:t>
            </w:r>
            <w:proofErr w:type="spellEnd"/>
            <w:r w:rsidRPr="00186308">
              <w:rPr>
                <w:rFonts w:cs="Courier New"/>
                <w:b/>
              </w:rPr>
              <w:t xml:space="preserve"> search term</w:t>
            </w:r>
          </w:p>
        </w:tc>
        <w:tc>
          <w:tcPr>
            <w:tcW w:w="7694" w:type="dxa"/>
          </w:tcPr>
          <w:p w:rsidR="002408B7" w:rsidRPr="00186308" w:rsidRDefault="002408B7" w:rsidP="002408B7">
            <w:pPr>
              <w:spacing w:after="0" w:line="240" w:lineRule="auto"/>
              <w:rPr>
                <w:rFonts w:cs="Courier New"/>
                <w:b/>
              </w:rPr>
            </w:pPr>
            <w:r w:rsidRPr="00186308">
              <w:rPr>
                <w:rFonts w:cs="Courier New"/>
                <w:b/>
              </w:rPr>
              <w:t xml:space="preserve">Example description </w:t>
            </w:r>
            <w:r w:rsidRPr="00702B3F">
              <w:rPr>
                <w:rFonts w:cs="Courier New"/>
                <w:b/>
              </w:rPr>
              <w:t xml:space="preserve">from HDD drug </w:t>
            </w:r>
            <w:r w:rsidRPr="00702B3F">
              <w:rPr>
                <w:b/>
                <w:lang w:val="en"/>
              </w:rPr>
              <w:t xml:space="preserve">reference </w:t>
            </w:r>
            <w:r w:rsidRPr="00702B3F">
              <w:rPr>
                <w:rFonts w:cs="Courier New"/>
                <w:b/>
              </w:rPr>
              <w:t>tables</w:t>
            </w:r>
          </w:p>
        </w:tc>
      </w:tr>
      <w:tr w:rsidR="002408B7" w:rsidRPr="00186308" w:rsidTr="001801E9">
        <w:tc>
          <w:tcPr>
            <w:tcW w:w="2660" w:type="dxa"/>
          </w:tcPr>
          <w:p w:rsidR="002408B7" w:rsidRPr="00186308" w:rsidRDefault="002408B7" w:rsidP="002408B7">
            <w:pPr>
              <w:spacing w:after="0" w:line="240" w:lineRule="auto"/>
              <w:contextualSpacing/>
              <w:rPr>
                <w:rFonts w:cs="Courier New"/>
              </w:rPr>
            </w:pPr>
            <w:r w:rsidRPr="00186308">
              <w:rPr>
                <w:rFonts w:cs="Courier New"/>
              </w:rPr>
              <w:t xml:space="preserve">saliva (short for </w:t>
            </w:r>
            <w:proofErr w:type="spellStart"/>
            <w:r w:rsidRPr="00186308">
              <w:rPr>
                <w:rFonts w:cs="Courier New"/>
              </w:rPr>
              <w:t>salivarius</w:t>
            </w:r>
            <w:proofErr w:type="spellEnd"/>
            <w:r w:rsidRPr="00186308">
              <w:rPr>
                <w:rFonts w:cs="Courier New"/>
              </w:rPr>
              <w:t>)</w:t>
            </w:r>
          </w:p>
        </w:tc>
        <w:tc>
          <w:tcPr>
            <w:tcW w:w="2543" w:type="dxa"/>
          </w:tcPr>
          <w:p w:rsidR="002408B7" w:rsidRPr="00186308" w:rsidRDefault="002408B7" w:rsidP="002408B7">
            <w:pPr>
              <w:spacing w:after="0" w:line="240" w:lineRule="auto"/>
              <w:rPr>
                <w:rFonts w:cs="Courier New"/>
              </w:rPr>
            </w:pPr>
            <w:r w:rsidRPr="00186308">
              <w:rPr>
                <w:rFonts w:cs="Courier New"/>
              </w:rPr>
              <w:t>/saliva/</w:t>
            </w:r>
          </w:p>
        </w:tc>
        <w:tc>
          <w:tcPr>
            <w:tcW w:w="7694" w:type="dxa"/>
          </w:tcPr>
          <w:p w:rsidR="002408B7" w:rsidRPr="00186308" w:rsidRDefault="002408B7" w:rsidP="002408B7">
            <w:pPr>
              <w:spacing w:after="0" w:line="240" w:lineRule="auto"/>
              <w:rPr>
                <w:rFonts w:cs="Courier New"/>
              </w:rPr>
            </w:pPr>
            <w:r w:rsidRPr="00186308">
              <w:rPr>
                <w:rFonts w:cs="Courier New"/>
              </w:rPr>
              <w:t>ANESTHESIA FOR PROCEDURES ON INTEGUMENTARY SYSTEM OF HEAD AND,OR SALIVARY GLANDS</w:t>
            </w:r>
          </w:p>
        </w:tc>
      </w:tr>
      <w:tr w:rsidR="002408B7" w:rsidRPr="00186308" w:rsidTr="001801E9">
        <w:tc>
          <w:tcPr>
            <w:tcW w:w="2660" w:type="dxa"/>
          </w:tcPr>
          <w:p w:rsidR="002408B7" w:rsidRPr="00186308" w:rsidRDefault="002408B7" w:rsidP="002408B7">
            <w:pPr>
              <w:spacing w:after="0" w:line="240" w:lineRule="auto"/>
              <w:rPr>
                <w:rFonts w:cs="Courier New"/>
              </w:rPr>
            </w:pPr>
            <w:proofErr w:type="spellStart"/>
            <w:r w:rsidRPr="00186308">
              <w:rPr>
                <w:rFonts w:cs="Courier New"/>
              </w:rPr>
              <w:t>caseii</w:t>
            </w:r>
            <w:proofErr w:type="spellEnd"/>
          </w:p>
        </w:tc>
        <w:tc>
          <w:tcPr>
            <w:tcW w:w="2543" w:type="dxa"/>
          </w:tcPr>
          <w:p w:rsidR="002408B7" w:rsidRPr="00186308" w:rsidRDefault="002408B7" w:rsidP="002408B7">
            <w:pPr>
              <w:spacing w:after="0" w:line="240" w:lineRule="auto"/>
              <w:rPr>
                <w:rFonts w:cs="Courier New"/>
              </w:rPr>
            </w:pPr>
            <w:r w:rsidRPr="00186308">
              <w:rPr>
                <w:rFonts w:cs="Courier New"/>
              </w:rPr>
              <w:t>/</w:t>
            </w:r>
            <w:proofErr w:type="spellStart"/>
            <w:r w:rsidRPr="00186308">
              <w:rPr>
                <w:rFonts w:cs="Courier New"/>
              </w:rPr>
              <w:t>caseii</w:t>
            </w:r>
            <w:proofErr w:type="spellEnd"/>
            <w:proofErr w:type="gramStart"/>
            <w:r w:rsidRPr="00186308">
              <w:rPr>
                <w:rFonts w:cs="Courier New"/>
              </w:rPr>
              <w:t>?/</w:t>
            </w:r>
            <w:proofErr w:type="gramEnd"/>
          </w:p>
        </w:tc>
        <w:tc>
          <w:tcPr>
            <w:tcW w:w="7694" w:type="dxa"/>
          </w:tcPr>
          <w:p w:rsidR="002408B7" w:rsidRPr="00186308" w:rsidRDefault="002408B7" w:rsidP="002408B7">
            <w:pPr>
              <w:spacing w:after="0" w:line="240" w:lineRule="auto"/>
              <w:rPr>
                <w:rFonts w:cs="Courier New"/>
              </w:rPr>
            </w:pPr>
            <w:r w:rsidRPr="00186308">
              <w:rPr>
                <w:rFonts w:cs="Courier New"/>
              </w:rPr>
              <w:t>CASEIN  075GM  ORAL, CALORIC AGENTS, PHARMACY GENERAL CLASSIFICATION</w:t>
            </w:r>
          </w:p>
        </w:tc>
      </w:tr>
      <w:tr w:rsidR="002408B7" w:rsidRPr="00186308" w:rsidTr="001801E9">
        <w:tc>
          <w:tcPr>
            <w:tcW w:w="2660" w:type="dxa"/>
          </w:tcPr>
          <w:p w:rsidR="002408B7" w:rsidRPr="00186308" w:rsidRDefault="002408B7" w:rsidP="002408B7">
            <w:pPr>
              <w:spacing w:after="0" w:line="240" w:lineRule="auto"/>
              <w:rPr>
                <w:rFonts w:cs="Courier New"/>
              </w:rPr>
            </w:pPr>
            <w:proofErr w:type="spellStart"/>
            <w:r w:rsidRPr="00186308">
              <w:rPr>
                <w:rFonts w:cs="Courier New"/>
              </w:rPr>
              <w:t>gasseri</w:t>
            </w:r>
            <w:proofErr w:type="spellEnd"/>
          </w:p>
        </w:tc>
        <w:tc>
          <w:tcPr>
            <w:tcW w:w="2543" w:type="dxa"/>
          </w:tcPr>
          <w:p w:rsidR="002408B7" w:rsidRPr="00186308" w:rsidRDefault="002408B7" w:rsidP="002408B7">
            <w:pPr>
              <w:spacing w:after="0" w:line="240" w:lineRule="auto"/>
              <w:rPr>
                <w:rFonts w:cs="Courier New"/>
              </w:rPr>
            </w:pPr>
            <w:r w:rsidRPr="00186308">
              <w:rPr>
                <w:rFonts w:cs="Courier New"/>
              </w:rPr>
              <w:t>/</w:t>
            </w:r>
            <w:proofErr w:type="spellStart"/>
            <w:r w:rsidRPr="00186308">
              <w:rPr>
                <w:rFonts w:cs="Courier New"/>
              </w:rPr>
              <w:t>gasseri</w:t>
            </w:r>
            <w:proofErr w:type="spellEnd"/>
            <w:r w:rsidRPr="00186308">
              <w:rPr>
                <w:rFonts w:cs="Courier New"/>
              </w:rPr>
              <w:t>/</w:t>
            </w:r>
          </w:p>
        </w:tc>
        <w:tc>
          <w:tcPr>
            <w:tcW w:w="7694" w:type="dxa"/>
          </w:tcPr>
          <w:p w:rsidR="002408B7" w:rsidRPr="00186308" w:rsidRDefault="002408B7" w:rsidP="002408B7">
            <w:pPr>
              <w:spacing w:after="0" w:line="240" w:lineRule="auto"/>
              <w:rPr>
                <w:rFonts w:cs="Courier New"/>
              </w:rPr>
            </w:pPr>
            <w:r w:rsidRPr="00186308">
              <w:rPr>
                <w:rFonts w:cs="Courier New"/>
              </w:rPr>
              <w:t>CRANIECTOMY, SUBTEMPORAL, FOR SECTION/COMPRESSION/DECOMPRESSION OF ROOT OF GASSE</w:t>
            </w:r>
          </w:p>
        </w:tc>
      </w:tr>
      <w:tr w:rsidR="002408B7" w:rsidRPr="00186308" w:rsidTr="001801E9">
        <w:tc>
          <w:tcPr>
            <w:tcW w:w="2660" w:type="dxa"/>
          </w:tcPr>
          <w:p w:rsidR="002408B7" w:rsidRPr="00186308" w:rsidRDefault="002408B7" w:rsidP="002408B7">
            <w:pPr>
              <w:spacing w:after="0" w:line="240" w:lineRule="auto"/>
              <w:rPr>
                <w:rFonts w:cs="Courier New"/>
              </w:rPr>
            </w:pPr>
            <w:r w:rsidRPr="00186308">
              <w:rPr>
                <w:rFonts w:cs="Courier New"/>
              </w:rPr>
              <w:t>streptococcus</w:t>
            </w:r>
          </w:p>
        </w:tc>
        <w:tc>
          <w:tcPr>
            <w:tcW w:w="2543" w:type="dxa"/>
          </w:tcPr>
          <w:p w:rsidR="002408B7" w:rsidRPr="00186308" w:rsidRDefault="002408B7" w:rsidP="002408B7">
            <w:pPr>
              <w:spacing w:after="0" w:line="240" w:lineRule="auto"/>
              <w:rPr>
                <w:rFonts w:cs="Courier New"/>
              </w:rPr>
            </w:pPr>
            <w:r w:rsidRPr="00186308">
              <w:rPr>
                <w:rFonts w:cs="Courier New"/>
              </w:rPr>
              <w:t>/</w:t>
            </w:r>
            <w:proofErr w:type="spellStart"/>
            <w:r w:rsidRPr="00186308">
              <w:rPr>
                <w:rFonts w:cs="Courier New"/>
              </w:rPr>
              <w:t>strepto?co?ccus</w:t>
            </w:r>
            <w:proofErr w:type="spellEnd"/>
            <w:r w:rsidRPr="00186308">
              <w:rPr>
                <w:rFonts w:cs="Courier New"/>
              </w:rPr>
              <w:t>/</w:t>
            </w:r>
          </w:p>
        </w:tc>
        <w:tc>
          <w:tcPr>
            <w:tcW w:w="7694" w:type="dxa"/>
          </w:tcPr>
          <w:p w:rsidR="002408B7" w:rsidRPr="00186308" w:rsidRDefault="002408B7" w:rsidP="002408B7">
            <w:pPr>
              <w:spacing w:after="0" w:line="240" w:lineRule="auto"/>
              <w:rPr>
                <w:rFonts w:cs="Courier New"/>
              </w:rPr>
            </w:pPr>
            <w:r w:rsidRPr="00186308">
              <w:rPr>
                <w:rFonts w:cs="Courier New"/>
              </w:rPr>
              <w:t>STREPTOCOCCUS, SCREEN, DIRECT, LABORATORY, IMMUNOLOGY</w:t>
            </w:r>
          </w:p>
        </w:tc>
      </w:tr>
      <w:tr w:rsidR="002408B7" w:rsidRPr="00186308" w:rsidTr="001801E9">
        <w:tc>
          <w:tcPr>
            <w:tcW w:w="2660" w:type="dxa"/>
          </w:tcPr>
          <w:p w:rsidR="002408B7" w:rsidRPr="00186308" w:rsidRDefault="002408B7" w:rsidP="002408B7">
            <w:pPr>
              <w:spacing w:after="0" w:line="240" w:lineRule="auto"/>
              <w:rPr>
                <w:rFonts w:cs="Courier New"/>
              </w:rPr>
            </w:pPr>
            <w:r w:rsidRPr="00186308">
              <w:rPr>
                <w:rFonts w:cs="Courier New"/>
              </w:rPr>
              <w:t>clostridia</w:t>
            </w:r>
          </w:p>
        </w:tc>
        <w:tc>
          <w:tcPr>
            <w:tcW w:w="2543" w:type="dxa"/>
          </w:tcPr>
          <w:p w:rsidR="002408B7" w:rsidRPr="00186308" w:rsidRDefault="002408B7" w:rsidP="002408B7">
            <w:pPr>
              <w:spacing w:after="0" w:line="240" w:lineRule="auto"/>
              <w:rPr>
                <w:rFonts w:cs="Courier New"/>
              </w:rPr>
            </w:pPr>
            <w:r w:rsidRPr="00186308">
              <w:rPr>
                <w:rFonts w:cs="Courier New"/>
              </w:rPr>
              <w:t>/</w:t>
            </w:r>
            <w:proofErr w:type="spellStart"/>
            <w:r w:rsidRPr="00186308">
              <w:rPr>
                <w:rFonts w:cs="Courier New"/>
              </w:rPr>
              <w:t>clostridi</w:t>
            </w:r>
            <w:proofErr w:type="spellEnd"/>
            <w:r w:rsidRPr="00186308">
              <w:rPr>
                <w:rFonts w:cs="Courier New"/>
              </w:rPr>
              <w:t>(</w:t>
            </w:r>
            <w:proofErr w:type="spellStart"/>
            <w:r w:rsidRPr="00186308">
              <w:rPr>
                <w:rFonts w:cs="Courier New"/>
              </w:rPr>
              <w:t>a|um</w:t>
            </w:r>
            <w:proofErr w:type="spellEnd"/>
            <w:r w:rsidRPr="00186308">
              <w:rPr>
                <w:rFonts w:cs="Courier New"/>
              </w:rPr>
              <w:t>)/</w:t>
            </w:r>
          </w:p>
        </w:tc>
        <w:tc>
          <w:tcPr>
            <w:tcW w:w="7694" w:type="dxa"/>
          </w:tcPr>
          <w:p w:rsidR="002408B7" w:rsidRPr="00186308" w:rsidRDefault="002408B7" w:rsidP="002408B7">
            <w:pPr>
              <w:spacing w:after="0" w:line="240" w:lineRule="auto"/>
              <w:rPr>
                <w:rFonts w:cs="Courier New"/>
              </w:rPr>
            </w:pPr>
            <w:r w:rsidRPr="00186308">
              <w:rPr>
                <w:rFonts w:cs="Courier New"/>
              </w:rPr>
              <w:t>COLLAGENASE CLOSTRIDIUM HISTOLYTICUM  0P9MG  PARENTERAL, MISCELLANEOUS SKIN AND</w:t>
            </w:r>
          </w:p>
        </w:tc>
      </w:tr>
      <w:tr w:rsidR="002408B7" w:rsidRPr="00186308" w:rsidTr="001801E9">
        <w:tc>
          <w:tcPr>
            <w:tcW w:w="2660" w:type="dxa"/>
          </w:tcPr>
          <w:p w:rsidR="002408B7" w:rsidRPr="00186308" w:rsidRDefault="002408B7" w:rsidP="002408B7">
            <w:pPr>
              <w:spacing w:after="0" w:line="240" w:lineRule="auto"/>
              <w:rPr>
                <w:rFonts w:cs="Courier New"/>
              </w:rPr>
            </w:pPr>
            <w:r w:rsidRPr="00186308">
              <w:rPr>
                <w:rFonts w:cs="Courier New"/>
              </w:rPr>
              <w:t>bacillus</w:t>
            </w:r>
          </w:p>
        </w:tc>
        <w:tc>
          <w:tcPr>
            <w:tcW w:w="2543" w:type="dxa"/>
          </w:tcPr>
          <w:p w:rsidR="002408B7" w:rsidRPr="00186308" w:rsidRDefault="002408B7" w:rsidP="002408B7">
            <w:pPr>
              <w:spacing w:after="0" w:line="240" w:lineRule="auto"/>
              <w:rPr>
                <w:rFonts w:cs="Courier New"/>
              </w:rPr>
            </w:pPr>
            <w:r w:rsidRPr="00186308">
              <w:rPr>
                <w:rFonts w:cs="Courier New"/>
              </w:rPr>
              <w:t>/</w:t>
            </w:r>
            <w:proofErr w:type="spellStart"/>
            <w:r w:rsidRPr="00186308">
              <w:rPr>
                <w:rFonts w:cs="Courier New"/>
              </w:rPr>
              <w:t>bacill</w:t>
            </w:r>
            <w:proofErr w:type="spellEnd"/>
            <w:r w:rsidRPr="00186308">
              <w:rPr>
                <w:rFonts w:cs="Courier New"/>
              </w:rPr>
              <w:t>(</w:t>
            </w:r>
            <w:proofErr w:type="spellStart"/>
            <w:r w:rsidRPr="00186308">
              <w:rPr>
                <w:rFonts w:cs="Courier New"/>
              </w:rPr>
              <w:t>us|i</w:t>
            </w:r>
            <w:proofErr w:type="spellEnd"/>
            <w:r w:rsidRPr="00186308">
              <w:rPr>
                <w:rFonts w:cs="Courier New"/>
              </w:rPr>
              <w:t>)/</w:t>
            </w:r>
          </w:p>
        </w:tc>
        <w:tc>
          <w:tcPr>
            <w:tcW w:w="7694" w:type="dxa"/>
          </w:tcPr>
          <w:p w:rsidR="002408B7" w:rsidRPr="00186308" w:rsidRDefault="002408B7" w:rsidP="002408B7">
            <w:pPr>
              <w:spacing w:after="0" w:line="240" w:lineRule="auto"/>
              <w:rPr>
                <w:rFonts w:cs="Courier New"/>
              </w:rPr>
            </w:pPr>
            <w:r w:rsidRPr="00186308">
              <w:rPr>
                <w:rFonts w:cs="Courier New"/>
              </w:rPr>
              <w:t>BACILLUS CALMETTE-GUERIN VACCINE (BCG) FOR TUBERCULOSIS, LIVE, FOR PERCUTANEOUS</w:t>
            </w:r>
          </w:p>
        </w:tc>
      </w:tr>
      <w:tr w:rsidR="002408B7" w:rsidRPr="00186308" w:rsidTr="001801E9">
        <w:tc>
          <w:tcPr>
            <w:tcW w:w="12897" w:type="dxa"/>
            <w:gridSpan w:val="3"/>
          </w:tcPr>
          <w:p w:rsidR="002408B7" w:rsidRDefault="002408B7" w:rsidP="002408B7">
            <w:pPr>
              <w:spacing w:after="0" w:line="240" w:lineRule="auto"/>
              <w:rPr>
                <w:rFonts w:cs="Courier New"/>
              </w:rPr>
            </w:pPr>
            <w:r>
              <w:rPr>
                <w:rFonts w:cs="Courier New"/>
              </w:rPr>
              <w:t xml:space="preserve">Abbreviations: HDD, </w:t>
            </w:r>
            <w:proofErr w:type="spellStart"/>
            <w:r w:rsidRPr="00186308">
              <w:t>MarketScan</w:t>
            </w:r>
            <w:proofErr w:type="spellEnd"/>
            <w:r w:rsidRPr="00186308">
              <w:t>® Hospital Drug Database</w:t>
            </w:r>
            <w:r>
              <w:t>.</w:t>
            </w:r>
          </w:p>
          <w:p w:rsidR="002408B7" w:rsidRPr="00186308" w:rsidRDefault="002408B7" w:rsidP="002408B7">
            <w:pPr>
              <w:spacing w:after="0" w:line="240" w:lineRule="auto"/>
              <w:rPr>
                <w:rFonts w:cs="Courier New"/>
              </w:rPr>
            </w:pPr>
            <w:r w:rsidRPr="00186308">
              <w:rPr>
                <w:rFonts w:cs="Courier New"/>
              </w:rPr>
              <w:t xml:space="preserve">*in context: </w:t>
            </w:r>
            <w:r w:rsidRPr="00186308">
              <w:rPr>
                <w:rFonts w:cs="Courier New"/>
                <w:i/>
              </w:rPr>
              <w:t xml:space="preserve">if </w:t>
            </w:r>
            <w:proofErr w:type="spellStart"/>
            <w:r w:rsidRPr="00186308">
              <w:rPr>
                <w:rFonts w:cs="Courier New"/>
                <w:i/>
              </w:rPr>
              <w:t>prxmatch</w:t>
            </w:r>
            <w:proofErr w:type="spellEnd"/>
            <w:r w:rsidRPr="00186308">
              <w:rPr>
                <w:rFonts w:cs="Courier New"/>
                <w:i/>
              </w:rPr>
              <w:t>("m/&amp;</w:t>
            </w:r>
            <w:proofErr w:type="spellStart"/>
            <w:r w:rsidRPr="00186308">
              <w:rPr>
                <w:rFonts w:cs="Courier New"/>
                <w:i/>
              </w:rPr>
              <w:t>probiotic_list</w:t>
            </w:r>
            <w:proofErr w:type="spellEnd"/>
            <w:r w:rsidRPr="00186308">
              <w:rPr>
                <w:rFonts w:cs="Courier New"/>
                <w:i/>
              </w:rPr>
              <w:t>/oi",</w:t>
            </w:r>
            <w:proofErr w:type="spellStart"/>
            <w:r w:rsidRPr="00186308">
              <w:rPr>
                <w:rFonts w:cs="Courier New"/>
                <w:i/>
              </w:rPr>
              <w:t>stc_major_code_desc</w:t>
            </w:r>
            <w:proofErr w:type="spellEnd"/>
            <w:r w:rsidRPr="00186308">
              <w:rPr>
                <w:rFonts w:cs="Courier New"/>
                <w:i/>
              </w:rPr>
              <w:t>) &gt; 0 then keep=1;</w:t>
            </w:r>
          </w:p>
        </w:tc>
      </w:tr>
    </w:tbl>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sectPr w:rsidR="002408B7" w:rsidRPr="00186308" w:rsidSect="00FD4EB6">
          <w:pgSz w:w="15840" w:h="12240" w:orient="landscape"/>
          <w:pgMar w:top="1440" w:right="1440" w:bottom="1440" w:left="1440" w:header="720" w:footer="720" w:gutter="0"/>
          <w:cols w:space="720"/>
          <w:docGrid w:linePitch="360"/>
        </w:sectPr>
      </w:pPr>
    </w:p>
    <w:p w:rsidR="002408B7" w:rsidRPr="00186308" w:rsidRDefault="002408B7" w:rsidP="002408B7">
      <w:pPr>
        <w:spacing w:after="0" w:line="240" w:lineRule="auto"/>
        <w:outlineLvl w:val="0"/>
        <w:rPr>
          <w:rFonts w:cs="Courier New"/>
          <w:b/>
        </w:rPr>
      </w:pPr>
      <w:r w:rsidRPr="00186308">
        <w:rPr>
          <w:rFonts w:cs="Courier New"/>
          <w:b/>
        </w:rPr>
        <w:lastRenderedPageBreak/>
        <w:t xml:space="preserve">Supplemental Table </w:t>
      </w:r>
      <w:r>
        <w:rPr>
          <w:rFonts w:cs="Courier New"/>
          <w:b/>
        </w:rPr>
        <w:t>5</w:t>
      </w:r>
      <w:r w:rsidRPr="00186308">
        <w:rPr>
          <w:rFonts w:cs="Courier New"/>
          <w:b/>
        </w:rPr>
        <w:t xml:space="preserve">. Probiotic </w:t>
      </w:r>
      <w:r w:rsidRPr="00A340F8">
        <w:rPr>
          <w:rFonts w:cs="Courier New"/>
          <w:b/>
        </w:rPr>
        <w:t xml:space="preserve">formulations identified in </w:t>
      </w:r>
      <w:proofErr w:type="spellStart"/>
      <w:r w:rsidRPr="00A340F8">
        <w:rPr>
          <w:b/>
        </w:rPr>
        <w:t>Truven</w:t>
      </w:r>
      <w:proofErr w:type="spellEnd"/>
      <w:r w:rsidRPr="00A340F8">
        <w:rPr>
          <w:b/>
        </w:rPr>
        <w:t xml:space="preserve"> Health </w:t>
      </w:r>
      <w:proofErr w:type="spellStart"/>
      <w:r w:rsidRPr="00A340F8">
        <w:rPr>
          <w:b/>
        </w:rPr>
        <w:t>MarketScan</w:t>
      </w:r>
      <w:proofErr w:type="spellEnd"/>
      <w:r w:rsidRPr="00A340F8">
        <w:rPr>
          <w:b/>
        </w:rPr>
        <w:t>® Hospital Drug Database Drug Reference Tables, 2006-2012</w:t>
      </w:r>
      <w:r w:rsidRPr="00A340F8">
        <w:rPr>
          <w:rFonts w:cs="Courier New"/>
          <w:b/>
        </w:rPr>
        <w:t>.</w:t>
      </w:r>
    </w:p>
    <w:p w:rsidR="002408B7" w:rsidRPr="00186308" w:rsidRDefault="002408B7" w:rsidP="002408B7">
      <w:pPr>
        <w:spacing w:after="0" w:line="240" w:lineRule="auto"/>
        <w:rPr>
          <w:rFonts w:cs="Courier New"/>
        </w:rPr>
      </w:pPr>
    </w:p>
    <w:tbl>
      <w:tblPr>
        <w:tblStyle w:val="TableGrid"/>
        <w:tblW w:w="13304" w:type="dxa"/>
        <w:tblBorders>
          <w:insideH w:val="none" w:sz="0" w:space="0" w:color="auto"/>
          <w:insideV w:val="none" w:sz="0" w:space="0" w:color="auto"/>
        </w:tblBorders>
        <w:tblLayout w:type="fixed"/>
        <w:tblLook w:val="04A0" w:firstRow="1" w:lastRow="0" w:firstColumn="1" w:lastColumn="0" w:noHBand="0" w:noVBand="1"/>
      </w:tblPr>
      <w:tblGrid>
        <w:gridCol w:w="1793"/>
        <w:gridCol w:w="5103"/>
        <w:gridCol w:w="5097"/>
        <w:gridCol w:w="1311"/>
      </w:tblGrid>
      <w:tr w:rsidR="002408B7" w:rsidRPr="00186308" w:rsidTr="001801E9">
        <w:tc>
          <w:tcPr>
            <w:tcW w:w="1793" w:type="dxa"/>
            <w:tcBorders>
              <w:top w:val="single" w:sz="4" w:space="0" w:color="auto"/>
              <w:left w:val="nil"/>
              <w:bottom w:val="single" w:sz="4" w:space="0" w:color="auto"/>
            </w:tcBorders>
          </w:tcPr>
          <w:p w:rsidR="002408B7" w:rsidRPr="00774862" w:rsidRDefault="002408B7" w:rsidP="002408B7">
            <w:pPr>
              <w:spacing w:after="0" w:line="240" w:lineRule="auto"/>
              <w:rPr>
                <w:rFonts w:cs="Courier New"/>
                <w:b/>
              </w:rPr>
            </w:pPr>
            <w:r w:rsidRPr="00774862">
              <w:rPr>
                <w:rFonts w:cs="Courier New"/>
                <w:b/>
              </w:rPr>
              <w:t>Code from reference tables</w:t>
            </w:r>
          </w:p>
        </w:tc>
        <w:tc>
          <w:tcPr>
            <w:tcW w:w="5103" w:type="dxa"/>
            <w:tcBorders>
              <w:top w:val="single" w:sz="4" w:space="0" w:color="auto"/>
              <w:bottom w:val="single" w:sz="4" w:space="0" w:color="auto"/>
            </w:tcBorders>
          </w:tcPr>
          <w:p w:rsidR="002408B7" w:rsidRPr="00774862" w:rsidRDefault="002408B7" w:rsidP="002408B7">
            <w:pPr>
              <w:spacing w:after="0" w:line="240" w:lineRule="auto"/>
              <w:rPr>
                <w:rFonts w:cs="Courier New"/>
                <w:b/>
              </w:rPr>
            </w:pPr>
            <w:r w:rsidRPr="00774862">
              <w:rPr>
                <w:rFonts w:cs="Courier New"/>
                <w:b/>
              </w:rPr>
              <w:t>Example description from HDD drug reference tables</w:t>
            </w:r>
          </w:p>
        </w:tc>
        <w:tc>
          <w:tcPr>
            <w:tcW w:w="5097" w:type="dxa"/>
            <w:tcBorders>
              <w:top w:val="single" w:sz="4" w:space="0" w:color="auto"/>
              <w:bottom w:val="single" w:sz="4" w:space="0" w:color="auto"/>
            </w:tcBorders>
          </w:tcPr>
          <w:p w:rsidR="002408B7" w:rsidRPr="00774862" w:rsidRDefault="002408B7" w:rsidP="002408B7">
            <w:pPr>
              <w:spacing w:after="0" w:line="240" w:lineRule="auto"/>
              <w:rPr>
                <w:rFonts w:cs="Courier New"/>
                <w:b/>
              </w:rPr>
            </w:pPr>
            <w:r w:rsidRPr="00774862">
              <w:rPr>
                <w:rFonts w:cs="Courier New"/>
                <w:b/>
              </w:rPr>
              <w:t>Standardized name used in this study</w:t>
            </w:r>
          </w:p>
        </w:tc>
        <w:tc>
          <w:tcPr>
            <w:tcW w:w="1311" w:type="dxa"/>
            <w:tcBorders>
              <w:top w:val="single" w:sz="4" w:space="0" w:color="auto"/>
              <w:bottom w:val="single" w:sz="4" w:space="0" w:color="auto"/>
              <w:right w:val="nil"/>
            </w:tcBorders>
          </w:tcPr>
          <w:p w:rsidR="002408B7" w:rsidRPr="00774862" w:rsidRDefault="002408B7" w:rsidP="002408B7">
            <w:pPr>
              <w:spacing w:after="0" w:line="240" w:lineRule="auto"/>
              <w:rPr>
                <w:rFonts w:cs="Courier New"/>
                <w:b/>
              </w:rPr>
            </w:pPr>
            <w:r w:rsidRPr="00774862">
              <w:rPr>
                <w:rFonts w:cs="Courier New"/>
                <w:b/>
              </w:rPr>
              <w:t>Other listed ingredients</w:t>
            </w:r>
          </w:p>
        </w:tc>
      </w:tr>
      <w:tr w:rsidR="002408B7" w:rsidRPr="00186308" w:rsidTr="001801E9">
        <w:tc>
          <w:tcPr>
            <w:tcW w:w="1793" w:type="dxa"/>
            <w:tcBorders>
              <w:top w:val="single" w:sz="4" w:space="0" w:color="auto"/>
              <w:left w:val="nil"/>
              <w:bottom w:val="nil"/>
            </w:tcBorders>
          </w:tcPr>
          <w:p w:rsidR="002408B7" w:rsidRPr="00186308" w:rsidRDefault="002408B7" w:rsidP="002408B7">
            <w:pPr>
              <w:spacing w:after="0" w:line="240" w:lineRule="auto"/>
              <w:rPr>
                <w:rFonts w:cs="Courier New"/>
              </w:rPr>
            </w:pPr>
            <w:r w:rsidRPr="00186308">
              <w:rPr>
                <w:rFonts w:cs="Courier New"/>
              </w:rPr>
              <w:t>036113</w:t>
            </w:r>
          </w:p>
        </w:tc>
        <w:tc>
          <w:tcPr>
            <w:tcW w:w="5103" w:type="dxa"/>
            <w:tcBorders>
              <w:top w:val="single" w:sz="4" w:space="0" w:color="auto"/>
              <w:bottom w:val="nil"/>
            </w:tcBorders>
          </w:tcPr>
          <w:p w:rsidR="002408B7" w:rsidRPr="00186308" w:rsidRDefault="002408B7" w:rsidP="002408B7">
            <w:pPr>
              <w:spacing w:after="0" w:line="240" w:lineRule="auto"/>
              <w:rPr>
                <w:rFonts w:cs="Courier New"/>
              </w:rPr>
            </w:pPr>
            <w:r w:rsidRPr="00186308">
              <w:rPr>
                <w:rFonts w:cs="Courier New"/>
              </w:rPr>
              <w:t>SACCHAROMYCES BOULARDII  310MG  ORAL, UNCLASSIFIED THERAPEUTIC AGENTS, PHARMACY</w:t>
            </w:r>
          </w:p>
        </w:tc>
        <w:tc>
          <w:tcPr>
            <w:tcW w:w="5097" w:type="dxa"/>
            <w:tcBorders>
              <w:top w:val="single" w:sz="4" w:space="0" w:color="auto"/>
              <w:bottom w:val="nil"/>
            </w:tcBorders>
          </w:tcPr>
          <w:p w:rsidR="002408B7" w:rsidRPr="0039148F" w:rsidRDefault="002408B7" w:rsidP="002408B7">
            <w:pPr>
              <w:spacing w:after="0" w:line="240" w:lineRule="auto"/>
              <w:rPr>
                <w:rFonts w:cs="Courier New"/>
                <w:i/>
              </w:rPr>
            </w:pPr>
            <w:r w:rsidRPr="0039148F">
              <w:rPr>
                <w:rFonts w:cs="Courier New"/>
                <w:i/>
              </w:rPr>
              <w:t xml:space="preserve">Saccharomyces </w:t>
            </w:r>
            <w:proofErr w:type="spellStart"/>
            <w:r w:rsidRPr="0039148F">
              <w:rPr>
                <w:rFonts w:cs="Courier New"/>
                <w:i/>
              </w:rPr>
              <w:t>boulardii</w:t>
            </w:r>
            <w:proofErr w:type="spellEnd"/>
          </w:p>
        </w:tc>
        <w:tc>
          <w:tcPr>
            <w:tcW w:w="1311" w:type="dxa"/>
            <w:tcBorders>
              <w:top w:val="single" w:sz="4" w:space="0" w:color="auto"/>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045006</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LACTOBACILLUS RHAMNOSUS (GG)  001ND  ORAL, ANTIDIARRHEA AGENTS, PHARMACY GENERAL</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 xml:space="preserve">Lactobacillus </w:t>
            </w:r>
            <w:proofErr w:type="spellStart"/>
            <w:r w:rsidRPr="0039148F">
              <w:rPr>
                <w:rFonts w:cs="Courier New"/>
                <w:i/>
              </w:rPr>
              <w:t>rhamnosus</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4020B0</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BIFIDOBACTERIUM INFANTIS  004MG  ORAL, CALORIC AGENTS, PHARMACY GENERAL CLASSIFI</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 xml:space="preserve">Bifidobacterium </w:t>
            </w:r>
            <w:proofErr w:type="spellStart"/>
            <w:r w:rsidRPr="0039148F">
              <w:rPr>
                <w:rFonts w:cs="Courier New"/>
                <w:i/>
              </w:rPr>
              <w:t>infantis</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4020B2</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ACIDOPHILUS/BULGARICUS  001UK  ORAL, CALORIC AGENTS, PHARMACY GENERAL CLASSIFICA</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Lactobacillus acidophilus</w:t>
            </w:r>
            <w:r>
              <w:rPr>
                <w:rFonts w:cs="Courier New"/>
              </w:rPr>
              <w:t>,</w:t>
            </w:r>
            <w:r w:rsidRPr="0039148F">
              <w:rPr>
                <w:rFonts w:cs="Courier New"/>
                <w:i/>
              </w:rPr>
              <w:t xml:space="preserve"> </w:t>
            </w:r>
            <w:r>
              <w:rPr>
                <w:rFonts w:cs="Courier New"/>
                <w:i/>
              </w:rPr>
              <w:t>L</w:t>
            </w:r>
            <w:r w:rsidRPr="0039148F">
              <w:rPr>
                <w:rFonts w:cs="Courier New"/>
                <w:i/>
              </w:rPr>
              <w:t xml:space="preserve">actobacillus </w:t>
            </w:r>
            <w:proofErr w:type="spellStart"/>
            <w:r w:rsidRPr="0039148F">
              <w:rPr>
                <w:rFonts w:cs="Courier New"/>
                <w:i/>
              </w:rPr>
              <w:t>bulgaricus</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4020J9</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LACTOBACILLUS REUTERI  005ML  ORAL, CALORIC AGENTS, PHARMACY GENERAL CLASSIFICAT</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 xml:space="preserve">Lactobacillus </w:t>
            </w:r>
            <w:proofErr w:type="spellStart"/>
            <w:r w:rsidRPr="0039148F">
              <w:rPr>
                <w:rFonts w:cs="Courier New"/>
                <w:i/>
              </w:rPr>
              <w:t>reuteri</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4020N4</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GLUTAMINE/ LACTOBACILLUS REUTERI  015GM  ORAL, CALORIC AGENTS, PHARMACY GENERAL</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 xml:space="preserve">Lactobacillus </w:t>
            </w:r>
            <w:proofErr w:type="spellStart"/>
            <w:r w:rsidRPr="0039148F">
              <w:rPr>
                <w:rFonts w:cs="Courier New"/>
                <w:i/>
              </w:rPr>
              <w:t>reuteri</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glutamine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4020L0</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LACTOBACILLUS ACIDOPHILUS  001UK  ORAL, CALORIC AGENTS, PHARMACY GENERAL CLASSIF</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Lactobacillus acidophilus</w:t>
            </w:r>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5608B5</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PECTIN/ACIDOPHILUS  001MD  ORAL, ANTIDIARRHEA AGENTS, GASTROINTESTINAL DRUGS, PH</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Lactobacillus acidophilus</w:t>
            </w:r>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pectin</w:t>
            </w:r>
          </w:p>
        </w:tc>
      </w:tr>
      <w:tr w:rsidR="002408B7" w:rsidRPr="00186308" w:rsidTr="001801E9">
        <w:tc>
          <w:tcPr>
            <w:tcW w:w="1793" w:type="dxa"/>
            <w:tcBorders>
              <w:top w:val="nil"/>
              <w:left w:val="nil"/>
              <w:bottom w:val="nil"/>
            </w:tcBorders>
          </w:tcPr>
          <w:p w:rsidR="002408B7" w:rsidRPr="00186308" w:rsidRDefault="002408B7" w:rsidP="002408B7">
            <w:pPr>
              <w:spacing w:after="0" w:line="240" w:lineRule="auto"/>
              <w:rPr>
                <w:rFonts w:cs="Courier New"/>
              </w:rPr>
            </w:pPr>
            <w:r w:rsidRPr="00186308">
              <w:rPr>
                <w:rFonts w:cs="Courier New"/>
              </w:rPr>
              <w:t>5608A8</w:t>
            </w:r>
          </w:p>
        </w:tc>
        <w:tc>
          <w:tcPr>
            <w:tcW w:w="5103" w:type="dxa"/>
            <w:tcBorders>
              <w:top w:val="nil"/>
              <w:bottom w:val="nil"/>
            </w:tcBorders>
          </w:tcPr>
          <w:p w:rsidR="002408B7" w:rsidRPr="00186308" w:rsidRDefault="002408B7" w:rsidP="002408B7">
            <w:pPr>
              <w:spacing w:after="0" w:line="240" w:lineRule="auto"/>
              <w:rPr>
                <w:rFonts w:cs="Courier New"/>
              </w:rPr>
            </w:pPr>
            <w:r w:rsidRPr="00186308">
              <w:rPr>
                <w:rFonts w:cs="Courier New"/>
              </w:rPr>
              <w:t>LACTOBACILLUS ACIDOPHILUS/LACTOBACILLUS RHAMNOSUS/VITAMIN C  001ND  ORAL, ANTIDI</w:t>
            </w:r>
          </w:p>
        </w:tc>
        <w:tc>
          <w:tcPr>
            <w:tcW w:w="5097" w:type="dxa"/>
            <w:tcBorders>
              <w:top w:val="nil"/>
              <w:bottom w:val="nil"/>
            </w:tcBorders>
          </w:tcPr>
          <w:p w:rsidR="002408B7" w:rsidRPr="0039148F" w:rsidRDefault="002408B7" w:rsidP="002408B7">
            <w:pPr>
              <w:spacing w:after="0" w:line="240" w:lineRule="auto"/>
              <w:rPr>
                <w:rFonts w:cs="Courier New"/>
                <w:i/>
              </w:rPr>
            </w:pPr>
            <w:r w:rsidRPr="0039148F">
              <w:rPr>
                <w:rFonts w:cs="Courier New"/>
                <w:i/>
              </w:rPr>
              <w:t>Lactobacillus acidophilus</w:t>
            </w:r>
            <w:r>
              <w:rPr>
                <w:rFonts w:cs="Courier New"/>
              </w:rPr>
              <w:t>,</w:t>
            </w:r>
            <w:r w:rsidRPr="0039148F">
              <w:rPr>
                <w:rFonts w:cs="Courier New"/>
                <w:i/>
              </w:rPr>
              <w:t xml:space="preserve"> </w:t>
            </w:r>
            <w:r>
              <w:rPr>
                <w:rFonts w:cs="Courier New"/>
                <w:i/>
              </w:rPr>
              <w:t>L</w:t>
            </w:r>
            <w:r w:rsidRPr="0039148F">
              <w:rPr>
                <w:rFonts w:cs="Courier New"/>
                <w:i/>
              </w:rPr>
              <w:t xml:space="preserve">actobacillus </w:t>
            </w:r>
            <w:proofErr w:type="spellStart"/>
            <w:r w:rsidRPr="0039148F">
              <w:rPr>
                <w:rFonts w:cs="Courier New"/>
                <w:i/>
              </w:rPr>
              <w:t>rhamnosus</w:t>
            </w:r>
            <w:proofErr w:type="spellEnd"/>
          </w:p>
        </w:tc>
        <w:tc>
          <w:tcPr>
            <w:tcW w:w="1311" w:type="dxa"/>
            <w:tcBorders>
              <w:top w:val="nil"/>
              <w:bottom w:val="nil"/>
              <w:right w:val="nil"/>
            </w:tcBorders>
          </w:tcPr>
          <w:p w:rsidR="002408B7" w:rsidRPr="00186308" w:rsidRDefault="002408B7" w:rsidP="002408B7">
            <w:pPr>
              <w:spacing w:after="0" w:line="240" w:lineRule="auto"/>
              <w:rPr>
                <w:rFonts w:cs="Courier New"/>
              </w:rPr>
            </w:pPr>
            <w:r w:rsidRPr="00186308">
              <w:rPr>
                <w:rFonts w:cs="Courier New"/>
              </w:rPr>
              <w:t>vitamin C</w:t>
            </w:r>
          </w:p>
        </w:tc>
      </w:tr>
      <w:tr w:rsidR="002408B7" w:rsidRPr="00186308" w:rsidTr="001801E9">
        <w:tc>
          <w:tcPr>
            <w:tcW w:w="1793" w:type="dxa"/>
            <w:tcBorders>
              <w:top w:val="nil"/>
              <w:left w:val="nil"/>
              <w:bottom w:val="single" w:sz="4" w:space="0" w:color="auto"/>
            </w:tcBorders>
          </w:tcPr>
          <w:p w:rsidR="002408B7" w:rsidRPr="00186308" w:rsidRDefault="002408B7" w:rsidP="002408B7">
            <w:pPr>
              <w:spacing w:after="0" w:line="240" w:lineRule="auto"/>
              <w:rPr>
                <w:rFonts w:cs="Courier New"/>
              </w:rPr>
            </w:pPr>
            <w:r w:rsidRPr="00186308">
              <w:rPr>
                <w:rFonts w:cs="Courier New"/>
              </w:rPr>
              <w:t>5608B6</w:t>
            </w:r>
          </w:p>
        </w:tc>
        <w:tc>
          <w:tcPr>
            <w:tcW w:w="5103" w:type="dxa"/>
            <w:tcBorders>
              <w:top w:val="nil"/>
              <w:bottom w:val="single" w:sz="4" w:space="0" w:color="auto"/>
            </w:tcBorders>
          </w:tcPr>
          <w:p w:rsidR="002408B7" w:rsidRPr="00186308" w:rsidRDefault="002408B7" w:rsidP="002408B7">
            <w:pPr>
              <w:spacing w:after="0" w:line="240" w:lineRule="auto"/>
              <w:rPr>
                <w:rFonts w:cs="Courier New"/>
              </w:rPr>
            </w:pPr>
            <w:r w:rsidRPr="00186308">
              <w:rPr>
                <w:rFonts w:cs="Courier New"/>
              </w:rPr>
              <w:t>LA/LA-PCAS/STREP/BIF ANIMALIS  001MD  ORAL, ANTIDIARRHEA AGENTS, PHARMACY GENERA</w:t>
            </w:r>
          </w:p>
        </w:tc>
        <w:tc>
          <w:tcPr>
            <w:tcW w:w="5097" w:type="dxa"/>
            <w:tcBorders>
              <w:top w:val="nil"/>
              <w:bottom w:val="single" w:sz="4" w:space="0" w:color="auto"/>
            </w:tcBorders>
          </w:tcPr>
          <w:p w:rsidR="002408B7" w:rsidRPr="00186308" w:rsidRDefault="002408B7" w:rsidP="002408B7">
            <w:pPr>
              <w:spacing w:after="0" w:line="240" w:lineRule="auto"/>
              <w:rPr>
                <w:rFonts w:cs="Courier New"/>
              </w:rPr>
            </w:pPr>
            <w:r w:rsidRPr="00FA1D68">
              <w:rPr>
                <w:rFonts w:cs="Courier New"/>
                <w:i/>
              </w:rPr>
              <w:t xml:space="preserve">Lactobacillus acidophilus, Streptococcus </w:t>
            </w:r>
            <w:proofErr w:type="spellStart"/>
            <w:r w:rsidRPr="00FA1D68">
              <w:rPr>
                <w:rFonts w:cs="Courier New"/>
                <w:i/>
              </w:rPr>
              <w:t>thermophilus</w:t>
            </w:r>
            <w:proofErr w:type="spellEnd"/>
            <w:r w:rsidRPr="00FA1D68">
              <w:rPr>
                <w:rFonts w:cs="Courier New"/>
                <w:i/>
              </w:rPr>
              <w:t xml:space="preserve">, </w:t>
            </w:r>
            <w:r w:rsidRPr="0039148F">
              <w:rPr>
                <w:rFonts w:cs="Courier New"/>
                <w:i/>
              </w:rPr>
              <w:t>Lactobacillus</w:t>
            </w:r>
            <w:r w:rsidRPr="00FA1D68">
              <w:rPr>
                <w:rFonts w:cs="Courier New"/>
                <w:i/>
              </w:rPr>
              <w:t xml:space="preserve"> </w:t>
            </w:r>
            <w:proofErr w:type="spellStart"/>
            <w:r w:rsidRPr="00FA1D68">
              <w:rPr>
                <w:rFonts w:cs="Courier New"/>
                <w:i/>
              </w:rPr>
              <w:t>paracasei</w:t>
            </w:r>
            <w:proofErr w:type="spellEnd"/>
            <w:r w:rsidRPr="00FA1D68">
              <w:rPr>
                <w:rFonts w:cs="Courier New"/>
                <w:i/>
              </w:rPr>
              <w:t xml:space="preserve">, Bifidobacterium </w:t>
            </w:r>
            <w:proofErr w:type="spellStart"/>
            <w:r w:rsidRPr="00FA1D68">
              <w:rPr>
                <w:rFonts w:cs="Courier New"/>
                <w:i/>
              </w:rPr>
              <w:t>animalis</w:t>
            </w:r>
            <w:proofErr w:type="spellEnd"/>
          </w:p>
        </w:tc>
        <w:tc>
          <w:tcPr>
            <w:tcW w:w="1311" w:type="dxa"/>
            <w:tcBorders>
              <w:top w:val="nil"/>
              <w:bottom w:val="single" w:sz="4" w:space="0" w:color="auto"/>
              <w:right w:val="nil"/>
            </w:tcBorders>
          </w:tcPr>
          <w:p w:rsidR="002408B7" w:rsidRPr="00186308" w:rsidRDefault="002408B7" w:rsidP="002408B7">
            <w:pPr>
              <w:spacing w:after="0" w:line="240" w:lineRule="auto"/>
              <w:rPr>
                <w:rFonts w:cs="Courier New"/>
              </w:rPr>
            </w:pPr>
            <w:r w:rsidRPr="00186308">
              <w:rPr>
                <w:rFonts w:cs="Courier New"/>
              </w:rPr>
              <w:t>none</w:t>
            </w:r>
          </w:p>
        </w:tc>
      </w:tr>
      <w:tr w:rsidR="002408B7" w:rsidRPr="00186308" w:rsidTr="001801E9">
        <w:tc>
          <w:tcPr>
            <w:tcW w:w="13304" w:type="dxa"/>
            <w:gridSpan w:val="4"/>
            <w:tcBorders>
              <w:top w:val="single" w:sz="4" w:space="0" w:color="auto"/>
              <w:left w:val="nil"/>
              <w:bottom w:val="single" w:sz="4" w:space="0" w:color="auto"/>
              <w:right w:val="nil"/>
            </w:tcBorders>
          </w:tcPr>
          <w:p w:rsidR="002408B7" w:rsidRPr="00186308" w:rsidRDefault="002408B7" w:rsidP="002408B7">
            <w:pPr>
              <w:spacing w:after="0" w:line="240" w:lineRule="auto"/>
              <w:rPr>
                <w:rFonts w:cs="Courier New"/>
              </w:rPr>
            </w:pPr>
            <w:r>
              <w:rPr>
                <w:rFonts w:cs="Courier New"/>
              </w:rPr>
              <w:t xml:space="preserve">Abbreviations: HDD, </w:t>
            </w:r>
            <w:proofErr w:type="spellStart"/>
            <w:r w:rsidRPr="00186308">
              <w:t>MarketScan</w:t>
            </w:r>
            <w:proofErr w:type="spellEnd"/>
            <w:r w:rsidRPr="00186308">
              <w:t>® Hospital Drug Database</w:t>
            </w:r>
            <w:r>
              <w:t>.</w:t>
            </w:r>
          </w:p>
        </w:tc>
      </w:tr>
    </w:tbl>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pPr>
    </w:p>
    <w:p w:rsidR="002408B7" w:rsidRPr="00186308" w:rsidRDefault="002408B7" w:rsidP="002408B7">
      <w:pPr>
        <w:spacing w:after="0" w:line="240" w:lineRule="auto"/>
        <w:rPr>
          <w:rFonts w:cs="Courier New"/>
        </w:rPr>
        <w:sectPr w:rsidR="002408B7" w:rsidRPr="00186308" w:rsidSect="00FD4EB6">
          <w:pgSz w:w="15840" w:h="12240" w:orient="landscape"/>
          <w:pgMar w:top="1440" w:right="1440" w:bottom="1440" w:left="1440" w:header="720" w:footer="720" w:gutter="0"/>
          <w:cols w:space="720"/>
          <w:docGrid w:linePitch="360"/>
        </w:sectPr>
      </w:pPr>
    </w:p>
    <w:p w:rsidR="002408B7" w:rsidRPr="00186308" w:rsidRDefault="002408B7" w:rsidP="002408B7">
      <w:pPr>
        <w:spacing w:after="0" w:line="240" w:lineRule="auto"/>
        <w:outlineLvl w:val="0"/>
        <w:rPr>
          <w:b/>
        </w:rPr>
      </w:pPr>
      <w:r w:rsidRPr="00186308">
        <w:rPr>
          <w:rFonts w:cs="Courier New"/>
          <w:b/>
        </w:rPr>
        <w:lastRenderedPageBreak/>
        <w:t xml:space="preserve">Supplemental Table </w:t>
      </w:r>
      <w:r>
        <w:rPr>
          <w:rFonts w:cs="Courier New"/>
          <w:b/>
        </w:rPr>
        <w:t>6</w:t>
      </w:r>
      <w:r w:rsidRPr="00186308">
        <w:rPr>
          <w:rFonts w:cs="Courier New"/>
          <w:b/>
        </w:rPr>
        <w:t>:</w:t>
      </w:r>
      <w:r w:rsidRPr="00186308">
        <w:rPr>
          <w:b/>
        </w:rPr>
        <w:t xml:space="preserve"> </w:t>
      </w:r>
      <w:r>
        <w:rPr>
          <w:b/>
        </w:rPr>
        <w:t>H</w:t>
      </w:r>
      <w:r w:rsidRPr="00186308">
        <w:rPr>
          <w:b/>
        </w:rPr>
        <w:t xml:space="preserve">ospital-level utilization of specific probiotic </w:t>
      </w:r>
      <w:r>
        <w:rPr>
          <w:b/>
        </w:rPr>
        <w:t>formulation</w:t>
      </w:r>
      <w:r w:rsidRPr="00186308">
        <w:rPr>
          <w:b/>
        </w:rPr>
        <w:t xml:space="preserve">s by age </w:t>
      </w:r>
      <w:r>
        <w:rPr>
          <w:b/>
        </w:rPr>
        <w:t>a</w:t>
      </w:r>
      <w:r w:rsidRPr="00186308">
        <w:rPr>
          <w:b/>
        </w:rPr>
        <w:t xml:space="preserve">mong hospitals </w:t>
      </w:r>
      <w:r w:rsidRPr="00186308">
        <w:rPr>
          <w:rFonts w:cs="Courier New"/>
          <w:b/>
        </w:rPr>
        <w:t>with any probiotic use, HDD 2012.</w:t>
      </w:r>
    </w:p>
    <w:p w:rsidR="002408B7" w:rsidRPr="00186308" w:rsidRDefault="002408B7" w:rsidP="002408B7">
      <w:pPr>
        <w:spacing w:after="0" w:line="240" w:lineRule="auto"/>
        <w:rPr>
          <w:rFonts w:cs="Courier New"/>
          <w:b/>
        </w:rPr>
      </w:pPr>
    </w:p>
    <w:tbl>
      <w:tblPr>
        <w:tblW w:w="10440" w:type="dxa"/>
        <w:tblLayout w:type="fixed"/>
        <w:tblCellMar>
          <w:left w:w="0" w:type="dxa"/>
          <w:right w:w="0" w:type="dxa"/>
        </w:tblCellMar>
        <w:tblLook w:val="0600" w:firstRow="0" w:lastRow="0" w:firstColumn="0" w:lastColumn="0" w:noHBand="1" w:noVBand="1"/>
      </w:tblPr>
      <w:tblGrid>
        <w:gridCol w:w="4362"/>
        <w:gridCol w:w="948"/>
        <w:gridCol w:w="836"/>
        <w:gridCol w:w="998"/>
        <w:gridCol w:w="859"/>
        <w:gridCol w:w="801"/>
        <w:gridCol w:w="801"/>
        <w:gridCol w:w="835"/>
      </w:tblGrid>
      <w:tr w:rsidR="002408B7" w:rsidRPr="00186308" w:rsidTr="001801E9">
        <w:trPr>
          <w:cantSplit/>
          <w:trHeight w:val="288"/>
        </w:trPr>
        <w:tc>
          <w:tcPr>
            <w:tcW w:w="4362" w:type="dxa"/>
            <w:tcBorders>
              <w:top w:val="single" w:sz="4" w:space="0" w:color="auto"/>
              <w:left w:val="nil"/>
              <w:bottom w:val="single" w:sz="4" w:space="0" w:color="auto"/>
              <w:right w:val="nil"/>
            </w:tcBorders>
          </w:tcPr>
          <w:p w:rsidR="002408B7" w:rsidRPr="00186308" w:rsidRDefault="002408B7" w:rsidP="001801E9">
            <w:pPr>
              <w:spacing w:after="0" w:line="240" w:lineRule="auto"/>
              <w:rPr>
                <w:rFonts w:cs="Courier New"/>
              </w:rPr>
            </w:pPr>
            <w:r w:rsidRPr="00186308">
              <w:rPr>
                <w:rFonts w:cs="Courier New"/>
              </w:rPr>
              <w:t>Binary name (Genus, species)</w:t>
            </w:r>
          </w:p>
        </w:tc>
        <w:tc>
          <w:tcPr>
            <w:tcW w:w="1784" w:type="dxa"/>
            <w:gridSpan w:val="2"/>
            <w:tcBorders>
              <w:top w:val="single" w:sz="4" w:space="0" w:color="auto"/>
              <w:left w:val="nil"/>
              <w:bottom w:val="single" w:sz="4" w:space="0" w:color="auto"/>
              <w:right w:val="nil"/>
            </w:tcBorders>
          </w:tcPr>
          <w:p w:rsidR="002408B7" w:rsidRPr="00186308" w:rsidRDefault="002408B7" w:rsidP="001801E9">
            <w:pPr>
              <w:spacing w:after="0" w:line="240" w:lineRule="auto"/>
              <w:jc w:val="center"/>
              <w:rPr>
                <w:rFonts w:cs="Courier New"/>
              </w:rPr>
            </w:pPr>
            <w:r w:rsidRPr="00186308">
              <w:rPr>
                <w:rFonts w:cs="Courier New"/>
              </w:rPr>
              <w:t>All ages</w:t>
            </w:r>
          </w:p>
        </w:tc>
        <w:tc>
          <w:tcPr>
            <w:tcW w:w="998" w:type="dxa"/>
            <w:tcBorders>
              <w:top w:val="single" w:sz="4" w:space="0" w:color="auto"/>
              <w:left w:val="nil"/>
              <w:bottom w:val="single" w:sz="4" w:space="0" w:color="auto"/>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cs="Courier New"/>
              </w:rPr>
              <w:t>0 y*</w:t>
            </w:r>
          </w:p>
        </w:tc>
        <w:tc>
          <w:tcPr>
            <w:tcW w:w="859" w:type="dxa"/>
            <w:tcBorders>
              <w:top w:val="single" w:sz="4" w:space="0" w:color="auto"/>
              <w:left w:val="nil"/>
              <w:bottom w:val="single" w:sz="4" w:space="0" w:color="auto"/>
              <w:right w:val="nil"/>
            </w:tcBorders>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cs="Courier New"/>
              </w:rPr>
              <w:t>1-17 y</w:t>
            </w:r>
          </w:p>
        </w:tc>
        <w:tc>
          <w:tcPr>
            <w:tcW w:w="801" w:type="dxa"/>
            <w:tcBorders>
              <w:top w:val="single" w:sz="4" w:space="0" w:color="auto"/>
              <w:left w:val="nil"/>
              <w:bottom w:val="single" w:sz="4" w:space="0" w:color="auto"/>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cs="Courier New"/>
              </w:rPr>
              <w:t>18-64</w:t>
            </w:r>
            <w:r>
              <w:rPr>
                <w:rFonts w:cs="Courier New"/>
              </w:rPr>
              <w:t xml:space="preserve"> </w:t>
            </w:r>
            <w:r w:rsidRPr="00186308">
              <w:rPr>
                <w:rFonts w:cs="Courier New"/>
              </w:rPr>
              <w:t>y</w:t>
            </w:r>
          </w:p>
        </w:tc>
        <w:tc>
          <w:tcPr>
            <w:tcW w:w="801" w:type="dxa"/>
            <w:tcBorders>
              <w:top w:val="single" w:sz="4" w:space="0" w:color="auto"/>
              <w:left w:val="nil"/>
              <w:bottom w:val="single" w:sz="4" w:space="0" w:color="auto"/>
              <w:right w:val="nil"/>
            </w:tcBorders>
          </w:tcPr>
          <w:p w:rsidR="002408B7" w:rsidRPr="00186308" w:rsidRDefault="002408B7" w:rsidP="001801E9">
            <w:pPr>
              <w:spacing w:after="0" w:line="240" w:lineRule="auto"/>
              <w:jc w:val="right"/>
              <w:rPr>
                <w:rFonts w:cs="Courier New"/>
              </w:rPr>
            </w:pPr>
            <w:r w:rsidRPr="00186308">
              <w:rPr>
                <w:rFonts w:cs="Courier New"/>
              </w:rPr>
              <w:t>65-84</w:t>
            </w:r>
            <w:r>
              <w:rPr>
                <w:rFonts w:cs="Courier New"/>
              </w:rPr>
              <w:t xml:space="preserve"> </w:t>
            </w:r>
            <w:r w:rsidRPr="00186308">
              <w:rPr>
                <w:rFonts w:cs="Courier New"/>
              </w:rPr>
              <w:t>y</w:t>
            </w:r>
          </w:p>
        </w:tc>
        <w:tc>
          <w:tcPr>
            <w:tcW w:w="835" w:type="dxa"/>
            <w:tcBorders>
              <w:top w:val="single" w:sz="4" w:space="0" w:color="auto"/>
              <w:left w:val="nil"/>
              <w:bottom w:val="single" w:sz="4" w:space="0" w:color="auto"/>
              <w:right w:val="nil"/>
            </w:tcBorders>
            <w:tcMar>
              <w:top w:w="14" w:type="dxa"/>
              <w:left w:w="14" w:type="dxa"/>
              <w:bottom w:w="14" w:type="dxa"/>
              <w:right w:w="14" w:type="dxa"/>
            </w:tcMar>
          </w:tcPr>
          <w:p w:rsidR="002408B7" w:rsidRPr="00186308" w:rsidRDefault="002408B7" w:rsidP="001801E9">
            <w:pPr>
              <w:spacing w:after="0" w:line="240" w:lineRule="auto"/>
              <w:jc w:val="right"/>
              <w:rPr>
                <w:rFonts w:cs="Courier New"/>
              </w:rPr>
            </w:pPr>
            <w:r>
              <w:rPr>
                <w:rFonts w:cs="Courier New"/>
              </w:rPr>
              <w:t>≥</w:t>
            </w:r>
            <w:r w:rsidRPr="00186308">
              <w:rPr>
                <w:rFonts w:cs="Courier New"/>
              </w:rPr>
              <w:t>85</w:t>
            </w:r>
            <w:r>
              <w:rPr>
                <w:rFonts w:cs="Courier New"/>
              </w:rPr>
              <w:t xml:space="preserve"> </w:t>
            </w:r>
            <w:r w:rsidRPr="00186308">
              <w:rPr>
                <w:rFonts w:cs="Courier New"/>
              </w:rPr>
              <w:t>y</w:t>
            </w:r>
          </w:p>
        </w:tc>
      </w:tr>
      <w:tr w:rsidR="002408B7" w:rsidRPr="00186308" w:rsidTr="001801E9">
        <w:trPr>
          <w:cantSplit/>
          <w:trHeight w:val="288"/>
        </w:trPr>
        <w:tc>
          <w:tcPr>
            <w:tcW w:w="4362" w:type="dxa"/>
            <w:tcBorders>
              <w:top w:val="single" w:sz="4" w:space="0" w:color="auto"/>
              <w:left w:val="nil"/>
              <w:right w:val="nil"/>
            </w:tcBorders>
          </w:tcPr>
          <w:p w:rsidR="002408B7" w:rsidRPr="00186308" w:rsidRDefault="002408B7" w:rsidP="001801E9">
            <w:pPr>
              <w:spacing w:after="0" w:line="240" w:lineRule="auto"/>
              <w:rPr>
                <w:rFonts w:cs="Courier New"/>
                <w:i/>
              </w:rPr>
            </w:pPr>
            <w:r w:rsidRPr="00186308">
              <w:t>Any probiotic</w:t>
            </w:r>
          </w:p>
        </w:tc>
        <w:tc>
          <w:tcPr>
            <w:tcW w:w="1784" w:type="dxa"/>
            <w:gridSpan w:val="2"/>
            <w:tcBorders>
              <w:top w:val="single" w:sz="4" w:space="0" w:color="auto"/>
              <w:left w:val="nil"/>
              <w:right w:val="nil"/>
            </w:tcBorders>
          </w:tcPr>
          <w:p w:rsidR="002408B7" w:rsidRPr="00186308" w:rsidRDefault="002408B7" w:rsidP="001801E9">
            <w:pPr>
              <w:spacing w:after="0" w:line="240" w:lineRule="auto"/>
              <w:jc w:val="right"/>
            </w:pPr>
            <w:r w:rsidRPr="00186308">
              <w:t>139 hospitals</w:t>
            </w:r>
          </w:p>
        </w:tc>
        <w:tc>
          <w:tcPr>
            <w:tcW w:w="998" w:type="dxa"/>
            <w:tcBorders>
              <w:top w:val="single" w:sz="4" w:space="0" w:color="auto"/>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ascii="Calibri" w:hAnsi="Calibri"/>
                <w:color w:val="000000"/>
              </w:rPr>
              <w:t>2</w:t>
            </w:r>
            <w:r>
              <w:rPr>
                <w:rFonts w:ascii="Calibri" w:hAnsi="Calibri"/>
                <w:color w:val="000000"/>
              </w:rPr>
              <w:t>9</w:t>
            </w:r>
            <w:r w:rsidRPr="00186308">
              <w:rPr>
                <w:rFonts w:ascii="Calibri" w:hAnsi="Calibri"/>
                <w:color w:val="000000"/>
              </w:rPr>
              <w:t>%</w:t>
            </w:r>
          </w:p>
        </w:tc>
        <w:tc>
          <w:tcPr>
            <w:tcW w:w="859" w:type="dxa"/>
            <w:tcBorders>
              <w:top w:val="single" w:sz="4" w:space="0" w:color="auto"/>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47%</w:t>
            </w:r>
          </w:p>
        </w:tc>
        <w:tc>
          <w:tcPr>
            <w:tcW w:w="801" w:type="dxa"/>
            <w:tcBorders>
              <w:top w:val="single" w:sz="4" w:space="0" w:color="auto"/>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99%</w:t>
            </w:r>
          </w:p>
        </w:tc>
        <w:tc>
          <w:tcPr>
            <w:tcW w:w="801" w:type="dxa"/>
            <w:tcBorders>
              <w:top w:val="single" w:sz="4" w:space="0" w:color="auto"/>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99%</w:t>
            </w:r>
          </w:p>
        </w:tc>
        <w:tc>
          <w:tcPr>
            <w:tcW w:w="835" w:type="dxa"/>
            <w:tcBorders>
              <w:top w:val="single" w:sz="4" w:space="0" w:color="auto"/>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96%</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i/>
              </w:rPr>
            </w:pPr>
            <w:r w:rsidRPr="00186308">
              <w:rPr>
                <w:i/>
              </w:rPr>
              <w:t>Lactobacillus acidophilus</w:t>
            </w:r>
            <w:r w:rsidRPr="00186308">
              <w:rPr>
                <w:rFonts w:ascii="Calibri" w:hAnsi="Calibri" w:cs="Calibri"/>
                <w:color w:val="000000"/>
              </w:rPr>
              <w:t xml:space="preserve"> and </w:t>
            </w:r>
            <w:r w:rsidRPr="00186308">
              <w:rPr>
                <w:i/>
              </w:rPr>
              <w:t xml:space="preserve">L. </w:t>
            </w:r>
            <w:proofErr w:type="spellStart"/>
            <w:r w:rsidRPr="00186308">
              <w:rPr>
                <w:i/>
              </w:rPr>
              <w:t>bulgaricus</w:t>
            </w:r>
            <w:proofErr w:type="spellEnd"/>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77</w:t>
            </w:r>
          </w:p>
        </w:tc>
        <w:tc>
          <w:tcPr>
            <w:tcW w:w="836"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55%</w:t>
            </w:r>
            <w:r w:rsidRPr="00186308">
              <w:rPr>
                <w:rFonts w:cs="Courier New"/>
              </w:rPr>
              <w:t>†</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ascii="Calibri" w:hAnsi="Calibri"/>
                <w:color w:val="000000"/>
              </w:rPr>
              <w:t>1</w:t>
            </w:r>
            <w:r>
              <w:rPr>
                <w:rFonts w:ascii="Calibri" w:hAnsi="Calibri"/>
                <w:color w:val="000000"/>
              </w:rPr>
              <w:t>4</w:t>
            </w:r>
            <w:r w:rsidRPr="00186308">
              <w:rPr>
                <w:rFonts w:ascii="Calibri" w:hAnsi="Calibri"/>
                <w:color w:val="000000"/>
              </w:rPr>
              <w:t>%</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24%</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5</w:t>
            </w:r>
            <w:r>
              <w:rPr>
                <w:rFonts w:ascii="Calibri" w:hAnsi="Calibri"/>
                <w:color w:val="000000"/>
              </w:rPr>
              <w:t>3</w:t>
            </w:r>
            <w:r w:rsidRPr="00186308">
              <w:rPr>
                <w:rFonts w:ascii="Calibri" w:hAnsi="Calibri"/>
                <w:color w:val="000000"/>
              </w:rPr>
              <w:t>%</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5</w:t>
            </w:r>
            <w:r>
              <w:rPr>
                <w:rFonts w:ascii="Calibri" w:hAnsi="Calibri"/>
                <w:color w:val="000000"/>
              </w:rPr>
              <w:t>2</w:t>
            </w:r>
            <w:r w:rsidRPr="00186308">
              <w:rPr>
                <w:rFonts w:ascii="Calibri" w:hAnsi="Calibri"/>
                <w:color w:val="000000"/>
              </w:rPr>
              <w:t>%</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Pr>
                <w:rFonts w:ascii="Calibri" w:hAnsi="Calibri"/>
                <w:color w:val="000000"/>
              </w:rPr>
              <w:t>50</w:t>
            </w:r>
            <w:r w:rsidRPr="00186308">
              <w:rPr>
                <w:rFonts w:ascii="Calibri" w:hAnsi="Calibri"/>
                <w:color w:val="000000"/>
              </w:rPr>
              <w:t>%</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i/>
              </w:rPr>
            </w:pPr>
            <w:r w:rsidRPr="00186308">
              <w:rPr>
                <w:i/>
              </w:rPr>
              <w:t xml:space="preserve">Saccharomyces </w:t>
            </w:r>
            <w:proofErr w:type="spellStart"/>
            <w:r w:rsidRPr="00186308">
              <w:rPr>
                <w:i/>
              </w:rPr>
              <w:t>boulardii</w:t>
            </w:r>
            <w:proofErr w:type="spellEnd"/>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74</w:t>
            </w:r>
          </w:p>
        </w:tc>
        <w:tc>
          <w:tcPr>
            <w:tcW w:w="836"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53%</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ascii="Calibri" w:hAnsi="Calibri"/>
                <w:color w:val="000000"/>
              </w:rPr>
              <w:t>6%</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14%</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51%</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5</w:t>
            </w:r>
            <w:r>
              <w:rPr>
                <w:rFonts w:ascii="Calibri" w:hAnsi="Calibri"/>
                <w:color w:val="000000"/>
              </w:rPr>
              <w:t>3</w:t>
            </w:r>
            <w:r w:rsidRPr="00186308">
              <w:rPr>
                <w:rFonts w:ascii="Calibri" w:hAnsi="Calibri"/>
                <w:color w:val="000000"/>
              </w:rPr>
              <w:t>%</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48%</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i/>
              </w:rPr>
            </w:pPr>
            <w:r w:rsidRPr="00186308">
              <w:rPr>
                <w:i/>
              </w:rPr>
              <w:t>Lactobacillus acidophilus</w:t>
            </w:r>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71</w:t>
            </w:r>
          </w:p>
        </w:tc>
        <w:tc>
          <w:tcPr>
            <w:tcW w:w="836"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51%</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ascii="Calibri" w:hAnsi="Calibri"/>
                <w:color w:val="000000"/>
              </w:rPr>
              <w:t>6%</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19%</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49%</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49%</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47%</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rPr>
            </w:pPr>
            <w:r w:rsidRPr="00186308">
              <w:rPr>
                <w:i/>
              </w:rPr>
              <w:t xml:space="preserve">Lactobacillus </w:t>
            </w:r>
            <w:proofErr w:type="spellStart"/>
            <w:r w:rsidRPr="00186308">
              <w:rPr>
                <w:i/>
              </w:rPr>
              <w:t>rhamnosus</w:t>
            </w:r>
            <w:proofErr w:type="spellEnd"/>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41</w:t>
            </w:r>
          </w:p>
        </w:tc>
        <w:tc>
          <w:tcPr>
            <w:tcW w:w="836"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29%</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ascii="Calibri" w:hAnsi="Calibri"/>
                <w:color w:val="000000"/>
              </w:rPr>
              <w:t>6%</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12%</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27%</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28%</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w:t>
            </w:r>
            <w:r>
              <w:rPr>
                <w:rFonts w:ascii="Calibri" w:hAnsi="Calibri"/>
                <w:color w:val="000000"/>
              </w:rPr>
              <w:t>7</w:t>
            </w:r>
            <w:r w:rsidRPr="00186308">
              <w:rPr>
                <w:rFonts w:ascii="Calibri" w:hAnsi="Calibri"/>
                <w:color w:val="000000"/>
              </w:rPr>
              <w:t>%</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i/>
              </w:rPr>
            </w:pPr>
            <w:r w:rsidRPr="00186308">
              <w:rPr>
                <w:i/>
              </w:rPr>
              <w:t xml:space="preserve">Lactobacillus </w:t>
            </w:r>
            <w:r w:rsidRPr="00186308">
              <w:rPr>
                <w:rFonts w:cs="Courier New"/>
                <w:i/>
              </w:rPr>
              <w:t xml:space="preserve">acidophilus, Streptococcus </w:t>
            </w:r>
            <w:proofErr w:type="spellStart"/>
            <w:r w:rsidRPr="00186308">
              <w:rPr>
                <w:rFonts w:cs="Courier New"/>
                <w:i/>
              </w:rPr>
              <w:t>thermophilus</w:t>
            </w:r>
            <w:proofErr w:type="spellEnd"/>
            <w:r w:rsidRPr="00186308">
              <w:rPr>
                <w:rFonts w:cs="Courier New"/>
                <w:i/>
              </w:rPr>
              <w:t xml:space="preserve">, L. </w:t>
            </w:r>
            <w:proofErr w:type="spellStart"/>
            <w:r w:rsidRPr="00186308">
              <w:rPr>
                <w:rFonts w:cs="Courier New"/>
                <w:i/>
              </w:rPr>
              <w:t>paracasei</w:t>
            </w:r>
            <w:proofErr w:type="spellEnd"/>
            <w:r w:rsidRPr="00186308">
              <w:rPr>
                <w:rFonts w:cs="Courier New"/>
                <w:i/>
              </w:rPr>
              <w:t xml:space="preserve">, Bifidobacterium </w:t>
            </w:r>
            <w:proofErr w:type="spellStart"/>
            <w:r w:rsidRPr="00186308">
              <w:rPr>
                <w:rFonts w:cs="Courier New"/>
                <w:i/>
              </w:rPr>
              <w:t>animalis</w:t>
            </w:r>
            <w:proofErr w:type="spellEnd"/>
            <w:r w:rsidRPr="00186308">
              <w:rPr>
                <w:rFonts w:cs="Courier New"/>
              </w:rPr>
              <w:t>‡</w:t>
            </w:r>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17</w:t>
            </w:r>
          </w:p>
        </w:tc>
        <w:tc>
          <w:tcPr>
            <w:tcW w:w="836" w:type="dxa"/>
            <w:tcBorders>
              <w:left w:val="nil"/>
              <w:right w:val="nil"/>
            </w:tcBorders>
          </w:tcPr>
          <w:p w:rsidR="002408B7" w:rsidRPr="00186308" w:rsidRDefault="002408B7" w:rsidP="001801E9">
            <w:pPr>
              <w:spacing w:after="0" w:line="240" w:lineRule="auto"/>
              <w:jc w:val="right"/>
              <w:rPr>
                <w:rFonts w:cs="Courier New"/>
              </w:rPr>
            </w:pPr>
            <w:r w:rsidRPr="00186308">
              <w:rPr>
                <w:rFonts w:ascii="Calibri" w:hAnsi="Calibri" w:cs="Calibri"/>
                <w:color w:val="000000"/>
              </w:rPr>
              <w:t>12%</w:t>
            </w:r>
          </w:p>
        </w:tc>
        <w:tc>
          <w:tcPr>
            <w:tcW w:w="998" w:type="dxa"/>
            <w:tcBorders>
              <w:left w:val="nil"/>
              <w:right w:val="nil"/>
            </w:tcBorders>
            <w:shd w:val="clear" w:color="auto" w:fill="auto"/>
            <w:tcMar>
              <w:top w:w="15" w:type="dxa"/>
              <w:left w:w="115" w:type="dxa"/>
              <w:bottom w:w="0" w:type="dxa"/>
              <w:right w:w="115" w:type="dxa"/>
            </w:tcMar>
          </w:tcPr>
          <w:p w:rsidR="002408B7" w:rsidRDefault="002408B7" w:rsidP="001801E9">
            <w:pPr>
              <w:spacing w:after="0" w:line="240" w:lineRule="auto"/>
              <w:jc w:val="right"/>
              <w:rPr>
                <w:rFonts w:ascii="Calibri" w:hAnsi="Calibri"/>
                <w:color w:val="000000"/>
              </w:rPr>
            </w:pPr>
            <w:r>
              <w:rPr>
                <w:rFonts w:ascii="Calibri" w:hAnsi="Calibri"/>
                <w:color w:val="000000"/>
              </w:rPr>
              <w:t>1</w:t>
            </w:r>
            <w:r w:rsidRPr="00186308">
              <w:rPr>
                <w:rFonts w:ascii="Calibri" w:hAnsi="Calibri"/>
                <w:color w:val="000000"/>
              </w:rPr>
              <w:t>%</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ascii="Calibri" w:hAnsi="Calibri"/>
                <w:color w:val="000000"/>
              </w:rPr>
            </w:pPr>
            <w:r w:rsidRPr="00186308">
              <w:rPr>
                <w:rFonts w:ascii="Calibri" w:hAnsi="Calibri"/>
                <w:color w:val="000000"/>
              </w:rPr>
              <w:t>1%</w:t>
            </w:r>
          </w:p>
        </w:tc>
        <w:tc>
          <w:tcPr>
            <w:tcW w:w="801" w:type="dxa"/>
            <w:tcBorders>
              <w:left w:val="nil"/>
              <w:right w:val="nil"/>
            </w:tcBorders>
            <w:shd w:val="clear" w:color="auto" w:fill="auto"/>
            <w:tcMar>
              <w:top w:w="14" w:type="dxa"/>
              <w:left w:w="14" w:type="dxa"/>
              <w:bottom w:w="14" w:type="dxa"/>
              <w:right w:w="14" w:type="dxa"/>
            </w:tcMar>
          </w:tcPr>
          <w:p w:rsidR="002408B7" w:rsidRDefault="002408B7" w:rsidP="001801E9">
            <w:pPr>
              <w:spacing w:after="0" w:line="240" w:lineRule="auto"/>
              <w:jc w:val="right"/>
              <w:rPr>
                <w:rFonts w:ascii="Calibri" w:hAnsi="Calibri"/>
                <w:color w:val="000000"/>
              </w:rPr>
            </w:pPr>
            <w:r w:rsidRPr="00186308">
              <w:rPr>
                <w:rFonts w:ascii="Calibri" w:hAnsi="Calibri"/>
                <w:color w:val="000000"/>
              </w:rPr>
              <w:t>9%</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ascii="Calibri" w:hAnsi="Calibri"/>
                <w:color w:val="000000"/>
              </w:rPr>
            </w:pPr>
            <w:r w:rsidRPr="00186308">
              <w:rPr>
                <w:rFonts w:ascii="Calibri" w:hAnsi="Calibri"/>
                <w:color w:val="000000"/>
              </w:rPr>
              <w:t>1</w:t>
            </w:r>
            <w:r>
              <w:rPr>
                <w:rFonts w:ascii="Calibri" w:hAnsi="Calibri"/>
                <w:color w:val="000000"/>
              </w:rPr>
              <w:t>2</w:t>
            </w:r>
            <w:r w:rsidRPr="00186308">
              <w:rPr>
                <w:rFonts w:ascii="Calibri" w:hAnsi="Calibri"/>
                <w:color w:val="000000"/>
              </w:rPr>
              <w:t>%</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ascii="Calibri" w:hAnsi="Calibri"/>
                <w:color w:val="000000"/>
              </w:rPr>
            </w:pPr>
            <w:r>
              <w:rPr>
                <w:rFonts w:ascii="Calibri" w:hAnsi="Calibri"/>
                <w:color w:val="000000"/>
              </w:rPr>
              <w:t>8</w:t>
            </w:r>
            <w:r w:rsidRPr="00186308">
              <w:rPr>
                <w:rFonts w:ascii="Calibri" w:hAnsi="Calibri"/>
                <w:color w:val="000000"/>
              </w:rPr>
              <w:t>%</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i/>
              </w:rPr>
            </w:pPr>
            <w:r w:rsidRPr="00186308">
              <w:rPr>
                <w:i/>
              </w:rPr>
              <w:t xml:space="preserve">Lactobacillus </w:t>
            </w:r>
            <w:proofErr w:type="spellStart"/>
            <w:r w:rsidRPr="00186308">
              <w:rPr>
                <w:i/>
              </w:rPr>
              <w:t>reuteri</w:t>
            </w:r>
            <w:proofErr w:type="spellEnd"/>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7</w:t>
            </w:r>
          </w:p>
        </w:tc>
        <w:tc>
          <w:tcPr>
            <w:tcW w:w="836" w:type="dxa"/>
            <w:tcBorders>
              <w:left w:val="nil"/>
              <w:right w:val="nil"/>
            </w:tcBorders>
          </w:tcPr>
          <w:p w:rsidR="002408B7" w:rsidRPr="00186308" w:rsidRDefault="002408B7" w:rsidP="001801E9">
            <w:pPr>
              <w:spacing w:after="0" w:line="240" w:lineRule="auto"/>
              <w:jc w:val="right"/>
              <w:rPr>
                <w:rFonts w:cs="Courier New"/>
              </w:rPr>
            </w:pPr>
            <w:r w:rsidRPr="00186308">
              <w:rPr>
                <w:rFonts w:cs="Courier New"/>
              </w:rPr>
              <w:t>5%</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Pr>
                <w:rFonts w:ascii="Calibri" w:hAnsi="Calibri"/>
                <w:color w:val="000000"/>
              </w:rPr>
              <w:t>4</w:t>
            </w:r>
            <w:r w:rsidRPr="00186308">
              <w:rPr>
                <w:rFonts w:ascii="Calibri" w:hAnsi="Calibri"/>
                <w:color w:val="000000"/>
              </w:rPr>
              <w:t>%</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Pr>
                <w:rFonts w:ascii="Calibri" w:hAnsi="Calibri"/>
                <w:color w:val="000000"/>
              </w:rPr>
              <w:t>3</w:t>
            </w:r>
            <w:r w:rsidRPr="00186308">
              <w:rPr>
                <w:rFonts w:ascii="Calibri" w:hAnsi="Calibri"/>
                <w:color w:val="000000"/>
              </w:rPr>
              <w:t>%</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2%</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1%</w:t>
            </w:r>
          </w:p>
        </w:tc>
      </w:tr>
      <w:tr w:rsidR="002408B7" w:rsidRPr="00186308" w:rsidTr="001801E9">
        <w:trPr>
          <w:cantSplit/>
          <w:trHeight w:val="288"/>
        </w:trPr>
        <w:tc>
          <w:tcPr>
            <w:tcW w:w="4362" w:type="dxa"/>
            <w:tcBorders>
              <w:left w:val="nil"/>
              <w:right w:val="nil"/>
            </w:tcBorders>
          </w:tcPr>
          <w:p w:rsidR="002408B7" w:rsidRPr="00186308" w:rsidRDefault="002408B7" w:rsidP="001801E9">
            <w:pPr>
              <w:spacing w:after="0" w:line="240" w:lineRule="auto"/>
              <w:ind w:left="180"/>
              <w:rPr>
                <w:rFonts w:cs="Courier New"/>
                <w:i/>
              </w:rPr>
            </w:pPr>
            <w:r w:rsidRPr="00186308">
              <w:rPr>
                <w:i/>
              </w:rPr>
              <w:t xml:space="preserve">Bifidobacterium </w:t>
            </w:r>
            <w:proofErr w:type="spellStart"/>
            <w:r w:rsidRPr="00186308">
              <w:rPr>
                <w:i/>
              </w:rPr>
              <w:t>infantis</w:t>
            </w:r>
            <w:proofErr w:type="spellEnd"/>
          </w:p>
        </w:tc>
        <w:tc>
          <w:tcPr>
            <w:tcW w:w="948" w:type="dxa"/>
            <w:tcBorders>
              <w:left w:val="nil"/>
              <w:right w:val="nil"/>
            </w:tcBorders>
          </w:tcPr>
          <w:p w:rsidR="002408B7" w:rsidRPr="00186308" w:rsidRDefault="002408B7" w:rsidP="001801E9">
            <w:pPr>
              <w:spacing w:after="0" w:line="240" w:lineRule="auto"/>
              <w:jc w:val="right"/>
              <w:rPr>
                <w:rFonts w:ascii="Calibri" w:hAnsi="Calibri" w:cs="Calibri"/>
                <w:color w:val="000000"/>
              </w:rPr>
            </w:pPr>
            <w:r w:rsidRPr="00186308">
              <w:rPr>
                <w:rFonts w:ascii="Calibri" w:hAnsi="Calibri" w:cs="Calibri"/>
                <w:color w:val="000000"/>
              </w:rPr>
              <w:t>3</w:t>
            </w:r>
          </w:p>
        </w:tc>
        <w:tc>
          <w:tcPr>
            <w:tcW w:w="836" w:type="dxa"/>
            <w:tcBorders>
              <w:left w:val="nil"/>
              <w:right w:val="nil"/>
            </w:tcBorders>
          </w:tcPr>
          <w:p w:rsidR="002408B7" w:rsidRPr="00186308" w:rsidRDefault="002408B7" w:rsidP="001801E9">
            <w:pPr>
              <w:spacing w:after="0" w:line="240" w:lineRule="auto"/>
              <w:jc w:val="right"/>
              <w:rPr>
                <w:rFonts w:cs="Courier New"/>
              </w:rPr>
            </w:pPr>
            <w:r w:rsidRPr="00186308">
              <w:rPr>
                <w:rFonts w:cs="Courier New"/>
              </w:rPr>
              <w:t>2%</w:t>
            </w:r>
          </w:p>
        </w:tc>
        <w:tc>
          <w:tcPr>
            <w:tcW w:w="998" w:type="dxa"/>
            <w:tcBorders>
              <w:left w:val="nil"/>
              <w:right w:val="nil"/>
            </w:tcBorders>
            <w:shd w:val="clear" w:color="auto" w:fill="auto"/>
            <w:tcMar>
              <w:top w:w="15" w:type="dxa"/>
              <w:left w:w="115" w:type="dxa"/>
              <w:bottom w:w="0" w:type="dxa"/>
              <w:right w:w="115" w:type="dxa"/>
            </w:tcMar>
          </w:tcPr>
          <w:p w:rsidR="002408B7" w:rsidRPr="00186308" w:rsidRDefault="002408B7" w:rsidP="001801E9">
            <w:pPr>
              <w:spacing w:after="0" w:line="240" w:lineRule="auto"/>
              <w:jc w:val="right"/>
              <w:rPr>
                <w:rFonts w:cs="Courier New"/>
              </w:rPr>
            </w:pPr>
            <w:r w:rsidRPr="00186308">
              <w:rPr>
                <w:rFonts w:cs="Courier New"/>
              </w:rPr>
              <w:t>0%</w:t>
            </w:r>
          </w:p>
        </w:tc>
        <w:tc>
          <w:tcPr>
            <w:tcW w:w="859"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1%</w:t>
            </w:r>
          </w:p>
        </w:tc>
        <w:tc>
          <w:tcPr>
            <w:tcW w:w="801"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w:t>
            </w:r>
          </w:p>
        </w:tc>
        <w:tc>
          <w:tcPr>
            <w:tcW w:w="801" w:type="dxa"/>
            <w:tcBorders>
              <w:left w:val="nil"/>
              <w:right w:val="nil"/>
            </w:tcBorders>
            <w:shd w:val="clear" w:color="auto" w:fill="auto"/>
          </w:tcPr>
          <w:p w:rsidR="002408B7" w:rsidRPr="00186308" w:rsidRDefault="002408B7" w:rsidP="001801E9">
            <w:pPr>
              <w:spacing w:after="0" w:line="240" w:lineRule="auto"/>
              <w:jc w:val="right"/>
              <w:rPr>
                <w:rFonts w:cs="Courier New"/>
              </w:rPr>
            </w:pPr>
            <w:r w:rsidRPr="00186308">
              <w:rPr>
                <w:rFonts w:ascii="Calibri" w:hAnsi="Calibri"/>
                <w:color w:val="000000"/>
              </w:rPr>
              <w:t>2%</w:t>
            </w:r>
          </w:p>
        </w:tc>
        <w:tc>
          <w:tcPr>
            <w:tcW w:w="835" w:type="dxa"/>
            <w:tcBorders>
              <w:left w:val="nil"/>
              <w:right w:val="nil"/>
            </w:tcBorders>
            <w:shd w:val="clear" w:color="auto" w:fill="auto"/>
            <w:tcMar>
              <w:top w:w="14" w:type="dxa"/>
              <w:left w:w="14" w:type="dxa"/>
              <w:bottom w:w="14" w:type="dxa"/>
              <w:right w:w="14" w:type="dxa"/>
            </w:tcMar>
          </w:tcPr>
          <w:p w:rsidR="002408B7" w:rsidRPr="00186308" w:rsidRDefault="002408B7" w:rsidP="001801E9">
            <w:pPr>
              <w:spacing w:after="0" w:line="240" w:lineRule="auto"/>
              <w:jc w:val="right"/>
              <w:rPr>
                <w:rFonts w:cs="Courier New"/>
              </w:rPr>
            </w:pPr>
            <w:r w:rsidRPr="00186308">
              <w:rPr>
                <w:rFonts w:ascii="Calibri" w:hAnsi="Calibri"/>
                <w:color w:val="000000"/>
              </w:rPr>
              <w:t>2%</w:t>
            </w:r>
          </w:p>
        </w:tc>
      </w:tr>
      <w:tr w:rsidR="002408B7" w:rsidRPr="00186308" w:rsidTr="001801E9">
        <w:trPr>
          <w:cantSplit/>
          <w:trHeight w:val="576"/>
        </w:trPr>
        <w:tc>
          <w:tcPr>
            <w:tcW w:w="10440" w:type="dxa"/>
            <w:gridSpan w:val="8"/>
            <w:tcBorders>
              <w:top w:val="single" w:sz="4" w:space="0" w:color="auto"/>
              <w:left w:val="nil"/>
              <w:bottom w:val="single" w:sz="4" w:space="0" w:color="auto"/>
              <w:right w:val="nil"/>
            </w:tcBorders>
          </w:tcPr>
          <w:p w:rsidR="002408B7" w:rsidRDefault="002408B7" w:rsidP="001801E9">
            <w:pPr>
              <w:spacing w:after="0" w:line="240" w:lineRule="auto"/>
              <w:rPr>
                <w:rFonts w:cs="Courier New"/>
              </w:rPr>
            </w:pPr>
            <w:r w:rsidRPr="00186308">
              <w:rPr>
                <w:rFonts w:cs="Courier New"/>
              </w:rPr>
              <w:t xml:space="preserve">Abbreviations: </w:t>
            </w:r>
            <w:r>
              <w:rPr>
                <w:rFonts w:cs="Courier New"/>
              </w:rPr>
              <w:t xml:space="preserve">HDD, </w:t>
            </w:r>
            <w:proofErr w:type="spellStart"/>
            <w:r w:rsidRPr="00186308">
              <w:t>MarketScan</w:t>
            </w:r>
            <w:proofErr w:type="spellEnd"/>
            <w:r w:rsidRPr="00186308">
              <w:t>® Hospital Drug Database</w:t>
            </w:r>
            <w:r>
              <w:t>;</w:t>
            </w:r>
            <w:r w:rsidRPr="00186308">
              <w:rPr>
                <w:rFonts w:cs="Courier New"/>
              </w:rPr>
              <w:t xml:space="preserve"> y, year</w:t>
            </w:r>
            <w:r>
              <w:rPr>
                <w:rFonts w:cs="Courier New"/>
              </w:rPr>
              <w:t>.</w:t>
            </w:r>
          </w:p>
          <w:p w:rsidR="002408B7" w:rsidRPr="00186308" w:rsidRDefault="002408B7" w:rsidP="001801E9">
            <w:pPr>
              <w:spacing w:after="0" w:line="240" w:lineRule="auto"/>
              <w:rPr>
                <w:rFonts w:cs="Courier New"/>
              </w:rPr>
            </w:pPr>
          </w:p>
          <w:p w:rsidR="002408B7" w:rsidRPr="00186308" w:rsidRDefault="002408B7" w:rsidP="001801E9">
            <w:pPr>
              <w:spacing w:after="0" w:line="240" w:lineRule="auto"/>
              <w:rPr>
                <w:rFonts w:cs="Courier New"/>
              </w:rPr>
            </w:pPr>
            <w:r w:rsidRPr="00186308">
              <w:rPr>
                <w:rFonts w:cs="Courier New"/>
              </w:rPr>
              <w:t>*</w:t>
            </w:r>
            <w:r>
              <w:rPr>
                <w:rFonts w:cs="Courier New"/>
              </w:rPr>
              <w:t xml:space="preserve"> </w:t>
            </w:r>
            <w:r w:rsidRPr="00186308">
              <w:rPr>
                <w:rFonts w:cs="Courier New"/>
              </w:rPr>
              <w:t>refers to those with an age &lt;1 year or those missing age.</w:t>
            </w:r>
          </w:p>
          <w:p w:rsidR="002408B7" w:rsidRDefault="002408B7" w:rsidP="001801E9">
            <w:pPr>
              <w:spacing w:after="0" w:line="240" w:lineRule="auto"/>
              <w:rPr>
                <w:rFonts w:cs="Courier New"/>
              </w:rPr>
            </w:pPr>
            <w:r w:rsidRPr="00186308">
              <w:rPr>
                <w:rFonts w:cs="Courier New"/>
              </w:rPr>
              <w:t>†</w:t>
            </w:r>
            <w:r>
              <w:rPr>
                <w:rFonts w:cs="Courier New"/>
              </w:rPr>
              <w:t xml:space="preserve"> </w:t>
            </w:r>
            <w:r w:rsidRPr="00186308">
              <w:rPr>
                <w:rFonts w:cs="Courier New"/>
              </w:rPr>
              <w:t>Percent: (</w:t>
            </w:r>
            <w:r>
              <w:rPr>
                <w:rFonts w:cs="Courier New"/>
              </w:rPr>
              <w:t>hospitals with ≥1</w:t>
            </w:r>
            <w:r w:rsidRPr="00186308">
              <w:rPr>
                <w:rFonts w:cs="Courier New"/>
              </w:rPr>
              <w:t xml:space="preserve"> probiotic </w:t>
            </w:r>
            <w:r>
              <w:rPr>
                <w:rFonts w:cs="Courier New"/>
              </w:rPr>
              <w:t>course</w:t>
            </w:r>
            <w:r w:rsidRPr="00186308">
              <w:rPr>
                <w:rFonts w:cs="Courier New"/>
              </w:rPr>
              <w:t>) ÷ (</w:t>
            </w:r>
            <w:r>
              <w:rPr>
                <w:rFonts w:cs="Courier New"/>
              </w:rPr>
              <w:t>all</w:t>
            </w:r>
            <w:r w:rsidRPr="00186308">
              <w:rPr>
                <w:rFonts w:cs="Courier New"/>
              </w:rPr>
              <w:t xml:space="preserve"> hospitals</w:t>
            </w:r>
            <w:r>
              <w:rPr>
                <w:rFonts w:cs="Courier New"/>
              </w:rPr>
              <w:t xml:space="preserve"> with probiotic use</w:t>
            </w:r>
            <w:r w:rsidRPr="00186308">
              <w:rPr>
                <w:rFonts w:cs="Courier New"/>
              </w:rPr>
              <w:t>).</w:t>
            </w:r>
          </w:p>
          <w:p w:rsidR="002408B7" w:rsidRDefault="002408B7" w:rsidP="001801E9">
            <w:pPr>
              <w:spacing w:after="0" w:line="240" w:lineRule="auto"/>
              <w:rPr>
                <w:rFonts w:cs="Courier New"/>
              </w:rPr>
            </w:pPr>
            <w:r w:rsidRPr="00186308">
              <w:rPr>
                <w:rFonts w:cs="Courier New"/>
              </w:rPr>
              <w:t>‡</w:t>
            </w:r>
            <w:r>
              <w:rPr>
                <w:rFonts w:cs="Courier New"/>
              </w:rPr>
              <w:t xml:space="preserve"> </w:t>
            </w:r>
            <w:r w:rsidRPr="00186308">
              <w:rPr>
                <w:rFonts w:cs="Courier New"/>
              </w:rPr>
              <w:t xml:space="preserve">Actual text description in HDD reference table: </w:t>
            </w:r>
            <w:r w:rsidRPr="00186308">
              <w:rPr>
                <w:rFonts w:ascii="Calibri" w:hAnsi="Calibri" w:cs="Calibri"/>
                <w:i/>
                <w:color w:val="000000"/>
              </w:rPr>
              <w:t>LA, LA-PCAS, STREP, BIF ANIMALIS</w:t>
            </w:r>
            <w:r w:rsidRPr="00186308">
              <w:rPr>
                <w:rFonts w:ascii="Calibri" w:hAnsi="Calibri" w:cs="Calibri"/>
                <w:color w:val="000000"/>
              </w:rPr>
              <w:t xml:space="preserve">. </w:t>
            </w:r>
            <w:r w:rsidRPr="00186308">
              <w:rPr>
                <w:rFonts w:cs="Courier New"/>
              </w:rPr>
              <w:t xml:space="preserve">Potential identity: </w:t>
            </w:r>
            <w:r w:rsidRPr="00186308">
              <w:rPr>
                <w:i/>
              </w:rPr>
              <w:t xml:space="preserve">Lactobacillus </w:t>
            </w:r>
            <w:r w:rsidRPr="00186308">
              <w:rPr>
                <w:rFonts w:cs="Courier New"/>
                <w:i/>
              </w:rPr>
              <w:t xml:space="preserve">acidophilus, Streptococcus </w:t>
            </w:r>
            <w:proofErr w:type="spellStart"/>
            <w:r w:rsidRPr="00186308">
              <w:rPr>
                <w:rFonts w:cs="Courier New"/>
                <w:i/>
              </w:rPr>
              <w:t>thermophilus</w:t>
            </w:r>
            <w:proofErr w:type="spellEnd"/>
            <w:r w:rsidRPr="00186308">
              <w:rPr>
                <w:rFonts w:cs="Courier New"/>
                <w:i/>
              </w:rPr>
              <w:t xml:space="preserve">, L. </w:t>
            </w:r>
            <w:proofErr w:type="spellStart"/>
            <w:r w:rsidRPr="00186308">
              <w:rPr>
                <w:rFonts w:cs="Courier New"/>
                <w:i/>
              </w:rPr>
              <w:t>paracasei</w:t>
            </w:r>
            <w:proofErr w:type="spellEnd"/>
            <w:r w:rsidRPr="00186308">
              <w:rPr>
                <w:rFonts w:cs="Courier New"/>
                <w:i/>
              </w:rPr>
              <w:t xml:space="preserve">, Bifidobacterium </w:t>
            </w:r>
            <w:proofErr w:type="spellStart"/>
            <w:r w:rsidRPr="00186308">
              <w:rPr>
                <w:rFonts w:cs="Courier New"/>
                <w:i/>
              </w:rPr>
              <w:t>animalis</w:t>
            </w:r>
            <w:proofErr w:type="spellEnd"/>
            <w:r w:rsidRPr="00186308">
              <w:rPr>
                <w:rFonts w:cs="Courier New"/>
              </w:rPr>
              <w:t>.</w:t>
            </w:r>
          </w:p>
          <w:p w:rsidR="002408B7" w:rsidRDefault="002408B7" w:rsidP="001801E9">
            <w:pPr>
              <w:spacing w:after="0" w:line="240" w:lineRule="auto"/>
              <w:rPr>
                <w:rFonts w:cs="Courier New"/>
              </w:rPr>
            </w:pPr>
          </w:p>
          <w:p w:rsidR="002408B7" w:rsidRPr="00186308" w:rsidRDefault="002408B7" w:rsidP="001801E9">
            <w:pPr>
              <w:spacing w:after="0" w:line="240" w:lineRule="auto"/>
              <w:rPr>
                <w:rFonts w:cs="Courier New"/>
              </w:rPr>
            </w:pPr>
            <w:r>
              <w:t xml:space="preserve">Note: Only seven of the eight formulations identified from the HDD </w:t>
            </w:r>
            <w:r w:rsidRPr="00186308">
              <w:rPr>
                <w:lang w:val="en"/>
              </w:rPr>
              <w:t xml:space="preserve">reference </w:t>
            </w:r>
            <w:r>
              <w:t>tables were actually used.</w:t>
            </w:r>
          </w:p>
        </w:tc>
      </w:tr>
    </w:tbl>
    <w:p w:rsidR="002408B7" w:rsidRPr="00186308" w:rsidRDefault="002408B7" w:rsidP="002408B7"/>
    <w:p w:rsidR="002408B7" w:rsidRPr="00186308" w:rsidRDefault="002408B7" w:rsidP="002408B7">
      <w:pPr>
        <w:rPr>
          <w:rFonts w:cs="Courier New"/>
        </w:rPr>
        <w:sectPr w:rsidR="002408B7" w:rsidRPr="00186308" w:rsidSect="00FD4EB6">
          <w:pgSz w:w="15840" w:h="12240" w:orient="landscape"/>
          <w:pgMar w:top="1440" w:right="1440" w:bottom="1440" w:left="1440" w:header="720" w:footer="720" w:gutter="0"/>
          <w:cols w:space="720"/>
          <w:docGrid w:linePitch="360"/>
        </w:sectPr>
      </w:pPr>
    </w:p>
    <w:p w:rsidR="002408B7" w:rsidRPr="0032655B" w:rsidRDefault="002408B7" w:rsidP="002408B7">
      <w:pPr>
        <w:spacing w:after="0" w:line="240" w:lineRule="auto"/>
        <w:outlineLvl w:val="0"/>
        <w:rPr>
          <w:b/>
        </w:rPr>
      </w:pPr>
      <w:r w:rsidRPr="0032655B">
        <w:rPr>
          <w:b/>
        </w:rPr>
        <w:lastRenderedPageBreak/>
        <w:t>Supplemental Table 7. Data table for figure of probiotic use among 60 US hospitals reporting annually, HDD 2006-2012.</w:t>
      </w:r>
    </w:p>
    <w:p w:rsidR="002408B7" w:rsidRDefault="002408B7" w:rsidP="002408B7">
      <w:pPr>
        <w:spacing w:after="0" w:line="240" w:lineRule="auto"/>
      </w:pPr>
    </w:p>
    <w:tbl>
      <w:tblPr>
        <w:tblW w:w="13011" w:type="dxa"/>
        <w:tblBorders>
          <w:top w:val="single" w:sz="4" w:space="0" w:color="auto"/>
          <w:bottom w:val="single" w:sz="4" w:space="0" w:color="auto"/>
        </w:tblBorders>
        <w:tblLook w:val="04A0" w:firstRow="1" w:lastRow="0" w:firstColumn="1" w:lastColumn="0" w:noHBand="0" w:noVBand="1"/>
      </w:tblPr>
      <w:tblGrid>
        <w:gridCol w:w="4249"/>
        <w:gridCol w:w="1216"/>
        <w:gridCol w:w="1266"/>
        <w:gridCol w:w="1266"/>
        <w:gridCol w:w="1266"/>
        <w:gridCol w:w="1266"/>
        <w:gridCol w:w="1266"/>
        <w:gridCol w:w="1216"/>
      </w:tblGrid>
      <w:tr w:rsidR="002408B7" w:rsidRPr="00AF0075" w:rsidTr="001801E9">
        <w:trPr>
          <w:trHeight w:val="300"/>
        </w:trPr>
        <w:tc>
          <w:tcPr>
            <w:tcW w:w="4249" w:type="dxa"/>
            <w:tcBorders>
              <w:top w:val="single" w:sz="4" w:space="0" w:color="auto"/>
              <w:bottom w:val="single" w:sz="4" w:space="0" w:color="auto"/>
            </w:tcBorders>
            <w:shd w:val="clear" w:color="auto" w:fill="auto"/>
            <w:noWrap/>
            <w:vAlign w:val="bottom"/>
            <w:hideMark/>
          </w:tcPr>
          <w:p w:rsidR="002408B7" w:rsidRPr="00AF0075" w:rsidRDefault="002408B7" w:rsidP="001801E9">
            <w:pPr>
              <w:spacing w:after="0" w:line="240" w:lineRule="auto"/>
              <w:jc w:val="center"/>
              <w:rPr>
                <w:rFonts w:ascii="Calibri" w:eastAsia="Times New Roman" w:hAnsi="Calibri" w:cs="Times New Roman"/>
                <w:b/>
                <w:bCs/>
                <w:color w:val="000000"/>
              </w:rPr>
            </w:pPr>
          </w:p>
        </w:tc>
        <w:tc>
          <w:tcPr>
            <w:tcW w:w="121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2006</w:t>
            </w:r>
          </w:p>
        </w:tc>
        <w:tc>
          <w:tcPr>
            <w:tcW w:w="126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2007</w:t>
            </w:r>
          </w:p>
        </w:tc>
        <w:tc>
          <w:tcPr>
            <w:tcW w:w="126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2008</w:t>
            </w:r>
          </w:p>
        </w:tc>
        <w:tc>
          <w:tcPr>
            <w:tcW w:w="126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2009</w:t>
            </w:r>
          </w:p>
        </w:tc>
        <w:tc>
          <w:tcPr>
            <w:tcW w:w="126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2010</w:t>
            </w:r>
          </w:p>
        </w:tc>
        <w:tc>
          <w:tcPr>
            <w:tcW w:w="126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2011</w:t>
            </w:r>
          </w:p>
        </w:tc>
        <w:tc>
          <w:tcPr>
            <w:tcW w:w="1216" w:type="dxa"/>
            <w:tcBorders>
              <w:top w:val="single" w:sz="4" w:space="0" w:color="auto"/>
              <w:bottom w:val="single" w:sz="4" w:space="0" w:color="auto"/>
            </w:tcBorders>
            <w:shd w:val="clear" w:color="auto" w:fill="auto"/>
            <w:hideMark/>
          </w:tcPr>
          <w:p w:rsidR="002408B7" w:rsidRPr="00AF0075" w:rsidRDefault="002408B7" w:rsidP="001801E9">
            <w:pPr>
              <w:spacing w:after="0" w:line="240" w:lineRule="auto"/>
              <w:jc w:val="center"/>
              <w:rPr>
                <w:rFonts w:ascii="Calibri" w:eastAsia="Times New Roman" w:hAnsi="Calibri" w:cs="Times New Roman"/>
                <w:b/>
                <w:bCs/>
                <w:color w:val="000000"/>
              </w:rPr>
            </w:pPr>
            <w:r w:rsidRPr="00AF0075">
              <w:rPr>
                <w:rFonts w:ascii="Calibri" w:eastAsia="Times New Roman" w:hAnsi="Calibri" w:cs="Times New Roman"/>
                <w:b/>
                <w:bCs/>
                <w:color w:val="000000"/>
              </w:rPr>
              <w:t>2012</w:t>
            </w:r>
          </w:p>
        </w:tc>
      </w:tr>
      <w:tr w:rsidR="002408B7" w:rsidRPr="00AF0075" w:rsidTr="001801E9">
        <w:trPr>
          <w:trHeight w:val="300"/>
        </w:trPr>
        <w:tc>
          <w:tcPr>
            <w:tcW w:w="4249" w:type="dxa"/>
            <w:tcBorders>
              <w:top w:val="single" w:sz="4" w:space="0" w:color="auto"/>
            </w:tcBorders>
            <w:shd w:val="clear" w:color="auto" w:fill="auto"/>
            <w:noWrap/>
            <w:vAlign w:val="bottom"/>
            <w:hideMark/>
          </w:tcPr>
          <w:p w:rsidR="002408B7" w:rsidRPr="00AF0075"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Dis</w:t>
            </w:r>
            <w:r w:rsidRPr="00AF0075">
              <w:rPr>
                <w:rFonts w:ascii="Calibri" w:eastAsia="Times New Roman" w:hAnsi="Calibri" w:cs="Times New Roman"/>
                <w:bCs/>
                <w:color w:val="000000"/>
              </w:rPr>
              <w:t>c</w:t>
            </w:r>
            <w:r>
              <w:rPr>
                <w:rFonts w:ascii="Calibri" w:eastAsia="Times New Roman" w:hAnsi="Calibri" w:cs="Times New Roman"/>
                <w:bCs/>
                <w:color w:val="000000"/>
              </w:rPr>
              <w:t>harge</w:t>
            </w:r>
            <w:r w:rsidRPr="00AF0075">
              <w:rPr>
                <w:rFonts w:ascii="Calibri" w:eastAsia="Times New Roman" w:hAnsi="Calibri" w:cs="Times New Roman"/>
                <w:bCs/>
                <w:color w:val="000000"/>
              </w:rPr>
              <w:t>s</w:t>
            </w:r>
            <w:r>
              <w:rPr>
                <w:rFonts w:ascii="Calibri" w:eastAsia="Times New Roman" w:hAnsi="Calibri" w:cs="Times New Roman"/>
                <w:bCs/>
                <w:color w:val="000000"/>
              </w:rPr>
              <w:t>, n</w:t>
            </w:r>
          </w:p>
        </w:tc>
        <w:tc>
          <w:tcPr>
            <w:tcW w:w="121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1,090,373</w:t>
            </w:r>
          </w:p>
        </w:tc>
        <w:tc>
          <w:tcPr>
            <w:tcW w:w="126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1,109,108</w:t>
            </w:r>
          </w:p>
        </w:tc>
        <w:tc>
          <w:tcPr>
            <w:tcW w:w="126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1,087,359</w:t>
            </w:r>
          </w:p>
        </w:tc>
        <w:tc>
          <w:tcPr>
            <w:tcW w:w="126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1,032,093</w:t>
            </w:r>
          </w:p>
        </w:tc>
        <w:tc>
          <w:tcPr>
            <w:tcW w:w="126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1,048,352</w:t>
            </w:r>
          </w:p>
        </w:tc>
        <w:tc>
          <w:tcPr>
            <w:tcW w:w="126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1,052,218</w:t>
            </w:r>
          </w:p>
        </w:tc>
        <w:tc>
          <w:tcPr>
            <w:tcW w:w="1216" w:type="dxa"/>
            <w:tcBorders>
              <w:top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1,006,051</w:t>
            </w:r>
          </w:p>
        </w:tc>
      </w:tr>
      <w:tr w:rsidR="002408B7" w:rsidRPr="00AF0075" w:rsidTr="001801E9">
        <w:trPr>
          <w:trHeight w:val="300"/>
        </w:trPr>
        <w:tc>
          <w:tcPr>
            <w:tcW w:w="4249" w:type="dxa"/>
            <w:shd w:val="clear" w:color="auto" w:fill="auto"/>
            <w:vAlign w:val="bottom"/>
          </w:tcPr>
          <w:p w:rsidR="002408B7"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Hospitals, n</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w:t>
            </w:r>
          </w:p>
        </w:tc>
      </w:tr>
      <w:tr w:rsidR="002408B7" w:rsidRPr="00AF0075" w:rsidTr="001801E9">
        <w:trPr>
          <w:trHeight w:val="300"/>
        </w:trPr>
        <w:tc>
          <w:tcPr>
            <w:tcW w:w="4249" w:type="dxa"/>
            <w:shd w:val="clear" w:color="auto" w:fill="auto"/>
            <w:vAlign w:val="bottom"/>
          </w:tcPr>
          <w:p w:rsidR="002408B7"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P</w:t>
            </w:r>
            <w:r w:rsidRPr="00AF0075">
              <w:rPr>
                <w:rFonts w:ascii="Calibri" w:eastAsia="Times New Roman" w:hAnsi="Calibri" w:cs="Times New Roman"/>
                <w:bCs/>
                <w:color w:val="000000"/>
              </w:rPr>
              <w:t>robiotic d</w:t>
            </w:r>
            <w:r>
              <w:rPr>
                <w:rFonts w:ascii="Calibri" w:eastAsia="Times New Roman" w:hAnsi="Calibri" w:cs="Times New Roman"/>
                <w:bCs/>
                <w:color w:val="000000"/>
              </w:rPr>
              <w:t>is</w:t>
            </w:r>
            <w:r w:rsidRPr="00AF0075">
              <w:rPr>
                <w:rFonts w:ascii="Calibri" w:eastAsia="Times New Roman" w:hAnsi="Calibri" w:cs="Times New Roman"/>
                <w:bCs/>
                <w:color w:val="000000"/>
              </w:rPr>
              <w:t>c</w:t>
            </w:r>
            <w:r>
              <w:rPr>
                <w:rFonts w:ascii="Calibri" w:eastAsia="Times New Roman" w:hAnsi="Calibri" w:cs="Times New Roman"/>
                <w:bCs/>
                <w:color w:val="000000"/>
              </w:rPr>
              <w:t>harge</w:t>
            </w:r>
            <w:r w:rsidRPr="00AF0075">
              <w:rPr>
                <w:rFonts w:ascii="Calibri" w:eastAsia="Times New Roman" w:hAnsi="Calibri" w:cs="Times New Roman"/>
                <w:bCs/>
                <w:color w:val="000000"/>
              </w:rPr>
              <w:t>s</w:t>
            </w:r>
            <w:r>
              <w:rPr>
                <w:rFonts w:ascii="Calibri" w:eastAsia="Times New Roman" w:hAnsi="Calibri" w:cs="Times New Roman"/>
                <w:bCs/>
                <w:color w:val="000000"/>
              </w:rPr>
              <w:t>, n</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10,722</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13,217</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16,827</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20,599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23,121</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26,283</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28,871</w:t>
            </w:r>
          </w:p>
        </w:tc>
      </w:tr>
      <w:tr w:rsidR="002408B7" w:rsidRPr="00AF0075" w:rsidTr="001801E9">
        <w:trPr>
          <w:trHeight w:val="300"/>
        </w:trPr>
        <w:tc>
          <w:tcPr>
            <w:tcW w:w="4249" w:type="dxa"/>
            <w:shd w:val="clear" w:color="auto" w:fill="auto"/>
          </w:tcPr>
          <w:p w:rsidR="002408B7"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Hospitals with probiotic discharges, n</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57</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Probiotic discharges per </w:t>
            </w:r>
            <w:r w:rsidRPr="00AF0075">
              <w:rPr>
                <w:rFonts w:ascii="Calibri" w:eastAsia="Times New Roman" w:hAnsi="Calibri" w:cs="Times New Roman"/>
                <w:bCs/>
                <w:color w:val="000000"/>
              </w:rPr>
              <w:t>100</w:t>
            </w:r>
            <w:r>
              <w:rPr>
                <w:rFonts w:ascii="Calibri" w:eastAsia="Times New Roman" w:hAnsi="Calibri" w:cs="Times New Roman"/>
                <w:bCs/>
                <w:color w:val="000000"/>
              </w:rPr>
              <w:t xml:space="preserve"> </w:t>
            </w:r>
            <w:r w:rsidRPr="00AF0075">
              <w:rPr>
                <w:rFonts w:ascii="Calibri" w:eastAsia="Times New Roman" w:hAnsi="Calibri" w:cs="Times New Roman"/>
                <w:bCs/>
                <w:color w:val="000000"/>
              </w:rPr>
              <w:t>d</w:t>
            </w:r>
            <w:r>
              <w:rPr>
                <w:rFonts w:ascii="Calibri" w:eastAsia="Times New Roman" w:hAnsi="Calibri" w:cs="Times New Roman"/>
                <w:bCs/>
                <w:color w:val="000000"/>
              </w:rPr>
              <w:t>ischarges</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1.0</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1.5</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2.0</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2.5</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2.9</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rPr>
                <w:rFonts w:ascii="Calibri" w:eastAsia="Times New Roman" w:hAnsi="Calibri" w:cs="Times New Roman"/>
                <w:bCs/>
                <w:color w:val="000000"/>
              </w:rPr>
            </w:pPr>
            <w:r>
              <w:rPr>
                <w:rFonts w:ascii="Calibri" w:eastAsia="Times New Roman" w:hAnsi="Calibri" w:cs="Times New Roman"/>
                <w:bCs/>
                <w:color w:val="000000"/>
              </w:rPr>
              <w:t xml:space="preserve">Probiotic discharges per </w:t>
            </w:r>
            <w:r w:rsidRPr="00AF0075">
              <w:rPr>
                <w:rFonts w:ascii="Calibri" w:eastAsia="Times New Roman" w:hAnsi="Calibri" w:cs="Times New Roman"/>
                <w:bCs/>
                <w:color w:val="000000"/>
              </w:rPr>
              <w:t>100</w:t>
            </w:r>
            <w:r>
              <w:rPr>
                <w:rFonts w:ascii="Calibri" w:eastAsia="Times New Roman" w:hAnsi="Calibri" w:cs="Times New Roman"/>
                <w:bCs/>
                <w:color w:val="000000"/>
              </w:rPr>
              <w:t xml:space="preserve"> </w:t>
            </w:r>
            <w:r w:rsidRPr="00AF0075">
              <w:rPr>
                <w:rFonts w:ascii="Calibri" w:eastAsia="Times New Roman" w:hAnsi="Calibri" w:cs="Times New Roman"/>
                <w:bCs/>
                <w:color w:val="000000"/>
              </w:rPr>
              <w:t>d</w:t>
            </w:r>
            <w:r>
              <w:rPr>
                <w:rFonts w:ascii="Calibri" w:eastAsia="Times New Roman" w:hAnsi="Calibri" w:cs="Times New Roman"/>
                <w:bCs/>
                <w:color w:val="000000"/>
              </w:rPr>
              <w:t>ischarges</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9.8</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11.9</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15.5</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20.0</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22.1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25.0</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28.7</w:t>
            </w:r>
          </w:p>
        </w:tc>
      </w:tr>
      <w:tr w:rsidR="002408B7" w:rsidRPr="00AF0075" w:rsidTr="001801E9">
        <w:trPr>
          <w:trHeight w:val="300"/>
        </w:trPr>
        <w:tc>
          <w:tcPr>
            <w:tcW w:w="4249" w:type="dxa"/>
            <w:shd w:val="clear" w:color="auto" w:fill="auto"/>
            <w:vAlign w:val="bottom"/>
          </w:tcPr>
          <w:p w:rsidR="002408B7" w:rsidRPr="00186308" w:rsidRDefault="002408B7" w:rsidP="001801E9">
            <w:pPr>
              <w:spacing w:after="0" w:line="240" w:lineRule="auto"/>
              <w:rPr>
                <w:i/>
              </w:rPr>
            </w:pPr>
            <w:r>
              <w:rPr>
                <w:rFonts w:ascii="Calibri" w:hAnsi="Calibri"/>
                <w:color w:val="000000"/>
              </w:rPr>
              <w:t>Total number of courses</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13,274</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15,466</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19,144</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23,464</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25,729</w:t>
            </w:r>
          </w:p>
        </w:tc>
        <w:tc>
          <w:tcPr>
            <w:tcW w:w="126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27,811</w:t>
            </w:r>
          </w:p>
        </w:tc>
        <w:tc>
          <w:tcPr>
            <w:tcW w:w="1216" w:type="dxa"/>
            <w:shd w:val="clear" w:color="auto" w:fill="auto"/>
          </w:tcPr>
          <w:p w:rsidR="002408B7" w:rsidRPr="00AF0075" w:rsidRDefault="002408B7" w:rsidP="001801E9">
            <w:pPr>
              <w:spacing w:after="0" w:line="240" w:lineRule="auto"/>
              <w:jc w:val="right"/>
              <w:rPr>
                <w:rFonts w:ascii="Calibri" w:eastAsia="Times New Roman" w:hAnsi="Calibri" w:cs="Times New Roman"/>
                <w:color w:val="000000"/>
              </w:rPr>
            </w:pPr>
            <w:r>
              <w:rPr>
                <w:rFonts w:ascii="Calibri" w:hAnsi="Calibri"/>
                <w:color w:val="000000"/>
              </w:rPr>
              <w:t>30,611</w:t>
            </w:r>
          </w:p>
        </w:tc>
      </w:tr>
      <w:tr w:rsidR="002408B7" w:rsidRPr="00CA69BF" w:rsidTr="001801E9">
        <w:trPr>
          <w:trHeight w:val="300"/>
        </w:trPr>
        <w:tc>
          <w:tcPr>
            <w:tcW w:w="4249" w:type="dxa"/>
            <w:shd w:val="clear" w:color="auto" w:fill="auto"/>
          </w:tcPr>
          <w:p w:rsidR="002408B7" w:rsidRPr="00CA69BF" w:rsidRDefault="002408B7" w:rsidP="001801E9">
            <w:pPr>
              <w:spacing w:after="0" w:line="240" w:lineRule="auto"/>
              <w:rPr>
                <w:u w:val="single"/>
              </w:rPr>
            </w:pPr>
            <w:r w:rsidRPr="00CA69BF">
              <w:rPr>
                <w:u w:val="single"/>
              </w:rPr>
              <w:t>Formulations</w:t>
            </w:r>
          </w:p>
        </w:tc>
        <w:tc>
          <w:tcPr>
            <w:tcW w:w="121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6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6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6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6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6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c>
          <w:tcPr>
            <w:tcW w:w="1216" w:type="dxa"/>
            <w:shd w:val="clear" w:color="auto" w:fill="auto"/>
          </w:tcPr>
          <w:p w:rsidR="002408B7" w:rsidRPr="00CA69BF" w:rsidRDefault="002408B7" w:rsidP="001801E9">
            <w:pPr>
              <w:spacing w:after="0" w:line="240" w:lineRule="auto"/>
              <w:jc w:val="right"/>
              <w:rPr>
                <w:rFonts w:ascii="Calibri" w:eastAsia="Times New Roman" w:hAnsi="Calibri" w:cs="Times New Roman"/>
                <w:color w:val="000000"/>
              </w:rPr>
            </w:pP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Lactobacillus acidophilus</w:t>
            </w:r>
            <w:r w:rsidRPr="00186308">
              <w:rPr>
                <w:rFonts w:ascii="Calibri" w:hAnsi="Calibri" w:cs="Calibri"/>
                <w:color w:val="000000"/>
              </w:rPr>
              <w:t xml:space="preserve"> and </w:t>
            </w:r>
            <w:r w:rsidRPr="00186308">
              <w:rPr>
                <w:i/>
              </w:rPr>
              <w:t xml:space="preserve">Lactobacillus </w:t>
            </w:r>
            <w:proofErr w:type="spellStart"/>
            <w:r w:rsidRPr="00186308">
              <w:rPr>
                <w:i/>
              </w:rPr>
              <w:t>bulgaricus</w:t>
            </w:r>
            <w:proofErr w:type="spellEnd"/>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29%</w:t>
            </w:r>
            <w:r>
              <w:rPr>
                <w:rFonts w:ascii="Calibri" w:eastAsia="Times New Roman" w:hAnsi="Calibri" w:cs="Times New Roman"/>
                <w:color w:val="000000"/>
              </w:rPr>
              <w:t>*</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28%</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29%</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32%</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32%</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 xml:space="preserve">Saccharomyces </w:t>
            </w:r>
            <w:proofErr w:type="spellStart"/>
            <w:r w:rsidRPr="00186308">
              <w:rPr>
                <w:i/>
              </w:rPr>
              <w:t>boulardii</w:t>
            </w:r>
            <w:proofErr w:type="spellEnd"/>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24%</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26%</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24%</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27%</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31%</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29%</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Lactobacillus acidophilus</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14%</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20%</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23%</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25%</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24%</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23%</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 xml:space="preserve">Lactobacillus </w:t>
            </w:r>
            <w:proofErr w:type="spellStart"/>
            <w:r w:rsidRPr="00186308">
              <w:rPr>
                <w:i/>
              </w:rPr>
              <w:t>rhamnosus</w:t>
            </w:r>
            <w:proofErr w:type="spellEnd"/>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26%</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18%</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16%</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8%</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11%</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 xml:space="preserve">Lactobacillus </w:t>
            </w:r>
            <w:r w:rsidRPr="00186308">
              <w:rPr>
                <w:rFonts w:cs="Courier New"/>
                <w:i/>
              </w:rPr>
              <w:t xml:space="preserve">acidophilus, Streptococcus </w:t>
            </w:r>
            <w:proofErr w:type="spellStart"/>
            <w:r w:rsidRPr="00186308">
              <w:rPr>
                <w:rFonts w:cs="Courier New"/>
                <w:i/>
              </w:rPr>
              <w:t>thermophilus</w:t>
            </w:r>
            <w:proofErr w:type="spellEnd"/>
            <w:r w:rsidRPr="00186308">
              <w:rPr>
                <w:rFonts w:cs="Courier New"/>
                <w:i/>
              </w:rPr>
              <w:t>, L</w:t>
            </w:r>
            <w:r w:rsidRPr="00186308">
              <w:rPr>
                <w:i/>
              </w:rPr>
              <w:t>actobacillus</w:t>
            </w:r>
            <w:r w:rsidRPr="00186308">
              <w:rPr>
                <w:rFonts w:cs="Courier New"/>
                <w:i/>
              </w:rPr>
              <w:t xml:space="preserve"> </w:t>
            </w:r>
            <w:proofErr w:type="spellStart"/>
            <w:r w:rsidRPr="00186308">
              <w:rPr>
                <w:rFonts w:cs="Courier New"/>
                <w:i/>
              </w:rPr>
              <w:t>paracasei</w:t>
            </w:r>
            <w:proofErr w:type="spellEnd"/>
            <w:r w:rsidRPr="00186308">
              <w:rPr>
                <w:rFonts w:cs="Courier New"/>
                <w:i/>
              </w:rPr>
              <w:t xml:space="preserve">, Bifidobacterium </w:t>
            </w:r>
            <w:proofErr w:type="spellStart"/>
            <w:r w:rsidRPr="00186308">
              <w:rPr>
                <w:rFonts w:cs="Courier New"/>
                <w:i/>
              </w:rPr>
              <w:t>animalis</w:t>
            </w:r>
            <w:proofErr w:type="spellEnd"/>
            <w:r w:rsidRPr="00186308">
              <w:rPr>
                <w:rFonts w:cs="Courier New"/>
              </w:rPr>
              <w:t>†</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r>
      <w:tr w:rsidR="002408B7" w:rsidRPr="00AF0075" w:rsidTr="001801E9">
        <w:trPr>
          <w:trHeight w:val="300"/>
        </w:trPr>
        <w:tc>
          <w:tcPr>
            <w:tcW w:w="4249" w:type="dxa"/>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 xml:space="preserve">Lactobacillus </w:t>
            </w:r>
            <w:proofErr w:type="spellStart"/>
            <w:r w:rsidRPr="00186308">
              <w:rPr>
                <w:i/>
              </w:rPr>
              <w:t>reuteri</w:t>
            </w:r>
            <w:proofErr w:type="spellEnd"/>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5%</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4%</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w:t>
            </w:r>
          </w:p>
        </w:tc>
        <w:tc>
          <w:tcPr>
            <w:tcW w:w="126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c>
          <w:tcPr>
            <w:tcW w:w="1216" w:type="dxa"/>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r>
      <w:tr w:rsidR="002408B7" w:rsidRPr="00AF0075" w:rsidTr="001801E9">
        <w:trPr>
          <w:trHeight w:val="300"/>
        </w:trPr>
        <w:tc>
          <w:tcPr>
            <w:tcW w:w="4249" w:type="dxa"/>
            <w:tcBorders>
              <w:bottom w:val="single" w:sz="4" w:space="0" w:color="auto"/>
            </w:tcBorders>
            <w:shd w:val="clear" w:color="auto" w:fill="auto"/>
            <w:hideMark/>
          </w:tcPr>
          <w:p w:rsidR="002408B7" w:rsidRPr="00AF0075" w:rsidRDefault="002408B7" w:rsidP="001801E9">
            <w:pPr>
              <w:spacing w:after="0" w:line="240" w:lineRule="auto"/>
              <w:ind w:left="162"/>
              <w:rPr>
                <w:rFonts w:ascii="Calibri" w:eastAsia="Times New Roman" w:hAnsi="Calibri" w:cs="Times New Roman"/>
                <w:bCs/>
                <w:color w:val="000000"/>
              </w:rPr>
            </w:pPr>
            <w:r w:rsidRPr="00186308">
              <w:rPr>
                <w:i/>
              </w:rPr>
              <w:t xml:space="preserve">Bifidobacterium </w:t>
            </w:r>
            <w:proofErr w:type="spellStart"/>
            <w:r w:rsidRPr="00186308">
              <w:rPr>
                <w:i/>
              </w:rPr>
              <w:t>infantis</w:t>
            </w:r>
            <w:proofErr w:type="spellEnd"/>
          </w:p>
        </w:tc>
        <w:tc>
          <w:tcPr>
            <w:tcW w:w="121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0%</w:t>
            </w:r>
          </w:p>
        </w:tc>
        <w:tc>
          <w:tcPr>
            <w:tcW w:w="126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0%</w:t>
            </w:r>
          </w:p>
        </w:tc>
        <w:tc>
          <w:tcPr>
            <w:tcW w:w="126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0%</w:t>
            </w:r>
          </w:p>
        </w:tc>
        <w:tc>
          <w:tcPr>
            <w:tcW w:w="126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0%</w:t>
            </w:r>
          </w:p>
        </w:tc>
        <w:tc>
          <w:tcPr>
            <w:tcW w:w="126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0%</w:t>
            </w:r>
          </w:p>
        </w:tc>
        <w:tc>
          <w:tcPr>
            <w:tcW w:w="126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1%</w:t>
            </w:r>
          </w:p>
        </w:tc>
        <w:tc>
          <w:tcPr>
            <w:tcW w:w="1216" w:type="dxa"/>
            <w:tcBorders>
              <w:bottom w:val="single" w:sz="4" w:space="0" w:color="auto"/>
            </w:tcBorders>
            <w:shd w:val="clear" w:color="auto" w:fill="auto"/>
            <w:hideMark/>
          </w:tcPr>
          <w:p w:rsidR="002408B7" w:rsidRPr="00AF0075" w:rsidRDefault="002408B7" w:rsidP="001801E9">
            <w:pPr>
              <w:spacing w:after="0" w:line="240" w:lineRule="auto"/>
              <w:jc w:val="right"/>
              <w:rPr>
                <w:rFonts w:ascii="Calibri" w:eastAsia="Times New Roman" w:hAnsi="Calibri" w:cs="Times New Roman"/>
                <w:color w:val="000000"/>
              </w:rPr>
            </w:pPr>
            <w:r w:rsidRPr="00AF0075">
              <w:rPr>
                <w:rFonts w:ascii="Calibri" w:eastAsia="Times New Roman" w:hAnsi="Calibri" w:cs="Times New Roman"/>
                <w:color w:val="000000"/>
              </w:rPr>
              <w:t>2%</w:t>
            </w:r>
          </w:p>
        </w:tc>
      </w:tr>
      <w:tr w:rsidR="002408B7" w:rsidRPr="00AF0075" w:rsidTr="001801E9">
        <w:trPr>
          <w:trHeight w:val="300"/>
        </w:trPr>
        <w:tc>
          <w:tcPr>
            <w:tcW w:w="13011" w:type="dxa"/>
            <w:gridSpan w:val="8"/>
            <w:tcBorders>
              <w:top w:val="single" w:sz="4" w:space="0" w:color="auto"/>
              <w:bottom w:val="single" w:sz="4" w:space="0" w:color="auto"/>
            </w:tcBorders>
            <w:shd w:val="clear" w:color="auto" w:fill="auto"/>
          </w:tcPr>
          <w:p w:rsidR="002408B7" w:rsidRPr="00186308" w:rsidRDefault="002408B7" w:rsidP="001801E9">
            <w:pPr>
              <w:spacing w:after="0" w:line="240" w:lineRule="auto"/>
              <w:rPr>
                <w:rFonts w:cs="Courier New"/>
              </w:rPr>
            </w:pPr>
            <w:r w:rsidRPr="00186308">
              <w:rPr>
                <w:rFonts w:cs="Courier New"/>
              </w:rPr>
              <w:t xml:space="preserve">Abbreviations: </w:t>
            </w:r>
            <w:r>
              <w:rPr>
                <w:rFonts w:cs="Courier New"/>
              </w:rPr>
              <w:t xml:space="preserve">HDD, </w:t>
            </w:r>
            <w:proofErr w:type="spellStart"/>
            <w:r w:rsidRPr="00186308">
              <w:t>MarketScan</w:t>
            </w:r>
            <w:proofErr w:type="spellEnd"/>
            <w:r w:rsidRPr="00186308">
              <w:t>® Hospital Drug Database</w:t>
            </w:r>
            <w:r>
              <w:t>;</w:t>
            </w:r>
            <w:r w:rsidRPr="00186308">
              <w:rPr>
                <w:rFonts w:cs="Courier New"/>
              </w:rPr>
              <w:t xml:space="preserve"> </w:t>
            </w:r>
            <w:r>
              <w:rPr>
                <w:rFonts w:cs="Courier New"/>
              </w:rPr>
              <w:t>n, number</w:t>
            </w:r>
            <w:r w:rsidRPr="00186308">
              <w:rPr>
                <w:rFonts w:cs="Courier New"/>
              </w:rPr>
              <w:t>.</w:t>
            </w:r>
          </w:p>
          <w:p w:rsidR="002408B7" w:rsidRPr="00455DB1" w:rsidRDefault="002408B7" w:rsidP="001801E9">
            <w:pPr>
              <w:spacing w:after="0" w:line="240" w:lineRule="auto"/>
              <w:rPr>
                <w:rFonts w:cs="Courier New"/>
              </w:rPr>
            </w:pPr>
            <w:r w:rsidRPr="00186308">
              <w:rPr>
                <w:rFonts w:cs="Courier New"/>
              </w:rPr>
              <w:t>*</w:t>
            </w:r>
            <w:r>
              <w:rPr>
                <w:rFonts w:cs="Courier New"/>
              </w:rPr>
              <w:t xml:space="preserve"> </w:t>
            </w:r>
            <w:r w:rsidRPr="00186308">
              <w:rPr>
                <w:rFonts w:cs="Courier New"/>
              </w:rPr>
              <w:t>Percent</w:t>
            </w:r>
            <w:r>
              <w:rPr>
                <w:rFonts w:cs="Courier New"/>
              </w:rPr>
              <w:t>= (# formulation-specific</w:t>
            </w:r>
            <w:r w:rsidRPr="00186308">
              <w:rPr>
                <w:rFonts w:cs="Courier New"/>
              </w:rPr>
              <w:t xml:space="preserve"> </w:t>
            </w:r>
            <w:r>
              <w:rPr>
                <w:rFonts w:cs="Courier New"/>
              </w:rPr>
              <w:t>courses per year</w:t>
            </w:r>
            <w:r w:rsidRPr="00186308">
              <w:rPr>
                <w:rFonts w:cs="Courier New"/>
              </w:rPr>
              <w:t>) ÷ (</w:t>
            </w:r>
            <w:r>
              <w:rPr>
                <w:rFonts w:cs="Courier New"/>
              </w:rPr>
              <w:t>total courses per year).</w:t>
            </w:r>
          </w:p>
          <w:p w:rsidR="002408B7" w:rsidRDefault="002408B7" w:rsidP="001801E9">
            <w:pPr>
              <w:spacing w:after="0" w:line="240" w:lineRule="auto"/>
              <w:rPr>
                <w:rFonts w:cs="Courier New"/>
              </w:rPr>
            </w:pPr>
            <w:r w:rsidRPr="00186308">
              <w:rPr>
                <w:rFonts w:cs="Courier New"/>
              </w:rPr>
              <w:t>†</w:t>
            </w:r>
            <w:r>
              <w:rPr>
                <w:rFonts w:cs="Courier New"/>
              </w:rPr>
              <w:t xml:space="preserve"> </w:t>
            </w:r>
            <w:r w:rsidRPr="00186308">
              <w:rPr>
                <w:rFonts w:cs="Courier New"/>
              </w:rPr>
              <w:t xml:space="preserve">Actual text description in HDD reference table: </w:t>
            </w:r>
            <w:r w:rsidRPr="00186308">
              <w:rPr>
                <w:rFonts w:ascii="Calibri" w:hAnsi="Calibri" w:cs="Calibri"/>
                <w:i/>
                <w:color w:val="000000"/>
              </w:rPr>
              <w:t>LA, LA-PCAS, STREP, BIF ANIMALIS</w:t>
            </w:r>
            <w:r w:rsidRPr="00186308">
              <w:rPr>
                <w:rFonts w:ascii="Calibri" w:hAnsi="Calibri" w:cs="Calibri"/>
                <w:color w:val="000000"/>
              </w:rPr>
              <w:t xml:space="preserve">. </w:t>
            </w:r>
            <w:r w:rsidRPr="00186308">
              <w:rPr>
                <w:rFonts w:cs="Courier New"/>
              </w:rPr>
              <w:t xml:space="preserve">Potential identity: </w:t>
            </w:r>
            <w:r w:rsidRPr="00186308">
              <w:rPr>
                <w:i/>
              </w:rPr>
              <w:t xml:space="preserve">Lactobacillus </w:t>
            </w:r>
            <w:r w:rsidRPr="00186308">
              <w:rPr>
                <w:rFonts w:cs="Courier New"/>
                <w:i/>
              </w:rPr>
              <w:t xml:space="preserve">acidophilus, Streptococcus </w:t>
            </w:r>
            <w:proofErr w:type="spellStart"/>
            <w:r w:rsidRPr="00186308">
              <w:rPr>
                <w:rFonts w:cs="Courier New"/>
                <w:i/>
              </w:rPr>
              <w:t>thermophilus</w:t>
            </w:r>
            <w:proofErr w:type="spellEnd"/>
            <w:r w:rsidRPr="00186308">
              <w:rPr>
                <w:rFonts w:cs="Courier New"/>
                <w:i/>
              </w:rPr>
              <w:t>, L</w:t>
            </w:r>
            <w:r w:rsidRPr="00186308">
              <w:rPr>
                <w:i/>
              </w:rPr>
              <w:t>actobacillus</w:t>
            </w:r>
            <w:r w:rsidRPr="00186308">
              <w:rPr>
                <w:rFonts w:cs="Courier New"/>
                <w:i/>
              </w:rPr>
              <w:t xml:space="preserve"> </w:t>
            </w:r>
            <w:proofErr w:type="spellStart"/>
            <w:r w:rsidRPr="00186308">
              <w:rPr>
                <w:rFonts w:cs="Courier New"/>
                <w:i/>
              </w:rPr>
              <w:t>paracasei</w:t>
            </w:r>
            <w:proofErr w:type="spellEnd"/>
            <w:r w:rsidRPr="00186308">
              <w:rPr>
                <w:rFonts w:cs="Courier New"/>
                <w:i/>
              </w:rPr>
              <w:t xml:space="preserve">, Bifidobacterium </w:t>
            </w:r>
            <w:proofErr w:type="spellStart"/>
            <w:r w:rsidRPr="00186308">
              <w:rPr>
                <w:rFonts w:cs="Courier New"/>
                <w:i/>
              </w:rPr>
              <w:t>animalis</w:t>
            </w:r>
            <w:proofErr w:type="spellEnd"/>
            <w:r w:rsidRPr="00186308">
              <w:rPr>
                <w:rFonts w:cs="Courier New"/>
              </w:rPr>
              <w:t>.</w:t>
            </w:r>
          </w:p>
          <w:p w:rsidR="002408B7" w:rsidRPr="00FF32E0" w:rsidRDefault="002408B7" w:rsidP="001801E9">
            <w:pPr>
              <w:spacing w:after="0" w:line="240" w:lineRule="auto"/>
              <w:rPr>
                <w:rFonts w:cs="Courier New"/>
              </w:rPr>
            </w:pPr>
            <w:r>
              <w:t xml:space="preserve">Note: Only seven of the eight formulations identified from the HDD </w:t>
            </w:r>
            <w:r w:rsidRPr="00186308">
              <w:rPr>
                <w:lang w:val="en"/>
              </w:rPr>
              <w:t xml:space="preserve">reference </w:t>
            </w:r>
            <w:r>
              <w:t>tables were actually used.</w:t>
            </w:r>
          </w:p>
        </w:tc>
      </w:tr>
    </w:tbl>
    <w:p w:rsidR="002408B7" w:rsidRDefault="002408B7" w:rsidP="002408B7">
      <w:pPr>
        <w:spacing w:after="0" w:line="240" w:lineRule="auto"/>
        <w:sectPr w:rsidR="002408B7" w:rsidSect="0037483D">
          <w:pgSz w:w="15840" w:h="12240" w:orient="landscape"/>
          <w:pgMar w:top="1440" w:right="1440" w:bottom="1440" w:left="1440" w:header="720" w:footer="720" w:gutter="0"/>
          <w:cols w:space="720"/>
          <w:docGrid w:linePitch="360"/>
        </w:sectPr>
      </w:pPr>
    </w:p>
    <w:p w:rsidR="002408B7" w:rsidRPr="00887947" w:rsidRDefault="002408B7" w:rsidP="002408B7">
      <w:pPr>
        <w:spacing w:after="0" w:line="240" w:lineRule="auto"/>
        <w:outlineLvl w:val="0"/>
        <w:rPr>
          <w:b/>
        </w:rPr>
      </w:pPr>
      <w:r w:rsidRPr="00887947">
        <w:rPr>
          <w:b/>
        </w:rPr>
        <w:lastRenderedPageBreak/>
        <w:t>Supplemental Appendix</w:t>
      </w:r>
      <w:r>
        <w:rPr>
          <w:b/>
        </w:rPr>
        <w:t>.</w:t>
      </w:r>
      <w:r w:rsidRPr="00887947">
        <w:rPr>
          <w:b/>
        </w:rPr>
        <w:t xml:space="preserve"> </w:t>
      </w:r>
      <w:r>
        <w:rPr>
          <w:b/>
        </w:rPr>
        <w:t>National projection of probiotic use.</w:t>
      </w:r>
    </w:p>
    <w:p w:rsidR="002408B7" w:rsidRDefault="002408B7" w:rsidP="002408B7">
      <w:pPr>
        <w:spacing w:after="0" w:line="240" w:lineRule="auto"/>
        <w:rPr>
          <w:b/>
        </w:rPr>
      </w:pPr>
    </w:p>
    <w:p w:rsidR="002408B7" w:rsidRPr="001801E9" w:rsidRDefault="002408B7" w:rsidP="002408B7">
      <w:pPr>
        <w:spacing w:after="0" w:line="240" w:lineRule="auto"/>
        <w:outlineLvl w:val="1"/>
        <w:rPr>
          <w:b/>
        </w:rPr>
      </w:pPr>
      <w:r>
        <w:rPr>
          <w:b/>
        </w:rPr>
        <w:t>Results: weighted estimates</w:t>
      </w:r>
    </w:p>
    <w:p w:rsidR="002408B7" w:rsidRDefault="002408B7" w:rsidP="002408B7">
      <w:pPr>
        <w:pStyle w:val="ListParagraph"/>
        <w:numPr>
          <w:ilvl w:val="0"/>
          <w:numId w:val="17"/>
        </w:numPr>
        <w:spacing w:after="0" w:line="240" w:lineRule="auto"/>
      </w:pPr>
      <w:r>
        <w:t xml:space="preserve">Projected number of discharges with probiotic use (numerator): </w:t>
      </w:r>
      <w:r w:rsidRPr="00A02145">
        <w:t>849,475; st</w:t>
      </w:r>
      <w:r>
        <w:t>andar</w:t>
      </w:r>
      <w:r w:rsidRPr="00A02145">
        <w:t>d dev</w:t>
      </w:r>
      <w:r>
        <w:t>iation</w:t>
      </w:r>
      <w:r w:rsidRPr="00A02145">
        <w:t>: 28,387</w:t>
      </w:r>
      <w:r>
        <w:t>.</w:t>
      </w:r>
    </w:p>
    <w:p w:rsidR="002408B7" w:rsidRDefault="002408B7" w:rsidP="002408B7">
      <w:pPr>
        <w:pStyle w:val="ListParagraph"/>
        <w:numPr>
          <w:ilvl w:val="0"/>
          <w:numId w:val="17"/>
        </w:numPr>
        <w:spacing w:after="0" w:line="240" w:lineRule="auto"/>
      </w:pPr>
      <w:r>
        <w:t>Projected number of discharges (denominator):</w:t>
      </w:r>
      <w:r w:rsidRPr="00A02145">
        <w:t xml:space="preserve"> 32,484,387; st</w:t>
      </w:r>
      <w:r>
        <w:t>an</w:t>
      </w:r>
      <w:r w:rsidRPr="00A02145">
        <w:t>d</w:t>
      </w:r>
      <w:r>
        <w:t>ard</w:t>
      </w:r>
      <w:r w:rsidRPr="00A02145">
        <w:t xml:space="preserve"> dev</w:t>
      </w:r>
      <w:r>
        <w:t>iation</w:t>
      </w:r>
      <w:r w:rsidRPr="00A02145">
        <w:t>: 575,568</w:t>
      </w:r>
      <w:r>
        <w:t>.</w:t>
      </w:r>
    </w:p>
    <w:p w:rsidR="002408B7" w:rsidRPr="00A02145" w:rsidRDefault="002408B7" w:rsidP="002408B7">
      <w:pPr>
        <w:pStyle w:val="ListParagraph"/>
        <w:numPr>
          <w:ilvl w:val="0"/>
          <w:numId w:val="17"/>
        </w:numPr>
        <w:spacing w:after="0" w:line="240" w:lineRule="auto"/>
      </w:pPr>
      <w:r>
        <w:t>Projected numbers are based on the weighting of 1,976,163 discharges in the study sample.</w:t>
      </w:r>
    </w:p>
    <w:p w:rsidR="002408B7" w:rsidRDefault="002408B7" w:rsidP="002408B7">
      <w:pPr>
        <w:spacing w:after="0" w:line="240" w:lineRule="auto"/>
      </w:pPr>
    </w:p>
    <w:p w:rsidR="002408B7" w:rsidRPr="001801E9" w:rsidRDefault="002408B7" w:rsidP="002408B7">
      <w:pPr>
        <w:spacing w:after="0" w:line="240" w:lineRule="auto"/>
        <w:outlineLvl w:val="1"/>
        <w:rPr>
          <w:b/>
        </w:rPr>
      </w:pPr>
      <w:r>
        <w:rPr>
          <w:b/>
        </w:rPr>
        <w:t>Methods: d</w:t>
      </w:r>
      <w:r w:rsidRPr="001801E9">
        <w:rPr>
          <w:b/>
        </w:rPr>
        <w:t>escription of national weights</w:t>
      </w:r>
    </w:p>
    <w:p w:rsidR="002408B7" w:rsidRPr="001801E9" w:rsidRDefault="002408B7" w:rsidP="002408B7">
      <w:pPr>
        <w:spacing w:after="0" w:line="240" w:lineRule="auto"/>
        <w:rPr>
          <w:i/>
        </w:rPr>
      </w:pPr>
      <w:r w:rsidRPr="001801E9">
        <w:rPr>
          <w:i/>
        </w:rPr>
        <w:t xml:space="preserve">The below text is included with permission from </w:t>
      </w:r>
      <w:proofErr w:type="spellStart"/>
      <w:r w:rsidRPr="001801E9">
        <w:rPr>
          <w:i/>
        </w:rPr>
        <w:t>Truven</w:t>
      </w:r>
      <w:proofErr w:type="spellEnd"/>
      <w:r w:rsidRPr="001801E9">
        <w:rPr>
          <w:i/>
        </w:rPr>
        <w:t xml:space="preserve"> Health. Citation: </w:t>
      </w:r>
      <w:proofErr w:type="spellStart"/>
      <w:r w:rsidRPr="001801E9">
        <w:rPr>
          <w:i/>
        </w:rPr>
        <w:t>Truven</w:t>
      </w:r>
      <w:proofErr w:type="spellEnd"/>
      <w:r w:rsidRPr="001801E9">
        <w:rPr>
          <w:i/>
        </w:rPr>
        <w:t xml:space="preserve"> Health </w:t>
      </w:r>
      <w:proofErr w:type="spellStart"/>
      <w:r w:rsidRPr="001801E9">
        <w:rPr>
          <w:i/>
        </w:rPr>
        <w:t>Marketscan</w:t>
      </w:r>
      <w:proofErr w:type="spellEnd"/>
      <w:r w:rsidRPr="001801E9">
        <w:rPr>
          <w:i/>
        </w:rPr>
        <w:t>® Hospital Drug Database User Guide National Weights, Version 01 (</w:t>
      </w:r>
      <w:r>
        <w:rPr>
          <w:i/>
        </w:rPr>
        <w:t xml:space="preserve">version date: </w:t>
      </w:r>
      <w:r w:rsidRPr="001801E9">
        <w:rPr>
          <w:i/>
        </w:rPr>
        <w:t>November 4, 2015).</w:t>
      </w:r>
    </w:p>
    <w:p w:rsidR="002408B7" w:rsidRDefault="002408B7" w:rsidP="002408B7">
      <w:pPr>
        <w:spacing w:after="0" w:line="240" w:lineRule="auto"/>
      </w:pPr>
    </w:p>
    <w:p w:rsidR="002408B7" w:rsidRPr="001801E9" w:rsidRDefault="002408B7" w:rsidP="002408B7">
      <w:pPr>
        <w:spacing w:after="0" w:line="240" w:lineRule="auto"/>
        <w:outlineLvl w:val="2"/>
        <w:rPr>
          <w:u w:val="single"/>
        </w:rPr>
      </w:pPr>
      <w:r w:rsidRPr="001801E9">
        <w:rPr>
          <w:bCs/>
          <w:u w:val="single"/>
        </w:rPr>
        <w:t>Background</w:t>
      </w:r>
    </w:p>
    <w:p w:rsidR="002408B7" w:rsidRPr="00E83648" w:rsidRDefault="002408B7" w:rsidP="002408B7">
      <w:pPr>
        <w:spacing w:after="0" w:line="240" w:lineRule="auto"/>
      </w:pPr>
      <w:r w:rsidRPr="00E83648">
        <w:t xml:space="preserve">The </w:t>
      </w:r>
      <w:proofErr w:type="spellStart"/>
      <w:r w:rsidRPr="00E83648">
        <w:t>Truven</w:t>
      </w:r>
      <w:proofErr w:type="spellEnd"/>
      <w:r w:rsidRPr="00E83648">
        <w:t xml:space="preserve"> Health </w:t>
      </w:r>
      <w:proofErr w:type="spellStart"/>
      <w:r w:rsidRPr="00E83648">
        <w:t>MarketScan</w:t>
      </w:r>
      <w:proofErr w:type="spellEnd"/>
      <w:r w:rsidRPr="00E83648">
        <w:t>® Hospital Drug Database (HDD) contain discharge data from short-term non-federal general (STGNF), acute care hospitals in the contiguous US. To project this population to the national population of STGNF acute care hospitals discharges (N = approximately 33 million)</w:t>
      </w:r>
      <w:proofErr w:type="gramStart"/>
      <w:r w:rsidRPr="00E83648">
        <w:t>,</w:t>
      </w:r>
      <w:r w:rsidRPr="00E83648">
        <w:rPr>
          <w:vertAlign w:val="superscript"/>
        </w:rPr>
        <w:t>1</w:t>
      </w:r>
      <w:proofErr w:type="gramEnd"/>
      <w:r w:rsidRPr="00E83648">
        <w:t xml:space="preserve"> the </w:t>
      </w:r>
      <w:proofErr w:type="spellStart"/>
      <w:r w:rsidRPr="00E83648">
        <w:t>MarketScan</w:t>
      </w:r>
      <w:proofErr w:type="spellEnd"/>
      <w:r w:rsidRPr="00E83648">
        <w:t xml:space="preserve"> HDD Weights were constructed using the American Hospital Association (AHA) Annual Hospital Survey (http://www.ahadataviewer.com/book-cd-products/aha-survey/). This survey, provides national estimates of the number of discharges from STGNF acute care hospitals. These estimates were used to weight individuals in the </w:t>
      </w:r>
      <w:proofErr w:type="spellStart"/>
      <w:r w:rsidRPr="00E83648">
        <w:t>MarketScan</w:t>
      </w:r>
      <w:proofErr w:type="spellEnd"/>
      <w:r w:rsidRPr="00E83648">
        <w:t xml:space="preserve"> HDD databases to reflect the national numb</w:t>
      </w:r>
      <w:r>
        <w:t>er STGNF acute care discharges.</w:t>
      </w:r>
    </w:p>
    <w:p w:rsidR="002408B7" w:rsidRDefault="002408B7" w:rsidP="002408B7">
      <w:pPr>
        <w:spacing w:after="0" w:line="240" w:lineRule="auto"/>
      </w:pPr>
    </w:p>
    <w:p w:rsidR="002408B7" w:rsidRPr="00E83648" w:rsidRDefault="002408B7" w:rsidP="002408B7">
      <w:pPr>
        <w:spacing w:after="0" w:line="240" w:lineRule="auto"/>
      </w:pPr>
      <w:r w:rsidRPr="00E83648">
        <w:t xml:space="preserve">Although the </w:t>
      </w:r>
      <w:proofErr w:type="spellStart"/>
      <w:r w:rsidRPr="00E83648">
        <w:t>MarketScan</w:t>
      </w:r>
      <w:proofErr w:type="spellEnd"/>
      <w:r w:rsidRPr="00E83648">
        <w:t xml:space="preserve"> HDD Weights do not currently project to the total number of all inpatient discharges in the U.S., approximately 90% of the total inpatient discharges are in STGNF acute care hospitals.</w:t>
      </w:r>
      <w:r w:rsidRPr="00E83648">
        <w:rPr>
          <w:vertAlign w:val="superscript"/>
        </w:rPr>
        <w:t>1</w:t>
      </w:r>
    </w:p>
    <w:p w:rsidR="002408B7" w:rsidRDefault="002408B7" w:rsidP="002408B7">
      <w:pPr>
        <w:spacing w:after="0" w:line="240" w:lineRule="auto"/>
      </w:pPr>
    </w:p>
    <w:p w:rsidR="002408B7" w:rsidRPr="00E83648" w:rsidRDefault="002408B7" w:rsidP="002408B7">
      <w:pPr>
        <w:spacing w:after="0" w:line="240" w:lineRule="auto"/>
      </w:pPr>
      <w:r w:rsidRPr="00E83648">
        <w:t xml:space="preserve">To construct the </w:t>
      </w:r>
      <w:proofErr w:type="spellStart"/>
      <w:r w:rsidRPr="00E83648">
        <w:t>MarketScan</w:t>
      </w:r>
      <w:proofErr w:type="spellEnd"/>
      <w:r w:rsidRPr="00E83648">
        <w:t xml:space="preserve"> HDD National Weights, the American Hospital Association Annual Hospital Survey is stratified by the bed size of each hospital and the total number of inpatient discharges is summarized. The bed sizes are stratified as follows: </w:t>
      </w:r>
    </w:p>
    <w:p w:rsidR="002408B7" w:rsidRPr="00E83648" w:rsidRDefault="002408B7" w:rsidP="002408B7">
      <w:pPr>
        <w:pStyle w:val="ListParagraph"/>
        <w:numPr>
          <w:ilvl w:val="0"/>
          <w:numId w:val="16"/>
        </w:numPr>
        <w:spacing w:after="0" w:line="240" w:lineRule="auto"/>
      </w:pPr>
      <w:r w:rsidRPr="00E83648">
        <w:t xml:space="preserve">0 to 200 beds </w:t>
      </w:r>
    </w:p>
    <w:p w:rsidR="002408B7" w:rsidRPr="00E83648" w:rsidRDefault="002408B7" w:rsidP="002408B7">
      <w:pPr>
        <w:pStyle w:val="ListParagraph"/>
        <w:numPr>
          <w:ilvl w:val="0"/>
          <w:numId w:val="16"/>
        </w:numPr>
        <w:spacing w:after="0" w:line="240" w:lineRule="auto"/>
      </w:pPr>
      <w:r w:rsidRPr="00E83648">
        <w:t xml:space="preserve">200 to 299 beds </w:t>
      </w:r>
    </w:p>
    <w:p w:rsidR="002408B7" w:rsidRPr="00E83648" w:rsidRDefault="002408B7" w:rsidP="002408B7">
      <w:pPr>
        <w:pStyle w:val="ListParagraph"/>
        <w:numPr>
          <w:ilvl w:val="0"/>
          <w:numId w:val="16"/>
        </w:numPr>
        <w:spacing w:after="0" w:line="240" w:lineRule="auto"/>
      </w:pPr>
      <w:r w:rsidRPr="00E83648">
        <w:t xml:space="preserve">300 to 499 beds </w:t>
      </w:r>
    </w:p>
    <w:p w:rsidR="002408B7" w:rsidRPr="00E83648" w:rsidRDefault="002408B7" w:rsidP="002408B7">
      <w:pPr>
        <w:pStyle w:val="ListParagraph"/>
        <w:numPr>
          <w:ilvl w:val="0"/>
          <w:numId w:val="16"/>
        </w:numPr>
        <w:spacing w:after="0" w:line="240" w:lineRule="auto"/>
      </w:pPr>
      <w:r w:rsidRPr="00E83648">
        <w:t xml:space="preserve">500+ beds </w:t>
      </w:r>
    </w:p>
    <w:p w:rsidR="002408B7" w:rsidRPr="00E83648" w:rsidRDefault="002408B7" w:rsidP="002408B7">
      <w:pPr>
        <w:spacing w:after="0" w:line="240" w:lineRule="auto"/>
      </w:pPr>
    </w:p>
    <w:p w:rsidR="002408B7" w:rsidRPr="00E83648" w:rsidRDefault="002408B7" w:rsidP="002408B7">
      <w:pPr>
        <w:spacing w:after="0" w:line="240" w:lineRule="auto"/>
      </w:pPr>
      <w:r w:rsidRPr="00E83648">
        <w:t xml:space="preserve">The number of inpatient discharges within the </w:t>
      </w:r>
      <w:proofErr w:type="spellStart"/>
      <w:r w:rsidRPr="00E83648">
        <w:t>MarketScan</w:t>
      </w:r>
      <w:proofErr w:type="spellEnd"/>
      <w:r w:rsidRPr="00E83648">
        <w:t xml:space="preserve"> HDD in each bed size cell is similarly summed. The weight is the ratio of AHA national estimated discharges by bed size to the </w:t>
      </w:r>
      <w:proofErr w:type="spellStart"/>
      <w:r w:rsidRPr="00E83648">
        <w:t>MarketScan</w:t>
      </w:r>
      <w:proofErr w:type="spellEnd"/>
      <w:r w:rsidRPr="00E83648">
        <w:t xml:space="preserve"> total nu</w:t>
      </w:r>
      <w:r>
        <w:t>mber of discharges by bed size.</w:t>
      </w:r>
    </w:p>
    <w:p w:rsidR="002408B7" w:rsidRDefault="002408B7" w:rsidP="002408B7">
      <w:pPr>
        <w:spacing w:after="0" w:line="240" w:lineRule="auto"/>
      </w:pPr>
      <w:r w:rsidRPr="00E83648">
        <w:rPr>
          <w:noProof/>
        </w:rPr>
        <w:drawing>
          <wp:inline distT="0" distB="0" distL="0" distR="0" wp14:anchorId="1BFE6BD0" wp14:editId="0A7AC72F">
            <wp:extent cx="2924175" cy="4076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407670"/>
                    </a:xfrm>
                    <a:prstGeom prst="rect">
                      <a:avLst/>
                    </a:prstGeom>
                    <a:noFill/>
                    <a:ln>
                      <a:noFill/>
                    </a:ln>
                  </pic:spPr>
                </pic:pic>
              </a:graphicData>
            </a:graphic>
          </wp:inline>
        </w:drawing>
      </w:r>
    </w:p>
    <w:p w:rsidR="002408B7" w:rsidRDefault="002408B7" w:rsidP="002408B7">
      <w:pPr>
        <w:spacing w:after="0" w:line="240" w:lineRule="auto"/>
        <w:rPr>
          <w:sz w:val="20"/>
          <w:szCs w:val="20"/>
        </w:rPr>
      </w:pPr>
      <w:r w:rsidRPr="00E83648">
        <w:rPr>
          <w:sz w:val="13"/>
          <w:szCs w:val="13"/>
          <w:vertAlign w:val="superscript"/>
        </w:rPr>
        <w:t>1</w:t>
      </w:r>
      <w:r>
        <w:rPr>
          <w:sz w:val="13"/>
          <w:szCs w:val="13"/>
        </w:rPr>
        <w:t xml:space="preserve"> </w:t>
      </w:r>
      <w:r>
        <w:rPr>
          <w:sz w:val="20"/>
          <w:szCs w:val="20"/>
        </w:rPr>
        <w:t xml:space="preserve">American Hospital Association Survey. Available at </w:t>
      </w:r>
      <w:r>
        <w:rPr>
          <w:rFonts w:ascii="Times New Roman" w:hAnsi="Times New Roman" w:cs="Times New Roman"/>
          <w:sz w:val="23"/>
          <w:szCs w:val="23"/>
        </w:rPr>
        <w:t>http://www.ahadataviewer.com/book-cd-products/aha-survey/</w:t>
      </w:r>
      <w:r>
        <w:rPr>
          <w:sz w:val="20"/>
          <w:szCs w:val="20"/>
        </w:rPr>
        <w:t>. Annual 2013 survey.</w:t>
      </w:r>
    </w:p>
    <w:p w:rsidR="002408B7" w:rsidRDefault="002408B7" w:rsidP="002408B7">
      <w:pPr>
        <w:spacing w:after="0" w:line="240" w:lineRule="auto"/>
      </w:pPr>
    </w:p>
    <w:p w:rsidR="002408B7" w:rsidRPr="001801E9" w:rsidRDefault="002408B7" w:rsidP="002408B7">
      <w:pPr>
        <w:spacing w:after="0" w:line="240" w:lineRule="auto"/>
        <w:outlineLvl w:val="2"/>
        <w:rPr>
          <w:u w:val="single"/>
        </w:rPr>
      </w:pPr>
      <w:r w:rsidRPr="001801E9">
        <w:rPr>
          <w:bCs/>
          <w:u w:val="single"/>
        </w:rPr>
        <w:t>National Weight Table</w:t>
      </w:r>
    </w:p>
    <w:p w:rsidR="002408B7" w:rsidRPr="00E83648" w:rsidRDefault="002408B7" w:rsidP="002408B7">
      <w:pPr>
        <w:spacing w:after="0" w:line="240" w:lineRule="auto"/>
      </w:pPr>
      <w:r w:rsidRPr="00E83648">
        <w:t xml:space="preserve">The national weights are delivered as a stand-alone table of weight values that can be merged with the </w:t>
      </w:r>
      <w:proofErr w:type="spellStart"/>
      <w:r w:rsidRPr="00E83648">
        <w:t>MarketScan</w:t>
      </w:r>
      <w:proofErr w:type="spellEnd"/>
      <w:r w:rsidRPr="00E83648">
        <w:t xml:space="preserve"> HDD data. The weights are calculated monthly at a hospital level for each hos</w:t>
      </w:r>
      <w:r>
        <w:t>pital within a bed size strata.</w:t>
      </w:r>
    </w:p>
    <w:p w:rsidR="002408B7" w:rsidRDefault="002408B7" w:rsidP="002408B7">
      <w:pPr>
        <w:spacing w:after="0" w:line="240" w:lineRule="auto"/>
      </w:pPr>
    </w:p>
    <w:p w:rsidR="000E2620" w:rsidRDefault="002408B7" w:rsidP="002408B7">
      <w:pPr>
        <w:spacing w:after="0" w:line="240" w:lineRule="auto"/>
      </w:pPr>
      <w:r w:rsidRPr="00E83648">
        <w:t>The weights are delivered as a SAS dataset containing the hospital key, the month (</w:t>
      </w:r>
      <w:proofErr w:type="spellStart"/>
      <w:r w:rsidRPr="00E83648">
        <w:t>part_key</w:t>
      </w:r>
      <w:proofErr w:type="spellEnd"/>
      <w:r w:rsidRPr="00E83648">
        <w:t xml:space="preserve">), and the national weight. These weights will be joined to the HDD data by linking the </w:t>
      </w:r>
      <w:proofErr w:type="spellStart"/>
      <w:r w:rsidRPr="00E83648">
        <w:t>hospital_key</w:t>
      </w:r>
      <w:proofErr w:type="spellEnd"/>
      <w:r w:rsidRPr="00E83648">
        <w:t xml:space="preserve"> and </w:t>
      </w:r>
      <w:proofErr w:type="spellStart"/>
      <w:r w:rsidRPr="00E83648">
        <w:t>part_key</w:t>
      </w:r>
      <w:proofErr w:type="spellEnd"/>
      <w:r w:rsidRPr="00E83648">
        <w:t xml:space="preserve"> from the HDD data to the </w:t>
      </w:r>
      <w:proofErr w:type="spellStart"/>
      <w:r w:rsidRPr="00E83648">
        <w:t>hospital_key</w:t>
      </w:r>
      <w:proofErr w:type="spellEnd"/>
      <w:r w:rsidRPr="00E83648">
        <w:t xml:space="preserve"> and </w:t>
      </w:r>
      <w:proofErr w:type="spellStart"/>
      <w:r w:rsidRPr="00E83648">
        <w:t>part_key</w:t>
      </w:r>
      <w:proofErr w:type="spellEnd"/>
      <w:r w:rsidRPr="00E83648">
        <w:t xml:space="preserve"> from the weights table.</w:t>
      </w:r>
    </w:p>
    <w:sectPr w:rsidR="000E2620" w:rsidSect="009F68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64" w:rsidRDefault="002B6B64" w:rsidP="002B6B64">
      <w:pPr>
        <w:spacing w:after="0" w:line="240" w:lineRule="auto"/>
      </w:pPr>
      <w:r>
        <w:separator/>
      </w:r>
    </w:p>
  </w:endnote>
  <w:endnote w:type="continuationSeparator" w:id="0">
    <w:p w:rsidR="002B6B64" w:rsidRDefault="002B6B64" w:rsidP="002B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64" w:rsidRPr="002B6B64" w:rsidRDefault="002B6B64">
    <w:pPr>
      <w:pStyle w:val="Footer"/>
      <w:rPr>
        <w:i/>
      </w:rPr>
    </w:pPr>
    <w:r w:rsidRPr="002B6B64">
      <w:rPr>
        <w:i/>
      </w:rPr>
      <w:t xml:space="preserve">Supplemental materials for: Yi SH, Jernigan JA, McDonald LC. Prevalence of probiotic use among inpatients: A descriptive study of 145 U.S. hospitals. Am J Infect Control. </w:t>
    </w:r>
    <w:proofErr w:type="spellStart"/>
    <w:proofErr w:type="gramStart"/>
    <w:r w:rsidRPr="002B6B64">
      <w:rPr>
        <w:i/>
      </w:rPr>
      <w:t>doi</w:t>
    </w:r>
    <w:proofErr w:type="spellEnd"/>
    <w:proofErr w:type="gramEnd"/>
    <w:r w:rsidRPr="002B6B64">
      <w:rPr>
        <w:i/>
      </w:rPr>
      <w:t>: 10.1016/j.ajic.2015.12.001. PMID: 26822808</w:t>
    </w:r>
  </w:p>
  <w:p w:rsidR="002B6B64" w:rsidRDefault="002B6B64" w:rsidP="002B6B64">
    <w:pPr>
      <w:pStyle w:val="Footer"/>
      <w:jc w:val="right"/>
    </w:pPr>
    <w:r>
      <w:t xml:space="preserve">Page </w:t>
    </w:r>
    <w:r>
      <w:fldChar w:fldCharType="begin"/>
    </w:r>
    <w:r>
      <w:instrText xml:space="preserve"> PAGE  \* Arabic  \* MERGEFORMAT </w:instrText>
    </w:r>
    <w:r>
      <w:fldChar w:fldCharType="separate"/>
    </w:r>
    <w:r w:rsidR="006E5A99">
      <w:rPr>
        <w:noProof/>
      </w:rPr>
      <w:t>3</w:t>
    </w:r>
    <w:r>
      <w:fldChar w:fldCharType="end"/>
    </w:r>
    <w:r>
      <w:t xml:space="preserve"> of </w:t>
    </w:r>
    <w:fldSimple w:instr=" NUMPAGES  \* Arabic  \* MERGEFORMAT ">
      <w:r w:rsidR="006E5A99">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64" w:rsidRDefault="002B6B64" w:rsidP="002B6B64">
      <w:pPr>
        <w:spacing w:after="0" w:line="240" w:lineRule="auto"/>
      </w:pPr>
      <w:r>
        <w:separator/>
      </w:r>
    </w:p>
  </w:footnote>
  <w:footnote w:type="continuationSeparator" w:id="0">
    <w:p w:rsidR="002B6B64" w:rsidRDefault="002B6B64" w:rsidP="002B6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3921"/>
    <w:multiLevelType w:val="hybridMultilevel"/>
    <w:tmpl w:val="E33C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17386"/>
    <w:multiLevelType w:val="hybridMultilevel"/>
    <w:tmpl w:val="6C28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DD7"/>
    <w:multiLevelType w:val="hybridMultilevel"/>
    <w:tmpl w:val="DD0A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16BF"/>
    <w:multiLevelType w:val="hybridMultilevel"/>
    <w:tmpl w:val="991A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27E20"/>
    <w:multiLevelType w:val="hybridMultilevel"/>
    <w:tmpl w:val="D42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61247"/>
    <w:multiLevelType w:val="hybridMultilevel"/>
    <w:tmpl w:val="162868B8"/>
    <w:lvl w:ilvl="0" w:tplc="8FDEA5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D7272"/>
    <w:multiLevelType w:val="hybridMultilevel"/>
    <w:tmpl w:val="68F04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456DD"/>
    <w:multiLevelType w:val="hybridMultilevel"/>
    <w:tmpl w:val="2A08C3E2"/>
    <w:lvl w:ilvl="0" w:tplc="72C2D68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82E2F"/>
    <w:multiLevelType w:val="hybridMultilevel"/>
    <w:tmpl w:val="F4DE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F3608"/>
    <w:multiLevelType w:val="hybridMultilevel"/>
    <w:tmpl w:val="B860C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856EA"/>
    <w:multiLevelType w:val="hybridMultilevel"/>
    <w:tmpl w:val="0DF8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850E7"/>
    <w:multiLevelType w:val="hybridMultilevel"/>
    <w:tmpl w:val="4C10909C"/>
    <w:lvl w:ilvl="0" w:tplc="4F4EE1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72323"/>
    <w:multiLevelType w:val="hybridMultilevel"/>
    <w:tmpl w:val="4C721D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19D1C7A"/>
    <w:multiLevelType w:val="hybridMultilevel"/>
    <w:tmpl w:val="7FE0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F371E"/>
    <w:multiLevelType w:val="hybridMultilevel"/>
    <w:tmpl w:val="FE04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84D9A"/>
    <w:multiLevelType w:val="hybridMultilevel"/>
    <w:tmpl w:val="98A4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91016"/>
    <w:multiLevelType w:val="hybridMultilevel"/>
    <w:tmpl w:val="70CCA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6"/>
  </w:num>
  <w:num w:numId="5">
    <w:abstractNumId w:val="7"/>
  </w:num>
  <w:num w:numId="6">
    <w:abstractNumId w:val="14"/>
  </w:num>
  <w:num w:numId="7">
    <w:abstractNumId w:val="6"/>
  </w:num>
  <w:num w:numId="8">
    <w:abstractNumId w:val="4"/>
  </w:num>
  <w:num w:numId="9">
    <w:abstractNumId w:val="15"/>
  </w:num>
  <w:num w:numId="10">
    <w:abstractNumId w:val="12"/>
  </w:num>
  <w:num w:numId="11">
    <w:abstractNumId w:val="3"/>
  </w:num>
  <w:num w:numId="12">
    <w:abstractNumId w:val="2"/>
  </w:num>
  <w:num w:numId="13">
    <w:abstractNumId w:val="1"/>
  </w:num>
  <w:num w:numId="14">
    <w:abstractNumId w:val="5"/>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B7"/>
    <w:rsid w:val="000E2620"/>
    <w:rsid w:val="002408B7"/>
    <w:rsid w:val="002674AE"/>
    <w:rsid w:val="002B6B64"/>
    <w:rsid w:val="005B1134"/>
    <w:rsid w:val="006E5A99"/>
    <w:rsid w:val="00F1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E47108-33C8-4C91-BDCA-448F230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8B7"/>
  </w:style>
  <w:style w:type="paragraph" w:styleId="Footer">
    <w:name w:val="footer"/>
    <w:basedOn w:val="Normal"/>
    <w:link w:val="FooterChar"/>
    <w:uiPriority w:val="99"/>
    <w:unhideWhenUsed/>
    <w:rsid w:val="00240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8B7"/>
  </w:style>
  <w:style w:type="paragraph" w:styleId="ListParagraph">
    <w:name w:val="List Paragraph"/>
    <w:basedOn w:val="Normal"/>
    <w:uiPriority w:val="34"/>
    <w:qFormat/>
    <w:rsid w:val="002408B7"/>
    <w:pPr>
      <w:ind w:left="720"/>
      <w:contextualSpacing/>
    </w:pPr>
  </w:style>
  <w:style w:type="character" w:styleId="CommentReference">
    <w:name w:val="annotation reference"/>
    <w:basedOn w:val="DefaultParagraphFont"/>
    <w:uiPriority w:val="99"/>
    <w:semiHidden/>
    <w:unhideWhenUsed/>
    <w:rsid w:val="002408B7"/>
    <w:rPr>
      <w:sz w:val="16"/>
      <w:szCs w:val="16"/>
    </w:rPr>
  </w:style>
  <w:style w:type="paragraph" w:styleId="CommentText">
    <w:name w:val="annotation text"/>
    <w:basedOn w:val="Normal"/>
    <w:link w:val="CommentTextChar"/>
    <w:uiPriority w:val="99"/>
    <w:unhideWhenUsed/>
    <w:rsid w:val="002408B7"/>
    <w:pPr>
      <w:spacing w:line="240" w:lineRule="auto"/>
    </w:pPr>
    <w:rPr>
      <w:sz w:val="20"/>
      <w:szCs w:val="20"/>
    </w:rPr>
  </w:style>
  <w:style w:type="character" w:customStyle="1" w:styleId="CommentTextChar">
    <w:name w:val="Comment Text Char"/>
    <w:basedOn w:val="DefaultParagraphFont"/>
    <w:link w:val="CommentText"/>
    <w:uiPriority w:val="99"/>
    <w:rsid w:val="002408B7"/>
    <w:rPr>
      <w:sz w:val="20"/>
      <w:szCs w:val="20"/>
    </w:rPr>
  </w:style>
  <w:style w:type="paragraph" w:styleId="CommentSubject">
    <w:name w:val="annotation subject"/>
    <w:basedOn w:val="CommentText"/>
    <w:next w:val="CommentText"/>
    <w:link w:val="CommentSubjectChar"/>
    <w:uiPriority w:val="99"/>
    <w:semiHidden/>
    <w:unhideWhenUsed/>
    <w:rsid w:val="002408B7"/>
    <w:rPr>
      <w:b/>
      <w:bCs/>
    </w:rPr>
  </w:style>
  <w:style w:type="character" w:customStyle="1" w:styleId="CommentSubjectChar">
    <w:name w:val="Comment Subject Char"/>
    <w:basedOn w:val="CommentTextChar"/>
    <w:link w:val="CommentSubject"/>
    <w:uiPriority w:val="99"/>
    <w:semiHidden/>
    <w:rsid w:val="002408B7"/>
    <w:rPr>
      <w:b/>
      <w:bCs/>
      <w:sz w:val="20"/>
      <w:szCs w:val="20"/>
    </w:rPr>
  </w:style>
  <w:style w:type="paragraph" w:styleId="BalloonText">
    <w:name w:val="Balloon Text"/>
    <w:basedOn w:val="Normal"/>
    <w:link w:val="BalloonTextChar"/>
    <w:uiPriority w:val="99"/>
    <w:semiHidden/>
    <w:unhideWhenUsed/>
    <w:rsid w:val="0024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B7"/>
    <w:rPr>
      <w:rFonts w:ascii="Tahoma" w:hAnsi="Tahoma" w:cs="Tahoma"/>
      <w:sz w:val="16"/>
      <w:szCs w:val="16"/>
    </w:rPr>
  </w:style>
  <w:style w:type="paragraph" w:styleId="Revision">
    <w:name w:val="Revision"/>
    <w:hidden/>
    <w:uiPriority w:val="99"/>
    <w:semiHidden/>
    <w:rsid w:val="002408B7"/>
    <w:pPr>
      <w:spacing w:after="0" w:line="240" w:lineRule="auto"/>
    </w:pPr>
  </w:style>
  <w:style w:type="paragraph" w:customStyle="1" w:styleId="Default">
    <w:name w:val="Default"/>
    <w:rsid w:val="002408B7"/>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2408B7"/>
    <w:rPr>
      <w:color w:val="0563C1" w:themeColor="hyperlink"/>
      <w:u w:val="single"/>
    </w:rPr>
  </w:style>
  <w:style w:type="character" w:styleId="FollowedHyperlink">
    <w:name w:val="FollowedHyperlink"/>
    <w:basedOn w:val="DefaultParagraphFont"/>
    <w:uiPriority w:val="99"/>
    <w:semiHidden/>
    <w:unhideWhenUsed/>
    <w:rsid w:val="002408B7"/>
    <w:rPr>
      <w:color w:val="954F72" w:themeColor="followedHyperlink"/>
      <w:u w:val="single"/>
    </w:rPr>
  </w:style>
  <w:style w:type="paragraph" w:styleId="NormalWeb">
    <w:name w:val="Normal (Web)"/>
    <w:basedOn w:val="Normal"/>
    <w:uiPriority w:val="99"/>
    <w:unhideWhenUsed/>
    <w:rsid w:val="002408B7"/>
    <w:pPr>
      <w:spacing w:after="210" w:line="210" w:lineRule="atLeast"/>
      <w:jc w:val="both"/>
    </w:pPr>
    <w:rPr>
      <w:rFonts w:ascii="Times New Roman" w:eastAsia="Times New Roman" w:hAnsi="Times New Roman" w:cs="Times New Roman"/>
      <w:sz w:val="17"/>
      <w:szCs w:val="17"/>
    </w:rPr>
  </w:style>
  <w:style w:type="paragraph" w:styleId="Caption">
    <w:name w:val="caption"/>
    <w:basedOn w:val="Normal"/>
    <w:next w:val="Normal"/>
    <w:uiPriority w:val="35"/>
    <w:semiHidden/>
    <w:unhideWhenUsed/>
    <w:qFormat/>
    <w:rsid w:val="002408B7"/>
    <w:pPr>
      <w:spacing w:line="240" w:lineRule="auto"/>
    </w:pPr>
    <w:rPr>
      <w:b/>
      <w:bCs/>
      <w:color w:val="5B9BD5" w:themeColor="accent1"/>
      <w:sz w:val="18"/>
      <w:szCs w:val="18"/>
    </w:rPr>
  </w:style>
  <w:style w:type="paragraph" w:styleId="TableofFigures">
    <w:name w:val="table of figures"/>
    <w:basedOn w:val="Normal"/>
    <w:next w:val="Normal"/>
    <w:uiPriority w:val="99"/>
    <w:semiHidden/>
    <w:unhideWhenUsed/>
    <w:rsid w:val="002408B7"/>
    <w:pPr>
      <w:spacing w:after="0"/>
    </w:pPr>
  </w:style>
  <w:style w:type="table" w:styleId="LightShading">
    <w:name w:val="Light Shading"/>
    <w:basedOn w:val="TableNormal"/>
    <w:uiPriority w:val="60"/>
    <w:rsid w:val="002408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2408B7"/>
    <w:pPr>
      <w:spacing w:after="0"/>
      <w:jc w:val="center"/>
    </w:pPr>
    <w:rPr>
      <w:rFonts w:ascii="Calibri" w:hAnsi="Calibri" w:cs="Courier New"/>
      <w:noProof/>
      <w:sz w:val="24"/>
    </w:rPr>
  </w:style>
  <w:style w:type="character" w:customStyle="1" w:styleId="EndNoteBibliographyTitleChar">
    <w:name w:val="EndNote Bibliography Title Char"/>
    <w:basedOn w:val="DefaultParagraphFont"/>
    <w:link w:val="EndNoteBibliographyTitle"/>
    <w:rsid w:val="002408B7"/>
    <w:rPr>
      <w:rFonts w:ascii="Calibri" w:hAnsi="Calibri" w:cs="Courier New"/>
      <w:noProof/>
      <w:sz w:val="24"/>
    </w:rPr>
  </w:style>
  <w:style w:type="paragraph" w:customStyle="1" w:styleId="EndNoteBibliography">
    <w:name w:val="EndNote Bibliography"/>
    <w:basedOn w:val="Normal"/>
    <w:link w:val="EndNoteBibliographyChar"/>
    <w:rsid w:val="002408B7"/>
    <w:pPr>
      <w:spacing w:line="480" w:lineRule="auto"/>
    </w:pPr>
    <w:rPr>
      <w:rFonts w:ascii="Calibri" w:hAnsi="Calibri" w:cs="Courier New"/>
      <w:noProof/>
      <w:sz w:val="24"/>
    </w:rPr>
  </w:style>
  <w:style w:type="character" w:customStyle="1" w:styleId="EndNoteBibliographyChar">
    <w:name w:val="EndNote Bibliography Char"/>
    <w:basedOn w:val="DefaultParagraphFont"/>
    <w:link w:val="EndNoteBibliography"/>
    <w:rsid w:val="002408B7"/>
    <w:rPr>
      <w:rFonts w:ascii="Calibri" w:hAnsi="Calibri" w:cs="Courier New"/>
      <w:noProof/>
      <w:sz w:val="24"/>
    </w:rPr>
  </w:style>
  <w:style w:type="paragraph" w:styleId="BodyText">
    <w:name w:val="Body Text"/>
    <w:basedOn w:val="Normal"/>
    <w:link w:val="BodyTextChar"/>
    <w:uiPriority w:val="99"/>
    <w:semiHidden/>
    <w:unhideWhenUsed/>
    <w:qFormat/>
    <w:rsid w:val="002408B7"/>
    <w:pPr>
      <w:spacing w:after="0" w:line="480" w:lineRule="auto"/>
      <w:ind w:firstLine="720"/>
    </w:pPr>
  </w:style>
  <w:style w:type="character" w:customStyle="1" w:styleId="BodyTextChar">
    <w:name w:val="Body Text Char"/>
    <w:basedOn w:val="DefaultParagraphFont"/>
    <w:link w:val="BodyText"/>
    <w:uiPriority w:val="99"/>
    <w:semiHidden/>
    <w:rsid w:val="002408B7"/>
  </w:style>
  <w:style w:type="paragraph" w:customStyle="1" w:styleId="xl63">
    <w:name w:val="xl63"/>
    <w:basedOn w:val="Normal"/>
    <w:rsid w:val="002408B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408B7"/>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408B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2408B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2408B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408B7"/>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2408B7"/>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408B7"/>
    <w:pPr>
      <w:pBdr>
        <w:top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2408B7"/>
    <w:pPr>
      <w:pBdr>
        <w:top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2408B7"/>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2408B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2408B7"/>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2408B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2408B7"/>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2408B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2408B7"/>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2408B7"/>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2408B7"/>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2408B7"/>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2408B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408B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408B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2408B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2408B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Normal"/>
    <w:rsid w:val="002408B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2408B7"/>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2408B7"/>
    <w:pPr>
      <w:shd w:val="clear" w:color="000000" w:fill="E6B8B7"/>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08B7"/>
    <w:rPr>
      <w:i/>
      <w:iCs/>
    </w:rPr>
  </w:style>
  <w:style w:type="table" w:customStyle="1" w:styleId="PlainTable21">
    <w:name w:val="Plain Table 21"/>
    <w:basedOn w:val="TableNormal"/>
    <w:uiPriority w:val="42"/>
    <w:rsid w:val="00240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1">
    <w:name w:val="H1"/>
    <w:basedOn w:val="Normal"/>
    <w:next w:val="Normal"/>
    <w:uiPriority w:val="99"/>
    <w:rsid w:val="002408B7"/>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Sarah H. (CDC/OID/NCEZID)</dc:creator>
  <cp:keywords/>
  <dc:description/>
  <cp:lastModifiedBy>Yi, Sarah H. (CDC/OID/NCEZID)</cp:lastModifiedBy>
  <cp:revision>5</cp:revision>
  <cp:lastPrinted>2016-02-02T18:42:00Z</cp:lastPrinted>
  <dcterms:created xsi:type="dcterms:W3CDTF">2016-02-02T18:39:00Z</dcterms:created>
  <dcterms:modified xsi:type="dcterms:W3CDTF">2016-02-02T19:02:00Z</dcterms:modified>
</cp:coreProperties>
</file>