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F0BB" w14:textId="77777777" w:rsidR="00131F07" w:rsidRPr="00617C01" w:rsidRDefault="00131F07" w:rsidP="00131F07">
      <w:pPr>
        <w:spacing w:line="480" w:lineRule="auto"/>
        <w:rPr>
          <w:rFonts w:ascii="Arial" w:hAnsi="Arial" w:cs="Arial"/>
        </w:rPr>
      </w:pPr>
      <w:bookmarkStart w:id="0" w:name="_GoBack"/>
      <w:bookmarkEnd w:id="0"/>
      <w:r w:rsidRPr="00617C01">
        <w:rPr>
          <w:rFonts w:ascii="Arial" w:hAnsi="Arial" w:cs="Arial"/>
          <w:b/>
        </w:rPr>
        <w:t>SUPPORTING INFORMATION</w:t>
      </w:r>
    </w:p>
    <w:p w14:paraId="67182A25" w14:textId="77777777" w:rsidR="00131F07" w:rsidRPr="00617C01" w:rsidRDefault="00131F07" w:rsidP="00131F07">
      <w:pPr>
        <w:pStyle w:val="ListParagraph"/>
        <w:widowControl w:val="0"/>
        <w:numPr>
          <w:ilvl w:val="0"/>
          <w:numId w:val="3"/>
        </w:numPr>
        <w:spacing w:line="480" w:lineRule="auto"/>
        <w:rPr>
          <w:rFonts w:ascii="Arial" w:hAnsi="Arial" w:cs="Arial"/>
        </w:rPr>
      </w:pPr>
      <w:r w:rsidRPr="00617C01">
        <w:rPr>
          <w:rFonts w:ascii="Arial" w:hAnsi="Arial" w:cs="Arial"/>
          <w:b/>
        </w:rPr>
        <w:t>Institutional Review Board Approvals.</w:t>
      </w:r>
      <w:r w:rsidRPr="00617C01">
        <w:rPr>
          <w:rFonts w:ascii="Arial" w:hAnsi="Arial" w:cs="Arial"/>
        </w:rPr>
        <w:t xml:space="preserve"> The IRB approvals for each participating center are listed below:</w:t>
      </w:r>
    </w:p>
    <w:p w14:paraId="2515C315" w14:textId="77777777" w:rsidR="00131F07" w:rsidRPr="00617C01" w:rsidRDefault="00131F07" w:rsidP="00131F07">
      <w:pPr>
        <w:pStyle w:val="ListParagraph"/>
        <w:widowControl w:val="0"/>
        <w:numPr>
          <w:ilvl w:val="1"/>
          <w:numId w:val="3"/>
        </w:numPr>
        <w:spacing w:line="480" w:lineRule="auto"/>
        <w:rPr>
          <w:rFonts w:ascii="Arial" w:hAnsi="Arial" w:cs="Arial"/>
        </w:rPr>
      </w:pPr>
      <w:r w:rsidRPr="00617C01">
        <w:rPr>
          <w:rFonts w:ascii="Arial" w:eastAsia="Times New Roman" w:hAnsi="Arial" w:cs="Arial"/>
          <w:color w:val="201F1E"/>
        </w:rPr>
        <w:t>University of Pennsylvania (parent IRB for all study sites): Protocol #824398</w:t>
      </w:r>
    </w:p>
    <w:p w14:paraId="4EE9B6D9" w14:textId="77777777" w:rsidR="00131F07" w:rsidRPr="00617C01" w:rsidRDefault="00131F07" w:rsidP="00131F07">
      <w:pPr>
        <w:pStyle w:val="ListParagraph"/>
        <w:widowControl w:val="0"/>
        <w:numPr>
          <w:ilvl w:val="1"/>
          <w:numId w:val="3"/>
        </w:numPr>
        <w:spacing w:line="480" w:lineRule="auto"/>
        <w:rPr>
          <w:rFonts w:ascii="Arial" w:hAnsi="Arial" w:cs="Arial"/>
        </w:rPr>
      </w:pPr>
      <w:r w:rsidRPr="00617C01">
        <w:rPr>
          <w:rFonts w:ascii="Arial" w:eastAsia="Times New Roman" w:hAnsi="Arial" w:cs="Arial"/>
          <w:color w:val="201F1E"/>
        </w:rPr>
        <w:t>Drexel University: Protocol #160400452</w:t>
      </w:r>
    </w:p>
    <w:p w14:paraId="771881D7" w14:textId="77777777" w:rsidR="00131F07" w:rsidRPr="00617C01" w:rsidRDefault="00131F07" w:rsidP="00131F07">
      <w:pPr>
        <w:pStyle w:val="ListParagraph"/>
        <w:widowControl w:val="0"/>
        <w:numPr>
          <w:ilvl w:val="1"/>
          <w:numId w:val="3"/>
        </w:numPr>
        <w:spacing w:line="480" w:lineRule="auto"/>
        <w:rPr>
          <w:rFonts w:ascii="Arial" w:eastAsia="Times New Roman" w:hAnsi="Arial" w:cs="Arial"/>
          <w:color w:val="201F1E"/>
        </w:rPr>
      </w:pPr>
      <w:r w:rsidRPr="00617C01">
        <w:rPr>
          <w:rFonts w:ascii="Arial" w:eastAsia="Times New Roman" w:hAnsi="Arial" w:cs="Arial"/>
          <w:color w:val="201F1E"/>
        </w:rPr>
        <w:t>Temple University: Protocol #23715, Executed an IRB Data Use Agreement to serve as relying IRB for Protocol #824398 at the University of Pennsylvania</w:t>
      </w:r>
    </w:p>
    <w:p w14:paraId="0239FB3D" w14:textId="77777777" w:rsidR="00131F07" w:rsidRPr="00617C01" w:rsidRDefault="00131F07" w:rsidP="00131F07">
      <w:pPr>
        <w:pStyle w:val="ListParagraph"/>
        <w:widowControl w:val="0"/>
        <w:spacing w:line="480" w:lineRule="auto"/>
        <w:ind w:left="360"/>
        <w:rPr>
          <w:rFonts w:ascii="Arial" w:hAnsi="Arial" w:cs="Arial"/>
          <w:b/>
          <w:noProof/>
        </w:rPr>
      </w:pPr>
    </w:p>
    <w:p w14:paraId="0567F675" w14:textId="77777777" w:rsidR="00131F07" w:rsidRPr="00617C01" w:rsidRDefault="00131F07" w:rsidP="00131F07">
      <w:pPr>
        <w:pStyle w:val="ListParagraph"/>
        <w:widowControl w:val="0"/>
        <w:numPr>
          <w:ilvl w:val="0"/>
          <w:numId w:val="3"/>
        </w:numPr>
        <w:spacing w:line="480" w:lineRule="auto"/>
        <w:rPr>
          <w:rFonts w:ascii="Arial" w:hAnsi="Arial" w:cs="Arial"/>
          <w:b/>
          <w:noProof/>
        </w:rPr>
      </w:pPr>
      <w:r w:rsidRPr="00617C01">
        <w:rPr>
          <w:rFonts w:ascii="Arial" w:hAnsi="Arial" w:cs="Arial"/>
          <w:b/>
          <w:noProof/>
        </w:rPr>
        <w:t>Definitions of the multidrug-resistant organisms (MDROs) evaluated.</w:t>
      </w:r>
    </w:p>
    <w:p w14:paraId="006688D4"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Methicillin-resistant</w:t>
      </w:r>
      <w:r w:rsidRPr="00617C01">
        <w:rPr>
          <w:rFonts w:ascii="Arial" w:hAnsi="Arial" w:cs="Arial"/>
          <w:i/>
        </w:rPr>
        <w:t xml:space="preserve"> Staphylococcus aureus</w:t>
      </w:r>
      <w:r w:rsidRPr="00617C01">
        <w:rPr>
          <w:rFonts w:ascii="Arial" w:hAnsi="Arial" w:cs="Arial"/>
        </w:rPr>
        <w:t xml:space="preserve"> (MRSA): </w:t>
      </w:r>
      <w:r w:rsidRPr="00617C01">
        <w:rPr>
          <w:rFonts w:ascii="Arial" w:hAnsi="Arial" w:cs="Arial"/>
          <w:i/>
        </w:rPr>
        <w:t>S. aureus</w:t>
      </w:r>
      <w:r w:rsidRPr="00617C01">
        <w:rPr>
          <w:rFonts w:ascii="Arial" w:hAnsi="Arial" w:cs="Arial"/>
        </w:rPr>
        <w:t xml:space="preserve"> that has tested resistant to at least one of the following: methicillin, oxacillin, or cefoxitin.</w:t>
      </w:r>
    </w:p>
    <w:p w14:paraId="789BD876"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 xml:space="preserve">Vancomycin-resistant enterococci (VRE): </w:t>
      </w:r>
      <w:r w:rsidRPr="00617C01">
        <w:rPr>
          <w:rFonts w:ascii="Arial" w:hAnsi="Arial" w:cs="Arial"/>
          <w:i/>
        </w:rPr>
        <w:t>E. faecalis</w:t>
      </w:r>
      <w:r w:rsidRPr="00617C01">
        <w:rPr>
          <w:rFonts w:ascii="Arial" w:hAnsi="Arial" w:cs="Arial"/>
        </w:rPr>
        <w:t xml:space="preserve"> or </w:t>
      </w:r>
      <w:r w:rsidRPr="00617C01">
        <w:rPr>
          <w:rFonts w:ascii="Arial" w:hAnsi="Arial" w:cs="Arial"/>
          <w:i/>
        </w:rPr>
        <w:t>E. faecium</w:t>
      </w:r>
      <w:r w:rsidRPr="00617C01">
        <w:rPr>
          <w:rFonts w:ascii="Arial" w:hAnsi="Arial" w:cs="Arial"/>
        </w:rPr>
        <w:t xml:space="preserve"> that has tested resistant to vancomycin.</w:t>
      </w:r>
    </w:p>
    <w:p w14:paraId="0DCC254E"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 xml:space="preserve">Extended-spectrum cephalosporin-resistant (ESC-R) </w:t>
      </w:r>
      <w:proofErr w:type="spellStart"/>
      <w:r w:rsidRPr="00617C01">
        <w:rPr>
          <w:rFonts w:ascii="Arial" w:hAnsi="Arial" w:cs="Arial"/>
        </w:rPr>
        <w:t>Enterobacterales</w:t>
      </w:r>
      <w:proofErr w:type="spellEnd"/>
      <w:r w:rsidRPr="00617C01">
        <w:rPr>
          <w:rFonts w:ascii="Arial" w:hAnsi="Arial" w:cs="Arial"/>
        </w:rPr>
        <w:t xml:space="preserve">: </w:t>
      </w:r>
      <w:proofErr w:type="spellStart"/>
      <w:r w:rsidRPr="00617C01">
        <w:rPr>
          <w:rFonts w:ascii="Arial" w:hAnsi="Arial" w:cs="Arial"/>
        </w:rPr>
        <w:t>Enterobacterales</w:t>
      </w:r>
      <w:proofErr w:type="spellEnd"/>
      <w:r w:rsidRPr="00617C01">
        <w:rPr>
          <w:rFonts w:ascii="Arial" w:hAnsi="Arial" w:cs="Arial"/>
        </w:rPr>
        <w:t xml:space="preserve"> species that has tested resistant to one of the following: ceftazidime, cefotaxime, ceftriaxone, or cefepime.</w:t>
      </w:r>
    </w:p>
    <w:p w14:paraId="6BBFD4A9"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 xml:space="preserve">Carbapenem-resistant </w:t>
      </w:r>
      <w:proofErr w:type="spellStart"/>
      <w:r w:rsidRPr="00617C01">
        <w:rPr>
          <w:rFonts w:ascii="Arial" w:hAnsi="Arial" w:cs="Arial"/>
        </w:rPr>
        <w:t>Enterobacterales</w:t>
      </w:r>
      <w:proofErr w:type="spellEnd"/>
      <w:r w:rsidRPr="00617C01">
        <w:rPr>
          <w:rFonts w:ascii="Arial" w:hAnsi="Arial" w:cs="Arial"/>
        </w:rPr>
        <w:t xml:space="preserve"> (CRE): </w:t>
      </w:r>
      <w:proofErr w:type="spellStart"/>
      <w:r w:rsidRPr="00617C01">
        <w:rPr>
          <w:rFonts w:ascii="Arial" w:hAnsi="Arial" w:cs="Arial"/>
        </w:rPr>
        <w:t>Enterobacterales</w:t>
      </w:r>
      <w:proofErr w:type="spellEnd"/>
      <w:r w:rsidRPr="00617C01">
        <w:rPr>
          <w:rFonts w:ascii="Arial" w:hAnsi="Arial" w:cs="Arial"/>
        </w:rPr>
        <w:t xml:space="preserve"> species that has tested resistant to at least one of the following: imipenem, meropenem, </w:t>
      </w:r>
      <w:proofErr w:type="spellStart"/>
      <w:r w:rsidRPr="00617C01">
        <w:rPr>
          <w:rFonts w:ascii="Arial" w:hAnsi="Arial" w:cs="Arial"/>
        </w:rPr>
        <w:t>doripenem</w:t>
      </w:r>
      <w:proofErr w:type="spellEnd"/>
      <w:r w:rsidRPr="00617C01">
        <w:rPr>
          <w:rFonts w:ascii="Arial" w:hAnsi="Arial" w:cs="Arial"/>
        </w:rPr>
        <w:t>, or ertapenem.</w:t>
      </w:r>
    </w:p>
    <w:p w14:paraId="394E417E"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MDR-</w:t>
      </w:r>
      <w:r w:rsidRPr="00617C01">
        <w:rPr>
          <w:rFonts w:ascii="Arial" w:hAnsi="Arial" w:cs="Arial"/>
          <w:i/>
        </w:rPr>
        <w:t>Pseudomonas</w:t>
      </w:r>
      <w:r w:rsidRPr="00617C01">
        <w:rPr>
          <w:rFonts w:ascii="Arial" w:hAnsi="Arial" w:cs="Arial"/>
        </w:rPr>
        <w:t xml:space="preserve">: </w:t>
      </w:r>
      <w:r w:rsidRPr="00617C01">
        <w:rPr>
          <w:rFonts w:ascii="Arial" w:hAnsi="Arial" w:cs="Arial"/>
          <w:i/>
        </w:rPr>
        <w:t>Pseudomonas</w:t>
      </w:r>
      <w:r w:rsidRPr="00617C01">
        <w:rPr>
          <w:rFonts w:ascii="Arial" w:hAnsi="Arial" w:cs="Arial"/>
        </w:rPr>
        <w:t xml:space="preserve"> species that has tested either intermediate or resistant to at least one drug in at least three of the following five categories: extended-spectrum cephalosporins (cefepime, ceftazidime); fluoroquinolones (ciprofloxacin, levofloxacin); aminoglycosides (amikacin, gentamicin, tobramycin); </w:t>
      </w:r>
      <w:r w:rsidRPr="00617C01">
        <w:rPr>
          <w:rFonts w:ascii="Arial" w:hAnsi="Arial" w:cs="Arial"/>
        </w:rPr>
        <w:lastRenderedPageBreak/>
        <w:t xml:space="preserve">carbapenems (imipenem, meropenem, </w:t>
      </w:r>
      <w:proofErr w:type="spellStart"/>
      <w:r w:rsidRPr="00617C01">
        <w:rPr>
          <w:rFonts w:ascii="Arial" w:hAnsi="Arial" w:cs="Arial"/>
        </w:rPr>
        <w:t>doripenem</w:t>
      </w:r>
      <w:proofErr w:type="spellEnd"/>
      <w:r w:rsidRPr="00617C01">
        <w:rPr>
          <w:rFonts w:ascii="Arial" w:hAnsi="Arial" w:cs="Arial"/>
        </w:rPr>
        <w:t>); piperacillin/piperacillin-tazobactam.</w:t>
      </w:r>
    </w:p>
    <w:p w14:paraId="0A336069" w14:textId="77777777" w:rsidR="00131F07" w:rsidRPr="00617C01" w:rsidRDefault="00131F07" w:rsidP="00131F07">
      <w:pPr>
        <w:pStyle w:val="ListParagraph"/>
        <w:widowControl w:val="0"/>
        <w:numPr>
          <w:ilvl w:val="0"/>
          <w:numId w:val="4"/>
        </w:numPr>
        <w:spacing w:line="480" w:lineRule="auto"/>
        <w:rPr>
          <w:rFonts w:ascii="Arial" w:hAnsi="Arial" w:cs="Arial"/>
        </w:rPr>
      </w:pPr>
      <w:r w:rsidRPr="00617C01">
        <w:rPr>
          <w:rFonts w:ascii="Arial" w:hAnsi="Arial" w:cs="Arial"/>
        </w:rPr>
        <w:t>MDR-</w:t>
      </w:r>
      <w:r w:rsidRPr="00617C01">
        <w:rPr>
          <w:rFonts w:ascii="Arial" w:hAnsi="Arial" w:cs="Arial"/>
          <w:i/>
        </w:rPr>
        <w:t>Acinetobacter</w:t>
      </w:r>
      <w:r w:rsidRPr="00617C01">
        <w:rPr>
          <w:rFonts w:ascii="Arial" w:hAnsi="Arial" w:cs="Arial"/>
        </w:rPr>
        <w:t xml:space="preserve">: </w:t>
      </w:r>
      <w:r w:rsidRPr="00617C01">
        <w:rPr>
          <w:rFonts w:ascii="Arial" w:hAnsi="Arial" w:cs="Arial"/>
          <w:i/>
        </w:rPr>
        <w:t xml:space="preserve">Acinetobacter </w:t>
      </w:r>
      <w:r w:rsidRPr="00617C01">
        <w:rPr>
          <w:rFonts w:ascii="Arial" w:hAnsi="Arial" w:cs="Arial"/>
        </w:rPr>
        <w:t xml:space="preserve">species that has tested either intermediate or resistant to at least one drug in at least three of the following six categories: extended-spectrum cephalosporins (cefepime, ceftazidime, ceftriaxone, cefotaxime); fluoroquinolones (ciprofloxacin, levofloxacin); aminoglycosides (amikacin, gentamicin, tobramycin); carbapenems (imipenem, meropenem, </w:t>
      </w:r>
      <w:proofErr w:type="spellStart"/>
      <w:r w:rsidRPr="00617C01">
        <w:rPr>
          <w:rFonts w:ascii="Arial" w:hAnsi="Arial" w:cs="Arial"/>
        </w:rPr>
        <w:t>doripenem</w:t>
      </w:r>
      <w:proofErr w:type="spellEnd"/>
      <w:r w:rsidRPr="00617C01">
        <w:rPr>
          <w:rFonts w:ascii="Arial" w:hAnsi="Arial" w:cs="Arial"/>
        </w:rPr>
        <w:t>); piperacillin/piperacillin-tazobactam; ampicillin-sulbactam.</w:t>
      </w:r>
    </w:p>
    <w:p w14:paraId="70064341" w14:textId="77777777" w:rsidR="00131F07" w:rsidRPr="00617C01" w:rsidRDefault="00131F07" w:rsidP="00131F07">
      <w:pPr>
        <w:pStyle w:val="ListParagraph"/>
        <w:widowControl w:val="0"/>
        <w:spacing w:line="480" w:lineRule="auto"/>
        <w:ind w:left="360"/>
        <w:rPr>
          <w:rFonts w:ascii="Arial" w:hAnsi="Arial" w:cs="Arial"/>
        </w:rPr>
      </w:pPr>
    </w:p>
    <w:p w14:paraId="3B4F0DC6" w14:textId="77777777" w:rsidR="00131F07" w:rsidRPr="00617C01" w:rsidRDefault="00131F07" w:rsidP="00131F07">
      <w:pPr>
        <w:pStyle w:val="ListParagraph"/>
        <w:widowControl w:val="0"/>
        <w:numPr>
          <w:ilvl w:val="0"/>
          <w:numId w:val="3"/>
        </w:numPr>
        <w:spacing w:line="480" w:lineRule="auto"/>
        <w:rPr>
          <w:rFonts w:ascii="Arial" w:hAnsi="Arial" w:cs="Arial"/>
          <w:b/>
        </w:rPr>
      </w:pPr>
      <w:r w:rsidRPr="00617C01">
        <w:rPr>
          <w:rFonts w:ascii="Arial" w:hAnsi="Arial" w:cs="Arial"/>
          <w:b/>
        </w:rPr>
        <w:t>Clinical data collection</w:t>
      </w:r>
    </w:p>
    <w:p w14:paraId="62D033D4" w14:textId="77777777" w:rsidR="00131F07" w:rsidRPr="00617C01" w:rsidRDefault="00131F07" w:rsidP="00131F07">
      <w:pPr>
        <w:widowControl w:val="0"/>
        <w:spacing w:line="480" w:lineRule="auto"/>
        <w:ind w:firstLine="720"/>
        <w:rPr>
          <w:rFonts w:ascii="Arial" w:hAnsi="Arial" w:cs="Arial"/>
        </w:rPr>
      </w:pPr>
      <w:r w:rsidRPr="00617C01">
        <w:rPr>
          <w:rFonts w:ascii="Arial" w:hAnsi="Arial" w:cs="Arial"/>
        </w:rPr>
        <w:t>For each donor, information was collected on: donor demographics (e.g., age, gender, race), comorbidities (e.g., diabetes, asthma, hemodialysis, substance use disorder), outpatient medications, injection drug use (IDU), procedures performed during the terminal hospitalization, medications administered during the terminal hospitalization (including all antibiotics, the T4 protocol), death mechanism, donor type (donation after circulatory death versus donation after brain death), expanded criteria donor status, Public Health Service (PHS)-increased risk status, viral serologies (e.g. for cytomegalovirus [CMV] and hepatitis C virus [HCV]), donor infections (as defined by the Centers for Disease Control and Prevention [CDC]/National Healthcare Safety Network [NHSN] criteria</w:t>
      </w:r>
      <w:sdt>
        <w:sdtPr>
          <w:rPr>
            <w:rFonts w:ascii="Arial" w:hAnsi="Arial" w:cs="Arial"/>
            <w:color w:val="000000"/>
          </w:rPr>
          <w:alias w:val="Citation"/>
          <w:tag w:val="{&quot;referencesIds&quot;:[&quot;doc:61c248ba8f085857cdd7d777&quot;],&quot;referencesOptions&quot;:{&quot;doc:61c248ba8f085857cdd7d777&quot;:{&quot;author&quot;:true,&quot;year&quot;:true,&quot;pageReplace&quot;:&quot;&quot;,&quot;prefix&quot;:&quot;&quot;,&quot;suffix&quot;:&quot;&quot;}},&quot;hasBrokenReferences&quot;:false,&quot;hasManualEdits&quot;:false,&quot;citationType&quot;:&quot;inline&quot;}"/>
          <w:id w:val="-828283460"/>
          <w:placeholder>
            <w:docPart w:val="F5E9CFA5D18C4247B2D933D9AB08F458"/>
          </w:placeholder>
        </w:sdtPr>
        <w:sdtContent>
          <w:r w:rsidRPr="00617C01">
            <w:rPr>
              <w:rFonts w:ascii="Arial" w:eastAsia="Times New Roman" w:hAnsi="Arial" w:cs="Arial"/>
              <w:color w:val="000000"/>
              <w:vertAlign w:val="superscript"/>
            </w:rPr>
            <w:t>15</w:t>
          </w:r>
        </w:sdtContent>
      </w:sdt>
      <w:r w:rsidRPr="00617C01">
        <w:rPr>
          <w:rFonts w:ascii="Arial" w:hAnsi="Arial" w:cs="Arial"/>
        </w:rPr>
        <w:t xml:space="preserve">), and donor cultures (including the date of culture, anatomic site of culture, organism(s) that grew on culture, and the organism’s </w:t>
      </w:r>
      <w:r w:rsidRPr="00617C01">
        <w:rPr>
          <w:rFonts w:ascii="Arial" w:hAnsi="Arial" w:cs="Arial"/>
          <w:i/>
        </w:rPr>
        <w:t>in vitro</w:t>
      </w:r>
      <w:r w:rsidRPr="00617C01">
        <w:rPr>
          <w:rFonts w:ascii="Arial" w:hAnsi="Arial" w:cs="Arial"/>
        </w:rPr>
        <w:t xml:space="preserve"> susceptibilities).</w:t>
      </w:r>
    </w:p>
    <w:p w14:paraId="6861301E" w14:textId="77777777" w:rsidR="00131F07" w:rsidRPr="00617C01" w:rsidRDefault="00131F07" w:rsidP="00131F07">
      <w:pPr>
        <w:widowControl w:val="0"/>
        <w:spacing w:line="480" w:lineRule="auto"/>
        <w:ind w:firstLine="360"/>
        <w:rPr>
          <w:rFonts w:ascii="Arial" w:hAnsi="Arial" w:cs="Arial"/>
        </w:rPr>
      </w:pPr>
      <w:r w:rsidRPr="00617C01">
        <w:rPr>
          <w:rFonts w:ascii="Arial" w:hAnsi="Arial" w:cs="Arial"/>
          <w:b/>
        </w:rPr>
        <w:tab/>
      </w:r>
      <w:r w:rsidRPr="00617C01">
        <w:rPr>
          <w:rFonts w:ascii="Arial" w:hAnsi="Arial" w:cs="Arial"/>
        </w:rPr>
        <w:t xml:space="preserve">For each recipient, information was collected on: recipient demographics (e.g., age, gender, race), comorbidities (e.g., diabetes, hypertension, chronic kidney disease), </w:t>
      </w:r>
      <w:r w:rsidRPr="00617C01">
        <w:rPr>
          <w:rFonts w:ascii="Arial" w:hAnsi="Arial" w:cs="Arial"/>
        </w:rPr>
        <w:lastRenderedPageBreak/>
        <w:t>outpatient medications, indication for transplantation, date of transplantation, post-transplant procedures, medications administered prior to and following transplantation (including all antimicrobial and immunosuppressive agents), viral serologies (e.g. for CMV and HCV), recipient infections (as defined by CDC/NHSN criteria</w:t>
      </w:r>
      <w:sdt>
        <w:sdtPr>
          <w:rPr>
            <w:rFonts w:ascii="Arial" w:hAnsi="Arial" w:cs="Arial"/>
            <w:color w:val="000000"/>
          </w:rPr>
          <w:alias w:val="Citation"/>
          <w:tag w:val="{&quot;referencesIds&quot;:[&quot;doc:61c23c618f081416e44b1197&quot;],&quot;referencesOptions&quot;:{&quot;doc:61c23c618f081416e44b1197&quot;:{&quot;author&quot;:true,&quot;year&quot;:true,&quot;pageReplace&quot;:&quot;&quot;,&quot;prefix&quot;:&quot;&quot;,&quot;suffix&quot;:&quot;&quot;}},&quot;hasBrokenReferences&quot;:false,&quot;hasManualEdits&quot;:false,&quot;citationType&quot;:&quot;inline&quot;}"/>
          <w:id w:val="-95795874"/>
          <w:placeholder>
            <w:docPart w:val="FCAC50F0CC01904C8C5C72C89A006A0C"/>
          </w:placeholder>
        </w:sdtPr>
        <w:sdtContent>
          <w:r w:rsidRPr="00617C01">
            <w:rPr>
              <w:rFonts w:ascii="Arial" w:eastAsia="Times New Roman" w:hAnsi="Arial" w:cs="Arial"/>
              <w:color w:val="000000"/>
              <w:vertAlign w:val="superscript"/>
            </w:rPr>
            <w:t>15</w:t>
          </w:r>
        </w:sdtContent>
      </w:sdt>
      <w:r w:rsidRPr="00617C01">
        <w:rPr>
          <w:rFonts w:ascii="Arial" w:hAnsi="Arial" w:cs="Arial"/>
        </w:rPr>
        <w:t xml:space="preserve">), and recipient cultures (including the date of culture, anatomic site of culture, organism(s) that grew on culture, and the organism’s </w:t>
      </w:r>
      <w:r w:rsidRPr="00617C01">
        <w:rPr>
          <w:rFonts w:ascii="Arial" w:hAnsi="Arial" w:cs="Arial"/>
          <w:i/>
        </w:rPr>
        <w:t>in vitro</w:t>
      </w:r>
      <w:r w:rsidRPr="00617C01">
        <w:rPr>
          <w:rFonts w:ascii="Arial" w:hAnsi="Arial" w:cs="Arial"/>
        </w:rPr>
        <w:t xml:space="preserve"> susceptibilities).</w:t>
      </w:r>
    </w:p>
    <w:p w14:paraId="737FE283" w14:textId="77777777" w:rsidR="00131F07" w:rsidRPr="00617C01" w:rsidRDefault="00131F07" w:rsidP="00131F07">
      <w:pPr>
        <w:widowControl w:val="0"/>
        <w:spacing w:line="480" w:lineRule="auto"/>
        <w:ind w:firstLine="360"/>
        <w:rPr>
          <w:rFonts w:ascii="Arial" w:hAnsi="Arial" w:cs="Arial"/>
        </w:rPr>
      </w:pPr>
    </w:p>
    <w:p w14:paraId="0C219FD9" w14:textId="77777777" w:rsidR="00131F07" w:rsidRPr="00617C01" w:rsidRDefault="00131F07" w:rsidP="00131F07">
      <w:pPr>
        <w:pStyle w:val="ListParagraph"/>
        <w:widowControl w:val="0"/>
        <w:numPr>
          <w:ilvl w:val="0"/>
          <w:numId w:val="3"/>
        </w:numPr>
        <w:spacing w:line="480" w:lineRule="auto"/>
        <w:rPr>
          <w:rFonts w:ascii="Arial" w:hAnsi="Arial" w:cs="Arial"/>
          <w:b/>
          <w:bCs/>
        </w:rPr>
      </w:pPr>
      <w:r w:rsidRPr="00617C01">
        <w:rPr>
          <w:rFonts w:ascii="Arial" w:hAnsi="Arial" w:cs="Arial"/>
          <w:b/>
          <w:bCs/>
        </w:rPr>
        <w:t>Standard antimicrobial prophylaxis protocols</w:t>
      </w:r>
    </w:p>
    <w:p w14:paraId="00FDFCCF" w14:textId="77777777" w:rsidR="00131F07" w:rsidRPr="00617C01" w:rsidRDefault="00131F07" w:rsidP="00131F07">
      <w:pPr>
        <w:pStyle w:val="ListParagraph"/>
        <w:widowControl w:val="0"/>
        <w:numPr>
          <w:ilvl w:val="1"/>
          <w:numId w:val="3"/>
        </w:numPr>
        <w:spacing w:line="480" w:lineRule="auto"/>
        <w:rPr>
          <w:rFonts w:ascii="Arial" w:hAnsi="Arial" w:cs="Arial"/>
          <w:b/>
          <w:bCs/>
        </w:rPr>
      </w:pPr>
      <w:r w:rsidRPr="00617C01">
        <w:rPr>
          <w:rFonts w:ascii="Arial" w:hAnsi="Arial" w:cs="Arial"/>
          <w:b/>
          <w:bCs/>
        </w:rPr>
        <w:t xml:space="preserve">Standard perioperative antibiotic prophylaxis. </w:t>
      </w:r>
      <w:r w:rsidRPr="00617C01">
        <w:rPr>
          <w:rFonts w:ascii="Arial" w:hAnsi="Arial" w:cs="Arial"/>
        </w:rPr>
        <w:t>The standard antibiotic regimens for peri-transplant prophylaxis are listed below for the three study sites (sites #1, 2, 3). If one of the study sites does not perform a significant volume of a certain transplant type, then no prophylaxis regimen for that organ/site is listed.</w:t>
      </w:r>
    </w:p>
    <w:p w14:paraId="2AD854C9"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Kidney transplantation: Cefazolin (sites #1, 2, 3).</w:t>
      </w:r>
    </w:p>
    <w:p w14:paraId="483976B7"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Liver transplantation: Ampicillin-sulbactam (site #1); piperacillin-tazobactam (site #2); vancomycin plus piperacillin-tazobactam (site #3).</w:t>
      </w:r>
    </w:p>
    <w:p w14:paraId="5F8C2BB3"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Heart transplantation: Vancomycin plus cefazolin (or vancomycin plus cefepime, if history of ventricular assist device) (sites #1, 3); cefazolin (site #2).</w:t>
      </w:r>
    </w:p>
    <w:p w14:paraId="1F7552B0"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Lung transplantation: Vancomycin plus cefepime (site #1); vancomycin plus piperacillin-tazobactam (site #3).</w:t>
      </w:r>
    </w:p>
    <w:p w14:paraId="72F1E98D"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Pancreas transplantation: cefazolin (site #1).</w:t>
      </w:r>
    </w:p>
    <w:p w14:paraId="4599A83B" w14:textId="77777777" w:rsidR="00131F07" w:rsidRPr="00617C01" w:rsidRDefault="00131F07" w:rsidP="00131F07">
      <w:pPr>
        <w:pStyle w:val="ListParagraph"/>
        <w:widowControl w:val="0"/>
        <w:numPr>
          <w:ilvl w:val="1"/>
          <w:numId w:val="3"/>
        </w:numPr>
        <w:spacing w:line="480" w:lineRule="auto"/>
        <w:rPr>
          <w:rFonts w:ascii="Arial" w:hAnsi="Arial" w:cs="Arial"/>
        </w:rPr>
      </w:pPr>
      <w:r w:rsidRPr="00617C01">
        <w:rPr>
          <w:rFonts w:ascii="Arial" w:hAnsi="Arial" w:cs="Arial"/>
          <w:b/>
          <w:bCs/>
        </w:rPr>
        <w:lastRenderedPageBreak/>
        <w:t xml:space="preserve">Standard antifungal prophylaxis. </w:t>
      </w:r>
      <w:r w:rsidRPr="00617C01">
        <w:rPr>
          <w:rFonts w:ascii="Arial" w:hAnsi="Arial" w:cs="Arial"/>
        </w:rPr>
        <w:t>The standard antifungal regimens for peri-transplant prophylaxis are listed below for the three study sites (sites #1, 2, 3). If one of the study sites does not perform a significant volume of a certain transplant type, then no prophylaxis regimen for that organ/site is listed.</w:t>
      </w:r>
    </w:p>
    <w:p w14:paraId="32D7A964"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Kidney transplantation: No standard prophylaxis (sites #1, 2).</w:t>
      </w:r>
    </w:p>
    <w:p w14:paraId="168A1F85"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Liver transplantation: Fluconazole for high risk patients until off all other antimicrobials and eating or receiving enteral nutrition (site #1); micafungin for high risk patients for 14 days with transition to oral fluconazole on discharge (site #2).</w:t>
      </w:r>
    </w:p>
    <w:p w14:paraId="4BE80204"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Heart transplantation: No standard prophylaxis (site #1).</w:t>
      </w:r>
    </w:p>
    <w:p w14:paraId="1EA21EFC"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 xml:space="preserve">Lung transplantation: Voriconazole preferred for high risk patients or </w:t>
      </w:r>
      <w:proofErr w:type="spellStart"/>
      <w:r w:rsidRPr="00617C01">
        <w:rPr>
          <w:rFonts w:ascii="Arial" w:hAnsi="Arial" w:cs="Arial"/>
        </w:rPr>
        <w:t>caspofungin</w:t>
      </w:r>
      <w:proofErr w:type="spellEnd"/>
      <w:r w:rsidRPr="00617C01">
        <w:rPr>
          <w:rFonts w:ascii="Arial" w:hAnsi="Arial" w:cs="Arial"/>
        </w:rPr>
        <w:t xml:space="preserve"> if donor or recipient marijuana use in year prior to transplant for duration determined by transplant team (site #1); voriconazole preferred for 4 months (longer for patients with stent), aerosolized amphotericin B for 6 months for patients intolerant to voriconazole (site #3)</w:t>
      </w:r>
    </w:p>
    <w:p w14:paraId="4C8B609E"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Pancreas transplantation: Fluconazole for up to 30 days (site #1)</w:t>
      </w:r>
    </w:p>
    <w:p w14:paraId="1A067AA6" w14:textId="77777777" w:rsidR="00131F07" w:rsidRPr="00617C01" w:rsidRDefault="00131F07" w:rsidP="00131F07">
      <w:pPr>
        <w:pStyle w:val="ListParagraph"/>
        <w:widowControl w:val="0"/>
        <w:numPr>
          <w:ilvl w:val="1"/>
          <w:numId w:val="3"/>
        </w:numPr>
        <w:spacing w:line="480" w:lineRule="auto"/>
        <w:rPr>
          <w:rFonts w:ascii="Arial" w:hAnsi="Arial" w:cs="Arial"/>
        </w:rPr>
      </w:pPr>
      <w:r w:rsidRPr="00617C01">
        <w:rPr>
          <w:rFonts w:ascii="Arial" w:hAnsi="Arial" w:cs="Arial"/>
          <w:b/>
          <w:bCs/>
        </w:rPr>
        <w:t>Standard approach to positive donor cultures:</w:t>
      </w:r>
      <w:r w:rsidRPr="00617C01">
        <w:rPr>
          <w:rFonts w:ascii="Arial" w:hAnsi="Arial" w:cs="Arial"/>
        </w:rPr>
        <w:t xml:space="preserve"> At each of the three included study sites, it is standard to administer antimicrobials to the recipient that are targeted against the donor organism(s) identified on hospital or organ procurement organization cultures, for approximately 7-14 days, when:</w:t>
      </w:r>
    </w:p>
    <w:p w14:paraId="059BDF57"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 xml:space="preserve">An organism grows on donor blood cultures, </w:t>
      </w:r>
      <w:r w:rsidRPr="00617C01">
        <w:rPr>
          <w:rFonts w:ascii="Arial" w:hAnsi="Arial" w:cs="Arial"/>
          <w:i/>
          <w:iCs/>
        </w:rPr>
        <w:t>or</w:t>
      </w:r>
    </w:p>
    <w:p w14:paraId="47D3C673"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 xml:space="preserve">An organism grows on a donor culture taken from the allograft (e.g. </w:t>
      </w:r>
      <w:r w:rsidRPr="00617C01">
        <w:rPr>
          <w:rFonts w:ascii="Arial" w:hAnsi="Arial" w:cs="Arial"/>
        </w:rPr>
        <w:lastRenderedPageBreak/>
        <w:t xml:space="preserve">urine culture for the kidney recipient, sputum culture for the lung recipient), </w:t>
      </w:r>
      <w:r w:rsidRPr="00617C01">
        <w:rPr>
          <w:rFonts w:ascii="Arial" w:hAnsi="Arial" w:cs="Arial"/>
          <w:i/>
          <w:iCs/>
        </w:rPr>
        <w:t>and</w:t>
      </w:r>
    </w:p>
    <w:p w14:paraId="22710C4F" w14:textId="77777777" w:rsidR="00131F07" w:rsidRPr="00617C01" w:rsidRDefault="00131F07" w:rsidP="00131F07">
      <w:pPr>
        <w:pStyle w:val="ListParagraph"/>
        <w:widowControl w:val="0"/>
        <w:numPr>
          <w:ilvl w:val="2"/>
          <w:numId w:val="3"/>
        </w:numPr>
        <w:spacing w:line="480" w:lineRule="auto"/>
        <w:rPr>
          <w:rFonts w:ascii="Arial" w:hAnsi="Arial" w:cs="Arial"/>
        </w:rPr>
      </w:pPr>
      <w:r w:rsidRPr="00617C01">
        <w:rPr>
          <w:rFonts w:ascii="Arial" w:hAnsi="Arial" w:cs="Arial"/>
        </w:rPr>
        <w:t>The organism is not considered a contaminant (e.g. mixed flora on urine culture)</w:t>
      </w:r>
    </w:p>
    <w:p w14:paraId="65F20711" w14:textId="77777777" w:rsidR="00131F07" w:rsidRPr="00617C01" w:rsidRDefault="00131F07" w:rsidP="00131F07">
      <w:pPr>
        <w:widowControl w:val="0"/>
        <w:spacing w:line="480" w:lineRule="auto"/>
        <w:rPr>
          <w:rFonts w:ascii="Arial" w:hAnsi="Arial" w:cs="Arial"/>
        </w:rPr>
      </w:pPr>
    </w:p>
    <w:p w14:paraId="11060540" w14:textId="26BB09CB" w:rsidR="00131F07" w:rsidRPr="00131F07" w:rsidRDefault="00131F07" w:rsidP="00131F07">
      <w:pPr>
        <w:widowControl w:val="0"/>
        <w:spacing w:line="480" w:lineRule="auto"/>
        <w:rPr>
          <w:rFonts w:ascii="Arial" w:hAnsi="Arial" w:cs="Arial"/>
          <w:highlight w:val="yellow"/>
        </w:rPr>
      </w:pPr>
      <w:r w:rsidRPr="00131F07">
        <w:rPr>
          <w:rFonts w:ascii="Arial" w:hAnsi="Arial" w:cs="Arial"/>
          <w:b/>
        </w:rPr>
        <w:t xml:space="preserve">E. </w:t>
      </w:r>
      <w:r w:rsidRPr="00131F07">
        <w:rPr>
          <w:rFonts w:ascii="Arial" w:hAnsi="Arial" w:cs="Arial"/>
          <w:b/>
        </w:rPr>
        <w:t>Definition of probable donor-derived infection (DDI).</w:t>
      </w:r>
      <w:r w:rsidRPr="00131F07">
        <w:rPr>
          <w:rFonts w:ascii="Arial" w:hAnsi="Arial" w:cs="Arial"/>
        </w:rPr>
        <w:t xml:space="preserve"> A probable DDI was defined using criteria from the Organ Procurement and Transplantation Network (OPTN) Ad Hoc Disease Transmission Advisory Committee (DTAC)</w:t>
      </w:r>
      <w:sdt>
        <w:sdtPr>
          <w:rPr>
            <w:color w:val="000000"/>
          </w:rPr>
          <w:alias w:val="Citation"/>
          <w:tag w:val="{&quot;referencesIds&quot;:[&quot;doc:61c23bbe8f08211094a8cee4&quot;],&quot;referencesOptions&quot;:{&quot;doc:61c23bbe8f08211094a8cee4&quot;:{&quot;author&quot;:true,&quot;year&quot;:true,&quot;pageReplace&quot;:&quot;&quot;,&quot;prefix&quot;:&quot;&quot;,&quot;suffix&quot;:&quot;&quot;}},&quot;hasBrokenReferences&quot;:false,&quot;hasManualEdits&quot;:false,&quot;citationType&quot;:&quot;inline&quot;}"/>
          <w:id w:val="2060895085"/>
          <w:placeholder>
            <w:docPart w:val="CD488D488E2DFE4DACCC39C9D9DC808D"/>
          </w:placeholder>
        </w:sdtPr>
        <w:sdtContent>
          <w:r w:rsidRPr="00131F07">
            <w:rPr>
              <w:rFonts w:ascii="Arial" w:eastAsia="Times New Roman" w:hAnsi="Arial" w:cs="Arial"/>
              <w:color w:val="000000"/>
              <w:vertAlign w:val="superscript"/>
            </w:rPr>
            <w:t>16</w:t>
          </w:r>
        </w:sdtContent>
      </w:sdt>
      <w:r w:rsidRPr="00131F07">
        <w:rPr>
          <w:rFonts w:ascii="Arial" w:hAnsi="Arial" w:cs="Arial"/>
        </w:rPr>
        <w:t xml:space="preserve"> as: (1) a bacterial or fungal infection in the recipient, per CDC/NHSN criteria</w:t>
      </w:r>
      <w:sdt>
        <w:sdtPr>
          <w:rPr>
            <w:color w:val="000000"/>
          </w:rPr>
          <w:alias w:val="Citation"/>
          <w:tag w:val="{&quot;referencesIds&quot;:[&quot;doc:61c23c618f081416e44b1197&quot;],&quot;referencesOptions&quot;:{&quot;doc:61c23c618f081416e44b1197&quot;:{&quot;author&quot;:true,&quot;year&quot;:true,&quot;pageReplace&quot;:&quot;&quot;,&quot;prefix&quot;:&quot;&quot;,&quot;suffix&quot;:&quot;&quot;}},&quot;hasBrokenReferences&quot;:false,&quot;hasManualEdits&quot;:false,&quot;citationType&quot;:&quot;inline&quot;}"/>
          <w:id w:val="668832967"/>
          <w:placeholder>
            <w:docPart w:val="207DD51945B23648A870FB362E80DB46"/>
          </w:placeholder>
        </w:sdtPr>
        <w:sdtContent>
          <w:r w:rsidRPr="00131F07">
            <w:rPr>
              <w:rFonts w:ascii="Arial" w:eastAsia="Times New Roman" w:hAnsi="Arial" w:cs="Arial"/>
              <w:color w:val="000000"/>
              <w:vertAlign w:val="superscript"/>
            </w:rPr>
            <w:t>15</w:t>
          </w:r>
        </w:sdtContent>
      </w:sdt>
      <w:r w:rsidRPr="00131F07">
        <w:rPr>
          <w:rFonts w:ascii="Arial" w:hAnsi="Arial" w:cs="Arial"/>
        </w:rPr>
        <w:t>, where (2) the infection was caused by an organism with the same species identification and susceptibility pattern as was identified on one of the donor’s hospital or OPO cultures. DDIs were evaluated through three months post-transplantation. Probable DDIs were determined independently by two transplant infectious diseases-trained physicians (JAA and EAB), and discrepancies were resolved by a third transplant infectious diseases-trained physician (DHL). The physicians adjudicating possible DDIs were provided with basic clinical information about each case that included the organ transplant type, the organism(s) that were isolated from donor and recipient cultures, and the sites of positive cultures and/or infections identified in the donors and recipients.</w:t>
      </w:r>
    </w:p>
    <w:p w14:paraId="2F041535" w14:textId="77777777" w:rsidR="00131F07" w:rsidRPr="00617C01" w:rsidRDefault="00131F07" w:rsidP="00131F07">
      <w:pPr>
        <w:widowControl w:val="0"/>
        <w:spacing w:line="480" w:lineRule="auto"/>
        <w:rPr>
          <w:rFonts w:ascii="Arial" w:hAnsi="Arial" w:cs="Arial"/>
        </w:rPr>
      </w:pPr>
    </w:p>
    <w:p w14:paraId="4AAE6B7E" w14:textId="77777777" w:rsidR="00131F07" w:rsidRPr="00617C01" w:rsidRDefault="00131F07" w:rsidP="00131F07">
      <w:pPr>
        <w:widowControl w:val="0"/>
        <w:spacing w:line="480" w:lineRule="auto"/>
        <w:rPr>
          <w:rFonts w:ascii="Arial" w:hAnsi="Arial" w:cs="Arial"/>
        </w:rPr>
      </w:pPr>
    </w:p>
    <w:p w14:paraId="205EA76D" w14:textId="77777777" w:rsidR="00131F07" w:rsidRPr="00617C01" w:rsidRDefault="00131F07" w:rsidP="00131F07">
      <w:pPr>
        <w:widowControl w:val="0"/>
        <w:spacing w:line="480" w:lineRule="auto"/>
        <w:rPr>
          <w:rFonts w:ascii="Arial" w:hAnsi="Arial" w:cs="Arial"/>
        </w:rPr>
      </w:pPr>
    </w:p>
    <w:p w14:paraId="6A49D497" w14:textId="77777777" w:rsidR="00131F07" w:rsidRPr="00617C01" w:rsidRDefault="00131F07" w:rsidP="00131F07">
      <w:pPr>
        <w:widowControl w:val="0"/>
        <w:spacing w:line="480" w:lineRule="auto"/>
        <w:rPr>
          <w:rFonts w:ascii="Arial" w:hAnsi="Arial" w:cs="Arial"/>
        </w:rPr>
      </w:pPr>
    </w:p>
    <w:p w14:paraId="2D6D9673" w14:textId="77777777" w:rsidR="00131F07" w:rsidRPr="00617C01" w:rsidRDefault="00131F07" w:rsidP="00131F07">
      <w:pPr>
        <w:widowControl w:val="0"/>
        <w:spacing w:line="480" w:lineRule="auto"/>
        <w:rPr>
          <w:rFonts w:ascii="Arial" w:hAnsi="Arial" w:cs="Arial"/>
        </w:rPr>
      </w:pPr>
    </w:p>
    <w:p w14:paraId="60317B57" w14:textId="692531F1" w:rsidR="00131F07" w:rsidRPr="00131F07" w:rsidRDefault="00131F07" w:rsidP="00131F07">
      <w:pPr>
        <w:spacing w:line="480" w:lineRule="auto"/>
        <w:rPr>
          <w:rFonts w:ascii="Arial" w:hAnsi="Arial" w:cs="Arial"/>
          <w:b/>
          <w:bCs/>
        </w:rPr>
      </w:pPr>
      <w:r>
        <w:rPr>
          <w:rFonts w:ascii="Arial" w:hAnsi="Arial" w:cs="Arial"/>
          <w:b/>
          <w:bCs/>
        </w:rPr>
        <w:lastRenderedPageBreak/>
        <w:t xml:space="preserve">F. </w:t>
      </w:r>
      <w:r w:rsidRPr="00131F07">
        <w:rPr>
          <w:rFonts w:ascii="Arial" w:hAnsi="Arial" w:cs="Arial"/>
          <w:b/>
          <w:bCs/>
        </w:rPr>
        <w:t>Supporting Tables</w:t>
      </w:r>
    </w:p>
    <w:p w14:paraId="65558FF8" w14:textId="77777777" w:rsidR="00131F07" w:rsidRPr="00617C01" w:rsidRDefault="00131F07" w:rsidP="00131F07">
      <w:pPr>
        <w:spacing w:line="480" w:lineRule="auto"/>
        <w:rPr>
          <w:rFonts w:ascii="Arial" w:hAnsi="Arial" w:cs="Arial"/>
        </w:rPr>
      </w:pPr>
      <w:r w:rsidRPr="00617C01">
        <w:rPr>
          <w:rFonts w:ascii="Arial" w:hAnsi="Arial" w:cs="Arial"/>
          <w:b/>
          <w:bCs/>
        </w:rPr>
        <w:t xml:space="preserve">Table S1. </w:t>
      </w:r>
      <w:r w:rsidRPr="00617C01">
        <w:rPr>
          <w:rFonts w:ascii="Arial" w:hAnsi="Arial" w:cs="Arial"/>
        </w:rPr>
        <w:t xml:space="preserve">Multivariable logistic regression models evaluating the association between recent donor marijuana use and donor culture positivity for: a) multidrug resistant organisms (MDROs) on any culture; b) fungi (mold on any culture or </w:t>
      </w:r>
      <w:r w:rsidRPr="00617C01">
        <w:rPr>
          <w:rFonts w:ascii="Arial" w:hAnsi="Arial" w:cs="Arial"/>
          <w:i/>
          <w:iCs/>
        </w:rPr>
        <w:t xml:space="preserve">Candida </w:t>
      </w:r>
      <w:r w:rsidRPr="00617C01">
        <w:rPr>
          <w:rFonts w:ascii="Arial" w:hAnsi="Arial" w:cs="Arial"/>
        </w:rPr>
        <w:t>spp. on non-respiratory culture); c) any bacteria or fungi only on respiratory culture.</w:t>
      </w:r>
    </w:p>
    <w:tbl>
      <w:tblPr>
        <w:tblW w:w="9082" w:type="dxa"/>
        <w:tblInd w:w="93" w:type="dxa"/>
        <w:tblLayout w:type="fixed"/>
        <w:tblLook w:val="04A0" w:firstRow="1" w:lastRow="0" w:firstColumn="1" w:lastColumn="0" w:noHBand="0" w:noVBand="1"/>
      </w:tblPr>
      <w:tblGrid>
        <w:gridCol w:w="3052"/>
        <w:gridCol w:w="1620"/>
        <w:gridCol w:w="2139"/>
        <w:gridCol w:w="21"/>
        <w:gridCol w:w="2250"/>
      </w:tblGrid>
      <w:tr w:rsidR="00131F07" w:rsidRPr="00617C01" w14:paraId="591D0BFD" w14:textId="77777777" w:rsidTr="00D768A1">
        <w:trPr>
          <w:trHeight w:val="241"/>
        </w:trPr>
        <w:tc>
          <w:tcPr>
            <w:tcW w:w="90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81155B" w14:textId="77777777" w:rsidR="00131F07" w:rsidRPr="00617C01" w:rsidRDefault="00131F07" w:rsidP="00D768A1">
            <w:pPr>
              <w:pStyle w:val="ListParagraph"/>
              <w:numPr>
                <w:ilvl w:val="0"/>
                <w:numId w:val="1"/>
              </w:numPr>
              <w:spacing w:line="480" w:lineRule="auto"/>
              <w:rPr>
                <w:rFonts w:ascii="Arial" w:hAnsi="Arial" w:cs="Arial"/>
                <w:b/>
                <w:bCs/>
                <w:color w:val="000000"/>
              </w:rPr>
            </w:pPr>
            <w:r w:rsidRPr="00617C01">
              <w:rPr>
                <w:rFonts w:ascii="Arial" w:hAnsi="Arial" w:cs="Arial"/>
                <w:b/>
                <w:bCs/>
                <w:color w:val="000000"/>
              </w:rPr>
              <w:t>Any MDRO (on any donor culture)</w:t>
            </w:r>
            <w:r w:rsidRPr="00617C01">
              <w:rPr>
                <w:rFonts w:ascii="Arial" w:hAnsi="Arial" w:cs="Arial"/>
                <w:b/>
                <w:bCs/>
                <w:color w:val="000000"/>
                <w:vertAlign w:val="superscript"/>
              </w:rPr>
              <w:t>a</w:t>
            </w:r>
          </w:p>
        </w:tc>
      </w:tr>
      <w:tr w:rsidR="00131F07" w:rsidRPr="00617C01" w14:paraId="6021144B"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A61D123"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620" w:type="dxa"/>
            <w:tcBorders>
              <w:top w:val="nil"/>
              <w:left w:val="nil"/>
              <w:bottom w:val="single" w:sz="4" w:space="0" w:color="auto"/>
              <w:right w:val="single" w:sz="4" w:space="0" w:color="auto"/>
            </w:tcBorders>
            <w:shd w:val="clear" w:color="auto" w:fill="F2F2F2" w:themeFill="background1" w:themeFillShade="F2"/>
            <w:noWrap/>
            <w:vAlign w:val="center"/>
            <w:hideMark/>
          </w:tcPr>
          <w:p w14:paraId="25A0F898" w14:textId="77777777" w:rsidR="00131F07" w:rsidRPr="00617C01" w:rsidRDefault="00131F07" w:rsidP="00D768A1">
            <w:pPr>
              <w:spacing w:line="480" w:lineRule="auto"/>
              <w:jc w:val="center"/>
              <w:rPr>
                <w:rFonts w:ascii="Arial" w:hAnsi="Arial" w:cs="Arial"/>
                <w:b/>
                <w:bCs/>
                <w:color w:val="000000"/>
              </w:rPr>
            </w:pPr>
            <w:proofErr w:type="spellStart"/>
            <w:r w:rsidRPr="00617C01">
              <w:rPr>
                <w:rFonts w:ascii="Arial" w:hAnsi="Arial" w:cs="Arial"/>
                <w:b/>
                <w:bCs/>
                <w:color w:val="000000"/>
              </w:rPr>
              <w:t>aOR</w:t>
            </w:r>
            <w:proofErr w:type="spellEnd"/>
          </w:p>
        </w:tc>
        <w:tc>
          <w:tcPr>
            <w:tcW w:w="2160"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B6DA0A2"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7B83048"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0CDC3199"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hideMark/>
          </w:tcPr>
          <w:p w14:paraId="70146ECA"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620" w:type="dxa"/>
            <w:tcBorders>
              <w:top w:val="nil"/>
              <w:left w:val="nil"/>
              <w:bottom w:val="single" w:sz="4" w:space="0" w:color="auto"/>
              <w:right w:val="single" w:sz="4" w:space="0" w:color="auto"/>
            </w:tcBorders>
            <w:shd w:val="clear" w:color="auto" w:fill="auto"/>
            <w:noWrap/>
            <w:vAlign w:val="center"/>
            <w:hideMark/>
          </w:tcPr>
          <w:p w14:paraId="5AEB2AA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0.77</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0AD01878"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0.38-1.58</w:t>
            </w:r>
          </w:p>
        </w:tc>
        <w:tc>
          <w:tcPr>
            <w:tcW w:w="2250" w:type="dxa"/>
            <w:tcBorders>
              <w:top w:val="nil"/>
              <w:left w:val="nil"/>
              <w:bottom w:val="single" w:sz="4" w:space="0" w:color="auto"/>
              <w:right w:val="single" w:sz="4" w:space="0" w:color="auto"/>
            </w:tcBorders>
            <w:shd w:val="clear" w:color="auto" w:fill="auto"/>
            <w:noWrap/>
            <w:vAlign w:val="center"/>
            <w:hideMark/>
          </w:tcPr>
          <w:p w14:paraId="6C47783A"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0.48</w:t>
            </w:r>
          </w:p>
        </w:tc>
      </w:tr>
      <w:tr w:rsidR="00131F07" w:rsidRPr="00617C01" w14:paraId="23A52766"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tcPr>
          <w:p w14:paraId="76677D0A"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amphetamine use</w:t>
            </w:r>
          </w:p>
        </w:tc>
        <w:tc>
          <w:tcPr>
            <w:tcW w:w="1620" w:type="dxa"/>
            <w:tcBorders>
              <w:top w:val="nil"/>
              <w:left w:val="nil"/>
              <w:bottom w:val="single" w:sz="4" w:space="0" w:color="auto"/>
              <w:right w:val="single" w:sz="4" w:space="0" w:color="auto"/>
            </w:tcBorders>
            <w:shd w:val="clear" w:color="auto" w:fill="auto"/>
            <w:noWrap/>
            <w:vAlign w:val="center"/>
          </w:tcPr>
          <w:p w14:paraId="7B34ED41"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3.77</w:t>
            </w:r>
          </w:p>
        </w:tc>
        <w:tc>
          <w:tcPr>
            <w:tcW w:w="2160" w:type="dxa"/>
            <w:gridSpan w:val="2"/>
            <w:tcBorders>
              <w:top w:val="nil"/>
              <w:left w:val="nil"/>
              <w:bottom w:val="single" w:sz="4" w:space="0" w:color="auto"/>
              <w:right w:val="single" w:sz="4" w:space="0" w:color="auto"/>
            </w:tcBorders>
            <w:shd w:val="clear" w:color="auto" w:fill="auto"/>
            <w:noWrap/>
            <w:vAlign w:val="center"/>
          </w:tcPr>
          <w:p w14:paraId="387EC3EF"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1.59-8.91</w:t>
            </w:r>
          </w:p>
        </w:tc>
        <w:tc>
          <w:tcPr>
            <w:tcW w:w="2250" w:type="dxa"/>
            <w:tcBorders>
              <w:top w:val="nil"/>
              <w:left w:val="nil"/>
              <w:bottom w:val="single" w:sz="4" w:space="0" w:color="auto"/>
              <w:right w:val="single" w:sz="4" w:space="0" w:color="auto"/>
            </w:tcBorders>
            <w:shd w:val="clear" w:color="auto" w:fill="auto"/>
            <w:noWrap/>
            <w:vAlign w:val="center"/>
          </w:tcPr>
          <w:p w14:paraId="722F8243"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i/>
                <w:iCs/>
              </w:rPr>
              <w:t>&lt;</w:t>
            </w:r>
            <w:r w:rsidRPr="00617C01">
              <w:rPr>
                <w:rFonts w:ascii="Arial" w:hAnsi="Arial" w:cs="Arial"/>
                <w:color w:val="000000"/>
              </w:rPr>
              <w:t>0.01</w:t>
            </w:r>
          </w:p>
        </w:tc>
      </w:tr>
      <w:tr w:rsidR="00131F07" w:rsidRPr="00617C01" w14:paraId="270A81D3"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hideMark/>
          </w:tcPr>
          <w:p w14:paraId="11E52CA1"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with detectable HCV viral load</w:t>
            </w:r>
          </w:p>
        </w:tc>
        <w:tc>
          <w:tcPr>
            <w:tcW w:w="1620" w:type="dxa"/>
            <w:tcBorders>
              <w:top w:val="nil"/>
              <w:left w:val="nil"/>
              <w:bottom w:val="single" w:sz="4" w:space="0" w:color="auto"/>
              <w:right w:val="single" w:sz="4" w:space="0" w:color="auto"/>
            </w:tcBorders>
            <w:shd w:val="clear" w:color="auto" w:fill="auto"/>
            <w:noWrap/>
            <w:vAlign w:val="center"/>
            <w:hideMark/>
          </w:tcPr>
          <w:p w14:paraId="1FEDD54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2.74</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021C1F3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0.80-9.37</w:t>
            </w:r>
          </w:p>
        </w:tc>
        <w:tc>
          <w:tcPr>
            <w:tcW w:w="2250" w:type="dxa"/>
            <w:tcBorders>
              <w:top w:val="nil"/>
              <w:left w:val="nil"/>
              <w:bottom w:val="single" w:sz="4" w:space="0" w:color="auto"/>
              <w:right w:val="single" w:sz="4" w:space="0" w:color="auto"/>
            </w:tcBorders>
            <w:shd w:val="clear" w:color="auto" w:fill="auto"/>
            <w:noWrap/>
            <w:vAlign w:val="center"/>
            <w:hideMark/>
          </w:tcPr>
          <w:p w14:paraId="0BE68F0C"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0.11</w:t>
            </w:r>
          </w:p>
        </w:tc>
      </w:tr>
      <w:tr w:rsidR="00131F07" w:rsidRPr="00617C01" w14:paraId="39EF8B5A" w14:textId="77777777" w:rsidTr="00D768A1">
        <w:trPr>
          <w:trHeight w:val="241"/>
        </w:trPr>
        <w:tc>
          <w:tcPr>
            <w:tcW w:w="90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234A8B" w14:textId="77777777" w:rsidR="00131F07" w:rsidRPr="00617C01" w:rsidRDefault="00131F07" w:rsidP="00D768A1">
            <w:pPr>
              <w:pStyle w:val="ListParagraph"/>
              <w:numPr>
                <w:ilvl w:val="0"/>
                <w:numId w:val="1"/>
              </w:numPr>
              <w:spacing w:line="480" w:lineRule="auto"/>
              <w:jc w:val="center"/>
              <w:rPr>
                <w:rFonts w:ascii="Arial" w:hAnsi="Arial" w:cs="Arial"/>
                <w:b/>
                <w:bCs/>
                <w:color w:val="000000"/>
              </w:rPr>
            </w:pPr>
            <w:r w:rsidRPr="00617C01">
              <w:rPr>
                <w:rFonts w:ascii="Arial" w:hAnsi="Arial" w:cs="Arial"/>
                <w:b/>
                <w:bCs/>
                <w:color w:val="000000"/>
              </w:rPr>
              <w:t xml:space="preserve">Fungi (mold on any culture or </w:t>
            </w:r>
            <w:r w:rsidRPr="00617C01">
              <w:rPr>
                <w:rFonts w:ascii="Arial" w:hAnsi="Arial" w:cs="Arial"/>
                <w:b/>
                <w:bCs/>
                <w:i/>
                <w:iCs/>
                <w:color w:val="000000"/>
              </w:rPr>
              <w:t xml:space="preserve">Candida </w:t>
            </w:r>
            <w:r w:rsidRPr="00617C01">
              <w:rPr>
                <w:rFonts w:ascii="Arial" w:hAnsi="Arial" w:cs="Arial"/>
                <w:b/>
                <w:bCs/>
                <w:color w:val="000000"/>
              </w:rPr>
              <w:t>spp. on non-respiratory culture)</w:t>
            </w:r>
          </w:p>
        </w:tc>
      </w:tr>
      <w:tr w:rsidR="00131F07" w:rsidRPr="00617C01" w14:paraId="1357C708"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5C1DD8D"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620" w:type="dxa"/>
            <w:tcBorders>
              <w:top w:val="nil"/>
              <w:left w:val="nil"/>
              <w:bottom w:val="single" w:sz="4" w:space="0" w:color="auto"/>
              <w:right w:val="single" w:sz="4" w:space="0" w:color="auto"/>
            </w:tcBorders>
            <w:shd w:val="clear" w:color="auto" w:fill="F2F2F2" w:themeFill="background1" w:themeFillShade="F2"/>
            <w:noWrap/>
            <w:vAlign w:val="center"/>
          </w:tcPr>
          <w:p w14:paraId="695D4C9A" w14:textId="77777777" w:rsidR="00131F07" w:rsidRPr="00617C01" w:rsidRDefault="00131F07" w:rsidP="00D768A1">
            <w:pPr>
              <w:spacing w:line="480" w:lineRule="auto"/>
              <w:jc w:val="center"/>
              <w:rPr>
                <w:rFonts w:ascii="Arial" w:hAnsi="Arial" w:cs="Arial"/>
                <w:b/>
                <w:bCs/>
                <w:color w:val="000000"/>
              </w:rPr>
            </w:pPr>
            <w:proofErr w:type="spellStart"/>
            <w:r w:rsidRPr="00617C01">
              <w:rPr>
                <w:rFonts w:ascii="Arial" w:hAnsi="Arial" w:cs="Arial"/>
                <w:b/>
                <w:bCs/>
                <w:color w:val="000000"/>
              </w:rPr>
              <w:t>aOR</w:t>
            </w:r>
            <w:proofErr w:type="spellEnd"/>
          </w:p>
        </w:tc>
        <w:tc>
          <w:tcPr>
            <w:tcW w:w="2160" w:type="dxa"/>
            <w:gridSpan w:val="2"/>
            <w:tcBorders>
              <w:top w:val="nil"/>
              <w:left w:val="nil"/>
              <w:bottom w:val="single" w:sz="4" w:space="0" w:color="auto"/>
              <w:right w:val="single" w:sz="4" w:space="0" w:color="auto"/>
            </w:tcBorders>
            <w:shd w:val="clear" w:color="auto" w:fill="F2F2F2" w:themeFill="background1" w:themeFillShade="F2"/>
            <w:noWrap/>
            <w:vAlign w:val="center"/>
          </w:tcPr>
          <w:p w14:paraId="3B509CBE"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tcPr>
          <w:p w14:paraId="1E99F4F9"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5611474F"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hideMark/>
          </w:tcPr>
          <w:p w14:paraId="297B37D4"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620" w:type="dxa"/>
            <w:tcBorders>
              <w:top w:val="nil"/>
              <w:left w:val="nil"/>
              <w:bottom w:val="single" w:sz="4" w:space="0" w:color="auto"/>
              <w:right w:val="single" w:sz="4" w:space="0" w:color="auto"/>
            </w:tcBorders>
            <w:shd w:val="clear" w:color="auto" w:fill="auto"/>
            <w:noWrap/>
            <w:vAlign w:val="center"/>
            <w:hideMark/>
          </w:tcPr>
          <w:p w14:paraId="7719832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0.79</w:t>
            </w:r>
          </w:p>
        </w:tc>
        <w:tc>
          <w:tcPr>
            <w:tcW w:w="2160" w:type="dxa"/>
            <w:gridSpan w:val="2"/>
            <w:tcBorders>
              <w:top w:val="nil"/>
              <w:left w:val="nil"/>
              <w:bottom w:val="single" w:sz="4" w:space="0" w:color="auto"/>
              <w:right w:val="single" w:sz="4" w:space="0" w:color="auto"/>
            </w:tcBorders>
            <w:shd w:val="clear" w:color="auto" w:fill="auto"/>
            <w:noWrap/>
            <w:vAlign w:val="center"/>
            <w:hideMark/>
          </w:tcPr>
          <w:p w14:paraId="28C93F6B"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0.32-1.96</w:t>
            </w:r>
          </w:p>
        </w:tc>
        <w:tc>
          <w:tcPr>
            <w:tcW w:w="2250" w:type="dxa"/>
            <w:tcBorders>
              <w:top w:val="nil"/>
              <w:left w:val="nil"/>
              <w:bottom w:val="single" w:sz="4" w:space="0" w:color="auto"/>
              <w:right w:val="single" w:sz="4" w:space="0" w:color="auto"/>
            </w:tcBorders>
            <w:shd w:val="clear" w:color="auto" w:fill="auto"/>
            <w:noWrap/>
            <w:vAlign w:val="center"/>
            <w:hideMark/>
          </w:tcPr>
          <w:p w14:paraId="4B92B407"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0.61</w:t>
            </w:r>
          </w:p>
        </w:tc>
      </w:tr>
      <w:tr w:rsidR="00131F07" w:rsidRPr="00617C01" w14:paraId="163BF271"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tcPr>
          <w:p w14:paraId="6FE98893"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gender</w:t>
            </w:r>
          </w:p>
        </w:tc>
        <w:tc>
          <w:tcPr>
            <w:tcW w:w="1620" w:type="dxa"/>
            <w:tcBorders>
              <w:top w:val="nil"/>
              <w:left w:val="nil"/>
              <w:bottom w:val="single" w:sz="4" w:space="0" w:color="auto"/>
              <w:right w:val="single" w:sz="4" w:space="0" w:color="auto"/>
            </w:tcBorders>
            <w:shd w:val="clear" w:color="auto" w:fill="auto"/>
            <w:noWrap/>
            <w:vAlign w:val="center"/>
          </w:tcPr>
          <w:p w14:paraId="6D29584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2.4</w:t>
            </w:r>
          </w:p>
        </w:tc>
        <w:tc>
          <w:tcPr>
            <w:tcW w:w="2160" w:type="dxa"/>
            <w:gridSpan w:val="2"/>
            <w:tcBorders>
              <w:top w:val="nil"/>
              <w:left w:val="nil"/>
              <w:bottom w:val="single" w:sz="4" w:space="0" w:color="auto"/>
              <w:right w:val="single" w:sz="4" w:space="0" w:color="auto"/>
            </w:tcBorders>
            <w:shd w:val="clear" w:color="auto" w:fill="auto"/>
            <w:noWrap/>
            <w:vAlign w:val="center"/>
          </w:tcPr>
          <w:p w14:paraId="662D6733"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1.12-5.11</w:t>
            </w:r>
          </w:p>
        </w:tc>
        <w:tc>
          <w:tcPr>
            <w:tcW w:w="2250" w:type="dxa"/>
            <w:tcBorders>
              <w:top w:val="nil"/>
              <w:left w:val="nil"/>
              <w:bottom w:val="single" w:sz="4" w:space="0" w:color="auto"/>
              <w:right w:val="single" w:sz="4" w:space="0" w:color="auto"/>
            </w:tcBorders>
            <w:shd w:val="clear" w:color="auto" w:fill="auto"/>
            <w:noWrap/>
            <w:vAlign w:val="center"/>
          </w:tcPr>
          <w:p w14:paraId="76DCF8A6"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0.02</w:t>
            </w:r>
          </w:p>
        </w:tc>
      </w:tr>
      <w:tr w:rsidR="00131F07" w:rsidRPr="00617C01" w14:paraId="0CA300AD" w14:textId="77777777" w:rsidTr="00D768A1">
        <w:trPr>
          <w:trHeight w:val="241"/>
        </w:trPr>
        <w:tc>
          <w:tcPr>
            <w:tcW w:w="3052" w:type="dxa"/>
            <w:tcBorders>
              <w:top w:val="nil"/>
              <w:left w:val="single" w:sz="4" w:space="0" w:color="auto"/>
              <w:bottom w:val="single" w:sz="4" w:space="0" w:color="auto"/>
              <w:right w:val="single" w:sz="4" w:space="0" w:color="auto"/>
            </w:tcBorders>
            <w:shd w:val="clear" w:color="auto" w:fill="auto"/>
            <w:noWrap/>
            <w:vAlign w:val="center"/>
          </w:tcPr>
          <w:p w14:paraId="14D08F87" w14:textId="77777777" w:rsidR="00131F07" w:rsidRPr="00617C01" w:rsidRDefault="00131F07" w:rsidP="00D768A1">
            <w:pPr>
              <w:spacing w:line="480" w:lineRule="auto"/>
              <w:jc w:val="center"/>
              <w:rPr>
                <w:rFonts w:ascii="Arial" w:hAnsi="Arial" w:cs="Arial"/>
                <w:color w:val="000000"/>
                <w:vertAlign w:val="superscript"/>
              </w:rPr>
            </w:pPr>
            <w:r w:rsidRPr="00617C01">
              <w:rPr>
                <w:rFonts w:ascii="Arial" w:hAnsi="Arial" w:cs="Arial"/>
                <w:color w:val="000000"/>
              </w:rPr>
              <w:t xml:space="preserve">Donor recent injection drug </w:t>
            </w:r>
            <w:proofErr w:type="spellStart"/>
            <w:r w:rsidRPr="00617C01">
              <w:rPr>
                <w:rFonts w:ascii="Arial" w:hAnsi="Arial" w:cs="Arial"/>
                <w:color w:val="000000"/>
              </w:rPr>
              <w:t>use</w:t>
            </w:r>
            <w:r w:rsidRPr="00617C01">
              <w:rPr>
                <w:rFonts w:ascii="Arial" w:hAnsi="Arial" w:cs="Arial"/>
                <w:color w:val="000000"/>
                <w:vertAlign w:val="superscript"/>
              </w:rPr>
              <w:t>b</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201EE38B"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2.74</w:t>
            </w:r>
          </w:p>
        </w:tc>
        <w:tc>
          <w:tcPr>
            <w:tcW w:w="2160" w:type="dxa"/>
            <w:gridSpan w:val="2"/>
            <w:tcBorders>
              <w:top w:val="nil"/>
              <w:left w:val="nil"/>
              <w:bottom w:val="single" w:sz="4" w:space="0" w:color="auto"/>
              <w:right w:val="single" w:sz="4" w:space="0" w:color="auto"/>
            </w:tcBorders>
            <w:shd w:val="clear" w:color="auto" w:fill="auto"/>
            <w:noWrap/>
            <w:vAlign w:val="center"/>
          </w:tcPr>
          <w:p w14:paraId="5C0C197F"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1.24-6.08</w:t>
            </w:r>
          </w:p>
        </w:tc>
        <w:tc>
          <w:tcPr>
            <w:tcW w:w="2250" w:type="dxa"/>
            <w:tcBorders>
              <w:top w:val="nil"/>
              <w:left w:val="nil"/>
              <w:bottom w:val="single" w:sz="4" w:space="0" w:color="auto"/>
              <w:right w:val="single" w:sz="4" w:space="0" w:color="auto"/>
            </w:tcBorders>
            <w:shd w:val="clear" w:color="auto" w:fill="auto"/>
            <w:noWrap/>
            <w:vAlign w:val="center"/>
          </w:tcPr>
          <w:p w14:paraId="573AFA5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0.01</w:t>
            </w:r>
          </w:p>
        </w:tc>
      </w:tr>
      <w:tr w:rsidR="00131F07" w:rsidRPr="00617C01" w14:paraId="43C80D9C" w14:textId="77777777" w:rsidTr="00D768A1">
        <w:trPr>
          <w:trHeight w:val="241"/>
        </w:trPr>
        <w:tc>
          <w:tcPr>
            <w:tcW w:w="3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DA63E"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lung disease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77BF779B"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2.73</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5C6268"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1.24-5.99</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7E37F53C"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0.01</w:t>
            </w:r>
          </w:p>
        </w:tc>
      </w:tr>
      <w:tr w:rsidR="00131F07" w:rsidRPr="00617C01" w14:paraId="75C72C4B" w14:textId="77777777" w:rsidTr="00D768A1">
        <w:trPr>
          <w:trHeight w:val="241"/>
        </w:trPr>
        <w:tc>
          <w:tcPr>
            <w:tcW w:w="908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BEFB9A" w14:textId="77777777" w:rsidR="00131F07" w:rsidRPr="00617C01" w:rsidRDefault="00131F07" w:rsidP="00D768A1">
            <w:pPr>
              <w:pStyle w:val="ListParagraph"/>
              <w:numPr>
                <w:ilvl w:val="0"/>
                <w:numId w:val="1"/>
              </w:numPr>
              <w:spacing w:line="480" w:lineRule="auto"/>
              <w:jc w:val="center"/>
              <w:rPr>
                <w:rFonts w:ascii="Arial" w:hAnsi="Arial" w:cs="Arial"/>
                <w:b/>
                <w:bCs/>
                <w:color w:val="000000"/>
              </w:rPr>
            </w:pPr>
            <w:r w:rsidRPr="00617C01">
              <w:rPr>
                <w:rFonts w:ascii="Arial" w:hAnsi="Arial" w:cs="Arial"/>
                <w:b/>
                <w:bCs/>
                <w:color w:val="000000"/>
              </w:rPr>
              <w:t>Any bacteria or fungi on respiratory culture</w:t>
            </w:r>
          </w:p>
        </w:tc>
      </w:tr>
      <w:tr w:rsidR="00131F07" w:rsidRPr="00617C01" w14:paraId="42F7B98D" w14:textId="77777777" w:rsidTr="00D768A1">
        <w:tblPrEx>
          <w:tblBorders>
            <w:top w:val="single" w:sz="4" w:space="0" w:color="auto"/>
          </w:tblBorders>
          <w:tblLook w:val="0000" w:firstRow="0" w:lastRow="0" w:firstColumn="0" w:lastColumn="0" w:noHBand="0" w:noVBand="0"/>
        </w:tblPrEx>
        <w:trPr>
          <w:trHeight w:val="100"/>
        </w:trPr>
        <w:tc>
          <w:tcPr>
            <w:tcW w:w="3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FB2211"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t>Variable</w:t>
            </w: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6EADF" w14:textId="77777777" w:rsidR="00131F07" w:rsidRPr="00617C01" w:rsidRDefault="00131F07" w:rsidP="00D768A1">
            <w:pPr>
              <w:spacing w:line="480" w:lineRule="auto"/>
              <w:jc w:val="center"/>
              <w:rPr>
                <w:rFonts w:ascii="Arial" w:hAnsi="Arial" w:cs="Arial"/>
                <w:b/>
                <w:bCs/>
              </w:rPr>
            </w:pPr>
            <w:proofErr w:type="spellStart"/>
            <w:r w:rsidRPr="00617C01">
              <w:rPr>
                <w:rFonts w:ascii="Arial" w:hAnsi="Arial" w:cs="Arial"/>
                <w:b/>
                <w:bCs/>
              </w:rPr>
              <w:t>aOR</w:t>
            </w:r>
            <w:proofErr w:type="spellEnd"/>
          </w:p>
        </w:tc>
        <w:tc>
          <w:tcPr>
            <w:tcW w:w="2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D6139"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t>95% CI</w:t>
            </w:r>
          </w:p>
        </w:tc>
        <w:tc>
          <w:tcPr>
            <w:tcW w:w="22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7BD59" w14:textId="77777777" w:rsidR="00131F07" w:rsidRPr="00617C01" w:rsidRDefault="00131F07" w:rsidP="00D768A1">
            <w:pPr>
              <w:spacing w:line="480" w:lineRule="auto"/>
              <w:jc w:val="center"/>
              <w:rPr>
                <w:rFonts w:ascii="Arial" w:hAnsi="Arial" w:cs="Arial"/>
                <w:b/>
                <w:bCs/>
                <w:i/>
                <w:iCs/>
              </w:rPr>
            </w:pPr>
            <w:r w:rsidRPr="00617C01">
              <w:rPr>
                <w:rFonts w:ascii="Arial" w:hAnsi="Arial" w:cs="Arial"/>
                <w:b/>
                <w:bCs/>
                <w:i/>
                <w:iCs/>
              </w:rPr>
              <w:t>P value</w:t>
            </w:r>
          </w:p>
        </w:tc>
      </w:tr>
      <w:tr w:rsidR="00131F07" w:rsidRPr="00617C01" w14:paraId="4FA213AF" w14:textId="77777777" w:rsidTr="00D768A1">
        <w:tblPrEx>
          <w:tblBorders>
            <w:top w:val="single" w:sz="4" w:space="0" w:color="auto"/>
          </w:tblBorders>
          <w:tblLook w:val="0000" w:firstRow="0" w:lastRow="0" w:firstColumn="0" w:lastColumn="0" w:noHBand="0" w:noVBand="0"/>
        </w:tblPrEx>
        <w:trPr>
          <w:trHeight w:val="100"/>
        </w:trPr>
        <w:tc>
          <w:tcPr>
            <w:tcW w:w="3052" w:type="dxa"/>
            <w:tcBorders>
              <w:top w:val="single" w:sz="4" w:space="0" w:color="auto"/>
              <w:left w:val="single" w:sz="4" w:space="0" w:color="auto"/>
              <w:bottom w:val="single" w:sz="4" w:space="0" w:color="auto"/>
              <w:right w:val="single" w:sz="4" w:space="0" w:color="auto"/>
            </w:tcBorders>
          </w:tcPr>
          <w:p w14:paraId="3496353C"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lastRenderedPageBreak/>
              <w:t>History of recent marijuana use</w:t>
            </w:r>
          </w:p>
        </w:tc>
        <w:tc>
          <w:tcPr>
            <w:tcW w:w="1620" w:type="dxa"/>
            <w:tcBorders>
              <w:top w:val="single" w:sz="4" w:space="0" w:color="auto"/>
              <w:left w:val="single" w:sz="4" w:space="0" w:color="auto"/>
              <w:bottom w:val="single" w:sz="4" w:space="0" w:color="auto"/>
              <w:right w:val="single" w:sz="4" w:space="0" w:color="auto"/>
            </w:tcBorders>
          </w:tcPr>
          <w:p w14:paraId="0184FE91"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t>0.93</w:t>
            </w:r>
          </w:p>
        </w:tc>
        <w:tc>
          <w:tcPr>
            <w:tcW w:w="2139" w:type="dxa"/>
            <w:tcBorders>
              <w:top w:val="single" w:sz="4" w:space="0" w:color="auto"/>
              <w:left w:val="single" w:sz="4" w:space="0" w:color="auto"/>
              <w:bottom w:val="single" w:sz="4" w:space="0" w:color="auto"/>
              <w:right w:val="single" w:sz="4" w:space="0" w:color="auto"/>
            </w:tcBorders>
          </w:tcPr>
          <w:p w14:paraId="6626A3E4"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t>0.47-1.84</w:t>
            </w:r>
          </w:p>
        </w:tc>
        <w:tc>
          <w:tcPr>
            <w:tcW w:w="2271" w:type="dxa"/>
            <w:gridSpan w:val="2"/>
            <w:tcBorders>
              <w:top w:val="single" w:sz="4" w:space="0" w:color="auto"/>
              <w:left w:val="single" w:sz="4" w:space="0" w:color="auto"/>
              <w:bottom w:val="single" w:sz="4" w:space="0" w:color="auto"/>
              <w:right w:val="single" w:sz="4" w:space="0" w:color="auto"/>
            </w:tcBorders>
          </w:tcPr>
          <w:p w14:paraId="736A49E7" w14:textId="77777777" w:rsidR="00131F07" w:rsidRPr="00617C01" w:rsidRDefault="00131F07" w:rsidP="00D768A1">
            <w:pPr>
              <w:spacing w:line="480" w:lineRule="auto"/>
              <w:jc w:val="center"/>
              <w:rPr>
                <w:rFonts w:ascii="Arial" w:hAnsi="Arial" w:cs="Arial"/>
                <w:b/>
                <w:bCs/>
              </w:rPr>
            </w:pPr>
            <w:r w:rsidRPr="00617C01">
              <w:rPr>
                <w:rFonts w:ascii="Arial" w:hAnsi="Arial" w:cs="Arial"/>
                <w:b/>
                <w:bCs/>
              </w:rPr>
              <w:t>0.83</w:t>
            </w:r>
          </w:p>
        </w:tc>
      </w:tr>
      <w:tr w:rsidR="00131F07" w:rsidRPr="00617C01" w14:paraId="2AAA3D59" w14:textId="77777777" w:rsidTr="00D768A1">
        <w:tblPrEx>
          <w:tblBorders>
            <w:top w:val="single" w:sz="4" w:space="0" w:color="auto"/>
          </w:tblBorders>
          <w:tblLook w:val="0000" w:firstRow="0" w:lastRow="0" w:firstColumn="0" w:lastColumn="0" w:noHBand="0" w:noVBand="0"/>
        </w:tblPrEx>
        <w:trPr>
          <w:trHeight w:val="100"/>
        </w:trPr>
        <w:tc>
          <w:tcPr>
            <w:tcW w:w="3052" w:type="dxa"/>
            <w:tcBorders>
              <w:top w:val="single" w:sz="4" w:space="0" w:color="auto"/>
              <w:left w:val="single" w:sz="4" w:space="0" w:color="auto"/>
              <w:bottom w:val="single" w:sz="4" w:space="0" w:color="auto"/>
              <w:right w:val="single" w:sz="4" w:space="0" w:color="auto"/>
            </w:tcBorders>
          </w:tcPr>
          <w:p w14:paraId="17DA08A7" w14:textId="77777777" w:rsidR="00131F07" w:rsidRPr="00617C01" w:rsidRDefault="00131F07" w:rsidP="00D768A1">
            <w:pPr>
              <w:spacing w:line="480" w:lineRule="auto"/>
              <w:jc w:val="center"/>
              <w:rPr>
                <w:rFonts w:ascii="Arial" w:hAnsi="Arial" w:cs="Arial"/>
                <w:vertAlign w:val="superscript"/>
              </w:rPr>
            </w:pPr>
            <w:r w:rsidRPr="00617C01">
              <w:rPr>
                <w:rFonts w:ascii="Arial" w:hAnsi="Arial" w:cs="Arial"/>
              </w:rPr>
              <w:t xml:space="preserve">Donor tobacco </w:t>
            </w:r>
            <w:proofErr w:type="spellStart"/>
            <w:r w:rsidRPr="00617C01">
              <w:rPr>
                <w:rFonts w:ascii="Arial" w:hAnsi="Arial" w:cs="Arial"/>
              </w:rPr>
              <w:t>use</w:t>
            </w:r>
            <w:r w:rsidRPr="00617C01">
              <w:rPr>
                <w:rFonts w:ascii="Arial" w:hAnsi="Arial" w:cs="Arial"/>
                <w:vertAlign w:val="superscript"/>
              </w:rPr>
              <w:t>c</w:t>
            </w:r>
            <w:proofErr w:type="spellEnd"/>
          </w:p>
        </w:tc>
        <w:tc>
          <w:tcPr>
            <w:tcW w:w="1620" w:type="dxa"/>
            <w:tcBorders>
              <w:top w:val="single" w:sz="4" w:space="0" w:color="auto"/>
              <w:left w:val="single" w:sz="4" w:space="0" w:color="auto"/>
              <w:bottom w:val="single" w:sz="4" w:space="0" w:color="auto"/>
              <w:right w:val="single" w:sz="4" w:space="0" w:color="auto"/>
            </w:tcBorders>
          </w:tcPr>
          <w:p w14:paraId="228AAD9C" w14:textId="77777777" w:rsidR="00131F07" w:rsidRPr="00617C01" w:rsidRDefault="00131F07" w:rsidP="00D768A1">
            <w:pPr>
              <w:spacing w:line="480" w:lineRule="auto"/>
              <w:jc w:val="center"/>
              <w:rPr>
                <w:rFonts w:ascii="Arial" w:hAnsi="Arial" w:cs="Arial"/>
              </w:rPr>
            </w:pPr>
            <w:r w:rsidRPr="00617C01">
              <w:rPr>
                <w:rFonts w:ascii="Arial" w:hAnsi="Arial" w:cs="Arial"/>
              </w:rPr>
              <w:t>9.53</w:t>
            </w:r>
          </w:p>
        </w:tc>
        <w:tc>
          <w:tcPr>
            <w:tcW w:w="2139" w:type="dxa"/>
            <w:tcBorders>
              <w:top w:val="single" w:sz="4" w:space="0" w:color="auto"/>
              <w:left w:val="single" w:sz="4" w:space="0" w:color="auto"/>
              <w:bottom w:val="single" w:sz="4" w:space="0" w:color="auto"/>
              <w:right w:val="single" w:sz="4" w:space="0" w:color="auto"/>
            </w:tcBorders>
          </w:tcPr>
          <w:p w14:paraId="3D330354" w14:textId="77777777" w:rsidR="00131F07" w:rsidRPr="00617C01" w:rsidRDefault="00131F07" w:rsidP="00D768A1">
            <w:pPr>
              <w:spacing w:line="480" w:lineRule="auto"/>
              <w:jc w:val="center"/>
              <w:rPr>
                <w:rFonts w:ascii="Arial" w:hAnsi="Arial" w:cs="Arial"/>
              </w:rPr>
            </w:pPr>
            <w:r w:rsidRPr="00617C01">
              <w:rPr>
                <w:rFonts w:ascii="Arial" w:hAnsi="Arial" w:cs="Arial"/>
              </w:rPr>
              <w:t>1.27-71.5</w:t>
            </w:r>
          </w:p>
        </w:tc>
        <w:tc>
          <w:tcPr>
            <w:tcW w:w="2271" w:type="dxa"/>
            <w:gridSpan w:val="2"/>
            <w:tcBorders>
              <w:top w:val="single" w:sz="4" w:space="0" w:color="auto"/>
              <w:left w:val="single" w:sz="4" w:space="0" w:color="auto"/>
              <w:bottom w:val="single" w:sz="4" w:space="0" w:color="auto"/>
              <w:right w:val="single" w:sz="4" w:space="0" w:color="auto"/>
            </w:tcBorders>
          </w:tcPr>
          <w:p w14:paraId="69137632" w14:textId="77777777" w:rsidR="00131F07" w:rsidRPr="00617C01" w:rsidRDefault="00131F07" w:rsidP="00D768A1">
            <w:pPr>
              <w:spacing w:line="480" w:lineRule="auto"/>
              <w:jc w:val="center"/>
              <w:rPr>
                <w:rFonts w:ascii="Arial" w:hAnsi="Arial" w:cs="Arial"/>
              </w:rPr>
            </w:pPr>
            <w:r w:rsidRPr="00617C01">
              <w:rPr>
                <w:rFonts w:ascii="Arial" w:hAnsi="Arial" w:cs="Arial"/>
              </w:rPr>
              <w:t>0.03</w:t>
            </w:r>
          </w:p>
        </w:tc>
      </w:tr>
      <w:tr w:rsidR="00131F07" w:rsidRPr="00617C01" w14:paraId="096C4CD7" w14:textId="77777777" w:rsidTr="00D768A1">
        <w:tblPrEx>
          <w:tblBorders>
            <w:top w:val="single" w:sz="4" w:space="0" w:color="auto"/>
          </w:tblBorders>
          <w:tblLook w:val="0000" w:firstRow="0" w:lastRow="0" w:firstColumn="0" w:lastColumn="0" w:noHBand="0" w:noVBand="0"/>
        </w:tblPrEx>
        <w:trPr>
          <w:trHeight w:val="100"/>
        </w:trPr>
        <w:tc>
          <w:tcPr>
            <w:tcW w:w="3052" w:type="dxa"/>
            <w:tcBorders>
              <w:top w:val="single" w:sz="4" w:space="0" w:color="auto"/>
              <w:left w:val="single" w:sz="4" w:space="0" w:color="auto"/>
              <w:bottom w:val="single" w:sz="4" w:space="0" w:color="auto"/>
              <w:right w:val="single" w:sz="4" w:space="0" w:color="auto"/>
            </w:tcBorders>
          </w:tcPr>
          <w:p w14:paraId="6000495C" w14:textId="77777777" w:rsidR="00131F07" w:rsidRPr="00617C01" w:rsidRDefault="00131F07" w:rsidP="00D768A1">
            <w:pPr>
              <w:spacing w:line="480" w:lineRule="auto"/>
              <w:jc w:val="center"/>
              <w:rPr>
                <w:rFonts w:ascii="Arial" w:hAnsi="Arial" w:cs="Arial"/>
                <w:vertAlign w:val="superscript"/>
              </w:rPr>
            </w:pPr>
            <w:r w:rsidRPr="00617C01">
              <w:rPr>
                <w:rFonts w:ascii="Arial" w:hAnsi="Arial" w:cs="Arial"/>
              </w:rPr>
              <w:t xml:space="preserve">Public Health Service Increased </w:t>
            </w:r>
            <w:proofErr w:type="spellStart"/>
            <w:r w:rsidRPr="00617C01">
              <w:rPr>
                <w:rFonts w:ascii="Arial" w:hAnsi="Arial" w:cs="Arial"/>
              </w:rPr>
              <w:t>Risk</w:t>
            </w:r>
            <w:r w:rsidRPr="00617C01">
              <w:rPr>
                <w:rFonts w:ascii="Arial" w:hAnsi="Arial" w:cs="Arial"/>
                <w:vertAlign w:val="superscript"/>
              </w:rPr>
              <w:t>d</w:t>
            </w:r>
            <w:proofErr w:type="spellEnd"/>
          </w:p>
        </w:tc>
        <w:tc>
          <w:tcPr>
            <w:tcW w:w="1620" w:type="dxa"/>
            <w:tcBorders>
              <w:top w:val="single" w:sz="4" w:space="0" w:color="auto"/>
              <w:left w:val="single" w:sz="4" w:space="0" w:color="auto"/>
              <w:bottom w:val="single" w:sz="4" w:space="0" w:color="auto"/>
              <w:right w:val="single" w:sz="4" w:space="0" w:color="auto"/>
            </w:tcBorders>
          </w:tcPr>
          <w:p w14:paraId="060B39F3" w14:textId="77777777" w:rsidR="00131F07" w:rsidRPr="00617C01" w:rsidRDefault="00131F07" w:rsidP="00D768A1">
            <w:pPr>
              <w:spacing w:line="480" w:lineRule="auto"/>
              <w:jc w:val="center"/>
              <w:rPr>
                <w:rFonts w:ascii="Arial" w:hAnsi="Arial" w:cs="Arial"/>
              </w:rPr>
            </w:pPr>
            <w:r w:rsidRPr="00617C01">
              <w:rPr>
                <w:rFonts w:ascii="Arial" w:hAnsi="Arial" w:cs="Arial"/>
              </w:rPr>
              <w:t>2.57</w:t>
            </w:r>
          </w:p>
        </w:tc>
        <w:tc>
          <w:tcPr>
            <w:tcW w:w="2139" w:type="dxa"/>
            <w:tcBorders>
              <w:top w:val="single" w:sz="4" w:space="0" w:color="auto"/>
              <w:left w:val="single" w:sz="4" w:space="0" w:color="auto"/>
              <w:bottom w:val="single" w:sz="4" w:space="0" w:color="auto"/>
              <w:right w:val="single" w:sz="4" w:space="0" w:color="auto"/>
            </w:tcBorders>
          </w:tcPr>
          <w:p w14:paraId="77BAC57D" w14:textId="77777777" w:rsidR="00131F07" w:rsidRPr="00617C01" w:rsidRDefault="00131F07" w:rsidP="00D768A1">
            <w:pPr>
              <w:spacing w:line="480" w:lineRule="auto"/>
              <w:jc w:val="center"/>
              <w:rPr>
                <w:rFonts w:ascii="Arial" w:hAnsi="Arial" w:cs="Arial"/>
              </w:rPr>
            </w:pPr>
            <w:r w:rsidRPr="00617C01">
              <w:rPr>
                <w:rFonts w:ascii="Arial" w:hAnsi="Arial" w:cs="Arial"/>
              </w:rPr>
              <w:t>1.31-5.06</w:t>
            </w:r>
          </w:p>
        </w:tc>
        <w:tc>
          <w:tcPr>
            <w:tcW w:w="2271" w:type="dxa"/>
            <w:gridSpan w:val="2"/>
            <w:tcBorders>
              <w:top w:val="single" w:sz="4" w:space="0" w:color="auto"/>
              <w:left w:val="single" w:sz="4" w:space="0" w:color="auto"/>
              <w:bottom w:val="single" w:sz="4" w:space="0" w:color="auto"/>
              <w:right w:val="single" w:sz="4" w:space="0" w:color="auto"/>
            </w:tcBorders>
          </w:tcPr>
          <w:p w14:paraId="53373EAD" w14:textId="77777777" w:rsidR="00131F07" w:rsidRPr="00617C01" w:rsidRDefault="00131F07" w:rsidP="00D768A1">
            <w:pPr>
              <w:spacing w:line="480" w:lineRule="auto"/>
              <w:jc w:val="center"/>
              <w:rPr>
                <w:rFonts w:ascii="Arial" w:hAnsi="Arial" w:cs="Arial"/>
              </w:rPr>
            </w:pPr>
            <w:r w:rsidRPr="00617C01">
              <w:rPr>
                <w:rFonts w:ascii="Arial" w:hAnsi="Arial" w:cs="Arial"/>
              </w:rPr>
              <w:t>&lt;0.01</w:t>
            </w:r>
          </w:p>
        </w:tc>
      </w:tr>
    </w:tbl>
    <w:p w14:paraId="1ACC8D5A" w14:textId="77777777" w:rsidR="00131F07" w:rsidRPr="00617C01" w:rsidRDefault="00131F07" w:rsidP="00131F07">
      <w:pPr>
        <w:spacing w:line="480" w:lineRule="auto"/>
        <w:rPr>
          <w:rFonts w:ascii="Arial" w:hAnsi="Arial" w:cs="Arial"/>
          <w:b/>
          <w:bCs/>
        </w:rPr>
      </w:pPr>
      <w:r w:rsidRPr="00617C01">
        <w:rPr>
          <w:rFonts w:ascii="Arial" w:hAnsi="Arial" w:cs="Arial"/>
          <w:b/>
          <w:bCs/>
        </w:rPr>
        <w:t>Table S1 Footnote.</w:t>
      </w:r>
    </w:p>
    <w:p w14:paraId="345786D8" w14:textId="77777777" w:rsidR="00131F07" w:rsidRPr="00617C01" w:rsidRDefault="00131F07" w:rsidP="00131F07">
      <w:pPr>
        <w:spacing w:line="480" w:lineRule="auto"/>
        <w:rPr>
          <w:rFonts w:ascii="Arial" w:hAnsi="Arial" w:cs="Arial"/>
        </w:rPr>
      </w:pPr>
      <w:proofErr w:type="spellStart"/>
      <w:r w:rsidRPr="00617C01">
        <w:rPr>
          <w:rFonts w:ascii="Arial" w:hAnsi="Arial" w:cs="Arial"/>
          <w:vertAlign w:val="superscript"/>
        </w:rPr>
        <w:t>a</w:t>
      </w:r>
      <w:r w:rsidRPr="00617C01">
        <w:rPr>
          <w:rFonts w:ascii="Arial" w:hAnsi="Arial" w:cs="Arial"/>
        </w:rPr>
        <w:t>MDROs</w:t>
      </w:r>
      <w:proofErr w:type="spellEnd"/>
      <w:r w:rsidRPr="00617C01">
        <w:rPr>
          <w:rFonts w:ascii="Arial" w:hAnsi="Arial" w:cs="Arial"/>
        </w:rPr>
        <w:t xml:space="preserve"> included MRSA, ESBL-</w:t>
      </w:r>
      <w:proofErr w:type="spellStart"/>
      <w:r w:rsidRPr="00617C01">
        <w:rPr>
          <w:rFonts w:ascii="Arial" w:hAnsi="Arial" w:cs="Arial"/>
        </w:rPr>
        <w:t>Enterobacterales</w:t>
      </w:r>
      <w:proofErr w:type="spellEnd"/>
      <w:r w:rsidRPr="00617C01">
        <w:rPr>
          <w:rFonts w:ascii="Arial" w:hAnsi="Arial" w:cs="Arial"/>
        </w:rPr>
        <w:t>, CRE, MDR-</w:t>
      </w:r>
      <w:r w:rsidRPr="00617C01">
        <w:rPr>
          <w:rFonts w:ascii="Arial" w:hAnsi="Arial" w:cs="Arial"/>
          <w:i/>
        </w:rPr>
        <w:t>Pseudomonas</w:t>
      </w:r>
      <w:r w:rsidRPr="00617C01">
        <w:rPr>
          <w:rFonts w:ascii="Arial" w:hAnsi="Arial" w:cs="Arial"/>
        </w:rPr>
        <w:t>, MDR-</w:t>
      </w:r>
      <w:r w:rsidRPr="00617C01">
        <w:rPr>
          <w:rFonts w:ascii="Arial" w:hAnsi="Arial" w:cs="Arial"/>
          <w:i/>
          <w:iCs/>
        </w:rPr>
        <w:t xml:space="preserve">Acinetobacter </w:t>
      </w:r>
      <w:r w:rsidRPr="00617C01">
        <w:rPr>
          <w:rFonts w:ascii="Arial" w:hAnsi="Arial" w:cs="Arial"/>
        </w:rPr>
        <w:t>and VRE.</w:t>
      </w:r>
    </w:p>
    <w:p w14:paraId="1CDCDB72" w14:textId="77777777" w:rsidR="00131F07" w:rsidRPr="00617C01" w:rsidRDefault="00131F07" w:rsidP="00131F07">
      <w:pPr>
        <w:widowControl w:val="0"/>
        <w:spacing w:line="480" w:lineRule="auto"/>
        <w:contextualSpacing/>
        <w:rPr>
          <w:rFonts w:ascii="Arial" w:hAnsi="Arial" w:cs="Arial"/>
        </w:rPr>
      </w:pPr>
      <w:proofErr w:type="spellStart"/>
      <w:r w:rsidRPr="00617C01">
        <w:rPr>
          <w:rFonts w:ascii="Arial" w:hAnsi="Arial" w:cs="Arial"/>
          <w:vertAlign w:val="superscript"/>
        </w:rPr>
        <w:t>b</w:t>
      </w:r>
      <w:r w:rsidRPr="00617C01">
        <w:rPr>
          <w:rFonts w:ascii="Arial" w:hAnsi="Arial" w:cs="Arial"/>
        </w:rPr>
        <w:t>Defined</w:t>
      </w:r>
      <w:proofErr w:type="spellEnd"/>
      <w:r w:rsidRPr="00617C01">
        <w:rPr>
          <w:rFonts w:ascii="Arial" w:hAnsi="Arial" w:cs="Arial"/>
        </w:rPr>
        <w:t xml:space="preserve"> as report of donor injection drug use within the 12 months prior to organ procurement and/or detection of injectable substances on toxicology screen taken on admission to donor’s terminal hospitalization. </w:t>
      </w:r>
    </w:p>
    <w:p w14:paraId="5FDB691F" w14:textId="77777777" w:rsidR="00131F07" w:rsidRPr="00617C01" w:rsidRDefault="00131F07" w:rsidP="00131F07">
      <w:pPr>
        <w:widowControl w:val="0"/>
        <w:spacing w:line="480" w:lineRule="auto"/>
        <w:contextualSpacing/>
        <w:rPr>
          <w:rFonts w:ascii="Arial" w:hAnsi="Arial" w:cs="Arial"/>
        </w:rPr>
      </w:pPr>
      <w:proofErr w:type="spellStart"/>
      <w:r w:rsidRPr="00617C01">
        <w:rPr>
          <w:rFonts w:ascii="Arial" w:hAnsi="Arial" w:cs="Arial"/>
          <w:vertAlign w:val="superscript"/>
        </w:rPr>
        <w:t>c</w:t>
      </w:r>
      <w:r w:rsidRPr="00617C01">
        <w:rPr>
          <w:rFonts w:ascii="Arial" w:hAnsi="Arial" w:cs="Arial"/>
        </w:rPr>
        <w:t>PHS</w:t>
      </w:r>
      <w:proofErr w:type="spellEnd"/>
      <w:r w:rsidRPr="00617C01">
        <w:rPr>
          <w:rFonts w:ascii="Arial" w:hAnsi="Arial" w:cs="Arial"/>
        </w:rPr>
        <w:t xml:space="preserve"> has since adopted the use of “risk criteria” for infection transmission in place of the term “increased risk donor.” This data was collected prior to this terminology change.</w:t>
      </w:r>
    </w:p>
    <w:p w14:paraId="7F5CB9C0" w14:textId="77777777" w:rsidR="00131F07" w:rsidRPr="00617C01" w:rsidRDefault="00131F07" w:rsidP="00131F07">
      <w:pPr>
        <w:spacing w:line="480" w:lineRule="auto"/>
        <w:rPr>
          <w:rFonts w:ascii="Arial" w:hAnsi="Arial" w:cs="Arial"/>
          <w:i/>
        </w:rPr>
      </w:pPr>
      <w:r w:rsidRPr="00617C01">
        <w:rPr>
          <w:rFonts w:ascii="Arial" w:hAnsi="Arial" w:cs="Arial"/>
          <w:b/>
          <w:bCs/>
        </w:rPr>
        <w:t>Abbreviations</w:t>
      </w:r>
      <w:r w:rsidRPr="00617C01">
        <w:rPr>
          <w:rFonts w:ascii="Arial" w:hAnsi="Arial" w:cs="Arial"/>
        </w:rPr>
        <w:t xml:space="preserve">: </w:t>
      </w:r>
      <w:proofErr w:type="spellStart"/>
      <w:r w:rsidRPr="00617C01">
        <w:rPr>
          <w:rFonts w:ascii="Arial" w:hAnsi="Arial" w:cs="Arial"/>
        </w:rPr>
        <w:t>aOR</w:t>
      </w:r>
      <w:proofErr w:type="spellEnd"/>
      <w:r w:rsidRPr="00617C01">
        <w:rPr>
          <w:rFonts w:ascii="Arial" w:hAnsi="Arial" w:cs="Arial"/>
        </w:rPr>
        <w:t xml:space="preserve">, adjusted odds ratio; CI, confidence interval; CRE, carbapenem-resistant </w:t>
      </w:r>
      <w:proofErr w:type="spellStart"/>
      <w:r w:rsidRPr="00617C01">
        <w:rPr>
          <w:rFonts w:ascii="Arial" w:hAnsi="Arial" w:cs="Arial"/>
        </w:rPr>
        <w:t>Enterobacterales</w:t>
      </w:r>
      <w:proofErr w:type="spellEnd"/>
      <w:r w:rsidRPr="00617C01">
        <w:rPr>
          <w:rFonts w:ascii="Arial" w:hAnsi="Arial" w:cs="Arial"/>
        </w:rPr>
        <w:t xml:space="preserve">; ESBL, extended-spectrum beta-lactamases; HCV, hepatitis C virus; MDR, multidrug-resistant; MDRO, multidrug-resistant organism; MRSA, methicillin-resistant </w:t>
      </w:r>
      <w:r w:rsidRPr="00617C01">
        <w:rPr>
          <w:rFonts w:ascii="Arial" w:hAnsi="Arial" w:cs="Arial"/>
          <w:i/>
        </w:rPr>
        <w:t>S. aureus</w:t>
      </w:r>
      <w:r w:rsidRPr="00617C01">
        <w:rPr>
          <w:rFonts w:ascii="Arial" w:hAnsi="Arial" w:cs="Arial"/>
        </w:rPr>
        <w:t xml:space="preserve">; VRE, vancomycin-resistant </w:t>
      </w:r>
      <w:r w:rsidRPr="00617C01">
        <w:rPr>
          <w:rFonts w:ascii="Arial" w:hAnsi="Arial" w:cs="Arial"/>
          <w:i/>
        </w:rPr>
        <w:t>Enterococcus</w:t>
      </w:r>
    </w:p>
    <w:p w14:paraId="234F05BE" w14:textId="77777777" w:rsidR="00131F07" w:rsidRPr="00617C01" w:rsidRDefault="00131F07" w:rsidP="00131F07">
      <w:pPr>
        <w:spacing w:line="480" w:lineRule="auto"/>
        <w:rPr>
          <w:rFonts w:ascii="Arial" w:hAnsi="Arial" w:cs="Arial"/>
          <w:i/>
        </w:rPr>
      </w:pPr>
    </w:p>
    <w:p w14:paraId="299C21C4" w14:textId="77777777" w:rsidR="00131F07" w:rsidRPr="00617C01" w:rsidRDefault="00131F07" w:rsidP="00131F07">
      <w:pPr>
        <w:spacing w:line="480" w:lineRule="auto"/>
        <w:rPr>
          <w:rFonts w:ascii="Arial" w:hAnsi="Arial" w:cs="Arial"/>
          <w:i/>
        </w:rPr>
      </w:pPr>
    </w:p>
    <w:p w14:paraId="65C82A93" w14:textId="77777777" w:rsidR="00131F07" w:rsidRPr="00617C01" w:rsidRDefault="00131F07" w:rsidP="00131F07">
      <w:pPr>
        <w:spacing w:line="480" w:lineRule="auto"/>
        <w:rPr>
          <w:rFonts w:ascii="Arial" w:hAnsi="Arial" w:cs="Arial"/>
          <w:i/>
        </w:rPr>
      </w:pPr>
    </w:p>
    <w:p w14:paraId="4B164974" w14:textId="77777777" w:rsidR="00131F07" w:rsidRPr="00617C01" w:rsidRDefault="00131F07" w:rsidP="00131F07">
      <w:pPr>
        <w:spacing w:line="480" w:lineRule="auto"/>
        <w:rPr>
          <w:rFonts w:ascii="Arial" w:hAnsi="Arial" w:cs="Arial"/>
          <w:i/>
        </w:rPr>
      </w:pPr>
    </w:p>
    <w:p w14:paraId="310CD13E" w14:textId="77777777" w:rsidR="00131F07" w:rsidRPr="00617C01" w:rsidRDefault="00131F07" w:rsidP="00131F07">
      <w:pPr>
        <w:spacing w:line="480" w:lineRule="auto"/>
        <w:rPr>
          <w:rFonts w:ascii="Arial" w:hAnsi="Arial" w:cs="Arial"/>
          <w:i/>
        </w:rPr>
      </w:pPr>
    </w:p>
    <w:p w14:paraId="53C3F2CA" w14:textId="77777777" w:rsidR="00131F07" w:rsidRPr="00617C01" w:rsidRDefault="00131F07" w:rsidP="00131F07">
      <w:pPr>
        <w:spacing w:line="480" w:lineRule="auto"/>
        <w:rPr>
          <w:rFonts w:ascii="Arial" w:hAnsi="Arial" w:cs="Arial"/>
          <w:i/>
        </w:rPr>
      </w:pPr>
      <w:r w:rsidRPr="00617C01">
        <w:rPr>
          <w:rFonts w:ascii="Arial" w:hAnsi="Arial" w:cs="Arial"/>
          <w:b/>
          <w:bCs/>
        </w:rPr>
        <w:lastRenderedPageBreak/>
        <w:t xml:space="preserve">Table S2. </w:t>
      </w:r>
      <w:r w:rsidRPr="00617C01">
        <w:rPr>
          <w:rFonts w:ascii="Arial" w:hAnsi="Arial" w:cs="Arial"/>
        </w:rPr>
        <w:t>Logistic regression models evaluating the association between recent donor marijuana use and recipient (a) invasive fungal infection and (b) mold infection at any site within three months post-transplant.</w:t>
      </w:r>
    </w:p>
    <w:tbl>
      <w:tblPr>
        <w:tblW w:w="9082" w:type="dxa"/>
        <w:tblInd w:w="93" w:type="dxa"/>
        <w:tblLayout w:type="fixed"/>
        <w:tblLook w:val="04A0" w:firstRow="1" w:lastRow="0" w:firstColumn="1" w:lastColumn="0" w:noHBand="0" w:noVBand="1"/>
      </w:tblPr>
      <w:tblGrid>
        <w:gridCol w:w="3208"/>
        <w:gridCol w:w="1464"/>
        <w:gridCol w:w="2160"/>
        <w:gridCol w:w="2250"/>
      </w:tblGrid>
      <w:tr w:rsidR="00131F07" w:rsidRPr="00617C01" w14:paraId="60C21480" w14:textId="77777777" w:rsidTr="00D768A1">
        <w:trPr>
          <w:trHeight w:val="241"/>
        </w:trPr>
        <w:tc>
          <w:tcPr>
            <w:tcW w:w="90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62339" w14:textId="77777777" w:rsidR="00131F07" w:rsidRPr="00617C01" w:rsidRDefault="00131F07" w:rsidP="00D768A1">
            <w:pPr>
              <w:pStyle w:val="ListParagraph"/>
              <w:numPr>
                <w:ilvl w:val="0"/>
                <w:numId w:val="2"/>
              </w:numPr>
              <w:spacing w:line="480" w:lineRule="auto"/>
              <w:rPr>
                <w:rFonts w:ascii="Arial" w:hAnsi="Arial" w:cs="Arial"/>
                <w:b/>
                <w:bCs/>
                <w:color w:val="000000"/>
              </w:rPr>
            </w:pPr>
            <w:r w:rsidRPr="00617C01">
              <w:rPr>
                <w:rFonts w:ascii="Arial" w:hAnsi="Arial" w:cs="Arial"/>
                <w:b/>
                <w:bCs/>
                <w:color w:val="000000"/>
              </w:rPr>
              <w:t>Invasive fungal infection</w:t>
            </w:r>
          </w:p>
        </w:tc>
      </w:tr>
      <w:tr w:rsidR="00131F07" w:rsidRPr="00617C01" w14:paraId="2CE5B47C"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9967B1"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hideMark/>
          </w:tcPr>
          <w:p w14:paraId="682BA812" w14:textId="77777777" w:rsidR="00131F07" w:rsidRPr="00617C01" w:rsidRDefault="00131F07" w:rsidP="00D768A1">
            <w:pPr>
              <w:spacing w:line="480" w:lineRule="auto"/>
              <w:jc w:val="center"/>
              <w:rPr>
                <w:rFonts w:ascii="Arial" w:hAnsi="Arial" w:cs="Arial"/>
                <w:b/>
                <w:bCs/>
                <w:color w:val="000000"/>
              </w:rPr>
            </w:pPr>
            <w:proofErr w:type="spellStart"/>
            <w:r w:rsidRPr="00617C01">
              <w:rPr>
                <w:rFonts w:ascii="Arial" w:hAnsi="Arial" w:cs="Arial"/>
                <w:b/>
                <w:bCs/>
                <w:color w:val="000000"/>
              </w:rPr>
              <w:t>aHR</w:t>
            </w:r>
            <w:proofErr w:type="spellEnd"/>
          </w:p>
        </w:tc>
        <w:tc>
          <w:tcPr>
            <w:tcW w:w="2160" w:type="dxa"/>
            <w:tcBorders>
              <w:top w:val="nil"/>
              <w:left w:val="nil"/>
              <w:bottom w:val="single" w:sz="4" w:space="0" w:color="auto"/>
              <w:right w:val="single" w:sz="4" w:space="0" w:color="auto"/>
            </w:tcBorders>
            <w:shd w:val="clear" w:color="auto" w:fill="F2F2F2" w:themeFill="background1" w:themeFillShade="F2"/>
            <w:noWrap/>
            <w:vAlign w:val="center"/>
            <w:hideMark/>
          </w:tcPr>
          <w:p w14:paraId="6DDBB24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0530B50"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228487E3"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hideMark/>
          </w:tcPr>
          <w:p w14:paraId="0349CA4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464" w:type="dxa"/>
            <w:tcBorders>
              <w:top w:val="nil"/>
              <w:left w:val="nil"/>
              <w:bottom w:val="single" w:sz="4" w:space="0" w:color="auto"/>
              <w:right w:val="single" w:sz="4" w:space="0" w:color="auto"/>
            </w:tcBorders>
            <w:shd w:val="clear" w:color="auto" w:fill="auto"/>
            <w:noWrap/>
            <w:vAlign w:val="center"/>
            <w:hideMark/>
          </w:tcPr>
          <w:p w14:paraId="40E18F02"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0.46</w:t>
            </w:r>
          </w:p>
        </w:tc>
        <w:tc>
          <w:tcPr>
            <w:tcW w:w="2160" w:type="dxa"/>
            <w:tcBorders>
              <w:top w:val="nil"/>
              <w:left w:val="nil"/>
              <w:bottom w:val="single" w:sz="4" w:space="0" w:color="auto"/>
              <w:right w:val="single" w:sz="4" w:space="0" w:color="auto"/>
            </w:tcBorders>
            <w:shd w:val="clear" w:color="auto" w:fill="auto"/>
            <w:noWrap/>
            <w:vAlign w:val="center"/>
            <w:hideMark/>
          </w:tcPr>
          <w:p w14:paraId="283826AF"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0.17-1.19</w:t>
            </w:r>
          </w:p>
        </w:tc>
        <w:tc>
          <w:tcPr>
            <w:tcW w:w="2250" w:type="dxa"/>
            <w:tcBorders>
              <w:top w:val="nil"/>
              <w:left w:val="nil"/>
              <w:bottom w:val="single" w:sz="4" w:space="0" w:color="auto"/>
              <w:right w:val="single" w:sz="4" w:space="0" w:color="auto"/>
            </w:tcBorders>
            <w:shd w:val="clear" w:color="auto" w:fill="auto"/>
            <w:noWrap/>
            <w:vAlign w:val="center"/>
            <w:hideMark/>
          </w:tcPr>
          <w:p w14:paraId="0D30C1B9"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0.11</w:t>
            </w:r>
          </w:p>
        </w:tc>
      </w:tr>
      <w:tr w:rsidR="00131F07" w:rsidRPr="00617C01" w14:paraId="6187AA56"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515DD35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Organ type: kidney</w:t>
            </w:r>
          </w:p>
        </w:tc>
        <w:tc>
          <w:tcPr>
            <w:tcW w:w="1464" w:type="dxa"/>
            <w:tcBorders>
              <w:top w:val="nil"/>
              <w:left w:val="nil"/>
              <w:bottom w:val="single" w:sz="4" w:space="0" w:color="auto"/>
              <w:right w:val="single" w:sz="4" w:space="0" w:color="auto"/>
            </w:tcBorders>
            <w:shd w:val="clear" w:color="auto" w:fill="auto"/>
            <w:noWrap/>
            <w:vAlign w:val="center"/>
          </w:tcPr>
          <w:p w14:paraId="1781ECE7" w14:textId="77777777" w:rsidR="00131F07" w:rsidRPr="00617C01" w:rsidRDefault="00131F07" w:rsidP="00D768A1">
            <w:pPr>
              <w:spacing w:line="480" w:lineRule="auto"/>
              <w:jc w:val="center"/>
              <w:rPr>
                <w:rFonts w:ascii="Arial" w:hAnsi="Arial" w:cs="Arial"/>
                <w:i/>
                <w:iCs/>
                <w:color w:val="000000"/>
              </w:rPr>
            </w:pPr>
            <w:r w:rsidRPr="00617C01">
              <w:rPr>
                <w:rFonts w:ascii="Arial" w:hAnsi="Arial" w:cs="Arial"/>
                <w:i/>
                <w:iCs/>
                <w:color w:val="000000"/>
              </w:rPr>
              <w:t>ref</w:t>
            </w:r>
          </w:p>
        </w:tc>
        <w:tc>
          <w:tcPr>
            <w:tcW w:w="2160" w:type="dxa"/>
            <w:tcBorders>
              <w:top w:val="nil"/>
              <w:left w:val="nil"/>
              <w:bottom w:val="single" w:sz="4" w:space="0" w:color="auto"/>
              <w:right w:val="single" w:sz="4" w:space="0" w:color="auto"/>
            </w:tcBorders>
            <w:shd w:val="clear" w:color="auto" w:fill="auto"/>
            <w:noWrap/>
            <w:vAlign w:val="center"/>
          </w:tcPr>
          <w:p w14:paraId="6E6A1F26" w14:textId="77777777" w:rsidR="00131F07" w:rsidRPr="00617C01" w:rsidRDefault="00131F07" w:rsidP="00D768A1">
            <w:pPr>
              <w:spacing w:line="480" w:lineRule="auto"/>
              <w:jc w:val="center"/>
              <w:rPr>
                <w:rFonts w:ascii="Arial" w:hAnsi="Arial" w:cs="Arial"/>
                <w:color w:val="000000"/>
              </w:rPr>
            </w:pPr>
          </w:p>
        </w:tc>
        <w:tc>
          <w:tcPr>
            <w:tcW w:w="2250" w:type="dxa"/>
            <w:tcBorders>
              <w:top w:val="nil"/>
              <w:left w:val="nil"/>
              <w:bottom w:val="single" w:sz="4" w:space="0" w:color="auto"/>
              <w:right w:val="single" w:sz="4" w:space="0" w:color="auto"/>
            </w:tcBorders>
            <w:shd w:val="clear" w:color="auto" w:fill="auto"/>
            <w:noWrap/>
            <w:vAlign w:val="center"/>
          </w:tcPr>
          <w:p w14:paraId="7839EEB6" w14:textId="77777777" w:rsidR="00131F07" w:rsidRPr="00617C01" w:rsidRDefault="00131F07" w:rsidP="00D768A1">
            <w:pPr>
              <w:spacing w:line="480" w:lineRule="auto"/>
              <w:jc w:val="center"/>
              <w:rPr>
                <w:rFonts w:ascii="Arial" w:hAnsi="Arial" w:cs="Arial"/>
                <w:color w:val="000000"/>
              </w:rPr>
            </w:pPr>
          </w:p>
        </w:tc>
      </w:tr>
      <w:tr w:rsidR="00131F07" w:rsidRPr="00617C01" w14:paraId="4ECFA2BE"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2C9E8693"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Organ type: liver</w:t>
            </w:r>
          </w:p>
        </w:tc>
        <w:tc>
          <w:tcPr>
            <w:tcW w:w="1464" w:type="dxa"/>
            <w:tcBorders>
              <w:top w:val="nil"/>
              <w:left w:val="nil"/>
              <w:bottom w:val="single" w:sz="4" w:space="0" w:color="auto"/>
              <w:right w:val="single" w:sz="4" w:space="0" w:color="auto"/>
            </w:tcBorders>
            <w:shd w:val="clear" w:color="auto" w:fill="auto"/>
            <w:noWrap/>
            <w:vAlign w:val="center"/>
          </w:tcPr>
          <w:p w14:paraId="589D8D5E"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3.03</w:t>
            </w:r>
          </w:p>
        </w:tc>
        <w:tc>
          <w:tcPr>
            <w:tcW w:w="2160" w:type="dxa"/>
            <w:tcBorders>
              <w:top w:val="nil"/>
              <w:left w:val="nil"/>
              <w:bottom w:val="single" w:sz="4" w:space="0" w:color="auto"/>
              <w:right w:val="single" w:sz="4" w:space="0" w:color="auto"/>
            </w:tcBorders>
            <w:shd w:val="clear" w:color="auto" w:fill="auto"/>
            <w:noWrap/>
            <w:vAlign w:val="center"/>
          </w:tcPr>
          <w:p w14:paraId="2F45326E"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0.91-10.17</w:t>
            </w:r>
          </w:p>
        </w:tc>
        <w:tc>
          <w:tcPr>
            <w:tcW w:w="2250" w:type="dxa"/>
            <w:tcBorders>
              <w:top w:val="nil"/>
              <w:left w:val="nil"/>
              <w:bottom w:val="single" w:sz="4" w:space="0" w:color="auto"/>
              <w:right w:val="single" w:sz="4" w:space="0" w:color="auto"/>
            </w:tcBorders>
            <w:shd w:val="clear" w:color="auto" w:fill="auto"/>
            <w:noWrap/>
            <w:vAlign w:val="center"/>
          </w:tcPr>
          <w:p w14:paraId="0CAC734A"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0.07</w:t>
            </w:r>
          </w:p>
        </w:tc>
      </w:tr>
      <w:tr w:rsidR="00131F07" w:rsidRPr="00617C01" w14:paraId="0779B979"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0EA32A18"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Organ type: heart</w:t>
            </w:r>
          </w:p>
        </w:tc>
        <w:tc>
          <w:tcPr>
            <w:tcW w:w="1464" w:type="dxa"/>
            <w:tcBorders>
              <w:top w:val="nil"/>
              <w:left w:val="nil"/>
              <w:bottom w:val="single" w:sz="4" w:space="0" w:color="auto"/>
              <w:right w:val="single" w:sz="4" w:space="0" w:color="auto"/>
            </w:tcBorders>
            <w:shd w:val="clear" w:color="auto" w:fill="auto"/>
            <w:noWrap/>
            <w:vAlign w:val="center"/>
          </w:tcPr>
          <w:p w14:paraId="249290BE"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3.65</w:t>
            </w:r>
          </w:p>
        </w:tc>
        <w:tc>
          <w:tcPr>
            <w:tcW w:w="2160" w:type="dxa"/>
            <w:tcBorders>
              <w:top w:val="nil"/>
              <w:left w:val="nil"/>
              <w:bottom w:val="single" w:sz="4" w:space="0" w:color="auto"/>
              <w:right w:val="single" w:sz="4" w:space="0" w:color="auto"/>
            </w:tcBorders>
            <w:shd w:val="clear" w:color="auto" w:fill="auto"/>
            <w:noWrap/>
            <w:vAlign w:val="center"/>
          </w:tcPr>
          <w:p w14:paraId="25C7A171"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1.02-13.03</w:t>
            </w:r>
          </w:p>
        </w:tc>
        <w:tc>
          <w:tcPr>
            <w:tcW w:w="2250" w:type="dxa"/>
            <w:tcBorders>
              <w:top w:val="nil"/>
              <w:left w:val="nil"/>
              <w:bottom w:val="single" w:sz="4" w:space="0" w:color="auto"/>
              <w:right w:val="single" w:sz="4" w:space="0" w:color="auto"/>
            </w:tcBorders>
            <w:shd w:val="clear" w:color="auto" w:fill="auto"/>
            <w:noWrap/>
            <w:vAlign w:val="center"/>
          </w:tcPr>
          <w:p w14:paraId="76892C6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0.05</w:t>
            </w:r>
          </w:p>
        </w:tc>
      </w:tr>
      <w:tr w:rsidR="00131F07" w:rsidRPr="00617C01" w14:paraId="5D2A95BB"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63CD1E36"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Organ type: lung</w:t>
            </w:r>
          </w:p>
        </w:tc>
        <w:tc>
          <w:tcPr>
            <w:tcW w:w="1464" w:type="dxa"/>
            <w:tcBorders>
              <w:top w:val="nil"/>
              <w:left w:val="nil"/>
              <w:bottom w:val="single" w:sz="4" w:space="0" w:color="auto"/>
              <w:right w:val="single" w:sz="4" w:space="0" w:color="auto"/>
            </w:tcBorders>
            <w:shd w:val="clear" w:color="auto" w:fill="auto"/>
            <w:noWrap/>
            <w:vAlign w:val="center"/>
          </w:tcPr>
          <w:p w14:paraId="4F0CF3DA"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10.47</w:t>
            </w:r>
          </w:p>
        </w:tc>
        <w:tc>
          <w:tcPr>
            <w:tcW w:w="2160" w:type="dxa"/>
            <w:tcBorders>
              <w:top w:val="nil"/>
              <w:left w:val="nil"/>
              <w:bottom w:val="single" w:sz="4" w:space="0" w:color="auto"/>
              <w:right w:val="single" w:sz="4" w:space="0" w:color="auto"/>
            </w:tcBorders>
            <w:shd w:val="clear" w:color="auto" w:fill="auto"/>
            <w:noWrap/>
            <w:vAlign w:val="center"/>
          </w:tcPr>
          <w:p w14:paraId="3EF3E42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3.36-32.66</w:t>
            </w:r>
          </w:p>
        </w:tc>
        <w:tc>
          <w:tcPr>
            <w:tcW w:w="2250" w:type="dxa"/>
            <w:tcBorders>
              <w:top w:val="nil"/>
              <w:left w:val="nil"/>
              <w:bottom w:val="single" w:sz="4" w:space="0" w:color="auto"/>
              <w:right w:val="single" w:sz="4" w:space="0" w:color="auto"/>
            </w:tcBorders>
            <w:shd w:val="clear" w:color="auto" w:fill="auto"/>
            <w:noWrap/>
            <w:vAlign w:val="center"/>
          </w:tcPr>
          <w:p w14:paraId="2D84DD4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i/>
                <w:iCs/>
              </w:rPr>
              <w:t>&lt;</w:t>
            </w:r>
            <w:r w:rsidRPr="00617C01">
              <w:rPr>
                <w:rFonts w:ascii="Arial" w:hAnsi="Arial" w:cs="Arial"/>
                <w:color w:val="000000"/>
              </w:rPr>
              <w:t>0.01</w:t>
            </w:r>
          </w:p>
        </w:tc>
      </w:tr>
      <w:tr w:rsidR="00131F07" w:rsidRPr="00617C01" w14:paraId="1F1E3263"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45BF2111"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Recipient age</w:t>
            </w:r>
          </w:p>
        </w:tc>
        <w:tc>
          <w:tcPr>
            <w:tcW w:w="1464" w:type="dxa"/>
            <w:tcBorders>
              <w:top w:val="nil"/>
              <w:left w:val="nil"/>
              <w:bottom w:val="single" w:sz="4" w:space="0" w:color="auto"/>
              <w:right w:val="single" w:sz="4" w:space="0" w:color="auto"/>
            </w:tcBorders>
            <w:shd w:val="clear" w:color="auto" w:fill="auto"/>
            <w:noWrap/>
            <w:vAlign w:val="center"/>
          </w:tcPr>
          <w:p w14:paraId="506465D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0.98</w:t>
            </w:r>
          </w:p>
        </w:tc>
        <w:tc>
          <w:tcPr>
            <w:tcW w:w="2160" w:type="dxa"/>
            <w:tcBorders>
              <w:top w:val="nil"/>
              <w:left w:val="nil"/>
              <w:bottom w:val="single" w:sz="4" w:space="0" w:color="auto"/>
              <w:right w:val="single" w:sz="4" w:space="0" w:color="auto"/>
            </w:tcBorders>
            <w:shd w:val="clear" w:color="auto" w:fill="auto"/>
            <w:noWrap/>
            <w:vAlign w:val="center"/>
          </w:tcPr>
          <w:p w14:paraId="36A49D36"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0.95-1.00</w:t>
            </w:r>
          </w:p>
        </w:tc>
        <w:tc>
          <w:tcPr>
            <w:tcW w:w="2250" w:type="dxa"/>
            <w:tcBorders>
              <w:top w:val="nil"/>
              <w:left w:val="nil"/>
              <w:bottom w:val="single" w:sz="4" w:space="0" w:color="auto"/>
              <w:right w:val="single" w:sz="4" w:space="0" w:color="auto"/>
            </w:tcBorders>
            <w:shd w:val="clear" w:color="auto" w:fill="auto"/>
            <w:noWrap/>
            <w:vAlign w:val="center"/>
          </w:tcPr>
          <w:p w14:paraId="642FF6DC"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0.09</w:t>
            </w:r>
          </w:p>
        </w:tc>
      </w:tr>
      <w:tr w:rsidR="00131F07" w:rsidRPr="00617C01" w14:paraId="36E68668"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647FB8FC"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percutaneous endoscopic gastrostomy</w:t>
            </w:r>
          </w:p>
        </w:tc>
        <w:tc>
          <w:tcPr>
            <w:tcW w:w="1464" w:type="dxa"/>
            <w:tcBorders>
              <w:top w:val="nil"/>
              <w:left w:val="nil"/>
              <w:bottom w:val="single" w:sz="4" w:space="0" w:color="auto"/>
              <w:right w:val="single" w:sz="4" w:space="0" w:color="auto"/>
            </w:tcBorders>
            <w:shd w:val="clear" w:color="auto" w:fill="auto"/>
            <w:noWrap/>
            <w:vAlign w:val="center"/>
          </w:tcPr>
          <w:p w14:paraId="12E87E28"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7.51</w:t>
            </w:r>
          </w:p>
        </w:tc>
        <w:tc>
          <w:tcPr>
            <w:tcW w:w="2160" w:type="dxa"/>
            <w:tcBorders>
              <w:top w:val="nil"/>
              <w:left w:val="nil"/>
              <w:bottom w:val="single" w:sz="4" w:space="0" w:color="auto"/>
              <w:right w:val="single" w:sz="4" w:space="0" w:color="auto"/>
            </w:tcBorders>
            <w:shd w:val="clear" w:color="auto" w:fill="auto"/>
            <w:noWrap/>
            <w:vAlign w:val="center"/>
          </w:tcPr>
          <w:p w14:paraId="7C3C7981"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1.63-34.57</w:t>
            </w:r>
          </w:p>
        </w:tc>
        <w:tc>
          <w:tcPr>
            <w:tcW w:w="2250" w:type="dxa"/>
            <w:tcBorders>
              <w:top w:val="nil"/>
              <w:left w:val="nil"/>
              <w:bottom w:val="single" w:sz="4" w:space="0" w:color="auto"/>
              <w:right w:val="single" w:sz="4" w:space="0" w:color="auto"/>
            </w:tcBorders>
            <w:shd w:val="clear" w:color="auto" w:fill="auto"/>
            <w:noWrap/>
            <w:vAlign w:val="center"/>
          </w:tcPr>
          <w:p w14:paraId="370E33D0"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0.01</w:t>
            </w:r>
          </w:p>
        </w:tc>
      </w:tr>
      <w:tr w:rsidR="00131F07" w:rsidRPr="00617C01" w14:paraId="74F4ABD8"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44BF2770" w14:textId="77777777" w:rsidR="00131F07" w:rsidRPr="00617C01" w:rsidRDefault="00131F07" w:rsidP="00D768A1">
            <w:pPr>
              <w:spacing w:line="480" w:lineRule="auto"/>
              <w:jc w:val="center"/>
              <w:rPr>
                <w:rFonts w:ascii="Arial" w:hAnsi="Arial" w:cs="Arial"/>
                <w:color w:val="000000"/>
                <w:vertAlign w:val="superscript"/>
              </w:rPr>
            </w:pPr>
            <w:r w:rsidRPr="00617C01">
              <w:rPr>
                <w:rFonts w:ascii="Arial" w:hAnsi="Arial" w:cs="Arial"/>
                <w:color w:val="000000"/>
              </w:rPr>
              <w:t xml:space="preserve">Donor alcohol </w:t>
            </w:r>
            <w:proofErr w:type="spellStart"/>
            <w:r w:rsidRPr="00617C01">
              <w:rPr>
                <w:rFonts w:ascii="Arial" w:hAnsi="Arial" w:cs="Arial"/>
                <w:color w:val="000000"/>
              </w:rPr>
              <w:t>use</w:t>
            </w:r>
            <w:r w:rsidRPr="00617C01">
              <w:rPr>
                <w:rFonts w:ascii="Arial" w:hAnsi="Arial" w:cs="Arial"/>
                <w:color w:val="000000"/>
                <w:vertAlign w:val="superscript"/>
              </w:rPr>
              <w:t>a</w:t>
            </w:r>
            <w:proofErr w:type="spellEnd"/>
          </w:p>
        </w:tc>
        <w:tc>
          <w:tcPr>
            <w:tcW w:w="1464" w:type="dxa"/>
            <w:tcBorders>
              <w:top w:val="nil"/>
              <w:left w:val="nil"/>
              <w:bottom w:val="single" w:sz="4" w:space="0" w:color="auto"/>
              <w:right w:val="single" w:sz="4" w:space="0" w:color="auto"/>
            </w:tcBorders>
            <w:shd w:val="clear" w:color="auto" w:fill="auto"/>
            <w:noWrap/>
            <w:vAlign w:val="center"/>
          </w:tcPr>
          <w:p w14:paraId="7458BD7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5.37</w:t>
            </w:r>
          </w:p>
        </w:tc>
        <w:tc>
          <w:tcPr>
            <w:tcW w:w="2160" w:type="dxa"/>
            <w:tcBorders>
              <w:top w:val="nil"/>
              <w:left w:val="nil"/>
              <w:bottom w:val="single" w:sz="4" w:space="0" w:color="auto"/>
              <w:right w:val="single" w:sz="4" w:space="0" w:color="auto"/>
            </w:tcBorders>
            <w:shd w:val="clear" w:color="auto" w:fill="auto"/>
            <w:noWrap/>
            <w:vAlign w:val="center"/>
          </w:tcPr>
          <w:p w14:paraId="0B6A6165"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1.53-18.88</w:t>
            </w:r>
          </w:p>
        </w:tc>
        <w:tc>
          <w:tcPr>
            <w:tcW w:w="2250" w:type="dxa"/>
            <w:tcBorders>
              <w:top w:val="nil"/>
              <w:left w:val="nil"/>
              <w:bottom w:val="single" w:sz="4" w:space="0" w:color="auto"/>
              <w:right w:val="single" w:sz="4" w:space="0" w:color="auto"/>
            </w:tcBorders>
            <w:shd w:val="clear" w:color="auto" w:fill="auto"/>
            <w:noWrap/>
            <w:vAlign w:val="center"/>
          </w:tcPr>
          <w:p w14:paraId="0B271246"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i/>
                <w:iCs/>
              </w:rPr>
              <w:t>&lt;</w:t>
            </w:r>
            <w:r w:rsidRPr="00617C01">
              <w:rPr>
                <w:rFonts w:ascii="Arial" w:hAnsi="Arial" w:cs="Arial"/>
                <w:color w:val="000000"/>
              </w:rPr>
              <w:t>0.01</w:t>
            </w:r>
          </w:p>
        </w:tc>
      </w:tr>
      <w:tr w:rsidR="00131F07" w:rsidRPr="00617C01" w14:paraId="79E125CA"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697161F2"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Donor lung disease</w:t>
            </w:r>
          </w:p>
        </w:tc>
        <w:tc>
          <w:tcPr>
            <w:tcW w:w="1464" w:type="dxa"/>
            <w:tcBorders>
              <w:top w:val="nil"/>
              <w:left w:val="nil"/>
              <w:bottom w:val="single" w:sz="4" w:space="0" w:color="auto"/>
              <w:right w:val="single" w:sz="4" w:space="0" w:color="auto"/>
            </w:tcBorders>
            <w:shd w:val="clear" w:color="auto" w:fill="auto"/>
            <w:noWrap/>
            <w:vAlign w:val="center"/>
          </w:tcPr>
          <w:p w14:paraId="3DC77115"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2.46</w:t>
            </w:r>
          </w:p>
        </w:tc>
        <w:tc>
          <w:tcPr>
            <w:tcW w:w="2160" w:type="dxa"/>
            <w:tcBorders>
              <w:top w:val="nil"/>
              <w:left w:val="nil"/>
              <w:bottom w:val="single" w:sz="4" w:space="0" w:color="auto"/>
              <w:right w:val="single" w:sz="4" w:space="0" w:color="auto"/>
            </w:tcBorders>
            <w:shd w:val="clear" w:color="auto" w:fill="auto"/>
            <w:noWrap/>
            <w:vAlign w:val="center"/>
          </w:tcPr>
          <w:p w14:paraId="274A093F"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1.12-5.40</w:t>
            </w:r>
          </w:p>
        </w:tc>
        <w:tc>
          <w:tcPr>
            <w:tcW w:w="2250" w:type="dxa"/>
            <w:tcBorders>
              <w:top w:val="nil"/>
              <w:left w:val="nil"/>
              <w:bottom w:val="single" w:sz="4" w:space="0" w:color="auto"/>
              <w:right w:val="single" w:sz="4" w:space="0" w:color="auto"/>
            </w:tcBorders>
            <w:shd w:val="clear" w:color="auto" w:fill="auto"/>
            <w:noWrap/>
            <w:vAlign w:val="center"/>
          </w:tcPr>
          <w:p w14:paraId="5E518ED3"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0.03</w:t>
            </w:r>
          </w:p>
        </w:tc>
      </w:tr>
      <w:tr w:rsidR="00131F07" w:rsidRPr="00617C01" w14:paraId="6CC897DF" w14:textId="77777777" w:rsidTr="00D768A1">
        <w:trPr>
          <w:trHeight w:val="241"/>
        </w:trPr>
        <w:tc>
          <w:tcPr>
            <w:tcW w:w="90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73C139" w14:textId="77777777" w:rsidR="00131F07" w:rsidRPr="00617C01" w:rsidRDefault="00131F07" w:rsidP="00D768A1">
            <w:pPr>
              <w:pStyle w:val="ListParagraph"/>
              <w:numPr>
                <w:ilvl w:val="0"/>
                <w:numId w:val="2"/>
              </w:numPr>
              <w:spacing w:line="480" w:lineRule="auto"/>
              <w:jc w:val="center"/>
              <w:rPr>
                <w:rFonts w:ascii="Arial" w:hAnsi="Arial" w:cs="Arial"/>
                <w:b/>
                <w:bCs/>
                <w:color w:val="000000"/>
              </w:rPr>
            </w:pPr>
            <w:r w:rsidRPr="00617C01">
              <w:rPr>
                <w:rFonts w:ascii="Arial" w:hAnsi="Arial" w:cs="Arial"/>
                <w:b/>
                <w:bCs/>
                <w:color w:val="000000"/>
              </w:rPr>
              <w:t xml:space="preserve">Mold </w:t>
            </w:r>
            <w:proofErr w:type="spellStart"/>
            <w:r w:rsidRPr="00617C01">
              <w:rPr>
                <w:rFonts w:ascii="Arial" w:hAnsi="Arial" w:cs="Arial"/>
                <w:b/>
                <w:bCs/>
                <w:color w:val="000000"/>
              </w:rPr>
              <w:t>infection</w:t>
            </w:r>
            <w:r w:rsidRPr="00617C01">
              <w:rPr>
                <w:rFonts w:ascii="Arial" w:hAnsi="Arial" w:cs="Arial"/>
                <w:b/>
                <w:bCs/>
                <w:color w:val="000000"/>
                <w:vertAlign w:val="superscript"/>
              </w:rPr>
              <w:t>b</w:t>
            </w:r>
            <w:proofErr w:type="spellEnd"/>
          </w:p>
        </w:tc>
      </w:tr>
      <w:tr w:rsidR="00131F07" w:rsidRPr="00617C01" w14:paraId="325095BC"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7742FD"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hideMark/>
          </w:tcPr>
          <w:p w14:paraId="0851E338"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HR</w:t>
            </w:r>
          </w:p>
        </w:tc>
        <w:tc>
          <w:tcPr>
            <w:tcW w:w="21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8867FC2"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AE019F4"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6EBDED16"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hideMark/>
          </w:tcPr>
          <w:p w14:paraId="588D1CF2"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464" w:type="dxa"/>
            <w:tcBorders>
              <w:top w:val="nil"/>
              <w:left w:val="nil"/>
              <w:bottom w:val="single" w:sz="4" w:space="0" w:color="auto"/>
              <w:right w:val="single" w:sz="4" w:space="0" w:color="auto"/>
            </w:tcBorders>
            <w:shd w:val="clear" w:color="auto" w:fill="auto"/>
            <w:noWrap/>
            <w:vAlign w:val="center"/>
            <w:hideMark/>
          </w:tcPr>
          <w:p w14:paraId="389C4CFA"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1.35</w:t>
            </w:r>
          </w:p>
        </w:tc>
        <w:tc>
          <w:tcPr>
            <w:tcW w:w="2160" w:type="dxa"/>
            <w:tcBorders>
              <w:top w:val="nil"/>
              <w:left w:val="nil"/>
              <w:bottom w:val="single" w:sz="4" w:space="0" w:color="auto"/>
              <w:right w:val="single" w:sz="4" w:space="0" w:color="auto"/>
            </w:tcBorders>
            <w:shd w:val="clear" w:color="auto" w:fill="auto"/>
            <w:noWrap/>
            <w:vAlign w:val="center"/>
            <w:hideMark/>
          </w:tcPr>
          <w:p w14:paraId="5F41DD39"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0.35-5.21</w:t>
            </w:r>
          </w:p>
        </w:tc>
        <w:tc>
          <w:tcPr>
            <w:tcW w:w="2250" w:type="dxa"/>
            <w:tcBorders>
              <w:top w:val="nil"/>
              <w:left w:val="nil"/>
              <w:bottom w:val="single" w:sz="4" w:space="0" w:color="auto"/>
              <w:right w:val="single" w:sz="4" w:space="0" w:color="auto"/>
            </w:tcBorders>
            <w:shd w:val="clear" w:color="auto" w:fill="auto"/>
            <w:noWrap/>
            <w:vAlign w:val="center"/>
            <w:hideMark/>
          </w:tcPr>
          <w:p w14:paraId="7CD0BBB4"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0.66</w:t>
            </w:r>
          </w:p>
        </w:tc>
      </w:tr>
    </w:tbl>
    <w:p w14:paraId="073D5936" w14:textId="77777777" w:rsidR="00131F07" w:rsidRPr="00617C01" w:rsidRDefault="00131F07" w:rsidP="00131F07">
      <w:pPr>
        <w:spacing w:line="480" w:lineRule="auto"/>
        <w:jc w:val="center"/>
        <w:rPr>
          <w:rFonts w:ascii="Arial" w:hAnsi="Arial" w:cs="Arial"/>
          <w:b/>
          <w:bCs/>
        </w:rPr>
      </w:pPr>
    </w:p>
    <w:p w14:paraId="5794159A" w14:textId="77777777" w:rsidR="00131F07" w:rsidRPr="00617C01" w:rsidRDefault="00131F07" w:rsidP="00131F07">
      <w:pPr>
        <w:spacing w:line="480" w:lineRule="auto"/>
        <w:rPr>
          <w:rFonts w:ascii="Arial" w:hAnsi="Arial" w:cs="Arial"/>
          <w:b/>
          <w:bCs/>
        </w:rPr>
      </w:pPr>
      <w:r w:rsidRPr="00617C01">
        <w:rPr>
          <w:rFonts w:ascii="Arial" w:hAnsi="Arial" w:cs="Arial"/>
          <w:b/>
          <w:bCs/>
        </w:rPr>
        <w:t>Table S2 Footnote.</w:t>
      </w:r>
    </w:p>
    <w:p w14:paraId="670D9C7F" w14:textId="77777777" w:rsidR="00131F07" w:rsidRPr="00617C01" w:rsidRDefault="00131F07" w:rsidP="00131F07">
      <w:pPr>
        <w:spacing w:line="480" w:lineRule="auto"/>
        <w:rPr>
          <w:rFonts w:ascii="Arial" w:hAnsi="Arial" w:cs="Arial"/>
          <w:vertAlign w:val="superscript"/>
        </w:rPr>
      </w:pPr>
      <w:proofErr w:type="spellStart"/>
      <w:r w:rsidRPr="00617C01">
        <w:rPr>
          <w:rFonts w:ascii="Arial" w:hAnsi="Arial" w:cs="Arial"/>
          <w:vertAlign w:val="superscript"/>
        </w:rPr>
        <w:lastRenderedPageBreak/>
        <w:t>a</w:t>
      </w:r>
      <w:r w:rsidRPr="00617C01">
        <w:rPr>
          <w:rFonts w:ascii="Arial" w:hAnsi="Arial" w:cs="Arial"/>
        </w:rPr>
        <w:t>Defined</w:t>
      </w:r>
      <w:proofErr w:type="spellEnd"/>
      <w:r w:rsidRPr="00617C01">
        <w:rPr>
          <w:rFonts w:ascii="Arial" w:hAnsi="Arial" w:cs="Arial"/>
        </w:rPr>
        <w:t xml:space="preserve"> by </w:t>
      </w:r>
      <w:r w:rsidRPr="00617C01">
        <w:rPr>
          <w:rFonts w:ascii="Arial" w:hAnsi="Arial" w:cs="Arial"/>
          <w:color w:val="000000"/>
        </w:rPr>
        <w:t xml:space="preserve">alcohol </w:t>
      </w:r>
      <w:r w:rsidRPr="00617C01">
        <w:rPr>
          <w:rFonts w:ascii="Arial" w:hAnsi="Arial" w:cs="Arial"/>
        </w:rPr>
        <w:t>detection on toxicology screen taken on admission to the donor’s terminal hospitalization.</w:t>
      </w:r>
    </w:p>
    <w:p w14:paraId="10398F07" w14:textId="77777777" w:rsidR="00131F07" w:rsidRPr="00617C01" w:rsidRDefault="00131F07" w:rsidP="00131F07">
      <w:pPr>
        <w:spacing w:line="480" w:lineRule="auto"/>
        <w:rPr>
          <w:rFonts w:ascii="Arial" w:hAnsi="Arial" w:cs="Arial"/>
          <w:b/>
          <w:bCs/>
        </w:rPr>
      </w:pPr>
      <w:proofErr w:type="spellStart"/>
      <w:r w:rsidRPr="00617C01">
        <w:rPr>
          <w:rFonts w:ascii="Arial" w:hAnsi="Arial" w:cs="Arial"/>
          <w:vertAlign w:val="superscript"/>
        </w:rPr>
        <w:t>b</w:t>
      </w:r>
      <w:r w:rsidRPr="00617C01">
        <w:rPr>
          <w:rFonts w:ascii="Arial" w:hAnsi="Arial" w:cs="Arial"/>
        </w:rPr>
        <w:t>Bivariable</w:t>
      </w:r>
      <w:proofErr w:type="spellEnd"/>
      <w:r w:rsidRPr="00617C01">
        <w:rPr>
          <w:rFonts w:ascii="Arial" w:hAnsi="Arial" w:cs="Arial"/>
        </w:rPr>
        <w:t xml:space="preserve"> analysis only performed for this analysis, due to insufficient numbers of mold infection to perform multivariable analysis. The reported hazard ratio is not an adjusted hazard ratio as a result.</w:t>
      </w:r>
    </w:p>
    <w:p w14:paraId="0B30BFAF" w14:textId="77777777" w:rsidR="00131F07" w:rsidRPr="00617C01" w:rsidRDefault="00131F07" w:rsidP="00131F07">
      <w:pPr>
        <w:widowControl w:val="0"/>
        <w:spacing w:line="480" w:lineRule="auto"/>
        <w:contextualSpacing/>
        <w:rPr>
          <w:rFonts w:ascii="Arial" w:hAnsi="Arial" w:cs="Arial"/>
          <w:iCs/>
        </w:rPr>
      </w:pPr>
      <w:r w:rsidRPr="00617C01">
        <w:rPr>
          <w:rFonts w:ascii="Arial" w:hAnsi="Arial" w:cs="Arial"/>
          <w:b/>
          <w:bCs/>
        </w:rPr>
        <w:t xml:space="preserve">Abbreviations: </w:t>
      </w:r>
      <w:proofErr w:type="spellStart"/>
      <w:r w:rsidRPr="00617C01">
        <w:rPr>
          <w:rFonts w:ascii="Arial" w:hAnsi="Arial" w:cs="Arial"/>
        </w:rPr>
        <w:t>aHR</w:t>
      </w:r>
      <w:proofErr w:type="spellEnd"/>
      <w:r w:rsidRPr="00617C01">
        <w:rPr>
          <w:rFonts w:ascii="Arial" w:hAnsi="Arial" w:cs="Arial"/>
        </w:rPr>
        <w:t>, adjusted hazard ratio; CI, confidence interval; HR, hazard ratio</w:t>
      </w:r>
    </w:p>
    <w:p w14:paraId="683662A1" w14:textId="77777777" w:rsidR="00131F07" w:rsidRPr="00617C01" w:rsidRDefault="00131F07" w:rsidP="00131F07">
      <w:pPr>
        <w:widowControl w:val="0"/>
        <w:spacing w:line="480" w:lineRule="auto"/>
        <w:contextualSpacing/>
        <w:rPr>
          <w:rFonts w:ascii="Arial" w:hAnsi="Arial" w:cs="Arial"/>
          <w:i/>
        </w:rPr>
      </w:pPr>
    </w:p>
    <w:p w14:paraId="0972B453" w14:textId="77777777" w:rsidR="00131F07" w:rsidRPr="00617C01" w:rsidRDefault="00131F07" w:rsidP="00131F07">
      <w:pPr>
        <w:widowControl w:val="0"/>
        <w:spacing w:line="480" w:lineRule="auto"/>
        <w:contextualSpacing/>
        <w:rPr>
          <w:rFonts w:ascii="Arial" w:hAnsi="Arial" w:cs="Arial"/>
          <w:i/>
        </w:rPr>
      </w:pPr>
    </w:p>
    <w:p w14:paraId="107C94F8" w14:textId="77777777" w:rsidR="00131F07" w:rsidRPr="00617C01" w:rsidRDefault="00131F07" w:rsidP="00131F07">
      <w:pPr>
        <w:widowControl w:val="0"/>
        <w:spacing w:line="480" w:lineRule="auto"/>
        <w:contextualSpacing/>
        <w:rPr>
          <w:rFonts w:ascii="Arial" w:hAnsi="Arial" w:cs="Arial"/>
          <w:i/>
        </w:rPr>
      </w:pPr>
    </w:p>
    <w:p w14:paraId="166BA625" w14:textId="77777777" w:rsidR="00131F07" w:rsidRPr="00617C01" w:rsidRDefault="00131F07" w:rsidP="00131F07">
      <w:pPr>
        <w:widowControl w:val="0"/>
        <w:spacing w:line="480" w:lineRule="auto"/>
        <w:contextualSpacing/>
        <w:rPr>
          <w:rFonts w:ascii="Arial" w:hAnsi="Arial" w:cs="Arial"/>
          <w:i/>
        </w:rPr>
      </w:pPr>
    </w:p>
    <w:p w14:paraId="3AD187D3" w14:textId="77777777" w:rsidR="00131F07" w:rsidRPr="00617C01" w:rsidRDefault="00131F07" w:rsidP="00131F07">
      <w:pPr>
        <w:widowControl w:val="0"/>
        <w:spacing w:line="480" w:lineRule="auto"/>
        <w:contextualSpacing/>
        <w:rPr>
          <w:rFonts w:ascii="Arial" w:hAnsi="Arial" w:cs="Arial"/>
          <w:i/>
        </w:rPr>
      </w:pPr>
    </w:p>
    <w:p w14:paraId="13546DD7" w14:textId="77777777" w:rsidR="00131F07" w:rsidRPr="00617C01" w:rsidRDefault="00131F07" w:rsidP="00131F07">
      <w:pPr>
        <w:widowControl w:val="0"/>
        <w:spacing w:line="480" w:lineRule="auto"/>
        <w:contextualSpacing/>
        <w:rPr>
          <w:rFonts w:ascii="Arial" w:hAnsi="Arial" w:cs="Arial"/>
          <w:i/>
        </w:rPr>
      </w:pPr>
    </w:p>
    <w:p w14:paraId="29068FD2" w14:textId="77777777" w:rsidR="00131F07" w:rsidRPr="00617C01" w:rsidRDefault="00131F07" w:rsidP="00131F07">
      <w:pPr>
        <w:widowControl w:val="0"/>
        <w:spacing w:line="480" w:lineRule="auto"/>
        <w:contextualSpacing/>
        <w:rPr>
          <w:rFonts w:ascii="Arial" w:hAnsi="Arial" w:cs="Arial"/>
          <w:i/>
        </w:rPr>
      </w:pPr>
    </w:p>
    <w:p w14:paraId="7BC84666" w14:textId="77777777" w:rsidR="00131F07" w:rsidRPr="00617C01" w:rsidRDefault="00131F07" w:rsidP="00131F07">
      <w:pPr>
        <w:widowControl w:val="0"/>
        <w:spacing w:line="480" w:lineRule="auto"/>
        <w:contextualSpacing/>
        <w:rPr>
          <w:rFonts w:ascii="Arial" w:hAnsi="Arial" w:cs="Arial"/>
          <w:i/>
        </w:rPr>
      </w:pPr>
    </w:p>
    <w:p w14:paraId="4D41B276" w14:textId="77777777" w:rsidR="00131F07" w:rsidRPr="00617C01" w:rsidRDefault="00131F07" w:rsidP="00131F07">
      <w:pPr>
        <w:widowControl w:val="0"/>
        <w:spacing w:line="480" w:lineRule="auto"/>
        <w:contextualSpacing/>
        <w:rPr>
          <w:rFonts w:ascii="Arial" w:hAnsi="Arial" w:cs="Arial"/>
          <w:i/>
        </w:rPr>
      </w:pPr>
    </w:p>
    <w:p w14:paraId="6C6838FF" w14:textId="77777777" w:rsidR="00131F07" w:rsidRPr="00617C01" w:rsidRDefault="00131F07" w:rsidP="00131F07">
      <w:pPr>
        <w:widowControl w:val="0"/>
        <w:spacing w:line="480" w:lineRule="auto"/>
        <w:contextualSpacing/>
        <w:rPr>
          <w:rFonts w:ascii="Arial" w:hAnsi="Arial" w:cs="Arial"/>
          <w:i/>
        </w:rPr>
      </w:pPr>
    </w:p>
    <w:p w14:paraId="755F908F" w14:textId="77777777" w:rsidR="00131F07" w:rsidRPr="00617C01" w:rsidRDefault="00131F07" w:rsidP="00131F07">
      <w:pPr>
        <w:widowControl w:val="0"/>
        <w:spacing w:line="480" w:lineRule="auto"/>
        <w:contextualSpacing/>
        <w:rPr>
          <w:rFonts w:ascii="Arial" w:hAnsi="Arial" w:cs="Arial"/>
          <w:i/>
        </w:rPr>
      </w:pPr>
    </w:p>
    <w:p w14:paraId="6E39BCF3" w14:textId="77777777" w:rsidR="00131F07" w:rsidRPr="00617C01" w:rsidRDefault="00131F07" w:rsidP="00131F07">
      <w:pPr>
        <w:widowControl w:val="0"/>
        <w:spacing w:line="480" w:lineRule="auto"/>
        <w:contextualSpacing/>
        <w:rPr>
          <w:rFonts w:ascii="Arial" w:hAnsi="Arial" w:cs="Arial"/>
          <w:i/>
        </w:rPr>
      </w:pPr>
    </w:p>
    <w:p w14:paraId="3812B1FC" w14:textId="77777777" w:rsidR="00131F07" w:rsidRPr="00617C01" w:rsidRDefault="00131F07" w:rsidP="00131F07">
      <w:pPr>
        <w:widowControl w:val="0"/>
        <w:spacing w:line="480" w:lineRule="auto"/>
        <w:contextualSpacing/>
        <w:rPr>
          <w:rFonts w:ascii="Arial" w:hAnsi="Arial" w:cs="Arial"/>
          <w:i/>
        </w:rPr>
      </w:pPr>
    </w:p>
    <w:p w14:paraId="4042E631" w14:textId="77777777" w:rsidR="00131F07" w:rsidRPr="00617C01" w:rsidRDefault="00131F07" w:rsidP="00131F07">
      <w:pPr>
        <w:widowControl w:val="0"/>
        <w:spacing w:line="480" w:lineRule="auto"/>
        <w:contextualSpacing/>
        <w:rPr>
          <w:rFonts w:ascii="Arial" w:hAnsi="Arial" w:cs="Arial"/>
          <w:i/>
        </w:rPr>
      </w:pPr>
    </w:p>
    <w:p w14:paraId="6185B0E1" w14:textId="77777777" w:rsidR="00131F07" w:rsidRPr="00617C01" w:rsidRDefault="00131F07" w:rsidP="00131F07">
      <w:pPr>
        <w:widowControl w:val="0"/>
        <w:spacing w:line="480" w:lineRule="auto"/>
        <w:contextualSpacing/>
        <w:rPr>
          <w:rFonts w:ascii="Arial" w:hAnsi="Arial" w:cs="Arial"/>
          <w:i/>
        </w:rPr>
      </w:pPr>
    </w:p>
    <w:p w14:paraId="60DF81BA" w14:textId="77777777" w:rsidR="00131F07" w:rsidRPr="00617C01" w:rsidRDefault="00131F07" w:rsidP="00131F07">
      <w:pPr>
        <w:widowControl w:val="0"/>
        <w:spacing w:line="480" w:lineRule="auto"/>
        <w:contextualSpacing/>
        <w:rPr>
          <w:rFonts w:ascii="Arial" w:hAnsi="Arial" w:cs="Arial"/>
          <w:i/>
        </w:rPr>
      </w:pPr>
    </w:p>
    <w:p w14:paraId="79809C2D" w14:textId="77777777" w:rsidR="00131F07" w:rsidRPr="00617C01" w:rsidRDefault="00131F07" w:rsidP="00131F07">
      <w:pPr>
        <w:spacing w:line="480" w:lineRule="auto"/>
        <w:rPr>
          <w:rFonts w:ascii="Arial" w:hAnsi="Arial" w:cs="Arial"/>
          <w:i/>
        </w:rPr>
      </w:pPr>
      <w:r w:rsidRPr="00617C01">
        <w:rPr>
          <w:rFonts w:ascii="Arial" w:hAnsi="Arial" w:cs="Arial"/>
          <w:b/>
          <w:bCs/>
        </w:rPr>
        <w:lastRenderedPageBreak/>
        <w:t xml:space="preserve">Table S3. </w:t>
      </w:r>
      <w:r w:rsidRPr="00617C01">
        <w:rPr>
          <w:rFonts w:ascii="Arial" w:hAnsi="Arial" w:cs="Arial"/>
        </w:rPr>
        <w:t xml:space="preserve">Logistic regression models evaluating the association between recent donor marijuana use and </w:t>
      </w:r>
      <w:r w:rsidRPr="00617C01">
        <w:rPr>
          <w:rFonts w:ascii="Arial" w:hAnsi="Arial" w:cs="Arial"/>
          <w:i/>
          <w:iCs/>
        </w:rPr>
        <w:t>lung</w:t>
      </w:r>
      <w:r w:rsidRPr="00617C01">
        <w:rPr>
          <w:rFonts w:ascii="Arial" w:hAnsi="Arial" w:cs="Arial"/>
        </w:rPr>
        <w:t xml:space="preserve"> </w:t>
      </w:r>
      <w:r w:rsidRPr="00617C01">
        <w:rPr>
          <w:rFonts w:ascii="Arial" w:hAnsi="Arial" w:cs="Arial"/>
          <w:i/>
          <w:iCs/>
        </w:rPr>
        <w:t>recipient</w:t>
      </w:r>
      <w:r w:rsidRPr="00617C01">
        <w:rPr>
          <w:rFonts w:ascii="Arial" w:hAnsi="Arial" w:cs="Arial"/>
        </w:rPr>
        <w:t xml:space="preserve"> (a) infection (bacterial or fungal), (b) respiratory tract infection (bacterial or fungal), (c) invasive fungal infection, (d) mold infection at any site, (e) respiratory mold infection within three months post-transplant.</w:t>
      </w:r>
    </w:p>
    <w:tbl>
      <w:tblPr>
        <w:tblW w:w="9082" w:type="dxa"/>
        <w:tblInd w:w="93" w:type="dxa"/>
        <w:tblLayout w:type="fixed"/>
        <w:tblLook w:val="04A0" w:firstRow="1" w:lastRow="0" w:firstColumn="1" w:lastColumn="0" w:noHBand="0" w:noVBand="1"/>
      </w:tblPr>
      <w:tblGrid>
        <w:gridCol w:w="3208"/>
        <w:gridCol w:w="1464"/>
        <w:gridCol w:w="2160"/>
        <w:gridCol w:w="2250"/>
      </w:tblGrid>
      <w:tr w:rsidR="00131F07" w:rsidRPr="00617C01" w14:paraId="1B5B03F9" w14:textId="77777777" w:rsidTr="00D768A1">
        <w:trPr>
          <w:trHeight w:val="241"/>
        </w:trPr>
        <w:tc>
          <w:tcPr>
            <w:tcW w:w="90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F461DB" w14:textId="77777777" w:rsidR="00131F07" w:rsidRPr="00617C01" w:rsidRDefault="00131F07" w:rsidP="00D768A1">
            <w:pPr>
              <w:pStyle w:val="ListParagraph"/>
              <w:numPr>
                <w:ilvl w:val="0"/>
                <w:numId w:val="5"/>
              </w:numPr>
              <w:spacing w:line="480" w:lineRule="auto"/>
              <w:rPr>
                <w:rFonts w:ascii="Arial" w:hAnsi="Arial" w:cs="Arial"/>
                <w:b/>
                <w:bCs/>
                <w:color w:val="000000"/>
              </w:rPr>
            </w:pPr>
            <w:r w:rsidRPr="00617C01">
              <w:rPr>
                <w:rFonts w:ascii="Arial" w:hAnsi="Arial" w:cs="Arial"/>
                <w:b/>
                <w:bCs/>
                <w:color w:val="000000"/>
              </w:rPr>
              <w:t>Bacterial or fungal infection</w:t>
            </w:r>
          </w:p>
        </w:tc>
      </w:tr>
      <w:tr w:rsidR="00131F07" w:rsidRPr="00617C01" w14:paraId="61843114"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B43323"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hideMark/>
          </w:tcPr>
          <w:p w14:paraId="551A8AB9" w14:textId="77777777" w:rsidR="00131F07" w:rsidRPr="00617C01" w:rsidRDefault="00131F07" w:rsidP="00D768A1">
            <w:pPr>
              <w:spacing w:line="480" w:lineRule="auto"/>
              <w:jc w:val="center"/>
              <w:rPr>
                <w:rFonts w:ascii="Arial" w:hAnsi="Arial" w:cs="Arial"/>
                <w:b/>
                <w:bCs/>
                <w:color w:val="000000"/>
              </w:rPr>
            </w:pPr>
            <w:proofErr w:type="spellStart"/>
            <w:r w:rsidRPr="00617C01">
              <w:rPr>
                <w:rFonts w:ascii="Arial" w:hAnsi="Arial" w:cs="Arial"/>
                <w:b/>
                <w:bCs/>
                <w:color w:val="000000"/>
              </w:rPr>
              <w:t>aHR</w:t>
            </w:r>
            <w:proofErr w:type="spellEnd"/>
          </w:p>
        </w:tc>
        <w:tc>
          <w:tcPr>
            <w:tcW w:w="2160" w:type="dxa"/>
            <w:tcBorders>
              <w:top w:val="nil"/>
              <w:left w:val="nil"/>
              <w:bottom w:val="single" w:sz="4" w:space="0" w:color="auto"/>
              <w:right w:val="single" w:sz="4" w:space="0" w:color="auto"/>
            </w:tcBorders>
            <w:shd w:val="clear" w:color="auto" w:fill="F2F2F2" w:themeFill="background1" w:themeFillShade="F2"/>
            <w:noWrap/>
            <w:vAlign w:val="center"/>
            <w:hideMark/>
          </w:tcPr>
          <w:p w14:paraId="7648C035"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002ABC3"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684BA3D6"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hideMark/>
          </w:tcPr>
          <w:p w14:paraId="275BB2EB"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464" w:type="dxa"/>
            <w:tcBorders>
              <w:top w:val="nil"/>
              <w:left w:val="nil"/>
              <w:bottom w:val="single" w:sz="4" w:space="0" w:color="auto"/>
              <w:right w:val="single" w:sz="4" w:space="0" w:color="auto"/>
            </w:tcBorders>
            <w:shd w:val="clear" w:color="auto" w:fill="auto"/>
            <w:noWrap/>
            <w:vAlign w:val="center"/>
            <w:hideMark/>
          </w:tcPr>
          <w:p w14:paraId="03EBB55F"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1.01</w:t>
            </w:r>
          </w:p>
        </w:tc>
        <w:tc>
          <w:tcPr>
            <w:tcW w:w="2160" w:type="dxa"/>
            <w:tcBorders>
              <w:top w:val="nil"/>
              <w:left w:val="nil"/>
              <w:bottom w:val="single" w:sz="4" w:space="0" w:color="auto"/>
              <w:right w:val="single" w:sz="4" w:space="0" w:color="auto"/>
            </w:tcBorders>
            <w:shd w:val="clear" w:color="auto" w:fill="auto"/>
            <w:noWrap/>
            <w:vAlign w:val="center"/>
            <w:hideMark/>
          </w:tcPr>
          <w:p w14:paraId="0499A261"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0.60-1.70</w:t>
            </w:r>
          </w:p>
        </w:tc>
        <w:tc>
          <w:tcPr>
            <w:tcW w:w="2250" w:type="dxa"/>
            <w:tcBorders>
              <w:top w:val="nil"/>
              <w:left w:val="nil"/>
              <w:bottom w:val="single" w:sz="4" w:space="0" w:color="auto"/>
              <w:right w:val="single" w:sz="4" w:space="0" w:color="auto"/>
            </w:tcBorders>
            <w:shd w:val="clear" w:color="auto" w:fill="auto"/>
            <w:noWrap/>
            <w:vAlign w:val="center"/>
            <w:hideMark/>
          </w:tcPr>
          <w:p w14:paraId="14F724CE"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0.97</w:t>
            </w:r>
          </w:p>
        </w:tc>
      </w:tr>
      <w:tr w:rsidR="00131F07" w:rsidRPr="00617C01" w14:paraId="7EB9189D"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38D94101" w14:textId="77777777" w:rsidR="00131F07" w:rsidRPr="00617C01" w:rsidRDefault="00131F07" w:rsidP="00D768A1">
            <w:pPr>
              <w:spacing w:line="480" w:lineRule="auto"/>
              <w:jc w:val="center"/>
              <w:rPr>
                <w:rFonts w:ascii="Arial" w:hAnsi="Arial" w:cs="Arial"/>
                <w:color w:val="000000"/>
                <w:vertAlign w:val="superscript"/>
              </w:rPr>
            </w:pPr>
            <w:r w:rsidRPr="00617C01">
              <w:rPr>
                <w:rFonts w:ascii="Arial" w:hAnsi="Arial" w:cs="Arial"/>
                <w:color w:val="000000"/>
              </w:rPr>
              <w:t>Recipient intensive care unit pre-</w:t>
            </w:r>
            <w:proofErr w:type="spellStart"/>
            <w:r w:rsidRPr="00617C01">
              <w:rPr>
                <w:rFonts w:ascii="Arial" w:hAnsi="Arial" w:cs="Arial"/>
                <w:color w:val="000000"/>
              </w:rPr>
              <w:t>transplantation</w:t>
            </w:r>
            <w:r w:rsidRPr="00617C01">
              <w:rPr>
                <w:rFonts w:ascii="Arial" w:hAnsi="Arial" w:cs="Arial"/>
                <w:color w:val="000000"/>
                <w:vertAlign w:val="superscript"/>
              </w:rPr>
              <w:t>a</w:t>
            </w:r>
            <w:proofErr w:type="spellEnd"/>
          </w:p>
        </w:tc>
        <w:tc>
          <w:tcPr>
            <w:tcW w:w="1464" w:type="dxa"/>
            <w:tcBorders>
              <w:top w:val="nil"/>
              <w:left w:val="nil"/>
              <w:bottom w:val="single" w:sz="4" w:space="0" w:color="auto"/>
              <w:right w:val="single" w:sz="4" w:space="0" w:color="auto"/>
            </w:tcBorders>
            <w:shd w:val="clear" w:color="auto" w:fill="auto"/>
            <w:noWrap/>
            <w:vAlign w:val="center"/>
          </w:tcPr>
          <w:p w14:paraId="019F8B4C"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3.03</w:t>
            </w:r>
          </w:p>
        </w:tc>
        <w:tc>
          <w:tcPr>
            <w:tcW w:w="2160" w:type="dxa"/>
            <w:tcBorders>
              <w:top w:val="nil"/>
              <w:left w:val="nil"/>
              <w:bottom w:val="single" w:sz="4" w:space="0" w:color="auto"/>
              <w:right w:val="single" w:sz="4" w:space="0" w:color="auto"/>
            </w:tcBorders>
            <w:shd w:val="clear" w:color="auto" w:fill="auto"/>
            <w:noWrap/>
            <w:vAlign w:val="center"/>
          </w:tcPr>
          <w:p w14:paraId="60AFA478"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1.68-5.46</w:t>
            </w:r>
          </w:p>
        </w:tc>
        <w:tc>
          <w:tcPr>
            <w:tcW w:w="2250" w:type="dxa"/>
            <w:tcBorders>
              <w:top w:val="nil"/>
              <w:left w:val="nil"/>
              <w:bottom w:val="single" w:sz="4" w:space="0" w:color="auto"/>
              <w:right w:val="single" w:sz="4" w:space="0" w:color="auto"/>
            </w:tcBorders>
            <w:shd w:val="clear" w:color="auto" w:fill="auto"/>
            <w:noWrap/>
            <w:vAlign w:val="center"/>
          </w:tcPr>
          <w:p w14:paraId="4D4582D6"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i/>
                <w:iCs/>
              </w:rPr>
              <w:t>&lt;</w:t>
            </w:r>
            <w:r w:rsidRPr="00617C01">
              <w:rPr>
                <w:rFonts w:ascii="Arial" w:hAnsi="Arial" w:cs="Arial"/>
                <w:color w:val="000000"/>
              </w:rPr>
              <w:t>0.01</w:t>
            </w:r>
          </w:p>
        </w:tc>
      </w:tr>
      <w:tr w:rsidR="00131F07" w:rsidRPr="00617C01" w14:paraId="1CD44556"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1DF24D2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Recipient chronic kidney disease</w:t>
            </w:r>
          </w:p>
        </w:tc>
        <w:tc>
          <w:tcPr>
            <w:tcW w:w="1464" w:type="dxa"/>
            <w:tcBorders>
              <w:top w:val="nil"/>
              <w:left w:val="nil"/>
              <w:bottom w:val="single" w:sz="4" w:space="0" w:color="auto"/>
              <w:right w:val="single" w:sz="4" w:space="0" w:color="auto"/>
            </w:tcBorders>
            <w:shd w:val="clear" w:color="auto" w:fill="auto"/>
            <w:noWrap/>
            <w:vAlign w:val="center"/>
          </w:tcPr>
          <w:p w14:paraId="738780D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2.38</w:t>
            </w:r>
          </w:p>
        </w:tc>
        <w:tc>
          <w:tcPr>
            <w:tcW w:w="2160" w:type="dxa"/>
            <w:tcBorders>
              <w:top w:val="nil"/>
              <w:left w:val="nil"/>
              <w:bottom w:val="single" w:sz="4" w:space="0" w:color="auto"/>
              <w:right w:val="single" w:sz="4" w:space="0" w:color="auto"/>
            </w:tcBorders>
            <w:shd w:val="clear" w:color="auto" w:fill="auto"/>
            <w:noWrap/>
            <w:vAlign w:val="center"/>
          </w:tcPr>
          <w:p w14:paraId="30670C4E"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1.00-5.67</w:t>
            </w:r>
          </w:p>
        </w:tc>
        <w:tc>
          <w:tcPr>
            <w:tcW w:w="2250" w:type="dxa"/>
            <w:tcBorders>
              <w:top w:val="nil"/>
              <w:left w:val="nil"/>
              <w:bottom w:val="single" w:sz="4" w:space="0" w:color="auto"/>
              <w:right w:val="single" w:sz="4" w:space="0" w:color="auto"/>
            </w:tcBorders>
            <w:shd w:val="clear" w:color="auto" w:fill="auto"/>
            <w:noWrap/>
            <w:vAlign w:val="center"/>
          </w:tcPr>
          <w:p w14:paraId="7C4FCF65"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color w:val="000000"/>
              </w:rPr>
              <w:t>0.05</w:t>
            </w:r>
          </w:p>
        </w:tc>
      </w:tr>
      <w:tr w:rsidR="00131F07" w:rsidRPr="00617C01" w14:paraId="180D6495" w14:textId="77777777" w:rsidTr="00D768A1">
        <w:trPr>
          <w:trHeight w:val="241"/>
        </w:trPr>
        <w:tc>
          <w:tcPr>
            <w:tcW w:w="9082"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674C099" w14:textId="77777777" w:rsidR="00131F07" w:rsidRPr="00617C01" w:rsidRDefault="00131F07" w:rsidP="00D768A1">
            <w:pPr>
              <w:pStyle w:val="ListParagraph"/>
              <w:numPr>
                <w:ilvl w:val="0"/>
                <w:numId w:val="5"/>
              </w:numPr>
              <w:spacing w:line="480" w:lineRule="auto"/>
              <w:rPr>
                <w:rFonts w:ascii="Arial" w:hAnsi="Arial" w:cs="Arial"/>
                <w:b/>
                <w:bCs/>
                <w:color w:val="000000"/>
              </w:rPr>
            </w:pPr>
            <w:r w:rsidRPr="00617C01">
              <w:rPr>
                <w:rFonts w:ascii="Arial" w:hAnsi="Arial" w:cs="Arial"/>
                <w:b/>
                <w:bCs/>
                <w:color w:val="000000"/>
              </w:rPr>
              <w:t xml:space="preserve">Bacterial or fungal respiratory tract </w:t>
            </w:r>
            <w:proofErr w:type="spellStart"/>
            <w:r w:rsidRPr="00617C01">
              <w:rPr>
                <w:rFonts w:ascii="Arial" w:hAnsi="Arial" w:cs="Arial"/>
                <w:b/>
                <w:bCs/>
                <w:color w:val="000000"/>
              </w:rPr>
              <w:t>infection</w:t>
            </w:r>
            <w:r w:rsidRPr="00617C01">
              <w:rPr>
                <w:rFonts w:ascii="Arial" w:hAnsi="Arial" w:cs="Arial"/>
                <w:b/>
                <w:bCs/>
                <w:color w:val="000000"/>
                <w:vertAlign w:val="superscript"/>
              </w:rPr>
              <w:t>b</w:t>
            </w:r>
            <w:proofErr w:type="spellEnd"/>
          </w:p>
        </w:tc>
      </w:tr>
      <w:tr w:rsidR="00131F07" w:rsidRPr="00617C01" w14:paraId="06FE1C7F"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D8680B"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tcPr>
          <w:p w14:paraId="0D1C4584"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b/>
                <w:bCs/>
                <w:color w:val="000000"/>
              </w:rPr>
              <w:t>HR</w:t>
            </w:r>
          </w:p>
        </w:tc>
        <w:tc>
          <w:tcPr>
            <w:tcW w:w="2160" w:type="dxa"/>
            <w:tcBorders>
              <w:top w:val="nil"/>
              <w:left w:val="nil"/>
              <w:bottom w:val="single" w:sz="4" w:space="0" w:color="auto"/>
              <w:right w:val="single" w:sz="4" w:space="0" w:color="auto"/>
            </w:tcBorders>
            <w:shd w:val="clear" w:color="auto" w:fill="F2F2F2" w:themeFill="background1" w:themeFillShade="F2"/>
            <w:noWrap/>
            <w:vAlign w:val="center"/>
          </w:tcPr>
          <w:p w14:paraId="10A3926D"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tcPr>
          <w:p w14:paraId="6E351F49"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003785A7"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5D97FA0B" w14:textId="77777777" w:rsidR="00131F07" w:rsidRPr="00617C01" w:rsidRDefault="00131F07" w:rsidP="00D768A1">
            <w:pPr>
              <w:spacing w:line="480" w:lineRule="auto"/>
              <w:jc w:val="center"/>
              <w:rPr>
                <w:rFonts w:ascii="Arial" w:hAnsi="Arial" w:cs="Arial"/>
                <w:color w:val="000000"/>
              </w:rPr>
            </w:pPr>
            <w:r w:rsidRPr="00617C01">
              <w:rPr>
                <w:rFonts w:ascii="Arial" w:hAnsi="Arial" w:cs="Arial"/>
                <w:b/>
                <w:bCs/>
                <w:color w:val="000000"/>
              </w:rPr>
              <w:t>History of recent marijuana use</w:t>
            </w:r>
          </w:p>
        </w:tc>
        <w:tc>
          <w:tcPr>
            <w:tcW w:w="1464" w:type="dxa"/>
            <w:tcBorders>
              <w:top w:val="nil"/>
              <w:left w:val="nil"/>
              <w:bottom w:val="single" w:sz="4" w:space="0" w:color="auto"/>
              <w:right w:val="single" w:sz="4" w:space="0" w:color="auto"/>
            </w:tcBorders>
            <w:shd w:val="clear" w:color="auto" w:fill="auto"/>
            <w:noWrap/>
            <w:vAlign w:val="center"/>
          </w:tcPr>
          <w:p w14:paraId="2A6063E5"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0.70</w:t>
            </w:r>
          </w:p>
        </w:tc>
        <w:tc>
          <w:tcPr>
            <w:tcW w:w="2160" w:type="dxa"/>
            <w:tcBorders>
              <w:top w:val="nil"/>
              <w:left w:val="nil"/>
              <w:bottom w:val="single" w:sz="4" w:space="0" w:color="auto"/>
              <w:right w:val="single" w:sz="4" w:space="0" w:color="auto"/>
            </w:tcBorders>
            <w:shd w:val="clear" w:color="auto" w:fill="auto"/>
            <w:noWrap/>
            <w:vAlign w:val="center"/>
          </w:tcPr>
          <w:p w14:paraId="4EE5113F"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0.37-1.33</w:t>
            </w:r>
          </w:p>
        </w:tc>
        <w:tc>
          <w:tcPr>
            <w:tcW w:w="2250" w:type="dxa"/>
            <w:tcBorders>
              <w:top w:val="nil"/>
              <w:left w:val="nil"/>
              <w:bottom w:val="single" w:sz="4" w:space="0" w:color="auto"/>
              <w:right w:val="single" w:sz="4" w:space="0" w:color="auto"/>
            </w:tcBorders>
            <w:shd w:val="clear" w:color="auto" w:fill="auto"/>
            <w:noWrap/>
            <w:vAlign w:val="center"/>
          </w:tcPr>
          <w:p w14:paraId="44D37B8C"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0.28</w:t>
            </w:r>
          </w:p>
        </w:tc>
      </w:tr>
      <w:tr w:rsidR="00131F07" w:rsidRPr="00617C01" w14:paraId="7259DC93" w14:textId="77777777" w:rsidTr="00D768A1">
        <w:trPr>
          <w:trHeight w:val="241"/>
        </w:trPr>
        <w:tc>
          <w:tcPr>
            <w:tcW w:w="90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0EF856" w14:textId="77777777" w:rsidR="00131F07" w:rsidRPr="00617C01" w:rsidRDefault="00131F07" w:rsidP="00D768A1">
            <w:pPr>
              <w:pStyle w:val="ListParagraph"/>
              <w:numPr>
                <w:ilvl w:val="0"/>
                <w:numId w:val="5"/>
              </w:numPr>
              <w:spacing w:line="480" w:lineRule="auto"/>
              <w:rPr>
                <w:rFonts w:ascii="Arial" w:hAnsi="Arial" w:cs="Arial"/>
                <w:b/>
                <w:bCs/>
                <w:color w:val="000000"/>
              </w:rPr>
            </w:pPr>
            <w:r w:rsidRPr="00617C01">
              <w:rPr>
                <w:rFonts w:ascii="Arial" w:hAnsi="Arial" w:cs="Arial"/>
                <w:b/>
                <w:bCs/>
                <w:color w:val="000000"/>
              </w:rPr>
              <w:t xml:space="preserve">Invasive fungal </w:t>
            </w:r>
            <w:proofErr w:type="spellStart"/>
            <w:r w:rsidRPr="00617C01">
              <w:rPr>
                <w:rFonts w:ascii="Arial" w:hAnsi="Arial" w:cs="Arial"/>
                <w:b/>
                <w:bCs/>
                <w:color w:val="000000"/>
              </w:rPr>
              <w:t>infection</w:t>
            </w:r>
            <w:r w:rsidRPr="00617C01">
              <w:rPr>
                <w:rFonts w:ascii="Arial" w:hAnsi="Arial" w:cs="Arial"/>
                <w:b/>
                <w:bCs/>
                <w:color w:val="000000"/>
                <w:vertAlign w:val="superscript"/>
              </w:rPr>
              <w:t>b</w:t>
            </w:r>
            <w:proofErr w:type="spellEnd"/>
          </w:p>
        </w:tc>
      </w:tr>
      <w:tr w:rsidR="00131F07" w:rsidRPr="00617C01" w14:paraId="150EE067"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C6FD9D3"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hideMark/>
          </w:tcPr>
          <w:p w14:paraId="6A047F8B"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HR</w:t>
            </w:r>
          </w:p>
        </w:tc>
        <w:tc>
          <w:tcPr>
            <w:tcW w:w="21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99DD621"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hideMark/>
          </w:tcPr>
          <w:p w14:paraId="472C99A3"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3AAD886E"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hideMark/>
          </w:tcPr>
          <w:p w14:paraId="76C38F41"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History of recent marijuana use</w:t>
            </w:r>
          </w:p>
        </w:tc>
        <w:tc>
          <w:tcPr>
            <w:tcW w:w="1464" w:type="dxa"/>
            <w:tcBorders>
              <w:top w:val="nil"/>
              <w:left w:val="nil"/>
              <w:bottom w:val="single" w:sz="4" w:space="0" w:color="auto"/>
              <w:right w:val="single" w:sz="4" w:space="0" w:color="auto"/>
            </w:tcBorders>
            <w:shd w:val="clear" w:color="auto" w:fill="auto"/>
            <w:noWrap/>
            <w:vAlign w:val="center"/>
            <w:hideMark/>
          </w:tcPr>
          <w:p w14:paraId="475BA78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0.78</w:t>
            </w:r>
          </w:p>
        </w:tc>
        <w:tc>
          <w:tcPr>
            <w:tcW w:w="2160" w:type="dxa"/>
            <w:tcBorders>
              <w:top w:val="nil"/>
              <w:left w:val="nil"/>
              <w:bottom w:val="single" w:sz="4" w:space="0" w:color="auto"/>
              <w:right w:val="single" w:sz="4" w:space="0" w:color="auto"/>
            </w:tcBorders>
            <w:shd w:val="clear" w:color="auto" w:fill="auto"/>
            <w:noWrap/>
            <w:vAlign w:val="center"/>
            <w:hideMark/>
          </w:tcPr>
          <w:p w14:paraId="2236A3B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0.22-2.77</w:t>
            </w:r>
          </w:p>
        </w:tc>
        <w:tc>
          <w:tcPr>
            <w:tcW w:w="2250" w:type="dxa"/>
            <w:tcBorders>
              <w:top w:val="nil"/>
              <w:left w:val="nil"/>
              <w:bottom w:val="single" w:sz="4" w:space="0" w:color="auto"/>
              <w:right w:val="single" w:sz="4" w:space="0" w:color="auto"/>
            </w:tcBorders>
            <w:shd w:val="clear" w:color="auto" w:fill="auto"/>
            <w:noWrap/>
            <w:vAlign w:val="center"/>
            <w:hideMark/>
          </w:tcPr>
          <w:p w14:paraId="25334367"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0.70</w:t>
            </w:r>
          </w:p>
        </w:tc>
      </w:tr>
      <w:tr w:rsidR="00131F07" w:rsidRPr="00617C01" w14:paraId="773E9176" w14:textId="77777777" w:rsidTr="00D768A1">
        <w:trPr>
          <w:trHeight w:val="241"/>
        </w:trPr>
        <w:tc>
          <w:tcPr>
            <w:tcW w:w="9082"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E57BEC7" w14:textId="77777777" w:rsidR="00131F07" w:rsidRPr="00617C01" w:rsidRDefault="00131F07" w:rsidP="00D768A1">
            <w:pPr>
              <w:pStyle w:val="ListParagraph"/>
              <w:numPr>
                <w:ilvl w:val="0"/>
                <w:numId w:val="5"/>
              </w:numPr>
              <w:spacing w:line="480" w:lineRule="auto"/>
              <w:rPr>
                <w:rFonts w:ascii="Arial" w:hAnsi="Arial" w:cs="Arial"/>
                <w:b/>
                <w:bCs/>
                <w:color w:val="000000"/>
              </w:rPr>
            </w:pPr>
            <w:r w:rsidRPr="00617C01">
              <w:rPr>
                <w:rFonts w:ascii="Arial" w:hAnsi="Arial" w:cs="Arial"/>
                <w:b/>
                <w:bCs/>
                <w:color w:val="000000"/>
              </w:rPr>
              <w:t xml:space="preserve">Mold </w:t>
            </w:r>
            <w:proofErr w:type="spellStart"/>
            <w:r w:rsidRPr="00617C01">
              <w:rPr>
                <w:rFonts w:ascii="Arial" w:hAnsi="Arial" w:cs="Arial"/>
                <w:b/>
                <w:bCs/>
                <w:color w:val="000000"/>
              </w:rPr>
              <w:t>infection</w:t>
            </w:r>
            <w:r w:rsidRPr="00617C01">
              <w:rPr>
                <w:rFonts w:ascii="Arial" w:hAnsi="Arial" w:cs="Arial"/>
                <w:b/>
                <w:bCs/>
                <w:color w:val="000000"/>
                <w:vertAlign w:val="superscript"/>
              </w:rPr>
              <w:t>b</w:t>
            </w:r>
            <w:proofErr w:type="spellEnd"/>
          </w:p>
        </w:tc>
      </w:tr>
      <w:tr w:rsidR="00131F07" w:rsidRPr="00617C01" w14:paraId="3AC28F4B"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65F4C69"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nil"/>
              <w:left w:val="nil"/>
              <w:bottom w:val="single" w:sz="4" w:space="0" w:color="auto"/>
              <w:right w:val="single" w:sz="4" w:space="0" w:color="auto"/>
            </w:tcBorders>
            <w:shd w:val="clear" w:color="auto" w:fill="F2F2F2" w:themeFill="background1" w:themeFillShade="F2"/>
            <w:noWrap/>
            <w:vAlign w:val="center"/>
          </w:tcPr>
          <w:p w14:paraId="01032B65"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HR</w:t>
            </w:r>
          </w:p>
        </w:tc>
        <w:tc>
          <w:tcPr>
            <w:tcW w:w="2160" w:type="dxa"/>
            <w:tcBorders>
              <w:top w:val="nil"/>
              <w:left w:val="nil"/>
              <w:bottom w:val="single" w:sz="4" w:space="0" w:color="auto"/>
              <w:right w:val="single" w:sz="4" w:space="0" w:color="auto"/>
            </w:tcBorders>
            <w:shd w:val="clear" w:color="auto" w:fill="F2F2F2" w:themeFill="background1" w:themeFillShade="F2"/>
            <w:noWrap/>
            <w:vAlign w:val="center"/>
          </w:tcPr>
          <w:p w14:paraId="71A46D99"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nil"/>
              <w:left w:val="nil"/>
              <w:bottom w:val="single" w:sz="4" w:space="0" w:color="auto"/>
              <w:right w:val="single" w:sz="4" w:space="0" w:color="auto"/>
            </w:tcBorders>
            <w:shd w:val="clear" w:color="auto" w:fill="F2F2F2" w:themeFill="background1" w:themeFillShade="F2"/>
            <w:noWrap/>
            <w:vAlign w:val="center"/>
          </w:tcPr>
          <w:p w14:paraId="4C0D715B"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1DD15833" w14:textId="77777777" w:rsidTr="00D768A1">
        <w:trPr>
          <w:trHeight w:val="241"/>
        </w:trPr>
        <w:tc>
          <w:tcPr>
            <w:tcW w:w="3208" w:type="dxa"/>
            <w:tcBorders>
              <w:top w:val="nil"/>
              <w:left w:val="single" w:sz="4" w:space="0" w:color="auto"/>
              <w:bottom w:val="single" w:sz="4" w:space="0" w:color="auto"/>
              <w:right w:val="single" w:sz="4" w:space="0" w:color="auto"/>
            </w:tcBorders>
            <w:shd w:val="clear" w:color="auto" w:fill="auto"/>
            <w:noWrap/>
            <w:vAlign w:val="center"/>
          </w:tcPr>
          <w:p w14:paraId="550004EA" w14:textId="77777777" w:rsidR="00131F07" w:rsidRPr="00617C01" w:rsidRDefault="00131F07" w:rsidP="00D768A1">
            <w:pPr>
              <w:spacing w:line="480" w:lineRule="auto"/>
              <w:rPr>
                <w:rFonts w:ascii="Arial" w:hAnsi="Arial" w:cs="Arial"/>
                <w:b/>
                <w:bCs/>
                <w:color w:val="000000"/>
              </w:rPr>
            </w:pPr>
            <w:r w:rsidRPr="00617C01">
              <w:rPr>
                <w:rFonts w:ascii="Arial" w:hAnsi="Arial" w:cs="Arial"/>
                <w:b/>
                <w:bCs/>
                <w:color w:val="000000"/>
              </w:rPr>
              <w:lastRenderedPageBreak/>
              <w:t>History of recent marijuana use</w:t>
            </w:r>
          </w:p>
        </w:tc>
        <w:tc>
          <w:tcPr>
            <w:tcW w:w="1464" w:type="dxa"/>
            <w:tcBorders>
              <w:top w:val="nil"/>
              <w:left w:val="nil"/>
              <w:bottom w:val="single" w:sz="4" w:space="0" w:color="auto"/>
              <w:right w:val="single" w:sz="4" w:space="0" w:color="auto"/>
            </w:tcBorders>
            <w:shd w:val="clear" w:color="auto" w:fill="auto"/>
            <w:noWrap/>
            <w:vAlign w:val="center"/>
          </w:tcPr>
          <w:p w14:paraId="7CC96896"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1.09</w:t>
            </w:r>
          </w:p>
        </w:tc>
        <w:tc>
          <w:tcPr>
            <w:tcW w:w="2160" w:type="dxa"/>
            <w:tcBorders>
              <w:top w:val="nil"/>
              <w:left w:val="nil"/>
              <w:bottom w:val="single" w:sz="4" w:space="0" w:color="auto"/>
              <w:right w:val="single" w:sz="4" w:space="0" w:color="auto"/>
            </w:tcBorders>
            <w:shd w:val="clear" w:color="auto" w:fill="auto"/>
            <w:noWrap/>
            <w:vAlign w:val="center"/>
          </w:tcPr>
          <w:p w14:paraId="55BE2BB1"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0.22-5.39</w:t>
            </w:r>
          </w:p>
        </w:tc>
        <w:tc>
          <w:tcPr>
            <w:tcW w:w="2250" w:type="dxa"/>
            <w:tcBorders>
              <w:top w:val="nil"/>
              <w:left w:val="nil"/>
              <w:bottom w:val="single" w:sz="4" w:space="0" w:color="auto"/>
              <w:right w:val="single" w:sz="4" w:space="0" w:color="auto"/>
            </w:tcBorders>
            <w:shd w:val="clear" w:color="auto" w:fill="auto"/>
            <w:noWrap/>
            <w:vAlign w:val="center"/>
          </w:tcPr>
          <w:p w14:paraId="7B9F0009" w14:textId="77777777" w:rsidR="00131F07" w:rsidRPr="00617C01" w:rsidRDefault="00131F07" w:rsidP="00D768A1">
            <w:pPr>
              <w:spacing w:line="480" w:lineRule="auto"/>
              <w:jc w:val="center"/>
              <w:rPr>
                <w:rFonts w:ascii="Arial" w:hAnsi="Arial" w:cs="Arial"/>
                <w:b/>
                <w:bCs/>
                <w:iCs/>
                <w:color w:val="000000"/>
              </w:rPr>
            </w:pPr>
            <w:r w:rsidRPr="00617C01">
              <w:rPr>
                <w:rFonts w:ascii="Arial" w:hAnsi="Arial" w:cs="Arial"/>
                <w:b/>
                <w:bCs/>
                <w:iCs/>
                <w:color w:val="000000"/>
              </w:rPr>
              <w:t>0.92</w:t>
            </w:r>
          </w:p>
        </w:tc>
      </w:tr>
      <w:tr w:rsidR="00131F07" w:rsidRPr="00617C01" w14:paraId="19E1D97B" w14:textId="77777777" w:rsidTr="00D768A1">
        <w:trPr>
          <w:trHeight w:val="241"/>
        </w:trPr>
        <w:tc>
          <w:tcPr>
            <w:tcW w:w="90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316AFB" w14:textId="77777777" w:rsidR="00131F07" w:rsidRPr="00617C01" w:rsidRDefault="00131F07" w:rsidP="00D768A1">
            <w:pPr>
              <w:pStyle w:val="ListParagraph"/>
              <w:numPr>
                <w:ilvl w:val="0"/>
                <w:numId w:val="5"/>
              </w:numPr>
              <w:spacing w:line="480" w:lineRule="auto"/>
              <w:rPr>
                <w:rFonts w:ascii="Arial" w:hAnsi="Arial" w:cs="Arial"/>
                <w:b/>
                <w:bCs/>
                <w:iCs/>
                <w:color w:val="000000"/>
              </w:rPr>
            </w:pPr>
            <w:r w:rsidRPr="00617C01">
              <w:rPr>
                <w:rFonts w:ascii="Arial" w:hAnsi="Arial" w:cs="Arial"/>
                <w:b/>
                <w:bCs/>
                <w:color w:val="000000"/>
              </w:rPr>
              <w:t xml:space="preserve">Respiratory mold </w:t>
            </w:r>
            <w:proofErr w:type="spellStart"/>
            <w:r w:rsidRPr="00617C01">
              <w:rPr>
                <w:rFonts w:ascii="Arial" w:hAnsi="Arial" w:cs="Arial"/>
                <w:b/>
                <w:bCs/>
                <w:color w:val="000000"/>
              </w:rPr>
              <w:t>infection</w:t>
            </w:r>
            <w:r w:rsidRPr="00617C01">
              <w:rPr>
                <w:rFonts w:ascii="Arial" w:hAnsi="Arial" w:cs="Arial"/>
                <w:b/>
                <w:bCs/>
                <w:color w:val="000000"/>
                <w:vertAlign w:val="superscript"/>
              </w:rPr>
              <w:t>b</w:t>
            </w:r>
            <w:proofErr w:type="spellEnd"/>
            <w:r w:rsidRPr="00617C01">
              <w:rPr>
                <w:rFonts w:ascii="Arial" w:hAnsi="Arial" w:cs="Arial"/>
                <w:b/>
                <w:bCs/>
                <w:color w:val="000000"/>
              </w:rPr>
              <w:t xml:space="preserve"> </w:t>
            </w:r>
          </w:p>
        </w:tc>
      </w:tr>
      <w:tr w:rsidR="00131F07" w:rsidRPr="00617C01" w14:paraId="72DC0E32" w14:textId="77777777" w:rsidTr="00D768A1">
        <w:trPr>
          <w:trHeight w:val="241"/>
        </w:trPr>
        <w:tc>
          <w:tcPr>
            <w:tcW w:w="3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61034E"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Variable</w:t>
            </w:r>
          </w:p>
        </w:tc>
        <w:tc>
          <w:tcPr>
            <w:tcW w:w="146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C8739F"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HR</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085BA7"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95% CI</w:t>
            </w:r>
          </w:p>
        </w:tc>
        <w:tc>
          <w:tcPr>
            <w:tcW w:w="22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B0D4AF" w14:textId="77777777" w:rsidR="00131F07" w:rsidRPr="00617C01" w:rsidRDefault="00131F07" w:rsidP="00D768A1">
            <w:pPr>
              <w:spacing w:line="480" w:lineRule="auto"/>
              <w:jc w:val="center"/>
              <w:rPr>
                <w:rFonts w:ascii="Arial" w:hAnsi="Arial" w:cs="Arial"/>
                <w:b/>
                <w:bCs/>
                <w:iCs/>
                <w:color w:val="000000"/>
              </w:rPr>
            </w:pPr>
            <w:r w:rsidRPr="00617C01">
              <w:rPr>
                <w:rFonts w:ascii="Arial" w:hAnsi="Arial" w:cs="Arial"/>
                <w:b/>
                <w:bCs/>
                <w:i/>
                <w:color w:val="000000"/>
              </w:rPr>
              <w:t>P</w:t>
            </w:r>
            <w:r w:rsidRPr="00617C01">
              <w:rPr>
                <w:rFonts w:ascii="Arial" w:hAnsi="Arial" w:cs="Arial"/>
                <w:b/>
                <w:bCs/>
                <w:color w:val="000000"/>
              </w:rPr>
              <w:t xml:space="preserve"> value</w:t>
            </w:r>
          </w:p>
        </w:tc>
      </w:tr>
      <w:tr w:rsidR="00131F07" w:rsidRPr="00617C01" w14:paraId="43A075FE" w14:textId="77777777" w:rsidTr="00D768A1">
        <w:trPr>
          <w:trHeight w:val="241"/>
        </w:trPr>
        <w:tc>
          <w:tcPr>
            <w:tcW w:w="3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98A8C" w14:textId="77777777" w:rsidR="00131F07" w:rsidRPr="00617C01" w:rsidRDefault="00131F07" w:rsidP="00D768A1">
            <w:pPr>
              <w:spacing w:line="480" w:lineRule="auto"/>
              <w:rPr>
                <w:rFonts w:ascii="Arial" w:hAnsi="Arial" w:cs="Arial"/>
                <w:b/>
                <w:bCs/>
                <w:color w:val="000000"/>
              </w:rPr>
            </w:pPr>
            <w:r w:rsidRPr="00617C01">
              <w:rPr>
                <w:rFonts w:ascii="Arial" w:hAnsi="Arial" w:cs="Arial"/>
                <w:b/>
                <w:bCs/>
                <w:color w:val="000000"/>
              </w:rPr>
              <w:t>History of recent marijuana use</w:t>
            </w:r>
          </w:p>
        </w:tc>
        <w:tc>
          <w:tcPr>
            <w:tcW w:w="1464" w:type="dxa"/>
            <w:tcBorders>
              <w:top w:val="single" w:sz="4" w:space="0" w:color="auto"/>
              <w:left w:val="nil"/>
              <w:bottom w:val="single" w:sz="4" w:space="0" w:color="auto"/>
              <w:right w:val="single" w:sz="4" w:space="0" w:color="auto"/>
            </w:tcBorders>
            <w:shd w:val="clear" w:color="auto" w:fill="auto"/>
            <w:noWrap/>
            <w:vAlign w:val="center"/>
          </w:tcPr>
          <w:p w14:paraId="11E51CC4"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1.15</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8D4114"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0.35-3.86</w:t>
            </w:r>
          </w:p>
        </w:tc>
        <w:tc>
          <w:tcPr>
            <w:tcW w:w="2250" w:type="dxa"/>
            <w:tcBorders>
              <w:top w:val="single" w:sz="4" w:space="0" w:color="auto"/>
              <w:left w:val="nil"/>
              <w:bottom w:val="single" w:sz="4" w:space="0" w:color="auto"/>
              <w:right w:val="single" w:sz="4" w:space="0" w:color="auto"/>
            </w:tcBorders>
            <w:shd w:val="clear" w:color="auto" w:fill="auto"/>
            <w:noWrap/>
            <w:vAlign w:val="center"/>
          </w:tcPr>
          <w:p w14:paraId="4F0666BE" w14:textId="77777777" w:rsidR="00131F07" w:rsidRPr="00617C01" w:rsidRDefault="00131F07" w:rsidP="00D768A1">
            <w:pPr>
              <w:spacing w:line="480" w:lineRule="auto"/>
              <w:jc w:val="center"/>
              <w:rPr>
                <w:rFonts w:ascii="Arial" w:hAnsi="Arial" w:cs="Arial"/>
                <w:b/>
                <w:bCs/>
                <w:iCs/>
                <w:color w:val="000000"/>
              </w:rPr>
            </w:pPr>
            <w:r w:rsidRPr="00617C01">
              <w:rPr>
                <w:rFonts w:ascii="Arial" w:hAnsi="Arial" w:cs="Arial"/>
                <w:b/>
                <w:bCs/>
                <w:iCs/>
                <w:color w:val="000000"/>
              </w:rPr>
              <w:t>0.82</w:t>
            </w:r>
          </w:p>
        </w:tc>
      </w:tr>
    </w:tbl>
    <w:p w14:paraId="7DDB6B7C" w14:textId="77777777" w:rsidR="00131F07" w:rsidRPr="00617C01" w:rsidRDefault="00131F07" w:rsidP="00131F07">
      <w:pPr>
        <w:spacing w:line="480" w:lineRule="auto"/>
        <w:rPr>
          <w:rFonts w:ascii="Arial" w:hAnsi="Arial" w:cs="Arial"/>
          <w:b/>
          <w:bCs/>
        </w:rPr>
      </w:pPr>
    </w:p>
    <w:p w14:paraId="65B7688F" w14:textId="77777777" w:rsidR="00131F07" w:rsidRPr="00617C01" w:rsidRDefault="00131F07" w:rsidP="00131F07">
      <w:pPr>
        <w:spacing w:line="480" w:lineRule="auto"/>
        <w:rPr>
          <w:rFonts w:ascii="Arial" w:hAnsi="Arial" w:cs="Arial"/>
          <w:b/>
          <w:bCs/>
        </w:rPr>
      </w:pPr>
      <w:r w:rsidRPr="00617C01">
        <w:rPr>
          <w:rFonts w:ascii="Arial" w:hAnsi="Arial" w:cs="Arial"/>
          <w:b/>
          <w:bCs/>
        </w:rPr>
        <w:t>Table S3 Footnote.</w:t>
      </w:r>
    </w:p>
    <w:p w14:paraId="4833212C" w14:textId="77777777" w:rsidR="00131F07" w:rsidRPr="00617C01" w:rsidRDefault="00131F07" w:rsidP="00131F07">
      <w:pPr>
        <w:spacing w:line="480" w:lineRule="auto"/>
        <w:rPr>
          <w:rFonts w:ascii="Arial" w:hAnsi="Arial" w:cs="Arial"/>
          <w:vertAlign w:val="superscript"/>
        </w:rPr>
      </w:pPr>
      <w:proofErr w:type="spellStart"/>
      <w:r w:rsidRPr="00617C01">
        <w:rPr>
          <w:rFonts w:ascii="Arial" w:hAnsi="Arial" w:cs="Arial"/>
          <w:vertAlign w:val="superscript"/>
        </w:rPr>
        <w:t>a</w:t>
      </w:r>
      <w:r w:rsidRPr="00617C01">
        <w:rPr>
          <w:rFonts w:ascii="Arial" w:hAnsi="Arial" w:cs="Arial"/>
        </w:rPr>
        <w:t>Assessed</w:t>
      </w:r>
      <w:proofErr w:type="spellEnd"/>
      <w:r w:rsidRPr="00617C01">
        <w:rPr>
          <w:rFonts w:ascii="Arial" w:hAnsi="Arial" w:cs="Arial"/>
        </w:rPr>
        <w:t xml:space="preserve"> in the 24 hours prior to transplantation.</w:t>
      </w:r>
    </w:p>
    <w:p w14:paraId="6C8C6C0C" w14:textId="77777777" w:rsidR="00131F07" w:rsidRPr="00617C01" w:rsidRDefault="00131F07" w:rsidP="00131F07">
      <w:pPr>
        <w:spacing w:line="480" w:lineRule="auto"/>
        <w:rPr>
          <w:rFonts w:ascii="Arial" w:hAnsi="Arial" w:cs="Arial"/>
          <w:b/>
          <w:bCs/>
        </w:rPr>
      </w:pPr>
      <w:proofErr w:type="spellStart"/>
      <w:r w:rsidRPr="00617C01">
        <w:rPr>
          <w:rFonts w:ascii="Arial" w:hAnsi="Arial" w:cs="Arial"/>
          <w:vertAlign w:val="superscript"/>
        </w:rPr>
        <w:t>b</w:t>
      </w:r>
      <w:r w:rsidRPr="00617C01">
        <w:rPr>
          <w:rFonts w:ascii="Arial" w:hAnsi="Arial" w:cs="Arial"/>
        </w:rPr>
        <w:t>Bivariable</w:t>
      </w:r>
      <w:proofErr w:type="spellEnd"/>
      <w:r w:rsidRPr="00617C01">
        <w:rPr>
          <w:rFonts w:ascii="Arial" w:hAnsi="Arial" w:cs="Arial"/>
        </w:rPr>
        <w:t xml:space="preserve"> analysis only performed for this analysis due to insufficient numbers of infection to perform multivariable analysis. The reported hazard ratio is not an adjusted hazard ratio as a result.</w:t>
      </w:r>
    </w:p>
    <w:p w14:paraId="621A0B1C" w14:textId="77777777" w:rsidR="00131F07" w:rsidRPr="00617C01" w:rsidRDefault="00131F07" w:rsidP="00131F07">
      <w:pPr>
        <w:widowControl w:val="0"/>
        <w:spacing w:line="480" w:lineRule="auto"/>
        <w:contextualSpacing/>
        <w:rPr>
          <w:rFonts w:ascii="Arial" w:hAnsi="Arial" w:cs="Arial"/>
          <w:iCs/>
        </w:rPr>
      </w:pPr>
      <w:r w:rsidRPr="00617C01">
        <w:rPr>
          <w:rFonts w:ascii="Arial" w:hAnsi="Arial" w:cs="Arial"/>
          <w:b/>
          <w:bCs/>
        </w:rPr>
        <w:t xml:space="preserve">Abbreviations: </w:t>
      </w:r>
      <w:proofErr w:type="spellStart"/>
      <w:r w:rsidRPr="00617C01">
        <w:rPr>
          <w:rFonts w:ascii="Arial" w:hAnsi="Arial" w:cs="Arial"/>
        </w:rPr>
        <w:t>aHR</w:t>
      </w:r>
      <w:proofErr w:type="spellEnd"/>
      <w:r w:rsidRPr="00617C01">
        <w:rPr>
          <w:rFonts w:ascii="Arial" w:hAnsi="Arial" w:cs="Arial"/>
        </w:rPr>
        <w:t>, adjusted hazard ratio; CI, confidence interval; HR, hazard ratio</w:t>
      </w:r>
    </w:p>
    <w:p w14:paraId="1C2909AA" w14:textId="77777777" w:rsidR="00131F07" w:rsidRPr="00617C01" w:rsidRDefault="00131F07" w:rsidP="00131F07">
      <w:pPr>
        <w:spacing w:line="480" w:lineRule="auto"/>
        <w:rPr>
          <w:iCs/>
        </w:rPr>
      </w:pPr>
    </w:p>
    <w:p w14:paraId="6D648616" w14:textId="77777777" w:rsidR="00131F07" w:rsidRPr="00617C01" w:rsidRDefault="00131F07" w:rsidP="00131F07">
      <w:pPr>
        <w:rPr>
          <w:iCs/>
        </w:rPr>
      </w:pPr>
      <w:r w:rsidRPr="00617C01">
        <w:rPr>
          <w:iCs/>
        </w:rPr>
        <w:br w:type="page"/>
      </w:r>
    </w:p>
    <w:p w14:paraId="4478F733" w14:textId="77777777" w:rsidR="00131F07" w:rsidRPr="00617C01" w:rsidRDefault="00131F07" w:rsidP="00131F07">
      <w:pPr>
        <w:spacing w:line="480" w:lineRule="auto"/>
        <w:rPr>
          <w:rFonts w:ascii="Arial" w:hAnsi="Arial" w:cs="Arial"/>
        </w:rPr>
      </w:pPr>
      <w:r w:rsidRPr="00617C01">
        <w:rPr>
          <w:rFonts w:ascii="Arial" w:hAnsi="Arial" w:cs="Arial"/>
          <w:b/>
          <w:bCs/>
        </w:rPr>
        <w:lastRenderedPageBreak/>
        <w:t xml:space="preserve">Table S4. </w:t>
      </w:r>
      <w:r w:rsidRPr="00617C01">
        <w:rPr>
          <w:rFonts w:ascii="Arial" w:hAnsi="Arial" w:cs="Arial"/>
        </w:rPr>
        <w:t>Recipient antifungal exposure stratified by donor history of recent marijuana use</w:t>
      </w:r>
    </w:p>
    <w:tbl>
      <w:tblPr>
        <w:tblStyle w:val="TableGrid"/>
        <w:tblW w:w="0" w:type="auto"/>
        <w:tblLook w:val="04A0" w:firstRow="1" w:lastRow="0" w:firstColumn="1" w:lastColumn="0" w:noHBand="0" w:noVBand="1"/>
      </w:tblPr>
      <w:tblGrid>
        <w:gridCol w:w="2337"/>
        <w:gridCol w:w="2337"/>
        <w:gridCol w:w="2338"/>
        <w:gridCol w:w="2338"/>
      </w:tblGrid>
      <w:tr w:rsidR="00131F07" w:rsidRPr="00617C01" w14:paraId="0EA6F444" w14:textId="77777777" w:rsidTr="00D768A1">
        <w:tc>
          <w:tcPr>
            <w:tcW w:w="2337" w:type="dxa"/>
            <w:shd w:val="clear" w:color="auto" w:fill="D9D9D9" w:themeFill="background1" w:themeFillShade="D9"/>
            <w:vAlign w:val="center"/>
          </w:tcPr>
          <w:p w14:paraId="6FB02715" w14:textId="77777777" w:rsidR="00131F07" w:rsidRPr="00617C01" w:rsidRDefault="00131F07" w:rsidP="00D768A1">
            <w:pPr>
              <w:spacing w:line="480" w:lineRule="auto"/>
              <w:jc w:val="center"/>
              <w:rPr>
                <w:rFonts w:ascii="Arial" w:hAnsi="Arial" w:cs="Arial"/>
                <w:b/>
                <w:bCs/>
                <w:iCs/>
              </w:rPr>
            </w:pPr>
            <w:proofErr w:type="spellStart"/>
            <w:r w:rsidRPr="00617C01">
              <w:rPr>
                <w:rFonts w:ascii="Arial" w:hAnsi="Arial" w:cs="Arial"/>
                <w:b/>
                <w:bCs/>
                <w:iCs/>
              </w:rPr>
              <w:t>Antifungal</w:t>
            </w:r>
            <w:r w:rsidRPr="00617C01">
              <w:rPr>
                <w:rFonts w:ascii="Arial" w:hAnsi="Arial" w:cs="Arial"/>
                <w:b/>
                <w:bCs/>
                <w:iCs/>
                <w:vertAlign w:val="superscript"/>
              </w:rPr>
              <w:t>a</w:t>
            </w:r>
            <w:proofErr w:type="spellEnd"/>
          </w:p>
        </w:tc>
        <w:tc>
          <w:tcPr>
            <w:tcW w:w="2337" w:type="dxa"/>
            <w:shd w:val="clear" w:color="auto" w:fill="D9D9D9" w:themeFill="background1" w:themeFillShade="D9"/>
            <w:vAlign w:val="center"/>
          </w:tcPr>
          <w:p w14:paraId="53D83C60" w14:textId="77777777" w:rsidR="00131F07" w:rsidRPr="00617C01" w:rsidRDefault="00131F07" w:rsidP="00D768A1">
            <w:pPr>
              <w:spacing w:line="480" w:lineRule="auto"/>
              <w:jc w:val="center"/>
              <w:rPr>
                <w:rFonts w:ascii="Arial" w:hAnsi="Arial" w:cs="Arial"/>
                <w:b/>
                <w:bCs/>
                <w:iCs/>
              </w:rPr>
            </w:pPr>
            <w:r w:rsidRPr="00617C01">
              <w:rPr>
                <w:rFonts w:ascii="Arial" w:hAnsi="Arial" w:cs="Arial"/>
                <w:b/>
                <w:bCs/>
                <w:color w:val="000000"/>
              </w:rPr>
              <w:t>Recipients whose donor had no recent marijuana use (N=500)</w:t>
            </w:r>
          </w:p>
        </w:tc>
        <w:tc>
          <w:tcPr>
            <w:tcW w:w="2338" w:type="dxa"/>
            <w:shd w:val="clear" w:color="auto" w:fill="D9D9D9" w:themeFill="background1" w:themeFillShade="D9"/>
            <w:vAlign w:val="center"/>
          </w:tcPr>
          <w:p w14:paraId="29911082" w14:textId="77777777" w:rsidR="00131F07" w:rsidRPr="00617C01" w:rsidRDefault="00131F07" w:rsidP="00D768A1">
            <w:pPr>
              <w:spacing w:line="480" w:lineRule="auto"/>
              <w:jc w:val="center"/>
              <w:rPr>
                <w:rFonts w:ascii="Arial" w:hAnsi="Arial" w:cs="Arial"/>
                <w:b/>
                <w:bCs/>
                <w:color w:val="000000"/>
              </w:rPr>
            </w:pPr>
            <w:r w:rsidRPr="00617C01">
              <w:rPr>
                <w:rFonts w:ascii="Arial" w:hAnsi="Arial" w:cs="Arial"/>
                <w:b/>
                <w:bCs/>
                <w:color w:val="000000"/>
              </w:rPr>
              <w:t>Recipients whose donor had recent marijuana use</w:t>
            </w:r>
          </w:p>
          <w:p w14:paraId="3D3318B4" w14:textId="77777777" w:rsidR="00131F07" w:rsidRPr="00617C01" w:rsidRDefault="00131F07" w:rsidP="00D768A1">
            <w:pPr>
              <w:spacing w:line="480" w:lineRule="auto"/>
              <w:jc w:val="center"/>
              <w:rPr>
                <w:rFonts w:ascii="Arial" w:hAnsi="Arial" w:cs="Arial"/>
                <w:b/>
                <w:bCs/>
                <w:iCs/>
              </w:rPr>
            </w:pPr>
            <w:r w:rsidRPr="00617C01">
              <w:rPr>
                <w:rFonts w:ascii="Arial" w:hAnsi="Arial" w:cs="Arial"/>
                <w:b/>
                <w:bCs/>
                <w:color w:val="000000"/>
              </w:rPr>
              <w:t>(N=158)</w:t>
            </w:r>
          </w:p>
        </w:tc>
        <w:tc>
          <w:tcPr>
            <w:tcW w:w="2338" w:type="dxa"/>
            <w:shd w:val="clear" w:color="auto" w:fill="D9D9D9" w:themeFill="background1" w:themeFillShade="D9"/>
            <w:vAlign w:val="center"/>
          </w:tcPr>
          <w:p w14:paraId="6C47842F" w14:textId="77777777" w:rsidR="00131F07" w:rsidRPr="00617C01" w:rsidRDefault="00131F07" w:rsidP="00D768A1">
            <w:pPr>
              <w:spacing w:line="480" w:lineRule="auto"/>
              <w:jc w:val="center"/>
              <w:rPr>
                <w:rFonts w:ascii="Arial" w:hAnsi="Arial" w:cs="Arial"/>
                <w:b/>
                <w:bCs/>
                <w:iCs/>
              </w:rPr>
            </w:pPr>
            <w:r w:rsidRPr="00617C01">
              <w:rPr>
                <w:rFonts w:ascii="Arial" w:hAnsi="Arial" w:cs="Arial"/>
                <w:b/>
                <w:bCs/>
                <w:i/>
                <w:iCs/>
                <w:color w:val="000000"/>
              </w:rPr>
              <w:t>P</w:t>
            </w:r>
            <w:r w:rsidRPr="00617C01">
              <w:rPr>
                <w:rFonts w:ascii="Arial" w:hAnsi="Arial" w:cs="Arial"/>
                <w:b/>
                <w:bCs/>
                <w:color w:val="000000"/>
              </w:rPr>
              <w:t xml:space="preserve"> value</w:t>
            </w:r>
          </w:p>
        </w:tc>
      </w:tr>
      <w:tr w:rsidR="00131F07" w:rsidRPr="00617C01" w14:paraId="07F8027E" w14:textId="77777777" w:rsidTr="00D768A1">
        <w:tc>
          <w:tcPr>
            <w:tcW w:w="2337" w:type="dxa"/>
            <w:vAlign w:val="center"/>
          </w:tcPr>
          <w:p w14:paraId="35F58B7A" w14:textId="77777777" w:rsidR="00131F07" w:rsidRPr="00617C01" w:rsidRDefault="00131F07" w:rsidP="00D768A1">
            <w:pPr>
              <w:spacing w:line="480" w:lineRule="auto"/>
              <w:jc w:val="center"/>
              <w:rPr>
                <w:rFonts w:ascii="Arial" w:hAnsi="Arial" w:cs="Arial"/>
                <w:iCs/>
              </w:rPr>
            </w:pPr>
            <w:r w:rsidRPr="00617C01">
              <w:rPr>
                <w:rFonts w:ascii="Arial" w:hAnsi="Arial" w:cs="Arial"/>
                <w:iCs/>
              </w:rPr>
              <w:t>Fluconazole</w:t>
            </w:r>
          </w:p>
        </w:tc>
        <w:tc>
          <w:tcPr>
            <w:tcW w:w="2337" w:type="dxa"/>
            <w:vAlign w:val="center"/>
          </w:tcPr>
          <w:p w14:paraId="27F498B2" w14:textId="77777777" w:rsidR="00131F07" w:rsidRPr="00617C01" w:rsidRDefault="00131F07" w:rsidP="00D768A1">
            <w:pPr>
              <w:spacing w:line="480" w:lineRule="auto"/>
              <w:jc w:val="center"/>
              <w:rPr>
                <w:rFonts w:ascii="Arial" w:hAnsi="Arial" w:cs="Arial"/>
                <w:iCs/>
              </w:rPr>
            </w:pPr>
            <w:r w:rsidRPr="00617C01">
              <w:rPr>
                <w:rFonts w:ascii="Arial" w:hAnsi="Arial" w:cs="Arial"/>
                <w:iCs/>
              </w:rPr>
              <w:t>124 (25%)</w:t>
            </w:r>
          </w:p>
        </w:tc>
        <w:tc>
          <w:tcPr>
            <w:tcW w:w="2338" w:type="dxa"/>
            <w:vAlign w:val="center"/>
          </w:tcPr>
          <w:p w14:paraId="6D92A22E" w14:textId="77777777" w:rsidR="00131F07" w:rsidRPr="00617C01" w:rsidRDefault="00131F07" w:rsidP="00D768A1">
            <w:pPr>
              <w:spacing w:line="480" w:lineRule="auto"/>
              <w:jc w:val="center"/>
              <w:rPr>
                <w:rFonts w:ascii="Arial" w:hAnsi="Arial" w:cs="Arial"/>
                <w:iCs/>
              </w:rPr>
            </w:pPr>
            <w:r w:rsidRPr="00617C01">
              <w:rPr>
                <w:rFonts w:ascii="Arial" w:hAnsi="Arial" w:cs="Arial"/>
                <w:iCs/>
              </w:rPr>
              <w:t>28 (18%)</w:t>
            </w:r>
          </w:p>
        </w:tc>
        <w:tc>
          <w:tcPr>
            <w:tcW w:w="2338" w:type="dxa"/>
            <w:vAlign w:val="center"/>
          </w:tcPr>
          <w:p w14:paraId="2D649D6C"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0.07</w:t>
            </w:r>
          </w:p>
        </w:tc>
      </w:tr>
      <w:tr w:rsidR="00131F07" w:rsidRPr="00617C01" w14:paraId="341E480E" w14:textId="77777777" w:rsidTr="00D768A1">
        <w:tc>
          <w:tcPr>
            <w:tcW w:w="2337" w:type="dxa"/>
            <w:vAlign w:val="center"/>
          </w:tcPr>
          <w:p w14:paraId="50844F79" w14:textId="77777777" w:rsidR="00131F07" w:rsidRPr="00617C01" w:rsidRDefault="00131F07" w:rsidP="00D768A1">
            <w:pPr>
              <w:spacing w:line="480" w:lineRule="auto"/>
              <w:jc w:val="center"/>
              <w:rPr>
                <w:rFonts w:ascii="Arial" w:hAnsi="Arial" w:cs="Arial"/>
                <w:iCs/>
              </w:rPr>
            </w:pPr>
            <w:r w:rsidRPr="00617C01">
              <w:rPr>
                <w:rFonts w:ascii="Arial" w:hAnsi="Arial" w:cs="Arial"/>
                <w:iCs/>
              </w:rPr>
              <w:t>Echinocandin</w:t>
            </w:r>
          </w:p>
        </w:tc>
        <w:tc>
          <w:tcPr>
            <w:tcW w:w="2337" w:type="dxa"/>
            <w:vAlign w:val="center"/>
          </w:tcPr>
          <w:p w14:paraId="7EE9BB88" w14:textId="77777777" w:rsidR="00131F07" w:rsidRPr="00617C01" w:rsidRDefault="00131F07" w:rsidP="00D768A1">
            <w:pPr>
              <w:spacing w:line="480" w:lineRule="auto"/>
              <w:jc w:val="center"/>
              <w:rPr>
                <w:rFonts w:ascii="Arial" w:hAnsi="Arial" w:cs="Arial"/>
                <w:iCs/>
              </w:rPr>
            </w:pPr>
            <w:r w:rsidRPr="00617C01">
              <w:rPr>
                <w:rFonts w:ascii="Arial" w:hAnsi="Arial" w:cs="Arial"/>
                <w:iCs/>
              </w:rPr>
              <w:t>82 (16%)</w:t>
            </w:r>
          </w:p>
        </w:tc>
        <w:tc>
          <w:tcPr>
            <w:tcW w:w="2338" w:type="dxa"/>
            <w:vAlign w:val="center"/>
          </w:tcPr>
          <w:p w14:paraId="67CC43CB" w14:textId="77777777" w:rsidR="00131F07" w:rsidRPr="00617C01" w:rsidRDefault="00131F07" w:rsidP="00D768A1">
            <w:pPr>
              <w:spacing w:line="480" w:lineRule="auto"/>
              <w:jc w:val="center"/>
              <w:rPr>
                <w:rFonts w:ascii="Arial" w:hAnsi="Arial" w:cs="Arial"/>
                <w:iCs/>
              </w:rPr>
            </w:pPr>
            <w:r w:rsidRPr="00617C01">
              <w:rPr>
                <w:rFonts w:ascii="Arial" w:hAnsi="Arial" w:cs="Arial"/>
                <w:iCs/>
              </w:rPr>
              <w:t>26 (16%)</w:t>
            </w:r>
          </w:p>
        </w:tc>
        <w:tc>
          <w:tcPr>
            <w:tcW w:w="2338" w:type="dxa"/>
            <w:vAlign w:val="center"/>
          </w:tcPr>
          <w:p w14:paraId="2251B87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&gt;0.99</w:t>
            </w:r>
          </w:p>
        </w:tc>
      </w:tr>
      <w:tr w:rsidR="00131F07" w:rsidRPr="00617C01" w14:paraId="111A6C5B" w14:textId="77777777" w:rsidTr="00D768A1">
        <w:tc>
          <w:tcPr>
            <w:tcW w:w="2337" w:type="dxa"/>
            <w:vAlign w:val="center"/>
          </w:tcPr>
          <w:p w14:paraId="08BF1BFA" w14:textId="77777777" w:rsidR="00131F07" w:rsidRPr="00617C01" w:rsidRDefault="00131F07" w:rsidP="00D768A1">
            <w:pPr>
              <w:spacing w:line="480" w:lineRule="auto"/>
              <w:jc w:val="center"/>
              <w:rPr>
                <w:rFonts w:ascii="Arial" w:hAnsi="Arial" w:cs="Arial"/>
                <w:iCs/>
              </w:rPr>
            </w:pPr>
            <w:r w:rsidRPr="00617C01">
              <w:rPr>
                <w:rFonts w:ascii="Arial" w:hAnsi="Arial" w:cs="Arial"/>
                <w:iCs/>
              </w:rPr>
              <w:t>Voriconazole</w:t>
            </w:r>
          </w:p>
        </w:tc>
        <w:tc>
          <w:tcPr>
            <w:tcW w:w="2337" w:type="dxa"/>
            <w:vAlign w:val="center"/>
          </w:tcPr>
          <w:p w14:paraId="26A105F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69 (14%)</w:t>
            </w:r>
          </w:p>
        </w:tc>
        <w:tc>
          <w:tcPr>
            <w:tcW w:w="2338" w:type="dxa"/>
            <w:vAlign w:val="center"/>
          </w:tcPr>
          <w:p w14:paraId="0A6E746E" w14:textId="77777777" w:rsidR="00131F07" w:rsidRPr="00617C01" w:rsidRDefault="00131F07" w:rsidP="00D768A1">
            <w:pPr>
              <w:spacing w:line="480" w:lineRule="auto"/>
              <w:jc w:val="center"/>
              <w:rPr>
                <w:rFonts w:ascii="Arial" w:hAnsi="Arial" w:cs="Arial"/>
                <w:iCs/>
              </w:rPr>
            </w:pPr>
            <w:r w:rsidRPr="00617C01">
              <w:rPr>
                <w:rFonts w:ascii="Arial" w:hAnsi="Arial" w:cs="Arial"/>
                <w:iCs/>
              </w:rPr>
              <w:t>27 (17%)</w:t>
            </w:r>
          </w:p>
        </w:tc>
        <w:tc>
          <w:tcPr>
            <w:tcW w:w="2338" w:type="dxa"/>
            <w:vAlign w:val="center"/>
          </w:tcPr>
          <w:p w14:paraId="4A754D11"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0.35</w:t>
            </w:r>
          </w:p>
        </w:tc>
      </w:tr>
      <w:tr w:rsidR="00131F07" w:rsidRPr="00617C01" w14:paraId="005F610F" w14:textId="77777777" w:rsidTr="00D768A1">
        <w:tc>
          <w:tcPr>
            <w:tcW w:w="2337" w:type="dxa"/>
            <w:vAlign w:val="center"/>
          </w:tcPr>
          <w:p w14:paraId="3DBB971B" w14:textId="77777777" w:rsidR="00131F07" w:rsidRPr="00617C01" w:rsidRDefault="00131F07" w:rsidP="00D768A1">
            <w:pPr>
              <w:spacing w:line="480" w:lineRule="auto"/>
              <w:jc w:val="center"/>
              <w:rPr>
                <w:rFonts w:ascii="Arial" w:hAnsi="Arial" w:cs="Arial"/>
                <w:iCs/>
              </w:rPr>
            </w:pPr>
            <w:r w:rsidRPr="00617C01">
              <w:rPr>
                <w:rFonts w:ascii="Arial" w:hAnsi="Arial" w:cs="Arial"/>
                <w:iCs/>
              </w:rPr>
              <w:t>Amphotericin</w:t>
            </w:r>
          </w:p>
        </w:tc>
        <w:tc>
          <w:tcPr>
            <w:tcW w:w="2337" w:type="dxa"/>
            <w:vAlign w:val="center"/>
          </w:tcPr>
          <w:p w14:paraId="60A0BB8D" w14:textId="77777777" w:rsidR="00131F07" w:rsidRPr="00617C01" w:rsidRDefault="00131F07" w:rsidP="00D768A1">
            <w:pPr>
              <w:spacing w:line="480" w:lineRule="auto"/>
              <w:jc w:val="center"/>
              <w:rPr>
                <w:rFonts w:ascii="Arial" w:hAnsi="Arial" w:cs="Arial"/>
                <w:iCs/>
              </w:rPr>
            </w:pPr>
            <w:r w:rsidRPr="00617C01">
              <w:rPr>
                <w:rFonts w:ascii="Arial" w:hAnsi="Arial" w:cs="Arial"/>
                <w:iCs/>
              </w:rPr>
              <w:t>44 (9%)</w:t>
            </w:r>
          </w:p>
        </w:tc>
        <w:tc>
          <w:tcPr>
            <w:tcW w:w="2338" w:type="dxa"/>
            <w:vAlign w:val="center"/>
          </w:tcPr>
          <w:p w14:paraId="1147FAC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16 (10%)</w:t>
            </w:r>
          </w:p>
        </w:tc>
        <w:tc>
          <w:tcPr>
            <w:tcW w:w="2338" w:type="dxa"/>
            <w:vAlign w:val="center"/>
          </w:tcPr>
          <w:p w14:paraId="116C3CA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0.71</w:t>
            </w:r>
          </w:p>
        </w:tc>
      </w:tr>
      <w:tr w:rsidR="00131F07" w:rsidRPr="00617C01" w14:paraId="25885D94" w14:textId="77777777" w:rsidTr="00D768A1">
        <w:tc>
          <w:tcPr>
            <w:tcW w:w="2337" w:type="dxa"/>
            <w:vAlign w:val="center"/>
          </w:tcPr>
          <w:p w14:paraId="661B2B21" w14:textId="77777777" w:rsidR="00131F07" w:rsidRPr="00617C01" w:rsidRDefault="00131F07" w:rsidP="00D768A1">
            <w:pPr>
              <w:spacing w:line="480" w:lineRule="auto"/>
              <w:jc w:val="center"/>
              <w:rPr>
                <w:rFonts w:ascii="Arial" w:hAnsi="Arial" w:cs="Arial"/>
                <w:iCs/>
              </w:rPr>
            </w:pPr>
            <w:r w:rsidRPr="00617C01">
              <w:rPr>
                <w:rFonts w:ascii="Arial" w:hAnsi="Arial" w:cs="Arial"/>
                <w:iCs/>
              </w:rPr>
              <w:t>Posaconazole</w:t>
            </w:r>
          </w:p>
        </w:tc>
        <w:tc>
          <w:tcPr>
            <w:tcW w:w="2337" w:type="dxa"/>
            <w:vAlign w:val="center"/>
          </w:tcPr>
          <w:p w14:paraId="3B52710C" w14:textId="77777777" w:rsidR="00131F07" w:rsidRPr="00617C01" w:rsidRDefault="00131F07" w:rsidP="00D768A1">
            <w:pPr>
              <w:spacing w:line="480" w:lineRule="auto"/>
              <w:jc w:val="center"/>
              <w:rPr>
                <w:rFonts w:ascii="Arial" w:hAnsi="Arial" w:cs="Arial"/>
                <w:iCs/>
              </w:rPr>
            </w:pPr>
            <w:r w:rsidRPr="00617C01">
              <w:rPr>
                <w:rFonts w:ascii="Arial" w:hAnsi="Arial" w:cs="Arial"/>
                <w:iCs/>
              </w:rPr>
              <w:t>3 (0.6%)</w:t>
            </w:r>
          </w:p>
        </w:tc>
        <w:tc>
          <w:tcPr>
            <w:tcW w:w="2338" w:type="dxa"/>
            <w:vAlign w:val="center"/>
          </w:tcPr>
          <w:p w14:paraId="64C7BC5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4 (3%)</w:t>
            </w:r>
          </w:p>
        </w:tc>
        <w:tc>
          <w:tcPr>
            <w:tcW w:w="2338" w:type="dxa"/>
            <w:vAlign w:val="center"/>
          </w:tcPr>
          <w:p w14:paraId="5D912D6C"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0.01</w:t>
            </w:r>
          </w:p>
        </w:tc>
      </w:tr>
      <w:tr w:rsidR="00131F07" w:rsidRPr="00617C01" w14:paraId="36DD7019" w14:textId="77777777" w:rsidTr="00D768A1">
        <w:tc>
          <w:tcPr>
            <w:tcW w:w="2337" w:type="dxa"/>
            <w:vAlign w:val="center"/>
          </w:tcPr>
          <w:p w14:paraId="7B7ACC55" w14:textId="77777777" w:rsidR="00131F07" w:rsidRPr="00617C01" w:rsidRDefault="00131F07" w:rsidP="00D768A1">
            <w:pPr>
              <w:spacing w:line="480" w:lineRule="auto"/>
              <w:jc w:val="center"/>
              <w:rPr>
                <w:rFonts w:ascii="Arial" w:hAnsi="Arial" w:cs="Arial"/>
                <w:iCs/>
              </w:rPr>
            </w:pPr>
            <w:proofErr w:type="spellStart"/>
            <w:r w:rsidRPr="00617C01">
              <w:rPr>
                <w:rFonts w:ascii="Arial" w:hAnsi="Arial" w:cs="Arial"/>
                <w:iCs/>
              </w:rPr>
              <w:t>Isavuconazole</w:t>
            </w:r>
            <w:proofErr w:type="spellEnd"/>
          </w:p>
        </w:tc>
        <w:tc>
          <w:tcPr>
            <w:tcW w:w="2337" w:type="dxa"/>
            <w:vAlign w:val="center"/>
          </w:tcPr>
          <w:p w14:paraId="30FDC35A" w14:textId="77777777" w:rsidR="00131F07" w:rsidRPr="00617C01" w:rsidRDefault="00131F07" w:rsidP="00D768A1">
            <w:pPr>
              <w:spacing w:line="480" w:lineRule="auto"/>
              <w:jc w:val="center"/>
              <w:rPr>
                <w:rFonts w:ascii="Arial" w:hAnsi="Arial" w:cs="Arial"/>
                <w:iCs/>
              </w:rPr>
            </w:pPr>
            <w:r w:rsidRPr="00617C01">
              <w:rPr>
                <w:rFonts w:ascii="Arial" w:hAnsi="Arial" w:cs="Arial"/>
                <w:iCs/>
              </w:rPr>
              <w:t>2 (0.4%)</w:t>
            </w:r>
          </w:p>
        </w:tc>
        <w:tc>
          <w:tcPr>
            <w:tcW w:w="2338" w:type="dxa"/>
            <w:vAlign w:val="center"/>
          </w:tcPr>
          <w:p w14:paraId="123C31E2" w14:textId="77777777" w:rsidR="00131F07" w:rsidRPr="00617C01" w:rsidRDefault="00131F07" w:rsidP="00D768A1">
            <w:pPr>
              <w:spacing w:line="480" w:lineRule="auto"/>
              <w:jc w:val="center"/>
              <w:rPr>
                <w:rFonts w:ascii="Arial" w:hAnsi="Arial" w:cs="Arial"/>
                <w:iCs/>
              </w:rPr>
            </w:pPr>
            <w:r w:rsidRPr="00617C01">
              <w:rPr>
                <w:rFonts w:ascii="Arial" w:hAnsi="Arial" w:cs="Arial"/>
                <w:iCs/>
              </w:rPr>
              <w:t>1 (0.6%)</w:t>
            </w:r>
          </w:p>
        </w:tc>
        <w:tc>
          <w:tcPr>
            <w:tcW w:w="2338" w:type="dxa"/>
            <w:vAlign w:val="center"/>
          </w:tcPr>
          <w:p w14:paraId="2A526AF1"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0.74</w:t>
            </w:r>
          </w:p>
        </w:tc>
      </w:tr>
      <w:tr w:rsidR="00131F07" w:rsidRPr="00617C01" w14:paraId="21FA5E30" w14:textId="77777777" w:rsidTr="00D768A1">
        <w:tc>
          <w:tcPr>
            <w:tcW w:w="2337" w:type="dxa"/>
            <w:vAlign w:val="center"/>
          </w:tcPr>
          <w:p w14:paraId="68225309" w14:textId="77777777" w:rsidR="00131F07" w:rsidRPr="00617C01" w:rsidRDefault="00131F07" w:rsidP="00D768A1">
            <w:pPr>
              <w:spacing w:line="480" w:lineRule="auto"/>
              <w:jc w:val="center"/>
              <w:rPr>
                <w:rFonts w:ascii="Arial" w:hAnsi="Arial" w:cs="Arial"/>
                <w:iCs/>
              </w:rPr>
            </w:pPr>
            <w:r w:rsidRPr="00617C01">
              <w:rPr>
                <w:rFonts w:ascii="Arial" w:hAnsi="Arial" w:cs="Arial"/>
                <w:iCs/>
              </w:rPr>
              <w:t>Itraconazole</w:t>
            </w:r>
          </w:p>
        </w:tc>
        <w:tc>
          <w:tcPr>
            <w:tcW w:w="2337" w:type="dxa"/>
            <w:vAlign w:val="center"/>
          </w:tcPr>
          <w:p w14:paraId="07D865F3" w14:textId="77777777" w:rsidR="00131F07" w:rsidRPr="00617C01" w:rsidRDefault="00131F07" w:rsidP="00D768A1">
            <w:pPr>
              <w:spacing w:line="480" w:lineRule="auto"/>
              <w:jc w:val="center"/>
              <w:rPr>
                <w:rFonts w:ascii="Arial" w:hAnsi="Arial" w:cs="Arial"/>
                <w:iCs/>
              </w:rPr>
            </w:pPr>
            <w:r w:rsidRPr="00617C01">
              <w:rPr>
                <w:rFonts w:ascii="Arial" w:hAnsi="Arial" w:cs="Arial"/>
                <w:iCs/>
              </w:rPr>
              <w:t>1 (0.2%)</w:t>
            </w:r>
          </w:p>
        </w:tc>
        <w:tc>
          <w:tcPr>
            <w:tcW w:w="2338" w:type="dxa"/>
            <w:vAlign w:val="center"/>
          </w:tcPr>
          <w:p w14:paraId="13CBE16A"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 (0%)</w:t>
            </w:r>
          </w:p>
        </w:tc>
        <w:tc>
          <w:tcPr>
            <w:tcW w:w="2338" w:type="dxa"/>
            <w:vAlign w:val="center"/>
          </w:tcPr>
          <w:p w14:paraId="0F93539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0.57</w:t>
            </w:r>
          </w:p>
        </w:tc>
      </w:tr>
      <w:tr w:rsidR="00131F07" w:rsidRPr="00617C01" w14:paraId="2A34E418" w14:textId="77777777" w:rsidTr="00D768A1">
        <w:tc>
          <w:tcPr>
            <w:tcW w:w="2337" w:type="dxa"/>
            <w:vAlign w:val="center"/>
          </w:tcPr>
          <w:p w14:paraId="1CFC0FDC" w14:textId="77777777" w:rsidR="00131F07" w:rsidRPr="00617C01" w:rsidRDefault="00131F07" w:rsidP="00D768A1">
            <w:pPr>
              <w:spacing w:line="480" w:lineRule="auto"/>
              <w:jc w:val="center"/>
              <w:rPr>
                <w:rFonts w:ascii="Arial" w:hAnsi="Arial" w:cs="Arial"/>
                <w:iCs/>
              </w:rPr>
            </w:pPr>
            <w:r w:rsidRPr="00617C01">
              <w:rPr>
                <w:rFonts w:ascii="Arial" w:hAnsi="Arial" w:cs="Arial"/>
                <w:iCs/>
              </w:rPr>
              <w:t>None</w:t>
            </w:r>
          </w:p>
        </w:tc>
        <w:tc>
          <w:tcPr>
            <w:tcW w:w="2337" w:type="dxa"/>
            <w:vAlign w:val="center"/>
          </w:tcPr>
          <w:p w14:paraId="0CF93C26" w14:textId="77777777" w:rsidR="00131F07" w:rsidRPr="00617C01" w:rsidRDefault="00131F07" w:rsidP="00D768A1">
            <w:pPr>
              <w:spacing w:line="480" w:lineRule="auto"/>
              <w:jc w:val="center"/>
              <w:rPr>
                <w:rFonts w:ascii="Arial" w:hAnsi="Arial" w:cs="Arial"/>
                <w:iCs/>
              </w:rPr>
            </w:pPr>
            <w:r w:rsidRPr="00617C01">
              <w:rPr>
                <w:rFonts w:ascii="Arial" w:hAnsi="Arial" w:cs="Arial"/>
                <w:iCs/>
              </w:rPr>
              <w:t>281 (56%)</w:t>
            </w:r>
          </w:p>
        </w:tc>
        <w:tc>
          <w:tcPr>
            <w:tcW w:w="2338" w:type="dxa"/>
            <w:vAlign w:val="center"/>
          </w:tcPr>
          <w:p w14:paraId="50852D62" w14:textId="77777777" w:rsidR="00131F07" w:rsidRPr="00617C01" w:rsidRDefault="00131F07" w:rsidP="00D768A1">
            <w:pPr>
              <w:spacing w:line="480" w:lineRule="auto"/>
              <w:jc w:val="center"/>
              <w:rPr>
                <w:rFonts w:ascii="Arial" w:hAnsi="Arial" w:cs="Arial"/>
                <w:iCs/>
              </w:rPr>
            </w:pPr>
            <w:r w:rsidRPr="00617C01">
              <w:rPr>
                <w:rFonts w:ascii="Arial" w:hAnsi="Arial" w:cs="Arial"/>
                <w:iCs/>
              </w:rPr>
              <w:t>90 (57%)</w:t>
            </w:r>
          </w:p>
        </w:tc>
        <w:tc>
          <w:tcPr>
            <w:tcW w:w="2338" w:type="dxa"/>
            <w:vAlign w:val="center"/>
          </w:tcPr>
          <w:p w14:paraId="202AEF8E" w14:textId="77777777" w:rsidR="00131F07" w:rsidRPr="00617C01" w:rsidRDefault="00131F07" w:rsidP="00D768A1">
            <w:pPr>
              <w:spacing w:line="480" w:lineRule="auto"/>
              <w:jc w:val="center"/>
              <w:rPr>
                <w:rFonts w:ascii="Arial" w:hAnsi="Arial" w:cs="Arial"/>
                <w:iCs/>
              </w:rPr>
            </w:pPr>
            <w:r w:rsidRPr="00617C01">
              <w:rPr>
                <w:rFonts w:ascii="Arial" w:hAnsi="Arial" w:cs="Arial"/>
                <w:iCs/>
              </w:rPr>
              <w:t>0.83</w:t>
            </w:r>
          </w:p>
        </w:tc>
      </w:tr>
    </w:tbl>
    <w:p w14:paraId="4A1F2776" w14:textId="77777777" w:rsidR="00131F07" w:rsidRDefault="00131F07" w:rsidP="00131F07">
      <w:pPr>
        <w:spacing w:line="480" w:lineRule="auto"/>
        <w:rPr>
          <w:rFonts w:ascii="Arial" w:hAnsi="Arial" w:cs="Arial"/>
          <w:iCs/>
        </w:rPr>
      </w:pPr>
      <w:proofErr w:type="spellStart"/>
      <w:r w:rsidRPr="00617C01">
        <w:rPr>
          <w:rFonts w:ascii="Arial" w:hAnsi="Arial" w:cs="Arial"/>
          <w:iCs/>
          <w:vertAlign w:val="superscript"/>
        </w:rPr>
        <w:t>a</w:t>
      </w:r>
      <w:r w:rsidRPr="00617C01">
        <w:rPr>
          <w:rFonts w:ascii="Arial" w:hAnsi="Arial" w:cs="Arial"/>
          <w:iCs/>
        </w:rPr>
        <w:t>Antifungals</w:t>
      </w:r>
      <w:proofErr w:type="spellEnd"/>
      <w:r w:rsidRPr="00617C01">
        <w:rPr>
          <w:rFonts w:ascii="Arial" w:hAnsi="Arial" w:cs="Arial"/>
          <w:iCs/>
        </w:rPr>
        <w:t xml:space="preserve"> are not mutually exclusive, since recipients may have received more than one antifungal within the first 90 days post-transplant</w:t>
      </w:r>
    </w:p>
    <w:p w14:paraId="2839C34B" w14:textId="77777777" w:rsidR="00131F07" w:rsidRDefault="00131F07" w:rsidP="00131F07">
      <w:pPr>
        <w:spacing w:line="480" w:lineRule="auto"/>
        <w:rPr>
          <w:rFonts w:ascii="Arial" w:hAnsi="Arial" w:cs="Arial"/>
          <w:iCs/>
        </w:rPr>
      </w:pPr>
    </w:p>
    <w:p w14:paraId="4B05DD87" w14:textId="77777777" w:rsidR="00131F07" w:rsidRDefault="00131F07" w:rsidP="00131F07">
      <w:pPr>
        <w:spacing w:line="480" w:lineRule="auto"/>
        <w:rPr>
          <w:rFonts w:ascii="Arial" w:hAnsi="Arial" w:cs="Arial"/>
          <w:iCs/>
        </w:rPr>
      </w:pPr>
    </w:p>
    <w:p w14:paraId="3B10503F" w14:textId="77777777" w:rsidR="00131F07" w:rsidRDefault="00131F07" w:rsidP="00131F07">
      <w:pPr>
        <w:rPr>
          <w:rFonts w:ascii="Arial" w:hAnsi="Arial" w:cs="Arial"/>
          <w:b/>
          <w:bCs/>
        </w:rPr>
      </w:pPr>
      <w:r>
        <w:rPr>
          <w:rFonts w:ascii="Arial" w:hAnsi="Arial" w:cs="Arial"/>
          <w:b/>
          <w:bCs/>
        </w:rPr>
        <w:br w:type="page"/>
      </w:r>
    </w:p>
    <w:p w14:paraId="7BE3504F" w14:textId="77777777" w:rsidR="00131F07" w:rsidRPr="00D14184" w:rsidRDefault="00131F07" w:rsidP="00131F07">
      <w:pPr>
        <w:spacing w:line="480" w:lineRule="auto"/>
        <w:rPr>
          <w:rFonts w:ascii="Arial" w:hAnsi="Arial" w:cs="Arial"/>
          <w:b/>
          <w:bCs/>
        </w:rPr>
      </w:pPr>
      <w:r w:rsidRPr="00D14184">
        <w:rPr>
          <w:rFonts w:ascii="Arial" w:hAnsi="Arial" w:cs="Arial"/>
          <w:b/>
          <w:bCs/>
        </w:rPr>
        <w:lastRenderedPageBreak/>
        <w:t>Table S5. Probable DDIs</w:t>
      </w:r>
    </w:p>
    <w:tbl>
      <w:tblPr>
        <w:tblW w:w="8851" w:type="dxa"/>
        <w:tblInd w:w="-113" w:type="dxa"/>
        <w:tblLook w:val="04A0" w:firstRow="1" w:lastRow="0" w:firstColumn="1" w:lastColumn="0" w:noHBand="0" w:noVBand="1"/>
      </w:tblPr>
      <w:tblGrid>
        <w:gridCol w:w="1053"/>
        <w:gridCol w:w="2245"/>
        <w:gridCol w:w="2610"/>
        <w:gridCol w:w="2943"/>
      </w:tblGrid>
      <w:tr w:rsidR="00131F07" w:rsidRPr="00D14184" w14:paraId="1DA98769" w14:textId="77777777" w:rsidTr="00D768A1">
        <w:trPr>
          <w:trHeight w:val="315"/>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CD538" w14:textId="77777777" w:rsidR="00131F07" w:rsidRPr="00D14184" w:rsidRDefault="00131F07" w:rsidP="00D768A1">
            <w:pPr>
              <w:rPr>
                <w:rFonts w:ascii="Arial" w:hAnsi="Arial" w:cs="Arial"/>
                <w:b/>
                <w:bCs/>
                <w:color w:val="000000"/>
              </w:rPr>
            </w:pPr>
            <w:r w:rsidRPr="00D14184">
              <w:rPr>
                <w:rFonts w:ascii="Arial" w:hAnsi="Arial" w:cs="Arial"/>
                <w:b/>
                <w:bCs/>
                <w:color w:val="000000"/>
              </w:rPr>
              <w:t>Organ</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67DC9C2F" w14:textId="77777777" w:rsidR="00131F07" w:rsidRPr="00D14184" w:rsidRDefault="00131F07" w:rsidP="00D768A1">
            <w:pPr>
              <w:rPr>
                <w:rFonts w:ascii="Arial" w:hAnsi="Arial" w:cs="Arial"/>
                <w:b/>
                <w:bCs/>
                <w:color w:val="000000"/>
              </w:rPr>
            </w:pPr>
            <w:r w:rsidRPr="00D14184">
              <w:rPr>
                <w:rFonts w:ascii="Arial" w:hAnsi="Arial" w:cs="Arial"/>
                <w:b/>
                <w:bCs/>
                <w:color w:val="000000"/>
              </w:rPr>
              <w:t>Organism</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1560A4EC" w14:textId="77777777" w:rsidR="00131F07" w:rsidRPr="00D14184" w:rsidRDefault="00131F07" w:rsidP="00D768A1">
            <w:pPr>
              <w:pStyle w:val="ListParagraph"/>
              <w:numPr>
                <w:ilvl w:val="0"/>
                <w:numId w:val="6"/>
              </w:numPr>
              <w:ind w:left="105" w:hanging="179"/>
              <w:rPr>
                <w:rFonts w:ascii="Arial" w:hAnsi="Arial" w:cs="Arial"/>
                <w:b/>
                <w:bCs/>
                <w:color w:val="000000"/>
              </w:rPr>
            </w:pPr>
            <w:r w:rsidRPr="00D14184">
              <w:rPr>
                <w:rFonts w:ascii="Arial" w:hAnsi="Arial" w:cs="Arial"/>
                <w:b/>
                <w:bCs/>
                <w:color w:val="000000"/>
              </w:rPr>
              <w:t>Donor site</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14:paraId="37A3B027" w14:textId="77777777" w:rsidR="00131F07" w:rsidRPr="00D14184" w:rsidRDefault="00131F07" w:rsidP="00D768A1">
            <w:pPr>
              <w:pStyle w:val="ListParagraph"/>
              <w:numPr>
                <w:ilvl w:val="0"/>
                <w:numId w:val="6"/>
              </w:numPr>
              <w:ind w:left="105" w:hanging="179"/>
              <w:rPr>
                <w:rFonts w:ascii="Arial" w:hAnsi="Arial" w:cs="Arial"/>
                <w:b/>
                <w:bCs/>
                <w:color w:val="000000"/>
              </w:rPr>
            </w:pPr>
            <w:r w:rsidRPr="00D14184">
              <w:rPr>
                <w:rFonts w:ascii="Arial" w:hAnsi="Arial" w:cs="Arial"/>
                <w:b/>
                <w:bCs/>
                <w:color w:val="000000"/>
              </w:rPr>
              <w:t>Recipient site</w:t>
            </w:r>
          </w:p>
        </w:tc>
      </w:tr>
      <w:tr w:rsidR="00131F07" w:rsidRPr="00D14184" w14:paraId="7A49039B"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BBC8650" w14:textId="77777777" w:rsidR="00131F07" w:rsidRPr="00D14184" w:rsidRDefault="00131F07" w:rsidP="00D768A1">
            <w:pPr>
              <w:rPr>
                <w:rFonts w:ascii="Arial" w:hAnsi="Arial" w:cs="Arial"/>
                <w:color w:val="000000"/>
              </w:rPr>
            </w:pPr>
            <w:r w:rsidRPr="00D14184">
              <w:rPr>
                <w:rFonts w:ascii="Arial" w:hAnsi="Arial" w:cs="Arial"/>
                <w:color w:val="000000"/>
              </w:rPr>
              <w:t>Kidney</w:t>
            </w:r>
          </w:p>
        </w:tc>
        <w:tc>
          <w:tcPr>
            <w:tcW w:w="2076" w:type="dxa"/>
            <w:tcBorders>
              <w:top w:val="nil"/>
              <w:left w:val="nil"/>
              <w:bottom w:val="single" w:sz="4" w:space="0" w:color="auto"/>
              <w:right w:val="single" w:sz="4" w:space="0" w:color="auto"/>
            </w:tcBorders>
            <w:shd w:val="clear" w:color="auto" w:fill="auto"/>
            <w:vAlign w:val="center"/>
            <w:hideMark/>
          </w:tcPr>
          <w:p w14:paraId="5A796342" w14:textId="77777777" w:rsidR="00131F07" w:rsidRPr="00D14184" w:rsidRDefault="00131F07" w:rsidP="00D768A1">
            <w:pPr>
              <w:rPr>
                <w:rFonts w:ascii="Arial" w:hAnsi="Arial" w:cs="Arial"/>
                <w:i/>
                <w:iCs/>
                <w:color w:val="000000"/>
              </w:rPr>
            </w:pPr>
            <w:r w:rsidRPr="00D14184">
              <w:rPr>
                <w:rFonts w:ascii="Arial" w:hAnsi="Arial" w:cs="Arial"/>
                <w:i/>
                <w:iCs/>
                <w:color w:val="000000"/>
              </w:rPr>
              <w:t>Enterococcus</w:t>
            </w:r>
          </w:p>
        </w:tc>
        <w:tc>
          <w:tcPr>
            <w:tcW w:w="2687" w:type="dxa"/>
            <w:tcBorders>
              <w:top w:val="nil"/>
              <w:left w:val="nil"/>
              <w:bottom w:val="single" w:sz="4" w:space="0" w:color="auto"/>
              <w:right w:val="single" w:sz="4" w:space="0" w:color="auto"/>
            </w:tcBorders>
            <w:shd w:val="clear" w:color="auto" w:fill="auto"/>
            <w:vAlign w:val="center"/>
            <w:hideMark/>
          </w:tcPr>
          <w:p w14:paraId="7DE1BDA7"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Perfusate fluid</w:t>
            </w:r>
          </w:p>
          <w:p w14:paraId="5835B856"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Ureter</w:t>
            </w:r>
          </w:p>
        </w:tc>
        <w:tc>
          <w:tcPr>
            <w:tcW w:w="3029" w:type="dxa"/>
            <w:tcBorders>
              <w:top w:val="nil"/>
              <w:left w:val="nil"/>
              <w:bottom w:val="single" w:sz="4" w:space="0" w:color="auto"/>
              <w:right w:val="single" w:sz="4" w:space="0" w:color="auto"/>
            </w:tcBorders>
            <w:shd w:val="clear" w:color="auto" w:fill="auto"/>
            <w:vAlign w:val="center"/>
            <w:hideMark/>
          </w:tcPr>
          <w:p w14:paraId="1FEDA11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Surgical site</w:t>
            </w:r>
          </w:p>
        </w:tc>
      </w:tr>
      <w:tr w:rsidR="00131F07" w:rsidRPr="00D14184" w14:paraId="5A022144" w14:textId="77777777" w:rsidTr="00D768A1">
        <w:trPr>
          <w:trHeight w:val="8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E1C49DE" w14:textId="77777777" w:rsidR="00131F07" w:rsidRPr="00D14184" w:rsidRDefault="00131F07" w:rsidP="00D768A1">
            <w:pPr>
              <w:rPr>
                <w:rFonts w:ascii="Arial" w:hAnsi="Arial" w:cs="Arial"/>
                <w:color w:val="000000"/>
              </w:rPr>
            </w:pPr>
            <w:r w:rsidRPr="00D14184">
              <w:rPr>
                <w:rFonts w:ascii="Arial" w:hAnsi="Arial" w:cs="Arial"/>
                <w:color w:val="000000"/>
              </w:rPr>
              <w:t>Kidney</w:t>
            </w:r>
          </w:p>
        </w:tc>
        <w:tc>
          <w:tcPr>
            <w:tcW w:w="2076" w:type="dxa"/>
            <w:tcBorders>
              <w:top w:val="nil"/>
              <w:left w:val="nil"/>
              <w:bottom w:val="single" w:sz="4" w:space="0" w:color="auto"/>
              <w:right w:val="single" w:sz="4" w:space="0" w:color="auto"/>
            </w:tcBorders>
            <w:shd w:val="clear" w:color="auto" w:fill="auto"/>
            <w:vAlign w:val="center"/>
            <w:hideMark/>
          </w:tcPr>
          <w:p w14:paraId="7E4AAD86" w14:textId="77777777" w:rsidR="00131F07" w:rsidRPr="00D14184" w:rsidRDefault="00131F07" w:rsidP="00D768A1">
            <w:pPr>
              <w:rPr>
                <w:rFonts w:ascii="Arial" w:hAnsi="Arial" w:cs="Arial"/>
                <w:i/>
                <w:iCs/>
                <w:color w:val="000000"/>
              </w:rPr>
            </w:pPr>
            <w:r w:rsidRPr="00D14184">
              <w:rPr>
                <w:rFonts w:ascii="Arial" w:hAnsi="Arial" w:cs="Arial"/>
                <w:i/>
                <w:iCs/>
                <w:color w:val="000000"/>
              </w:rPr>
              <w:t>E. coli</w:t>
            </w:r>
          </w:p>
        </w:tc>
        <w:tc>
          <w:tcPr>
            <w:tcW w:w="2687" w:type="dxa"/>
            <w:tcBorders>
              <w:top w:val="nil"/>
              <w:left w:val="nil"/>
              <w:bottom w:val="single" w:sz="4" w:space="0" w:color="auto"/>
              <w:right w:val="single" w:sz="4" w:space="0" w:color="auto"/>
            </w:tcBorders>
            <w:shd w:val="clear" w:color="auto" w:fill="auto"/>
            <w:vAlign w:val="center"/>
            <w:hideMark/>
          </w:tcPr>
          <w:p w14:paraId="11EFF2C1"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Urine</w:t>
            </w:r>
          </w:p>
          <w:p w14:paraId="3D40A05E"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Ureter</w:t>
            </w:r>
          </w:p>
          <w:p w14:paraId="73551036"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Perfusate fluid</w:t>
            </w:r>
          </w:p>
        </w:tc>
        <w:tc>
          <w:tcPr>
            <w:tcW w:w="3029" w:type="dxa"/>
            <w:tcBorders>
              <w:top w:val="nil"/>
              <w:left w:val="nil"/>
              <w:bottom w:val="single" w:sz="4" w:space="0" w:color="auto"/>
              <w:right w:val="single" w:sz="4" w:space="0" w:color="auto"/>
            </w:tcBorders>
            <w:shd w:val="clear" w:color="auto" w:fill="auto"/>
            <w:vAlign w:val="center"/>
            <w:hideMark/>
          </w:tcPr>
          <w:p w14:paraId="215BCE3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Abdominal fluid</w:t>
            </w:r>
          </w:p>
        </w:tc>
      </w:tr>
      <w:tr w:rsidR="00131F07" w:rsidRPr="00D14184" w14:paraId="3CEED9D6"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EC30406" w14:textId="77777777" w:rsidR="00131F07" w:rsidRPr="00D14184" w:rsidRDefault="00131F07" w:rsidP="00D768A1">
            <w:pPr>
              <w:rPr>
                <w:rFonts w:ascii="Arial" w:hAnsi="Arial" w:cs="Arial"/>
                <w:color w:val="000000"/>
              </w:rPr>
            </w:pPr>
            <w:r w:rsidRPr="00D14184">
              <w:rPr>
                <w:rFonts w:ascii="Arial" w:hAnsi="Arial" w:cs="Arial"/>
                <w:color w:val="000000"/>
              </w:rPr>
              <w:t>Kidney</w:t>
            </w:r>
          </w:p>
        </w:tc>
        <w:tc>
          <w:tcPr>
            <w:tcW w:w="2076" w:type="dxa"/>
            <w:tcBorders>
              <w:top w:val="nil"/>
              <w:left w:val="nil"/>
              <w:bottom w:val="single" w:sz="4" w:space="0" w:color="auto"/>
              <w:right w:val="single" w:sz="4" w:space="0" w:color="auto"/>
            </w:tcBorders>
            <w:shd w:val="clear" w:color="auto" w:fill="auto"/>
            <w:vAlign w:val="center"/>
            <w:hideMark/>
          </w:tcPr>
          <w:p w14:paraId="3A7E173F" w14:textId="77777777" w:rsidR="00131F07" w:rsidRPr="00D14184" w:rsidRDefault="00131F07" w:rsidP="00D768A1">
            <w:pPr>
              <w:rPr>
                <w:rFonts w:ascii="Arial" w:hAnsi="Arial" w:cs="Arial"/>
                <w:i/>
                <w:iCs/>
                <w:color w:val="000000"/>
              </w:rPr>
            </w:pPr>
            <w:r w:rsidRPr="00D14184">
              <w:rPr>
                <w:rFonts w:ascii="Arial" w:hAnsi="Arial" w:cs="Arial"/>
                <w:i/>
                <w:iCs/>
                <w:color w:val="000000"/>
              </w:rPr>
              <w:t>E. coli</w:t>
            </w:r>
          </w:p>
        </w:tc>
        <w:tc>
          <w:tcPr>
            <w:tcW w:w="2687" w:type="dxa"/>
            <w:tcBorders>
              <w:top w:val="nil"/>
              <w:left w:val="nil"/>
              <w:bottom w:val="single" w:sz="4" w:space="0" w:color="auto"/>
              <w:right w:val="single" w:sz="4" w:space="0" w:color="auto"/>
            </w:tcBorders>
            <w:shd w:val="clear" w:color="auto" w:fill="auto"/>
            <w:vAlign w:val="center"/>
            <w:hideMark/>
          </w:tcPr>
          <w:p w14:paraId="124EA727"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Urine</w:t>
            </w:r>
          </w:p>
        </w:tc>
        <w:tc>
          <w:tcPr>
            <w:tcW w:w="3029" w:type="dxa"/>
            <w:tcBorders>
              <w:top w:val="nil"/>
              <w:left w:val="nil"/>
              <w:bottom w:val="single" w:sz="4" w:space="0" w:color="auto"/>
              <w:right w:val="single" w:sz="4" w:space="0" w:color="auto"/>
            </w:tcBorders>
            <w:shd w:val="clear" w:color="auto" w:fill="auto"/>
            <w:vAlign w:val="center"/>
            <w:hideMark/>
          </w:tcPr>
          <w:p w14:paraId="6E6F3FC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Urine</w:t>
            </w:r>
          </w:p>
        </w:tc>
      </w:tr>
      <w:tr w:rsidR="00131F07" w:rsidRPr="00D14184" w14:paraId="3FE4FC8F"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227BC16" w14:textId="77777777" w:rsidR="00131F07" w:rsidRPr="00D14184" w:rsidRDefault="00131F07" w:rsidP="00D768A1">
            <w:pPr>
              <w:rPr>
                <w:rFonts w:ascii="Arial" w:hAnsi="Arial" w:cs="Arial"/>
                <w:color w:val="000000"/>
              </w:rPr>
            </w:pPr>
            <w:r w:rsidRPr="00D14184">
              <w:rPr>
                <w:rFonts w:ascii="Arial" w:hAnsi="Arial" w:cs="Arial"/>
                <w:color w:val="000000"/>
              </w:rPr>
              <w:t>Kidney</w:t>
            </w:r>
          </w:p>
        </w:tc>
        <w:tc>
          <w:tcPr>
            <w:tcW w:w="2076" w:type="dxa"/>
            <w:tcBorders>
              <w:top w:val="nil"/>
              <w:left w:val="nil"/>
              <w:bottom w:val="single" w:sz="4" w:space="0" w:color="auto"/>
              <w:right w:val="single" w:sz="4" w:space="0" w:color="auto"/>
            </w:tcBorders>
            <w:shd w:val="clear" w:color="auto" w:fill="auto"/>
            <w:vAlign w:val="center"/>
            <w:hideMark/>
          </w:tcPr>
          <w:p w14:paraId="39676D90" w14:textId="77777777" w:rsidR="00131F07" w:rsidRPr="00D14184" w:rsidRDefault="00131F07" w:rsidP="00D768A1">
            <w:pPr>
              <w:rPr>
                <w:rFonts w:ascii="Arial" w:hAnsi="Arial" w:cs="Arial"/>
                <w:i/>
                <w:iCs/>
                <w:color w:val="000000"/>
              </w:rPr>
            </w:pPr>
            <w:r w:rsidRPr="00D14184">
              <w:rPr>
                <w:rFonts w:ascii="Arial" w:hAnsi="Arial" w:cs="Arial"/>
                <w:i/>
                <w:iCs/>
                <w:color w:val="000000"/>
              </w:rPr>
              <w:t>Enterococcus</w:t>
            </w:r>
          </w:p>
        </w:tc>
        <w:tc>
          <w:tcPr>
            <w:tcW w:w="2687" w:type="dxa"/>
            <w:tcBorders>
              <w:top w:val="nil"/>
              <w:left w:val="nil"/>
              <w:bottom w:val="single" w:sz="4" w:space="0" w:color="auto"/>
              <w:right w:val="single" w:sz="4" w:space="0" w:color="auto"/>
            </w:tcBorders>
            <w:shd w:val="clear" w:color="auto" w:fill="auto"/>
            <w:vAlign w:val="center"/>
            <w:hideMark/>
          </w:tcPr>
          <w:p w14:paraId="4FE2F16C"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Urine</w:t>
            </w:r>
          </w:p>
        </w:tc>
        <w:tc>
          <w:tcPr>
            <w:tcW w:w="3029" w:type="dxa"/>
            <w:tcBorders>
              <w:top w:val="nil"/>
              <w:left w:val="nil"/>
              <w:bottom w:val="single" w:sz="4" w:space="0" w:color="auto"/>
              <w:right w:val="single" w:sz="4" w:space="0" w:color="auto"/>
            </w:tcBorders>
            <w:shd w:val="clear" w:color="auto" w:fill="auto"/>
            <w:vAlign w:val="center"/>
            <w:hideMark/>
          </w:tcPr>
          <w:p w14:paraId="50549A5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Blood</w:t>
            </w:r>
          </w:p>
          <w:p w14:paraId="58B2013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Urine</w:t>
            </w:r>
          </w:p>
        </w:tc>
      </w:tr>
      <w:tr w:rsidR="00131F07" w:rsidRPr="00D14184" w14:paraId="562DDA95"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EB9DD87" w14:textId="77777777" w:rsidR="00131F07" w:rsidRPr="00D14184" w:rsidRDefault="00131F07" w:rsidP="00D768A1">
            <w:pPr>
              <w:rPr>
                <w:rFonts w:ascii="Arial" w:hAnsi="Arial" w:cs="Arial"/>
                <w:color w:val="000000"/>
              </w:rPr>
            </w:pPr>
            <w:r w:rsidRPr="00D14184">
              <w:rPr>
                <w:rFonts w:ascii="Arial" w:hAnsi="Arial" w:cs="Arial"/>
                <w:color w:val="000000"/>
              </w:rPr>
              <w:t>Kidney</w:t>
            </w:r>
          </w:p>
        </w:tc>
        <w:tc>
          <w:tcPr>
            <w:tcW w:w="2076" w:type="dxa"/>
            <w:tcBorders>
              <w:top w:val="nil"/>
              <w:left w:val="nil"/>
              <w:bottom w:val="single" w:sz="4" w:space="0" w:color="auto"/>
              <w:right w:val="single" w:sz="4" w:space="0" w:color="auto"/>
            </w:tcBorders>
            <w:shd w:val="clear" w:color="auto" w:fill="auto"/>
            <w:vAlign w:val="center"/>
            <w:hideMark/>
          </w:tcPr>
          <w:p w14:paraId="4B746D3E" w14:textId="77777777" w:rsidR="00131F07" w:rsidRPr="00D14184" w:rsidRDefault="00131F07" w:rsidP="00D768A1">
            <w:pPr>
              <w:rPr>
                <w:rFonts w:ascii="Arial" w:hAnsi="Arial" w:cs="Arial"/>
                <w:i/>
                <w:iCs/>
                <w:color w:val="000000"/>
              </w:rPr>
            </w:pPr>
            <w:r w:rsidRPr="00D14184">
              <w:rPr>
                <w:rFonts w:ascii="Arial" w:hAnsi="Arial" w:cs="Arial"/>
                <w:i/>
                <w:iCs/>
                <w:color w:val="000000"/>
              </w:rPr>
              <w:t>S. epidermidis</w:t>
            </w:r>
          </w:p>
        </w:tc>
        <w:tc>
          <w:tcPr>
            <w:tcW w:w="2687" w:type="dxa"/>
            <w:tcBorders>
              <w:top w:val="nil"/>
              <w:left w:val="nil"/>
              <w:bottom w:val="single" w:sz="4" w:space="0" w:color="auto"/>
              <w:right w:val="single" w:sz="4" w:space="0" w:color="auto"/>
            </w:tcBorders>
            <w:shd w:val="clear" w:color="auto" w:fill="auto"/>
            <w:vAlign w:val="center"/>
            <w:hideMark/>
          </w:tcPr>
          <w:p w14:paraId="4C8FBE4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Perfusate fluid</w:t>
            </w:r>
          </w:p>
        </w:tc>
        <w:tc>
          <w:tcPr>
            <w:tcW w:w="3029" w:type="dxa"/>
            <w:tcBorders>
              <w:top w:val="nil"/>
              <w:left w:val="nil"/>
              <w:bottom w:val="single" w:sz="4" w:space="0" w:color="auto"/>
              <w:right w:val="single" w:sz="4" w:space="0" w:color="auto"/>
            </w:tcBorders>
            <w:shd w:val="clear" w:color="auto" w:fill="auto"/>
            <w:vAlign w:val="center"/>
            <w:hideMark/>
          </w:tcPr>
          <w:p w14:paraId="4182E8E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Abdominal fluid</w:t>
            </w:r>
          </w:p>
        </w:tc>
      </w:tr>
      <w:tr w:rsidR="00131F07" w:rsidRPr="00D14184" w14:paraId="1566841D"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382758DA" w14:textId="77777777" w:rsidR="00131F07" w:rsidRPr="00D14184" w:rsidRDefault="00131F07" w:rsidP="00D768A1">
            <w:pPr>
              <w:rPr>
                <w:rFonts w:ascii="Arial" w:hAnsi="Arial" w:cs="Arial"/>
                <w:color w:val="000000"/>
              </w:rPr>
            </w:pPr>
            <w:r w:rsidRPr="00D14184">
              <w:rPr>
                <w:rFonts w:ascii="Arial" w:hAnsi="Arial" w:cs="Arial"/>
                <w:color w:val="000000"/>
              </w:rPr>
              <w:t>Liver</w:t>
            </w:r>
          </w:p>
        </w:tc>
        <w:tc>
          <w:tcPr>
            <w:tcW w:w="2076" w:type="dxa"/>
            <w:tcBorders>
              <w:top w:val="nil"/>
              <w:left w:val="nil"/>
              <w:bottom w:val="single" w:sz="4" w:space="0" w:color="auto"/>
              <w:right w:val="single" w:sz="4" w:space="0" w:color="auto"/>
            </w:tcBorders>
            <w:shd w:val="clear" w:color="auto" w:fill="auto"/>
            <w:vAlign w:val="center"/>
            <w:hideMark/>
          </w:tcPr>
          <w:p w14:paraId="58886B0D" w14:textId="77777777" w:rsidR="00131F07" w:rsidRPr="00D14184" w:rsidRDefault="00131F07" w:rsidP="00D768A1">
            <w:pPr>
              <w:rPr>
                <w:rFonts w:ascii="Arial" w:hAnsi="Arial" w:cs="Arial"/>
                <w:color w:val="000000"/>
              </w:rPr>
            </w:pPr>
            <w:r w:rsidRPr="00D14184">
              <w:rPr>
                <w:rFonts w:ascii="Arial" w:hAnsi="Arial" w:cs="Arial"/>
                <w:color w:val="000000"/>
              </w:rPr>
              <w:t>MRSE</w:t>
            </w:r>
          </w:p>
        </w:tc>
        <w:tc>
          <w:tcPr>
            <w:tcW w:w="2687" w:type="dxa"/>
            <w:tcBorders>
              <w:top w:val="nil"/>
              <w:left w:val="nil"/>
              <w:bottom w:val="single" w:sz="4" w:space="0" w:color="auto"/>
              <w:right w:val="single" w:sz="4" w:space="0" w:color="auto"/>
            </w:tcBorders>
            <w:shd w:val="clear" w:color="auto" w:fill="auto"/>
            <w:vAlign w:val="center"/>
            <w:hideMark/>
          </w:tcPr>
          <w:p w14:paraId="047FB2FC"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Perfusate fluid</w:t>
            </w:r>
          </w:p>
        </w:tc>
        <w:tc>
          <w:tcPr>
            <w:tcW w:w="3029" w:type="dxa"/>
            <w:tcBorders>
              <w:top w:val="nil"/>
              <w:left w:val="nil"/>
              <w:bottom w:val="single" w:sz="4" w:space="0" w:color="auto"/>
              <w:right w:val="single" w:sz="4" w:space="0" w:color="auto"/>
            </w:tcBorders>
            <w:shd w:val="clear" w:color="auto" w:fill="auto"/>
            <w:vAlign w:val="center"/>
            <w:hideMark/>
          </w:tcPr>
          <w:p w14:paraId="3202182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Abdominal fluid</w:t>
            </w:r>
          </w:p>
        </w:tc>
      </w:tr>
      <w:tr w:rsidR="00131F07" w:rsidRPr="00D14184" w14:paraId="7D6D6F8C"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18E7197D" w14:textId="77777777" w:rsidR="00131F07" w:rsidRPr="00D14184" w:rsidRDefault="00131F07" w:rsidP="00D768A1">
            <w:pPr>
              <w:rPr>
                <w:rFonts w:ascii="Arial" w:hAnsi="Arial" w:cs="Arial"/>
                <w:color w:val="000000"/>
              </w:rPr>
            </w:pPr>
            <w:r w:rsidRPr="00D14184">
              <w:rPr>
                <w:rFonts w:ascii="Arial" w:hAnsi="Arial" w:cs="Arial"/>
                <w:color w:val="000000"/>
              </w:rPr>
              <w:t>Heart</w:t>
            </w:r>
          </w:p>
        </w:tc>
        <w:tc>
          <w:tcPr>
            <w:tcW w:w="2076" w:type="dxa"/>
            <w:tcBorders>
              <w:top w:val="nil"/>
              <w:left w:val="nil"/>
              <w:bottom w:val="single" w:sz="4" w:space="0" w:color="auto"/>
              <w:right w:val="single" w:sz="4" w:space="0" w:color="auto"/>
            </w:tcBorders>
            <w:shd w:val="clear" w:color="auto" w:fill="auto"/>
            <w:vAlign w:val="center"/>
            <w:hideMark/>
          </w:tcPr>
          <w:p w14:paraId="74C998CA"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74F7690D"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528618AC"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Pleural fluid</w:t>
            </w:r>
          </w:p>
        </w:tc>
      </w:tr>
      <w:tr w:rsidR="00131F07" w:rsidRPr="00D14184" w14:paraId="0FB2B2D8"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A5D51BB" w14:textId="77777777" w:rsidR="00131F07" w:rsidRPr="00D14184" w:rsidRDefault="00131F07" w:rsidP="00D768A1">
            <w:pPr>
              <w:rPr>
                <w:rFonts w:ascii="Arial" w:hAnsi="Arial" w:cs="Arial"/>
                <w:color w:val="000000"/>
              </w:rPr>
            </w:pPr>
            <w:r w:rsidRPr="00D14184">
              <w:rPr>
                <w:rFonts w:ascii="Arial" w:hAnsi="Arial" w:cs="Arial"/>
                <w:color w:val="000000"/>
              </w:rPr>
              <w:t>Heart</w:t>
            </w:r>
          </w:p>
        </w:tc>
        <w:tc>
          <w:tcPr>
            <w:tcW w:w="2076" w:type="dxa"/>
            <w:tcBorders>
              <w:top w:val="nil"/>
              <w:left w:val="nil"/>
              <w:bottom w:val="single" w:sz="4" w:space="0" w:color="auto"/>
              <w:right w:val="single" w:sz="4" w:space="0" w:color="auto"/>
            </w:tcBorders>
            <w:shd w:val="clear" w:color="auto" w:fill="auto"/>
            <w:vAlign w:val="center"/>
            <w:hideMark/>
          </w:tcPr>
          <w:p w14:paraId="19156726" w14:textId="77777777" w:rsidR="00131F07" w:rsidRPr="00D14184" w:rsidRDefault="00131F07" w:rsidP="00D768A1">
            <w:pPr>
              <w:rPr>
                <w:rFonts w:ascii="Arial" w:hAnsi="Arial" w:cs="Arial"/>
                <w:i/>
                <w:iCs/>
                <w:color w:val="000000"/>
              </w:rPr>
            </w:pPr>
            <w:r w:rsidRPr="00D14184">
              <w:rPr>
                <w:rFonts w:ascii="Arial" w:hAnsi="Arial" w:cs="Arial"/>
                <w:i/>
                <w:iCs/>
                <w:color w:val="000000"/>
              </w:rPr>
              <w:t>S. epidermidis</w:t>
            </w:r>
          </w:p>
        </w:tc>
        <w:tc>
          <w:tcPr>
            <w:tcW w:w="2687" w:type="dxa"/>
            <w:tcBorders>
              <w:top w:val="nil"/>
              <w:left w:val="nil"/>
              <w:bottom w:val="single" w:sz="4" w:space="0" w:color="auto"/>
              <w:right w:val="single" w:sz="4" w:space="0" w:color="auto"/>
            </w:tcBorders>
            <w:shd w:val="clear" w:color="auto" w:fill="auto"/>
            <w:vAlign w:val="center"/>
            <w:hideMark/>
          </w:tcPr>
          <w:p w14:paraId="6522EC1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Perfusate fluid</w:t>
            </w:r>
          </w:p>
        </w:tc>
        <w:tc>
          <w:tcPr>
            <w:tcW w:w="3029" w:type="dxa"/>
            <w:tcBorders>
              <w:top w:val="nil"/>
              <w:left w:val="nil"/>
              <w:bottom w:val="single" w:sz="4" w:space="0" w:color="auto"/>
              <w:right w:val="single" w:sz="4" w:space="0" w:color="auto"/>
            </w:tcBorders>
            <w:shd w:val="clear" w:color="auto" w:fill="auto"/>
            <w:vAlign w:val="center"/>
            <w:hideMark/>
          </w:tcPr>
          <w:p w14:paraId="07C79BD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Pericardial fluid</w:t>
            </w:r>
          </w:p>
        </w:tc>
      </w:tr>
      <w:tr w:rsidR="00131F07" w:rsidRPr="00D14184" w14:paraId="646A1C35"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583C83B" w14:textId="77777777" w:rsidR="00131F07" w:rsidRPr="00D14184" w:rsidRDefault="00131F07" w:rsidP="00D768A1">
            <w:pPr>
              <w:rPr>
                <w:rFonts w:ascii="Arial" w:hAnsi="Arial" w:cs="Arial"/>
                <w:color w:val="000000"/>
              </w:rPr>
            </w:pPr>
            <w:r w:rsidRPr="00D14184">
              <w:rPr>
                <w:rFonts w:ascii="Arial" w:hAnsi="Arial" w:cs="Arial"/>
                <w:color w:val="000000"/>
              </w:rPr>
              <w:t>Heart</w:t>
            </w:r>
          </w:p>
        </w:tc>
        <w:tc>
          <w:tcPr>
            <w:tcW w:w="2076" w:type="dxa"/>
            <w:tcBorders>
              <w:top w:val="nil"/>
              <w:left w:val="nil"/>
              <w:bottom w:val="single" w:sz="4" w:space="0" w:color="auto"/>
              <w:right w:val="single" w:sz="4" w:space="0" w:color="auto"/>
            </w:tcBorders>
            <w:shd w:val="clear" w:color="auto" w:fill="auto"/>
            <w:vAlign w:val="center"/>
            <w:hideMark/>
          </w:tcPr>
          <w:p w14:paraId="3BA56F61" w14:textId="77777777" w:rsidR="00131F07" w:rsidRPr="00D14184" w:rsidRDefault="00131F07" w:rsidP="00D768A1">
            <w:pPr>
              <w:rPr>
                <w:rFonts w:ascii="Arial" w:hAnsi="Arial" w:cs="Arial"/>
                <w:i/>
                <w:iCs/>
                <w:color w:val="000000"/>
              </w:rPr>
            </w:pPr>
            <w:r w:rsidRPr="00D14184">
              <w:rPr>
                <w:rFonts w:ascii="Arial" w:hAnsi="Arial" w:cs="Arial"/>
                <w:i/>
                <w:iCs/>
                <w:color w:val="000000"/>
              </w:rPr>
              <w:t>Klebsiella</w:t>
            </w:r>
          </w:p>
        </w:tc>
        <w:tc>
          <w:tcPr>
            <w:tcW w:w="2687" w:type="dxa"/>
            <w:tcBorders>
              <w:top w:val="nil"/>
              <w:left w:val="nil"/>
              <w:bottom w:val="single" w:sz="4" w:space="0" w:color="auto"/>
              <w:right w:val="single" w:sz="4" w:space="0" w:color="auto"/>
            </w:tcBorders>
            <w:shd w:val="clear" w:color="auto" w:fill="auto"/>
            <w:vAlign w:val="center"/>
            <w:hideMark/>
          </w:tcPr>
          <w:p w14:paraId="54AE9DF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Blood</w:t>
            </w:r>
          </w:p>
          <w:p w14:paraId="49EE5895"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p w14:paraId="57C915C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Pleural fluid</w:t>
            </w:r>
          </w:p>
        </w:tc>
        <w:tc>
          <w:tcPr>
            <w:tcW w:w="3029" w:type="dxa"/>
            <w:tcBorders>
              <w:top w:val="nil"/>
              <w:left w:val="nil"/>
              <w:bottom w:val="single" w:sz="4" w:space="0" w:color="auto"/>
              <w:right w:val="single" w:sz="4" w:space="0" w:color="auto"/>
            </w:tcBorders>
            <w:shd w:val="clear" w:color="auto" w:fill="auto"/>
            <w:vAlign w:val="center"/>
            <w:hideMark/>
          </w:tcPr>
          <w:p w14:paraId="585588B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Mediastinal abscess wound</w:t>
            </w:r>
          </w:p>
        </w:tc>
      </w:tr>
      <w:tr w:rsidR="00131F07" w:rsidRPr="00D14184" w14:paraId="7EEDEB5B"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5C90DA5" w14:textId="77777777" w:rsidR="00131F07" w:rsidRPr="00D14184" w:rsidRDefault="00131F07" w:rsidP="00D768A1">
            <w:pPr>
              <w:rPr>
                <w:rFonts w:ascii="Arial" w:hAnsi="Arial" w:cs="Arial"/>
                <w:color w:val="000000"/>
              </w:rPr>
            </w:pPr>
            <w:r w:rsidRPr="00D14184">
              <w:rPr>
                <w:rFonts w:ascii="Arial" w:hAnsi="Arial" w:cs="Arial"/>
                <w:color w:val="000000"/>
              </w:rPr>
              <w:t>Heart</w:t>
            </w:r>
          </w:p>
        </w:tc>
        <w:tc>
          <w:tcPr>
            <w:tcW w:w="2076" w:type="dxa"/>
            <w:tcBorders>
              <w:top w:val="nil"/>
              <w:left w:val="nil"/>
              <w:bottom w:val="single" w:sz="4" w:space="0" w:color="auto"/>
              <w:right w:val="single" w:sz="4" w:space="0" w:color="auto"/>
            </w:tcBorders>
            <w:shd w:val="clear" w:color="auto" w:fill="auto"/>
            <w:vAlign w:val="center"/>
            <w:hideMark/>
          </w:tcPr>
          <w:p w14:paraId="1D1D5E77" w14:textId="77777777" w:rsidR="00131F07" w:rsidRPr="00D14184" w:rsidRDefault="00131F07" w:rsidP="00D768A1">
            <w:pPr>
              <w:rPr>
                <w:rFonts w:ascii="Arial" w:hAnsi="Arial" w:cs="Arial"/>
                <w:i/>
                <w:iCs/>
                <w:color w:val="000000"/>
              </w:rPr>
            </w:pPr>
            <w:r w:rsidRPr="00D14184">
              <w:rPr>
                <w:rFonts w:ascii="Arial" w:hAnsi="Arial" w:cs="Arial"/>
                <w:i/>
                <w:iCs/>
                <w:color w:val="000000"/>
              </w:rPr>
              <w:t>C. glabrata</w:t>
            </w:r>
          </w:p>
        </w:tc>
        <w:tc>
          <w:tcPr>
            <w:tcW w:w="2687" w:type="dxa"/>
            <w:tcBorders>
              <w:top w:val="nil"/>
              <w:left w:val="nil"/>
              <w:bottom w:val="single" w:sz="4" w:space="0" w:color="auto"/>
              <w:right w:val="single" w:sz="4" w:space="0" w:color="auto"/>
            </w:tcBorders>
            <w:shd w:val="clear" w:color="auto" w:fill="auto"/>
            <w:vAlign w:val="center"/>
            <w:hideMark/>
          </w:tcPr>
          <w:p w14:paraId="0ABDC7D0"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Blood</w:t>
            </w:r>
          </w:p>
        </w:tc>
        <w:tc>
          <w:tcPr>
            <w:tcW w:w="3029" w:type="dxa"/>
            <w:tcBorders>
              <w:top w:val="nil"/>
              <w:left w:val="nil"/>
              <w:bottom w:val="single" w:sz="4" w:space="0" w:color="auto"/>
              <w:right w:val="single" w:sz="4" w:space="0" w:color="auto"/>
            </w:tcBorders>
            <w:shd w:val="clear" w:color="auto" w:fill="auto"/>
            <w:vAlign w:val="center"/>
            <w:hideMark/>
          </w:tcPr>
          <w:p w14:paraId="2DA71C1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Blood</w:t>
            </w:r>
          </w:p>
        </w:tc>
      </w:tr>
      <w:tr w:rsidR="00131F07" w:rsidRPr="00D14184" w14:paraId="58B8F6B2"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86B0111"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0C149829" w14:textId="77777777" w:rsidR="00131F07" w:rsidRPr="00D14184" w:rsidRDefault="00131F07" w:rsidP="00D768A1">
            <w:pPr>
              <w:rPr>
                <w:rFonts w:ascii="Arial" w:hAnsi="Arial" w:cs="Arial"/>
                <w:i/>
                <w:iCs/>
                <w:color w:val="000000"/>
              </w:rPr>
            </w:pPr>
            <w:r w:rsidRPr="00D14184">
              <w:rPr>
                <w:rFonts w:ascii="Arial" w:hAnsi="Arial" w:cs="Arial"/>
                <w:i/>
                <w:iCs/>
                <w:color w:val="000000"/>
              </w:rPr>
              <w:t>Klebsiella</w:t>
            </w:r>
            <w:r w:rsidRPr="00D14184">
              <w:rPr>
                <w:rFonts w:ascii="Arial" w:hAnsi="Arial" w:cs="Arial"/>
                <w:color w:val="000000"/>
              </w:rPr>
              <w:t>, MSSA</w:t>
            </w:r>
          </w:p>
        </w:tc>
        <w:tc>
          <w:tcPr>
            <w:tcW w:w="2687" w:type="dxa"/>
            <w:tcBorders>
              <w:top w:val="nil"/>
              <w:left w:val="nil"/>
              <w:bottom w:val="single" w:sz="4" w:space="0" w:color="auto"/>
              <w:right w:val="single" w:sz="4" w:space="0" w:color="auto"/>
            </w:tcBorders>
            <w:shd w:val="clear" w:color="auto" w:fill="auto"/>
            <w:vAlign w:val="center"/>
            <w:hideMark/>
          </w:tcPr>
          <w:p w14:paraId="0D1E0C1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54C3058E"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4775594"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ADCE9E6"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1805F13A" w14:textId="77777777" w:rsidR="00131F07" w:rsidRPr="00D14184" w:rsidRDefault="00131F07" w:rsidP="00D768A1">
            <w:pPr>
              <w:rPr>
                <w:rFonts w:ascii="Arial" w:hAnsi="Arial" w:cs="Arial"/>
                <w:i/>
                <w:iCs/>
                <w:color w:val="000000"/>
              </w:rPr>
            </w:pPr>
            <w:r w:rsidRPr="00D14184">
              <w:rPr>
                <w:rFonts w:ascii="Arial" w:hAnsi="Arial" w:cs="Arial"/>
                <w:i/>
                <w:iCs/>
                <w:color w:val="000000"/>
              </w:rPr>
              <w:t>Klebsiella</w:t>
            </w:r>
          </w:p>
        </w:tc>
        <w:tc>
          <w:tcPr>
            <w:tcW w:w="2687" w:type="dxa"/>
            <w:tcBorders>
              <w:top w:val="nil"/>
              <w:left w:val="nil"/>
              <w:bottom w:val="single" w:sz="4" w:space="0" w:color="auto"/>
              <w:right w:val="single" w:sz="4" w:space="0" w:color="auto"/>
            </w:tcBorders>
            <w:shd w:val="clear" w:color="auto" w:fill="auto"/>
            <w:vAlign w:val="center"/>
            <w:hideMark/>
          </w:tcPr>
          <w:p w14:paraId="3703FB4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2ECC08B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4C301E4"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11B0DB2"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15E933F8"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2E7B5D7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4DBCF2F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0E474FB1"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82C7F31"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4E183BD7"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12BC740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62BD2BD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r>
      <w:tr w:rsidR="00131F07" w:rsidRPr="00D14184" w14:paraId="5BA9407B" w14:textId="77777777" w:rsidTr="00D768A1">
        <w:trPr>
          <w:trHeight w:val="85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60C8ED73"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174A3ECE" w14:textId="77777777" w:rsidR="00131F07" w:rsidRPr="00D14184" w:rsidRDefault="00131F07" w:rsidP="00D768A1">
            <w:pPr>
              <w:rPr>
                <w:rFonts w:ascii="Arial" w:hAnsi="Arial" w:cs="Arial"/>
                <w:i/>
                <w:iCs/>
                <w:color w:val="000000"/>
              </w:rPr>
            </w:pPr>
            <w:r w:rsidRPr="00D14184">
              <w:rPr>
                <w:rFonts w:ascii="Arial" w:hAnsi="Arial" w:cs="Arial"/>
                <w:i/>
                <w:iCs/>
                <w:color w:val="000000"/>
              </w:rPr>
              <w:t>Klebsiella</w:t>
            </w:r>
            <w:r w:rsidRPr="00D14184">
              <w:rPr>
                <w:rFonts w:ascii="Arial" w:hAnsi="Arial" w:cs="Arial"/>
                <w:color w:val="000000"/>
              </w:rPr>
              <w:t xml:space="preserve">, </w:t>
            </w:r>
            <w:r w:rsidRPr="00D14184">
              <w:rPr>
                <w:rFonts w:ascii="Arial" w:hAnsi="Arial" w:cs="Arial"/>
                <w:i/>
                <w:iCs/>
                <w:color w:val="000000"/>
              </w:rPr>
              <w:t>Stenotrophomonas</w:t>
            </w:r>
          </w:p>
        </w:tc>
        <w:tc>
          <w:tcPr>
            <w:tcW w:w="2687" w:type="dxa"/>
            <w:tcBorders>
              <w:top w:val="nil"/>
              <w:left w:val="nil"/>
              <w:bottom w:val="single" w:sz="4" w:space="0" w:color="auto"/>
              <w:right w:val="single" w:sz="4" w:space="0" w:color="auto"/>
            </w:tcBorders>
            <w:shd w:val="clear" w:color="auto" w:fill="auto"/>
            <w:vAlign w:val="center"/>
            <w:hideMark/>
          </w:tcPr>
          <w:p w14:paraId="1658192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4CC92550"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10574A20"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71BA766"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4AF19912"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318A170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19A2A9C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3BE50BDE"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FC36E82"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07737CF9" w14:textId="77777777" w:rsidR="00131F07" w:rsidRPr="00D14184" w:rsidRDefault="00131F07" w:rsidP="00D768A1">
            <w:pPr>
              <w:rPr>
                <w:rFonts w:ascii="Arial" w:hAnsi="Arial" w:cs="Arial"/>
                <w:i/>
                <w:iCs/>
                <w:color w:val="000000"/>
              </w:rPr>
            </w:pPr>
            <w:r w:rsidRPr="00D14184">
              <w:rPr>
                <w:rFonts w:ascii="Arial" w:hAnsi="Arial" w:cs="Arial"/>
                <w:i/>
                <w:iCs/>
                <w:color w:val="000000"/>
              </w:rPr>
              <w:t>Citrobacter</w:t>
            </w:r>
          </w:p>
        </w:tc>
        <w:tc>
          <w:tcPr>
            <w:tcW w:w="2687" w:type="dxa"/>
            <w:tcBorders>
              <w:top w:val="nil"/>
              <w:left w:val="nil"/>
              <w:bottom w:val="single" w:sz="4" w:space="0" w:color="auto"/>
              <w:right w:val="single" w:sz="4" w:space="0" w:color="auto"/>
            </w:tcBorders>
            <w:shd w:val="clear" w:color="auto" w:fill="auto"/>
            <w:vAlign w:val="center"/>
            <w:hideMark/>
          </w:tcPr>
          <w:p w14:paraId="748E06C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07A76547"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3989D465"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5D050A87"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2571D6CE"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1B4A56A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0DEC33B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A05DE6E"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7A5EE65"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33B79260" w14:textId="77777777" w:rsidR="00131F07" w:rsidRPr="00D14184" w:rsidRDefault="00131F07" w:rsidP="00D768A1">
            <w:pPr>
              <w:rPr>
                <w:rFonts w:ascii="Arial" w:hAnsi="Arial" w:cs="Arial"/>
                <w:color w:val="000000"/>
              </w:rPr>
            </w:pPr>
            <w:r w:rsidRPr="00D14184">
              <w:rPr>
                <w:rFonts w:ascii="Arial" w:hAnsi="Arial" w:cs="Arial"/>
                <w:color w:val="000000"/>
              </w:rPr>
              <w:t>MRSA</w:t>
            </w:r>
          </w:p>
        </w:tc>
        <w:tc>
          <w:tcPr>
            <w:tcW w:w="2687" w:type="dxa"/>
            <w:tcBorders>
              <w:top w:val="nil"/>
              <w:left w:val="nil"/>
              <w:bottom w:val="single" w:sz="4" w:space="0" w:color="auto"/>
              <w:right w:val="single" w:sz="4" w:space="0" w:color="auto"/>
            </w:tcBorders>
            <w:shd w:val="clear" w:color="auto" w:fill="auto"/>
            <w:vAlign w:val="center"/>
            <w:hideMark/>
          </w:tcPr>
          <w:p w14:paraId="2477461E"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0EC9AD31"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6D47612"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E33138C"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0881F027"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7BE6B93E"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5D5D7EC0"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r>
      <w:tr w:rsidR="00131F07" w:rsidRPr="00D14184" w14:paraId="1462CF1C"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FC28712"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64C4CB60"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6CBB1C3B"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6136F506"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407750B"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DB0162D"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574F8E3E"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2210CED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79DB1026"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7B4E20A6"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D220EED"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6EA34B19" w14:textId="77777777" w:rsidR="00131F07" w:rsidRPr="00D14184" w:rsidRDefault="00131F07" w:rsidP="00D768A1">
            <w:pPr>
              <w:rPr>
                <w:rFonts w:ascii="Arial" w:hAnsi="Arial" w:cs="Arial"/>
                <w:color w:val="000000"/>
              </w:rPr>
            </w:pPr>
            <w:r w:rsidRPr="00D14184">
              <w:rPr>
                <w:rFonts w:ascii="Arial" w:hAnsi="Arial" w:cs="Arial"/>
                <w:color w:val="000000"/>
              </w:rPr>
              <w:t>MRSA</w:t>
            </w:r>
          </w:p>
        </w:tc>
        <w:tc>
          <w:tcPr>
            <w:tcW w:w="2687" w:type="dxa"/>
            <w:tcBorders>
              <w:top w:val="nil"/>
              <w:left w:val="nil"/>
              <w:bottom w:val="single" w:sz="4" w:space="0" w:color="auto"/>
              <w:right w:val="single" w:sz="4" w:space="0" w:color="auto"/>
            </w:tcBorders>
            <w:shd w:val="clear" w:color="auto" w:fill="auto"/>
            <w:vAlign w:val="center"/>
            <w:hideMark/>
          </w:tcPr>
          <w:p w14:paraId="0984F65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4CEB55F9"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r>
      <w:tr w:rsidR="00131F07" w:rsidRPr="00D14184" w14:paraId="0C696027"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7F476F6B"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728A6A75" w14:textId="77777777" w:rsidR="00131F07" w:rsidRPr="00D14184" w:rsidRDefault="00131F07" w:rsidP="00D768A1">
            <w:pPr>
              <w:rPr>
                <w:rFonts w:ascii="Arial" w:hAnsi="Arial" w:cs="Arial"/>
                <w:i/>
                <w:iCs/>
                <w:color w:val="000000"/>
              </w:rPr>
            </w:pPr>
            <w:r w:rsidRPr="00D14184">
              <w:rPr>
                <w:rFonts w:ascii="Arial" w:hAnsi="Arial" w:cs="Arial"/>
                <w:i/>
                <w:iCs/>
                <w:color w:val="000000"/>
              </w:rPr>
              <w:t>C. albicans</w:t>
            </w:r>
          </w:p>
        </w:tc>
        <w:tc>
          <w:tcPr>
            <w:tcW w:w="2687" w:type="dxa"/>
            <w:tcBorders>
              <w:top w:val="nil"/>
              <w:left w:val="nil"/>
              <w:bottom w:val="single" w:sz="4" w:space="0" w:color="auto"/>
              <w:right w:val="single" w:sz="4" w:space="0" w:color="auto"/>
            </w:tcBorders>
            <w:shd w:val="clear" w:color="auto" w:fill="auto"/>
            <w:vAlign w:val="center"/>
            <w:hideMark/>
          </w:tcPr>
          <w:p w14:paraId="4322FDD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307029BF"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p w14:paraId="59FE50AA"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Pleural fluid</w:t>
            </w:r>
          </w:p>
        </w:tc>
      </w:tr>
      <w:tr w:rsidR="00131F07" w:rsidRPr="00D14184" w14:paraId="48AF7FF4"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19A7C34"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5E9BAE08"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15704C44"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102A7AA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7405614E"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FCC8B16"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35007D7F"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single" w:sz="4" w:space="0" w:color="auto"/>
              <w:right w:val="single" w:sz="4" w:space="0" w:color="auto"/>
            </w:tcBorders>
            <w:shd w:val="clear" w:color="auto" w:fill="auto"/>
            <w:vAlign w:val="center"/>
            <w:hideMark/>
          </w:tcPr>
          <w:p w14:paraId="6EDB34F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6A8B108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77A882EC"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0D72E6E0"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0C0FC478" w14:textId="77777777" w:rsidR="00131F07" w:rsidRPr="00D14184" w:rsidRDefault="00131F07" w:rsidP="00D768A1">
            <w:pPr>
              <w:rPr>
                <w:rFonts w:ascii="Arial" w:hAnsi="Arial" w:cs="Arial"/>
                <w:i/>
                <w:iCs/>
                <w:color w:val="000000"/>
              </w:rPr>
            </w:pPr>
            <w:r w:rsidRPr="00D14184">
              <w:rPr>
                <w:rFonts w:ascii="Arial" w:hAnsi="Arial" w:cs="Arial"/>
                <w:i/>
                <w:iCs/>
                <w:color w:val="000000"/>
              </w:rPr>
              <w:t>Serratia</w:t>
            </w:r>
          </w:p>
        </w:tc>
        <w:tc>
          <w:tcPr>
            <w:tcW w:w="2687" w:type="dxa"/>
            <w:tcBorders>
              <w:top w:val="nil"/>
              <w:left w:val="nil"/>
              <w:bottom w:val="single" w:sz="4" w:space="0" w:color="auto"/>
              <w:right w:val="single" w:sz="4" w:space="0" w:color="auto"/>
            </w:tcBorders>
            <w:shd w:val="clear" w:color="auto" w:fill="auto"/>
            <w:vAlign w:val="center"/>
            <w:hideMark/>
          </w:tcPr>
          <w:p w14:paraId="53F0DFB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5AC2A107"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4F50468B" w14:textId="77777777" w:rsidTr="00D768A1">
        <w:trPr>
          <w:trHeight w:val="315"/>
        </w:trPr>
        <w:tc>
          <w:tcPr>
            <w:tcW w:w="1059" w:type="dxa"/>
            <w:tcBorders>
              <w:top w:val="nil"/>
              <w:left w:val="single" w:sz="4" w:space="0" w:color="auto"/>
              <w:bottom w:val="nil"/>
              <w:right w:val="single" w:sz="4" w:space="0" w:color="auto"/>
            </w:tcBorders>
            <w:shd w:val="clear" w:color="auto" w:fill="auto"/>
            <w:vAlign w:val="center"/>
            <w:hideMark/>
          </w:tcPr>
          <w:p w14:paraId="16B3A1D4" w14:textId="77777777" w:rsidR="00131F07" w:rsidRPr="00D14184" w:rsidRDefault="00131F07" w:rsidP="00D768A1">
            <w:pPr>
              <w:rPr>
                <w:rFonts w:ascii="Arial" w:hAnsi="Arial" w:cs="Arial"/>
                <w:color w:val="000000"/>
              </w:rPr>
            </w:pPr>
            <w:r w:rsidRPr="00D14184">
              <w:rPr>
                <w:rFonts w:ascii="Arial" w:hAnsi="Arial" w:cs="Arial"/>
                <w:color w:val="000000"/>
              </w:rPr>
              <w:lastRenderedPageBreak/>
              <w:t>Lung</w:t>
            </w:r>
          </w:p>
        </w:tc>
        <w:tc>
          <w:tcPr>
            <w:tcW w:w="2076" w:type="dxa"/>
            <w:tcBorders>
              <w:top w:val="nil"/>
              <w:left w:val="nil"/>
              <w:bottom w:val="nil"/>
              <w:right w:val="single" w:sz="4" w:space="0" w:color="auto"/>
            </w:tcBorders>
            <w:shd w:val="clear" w:color="auto" w:fill="auto"/>
            <w:vAlign w:val="center"/>
            <w:hideMark/>
          </w:tcPr>
          <w:p w14:paraId="045412DE" w14:textId="77777777" w:rsidR="00131F07" w:rsidRPr="00D14184" w:rsidRDefault="00131F07" w:rsidP="00D768A1">
            <w:pPr>
              <w:rPr>
                <w:rFonts w:ascii="Arial" w:hAnsi="Arial" w:cs="Arial"/>
                <w:color w:val="000000"/>
              </w:rPr>
            </w:pPr>
            <w:r w:rsidRPr="00D14184">
              <w:rPr>
                <w:rFonts w:ascii="Arial" w:hAnsi="Arial" w:cs="Arial"/>
                <w:color w:val="000000"/>
              </w:rPr>
              <w:t>MSSA</w:t>
            </w:r>
          </w:p>
        </w:tc>
        <w:tc>
          <w:tcPr>
            <w:tcW w:w="2687" w:type="dxa"/>
            <w:tcBorders>
              <w:top w:val="nil"/>
              <w:left w:val="nil"/>
              <w:bottom w:val="nil"/>
              <w:right w:val="single" w:sz="4" w:space="0" w:color="auto"/>
            </w:tcBorders>
            <w:shd w:val="clear" w:color="auto" w:fill="auto"/>
            <w:vAlign w:val="center"/>
            <w:hideMark/>
          </w:tcPr>
          <w:p w14:paraId="286481C0"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nil"/>
              <w:right w:val="single" w:sz="4" w:space="0" w:color="auto"/>
            </w:tcBorders>
            <w:shd w:val="clear" w:color="auto" w:fill="auto"/>
            <w:vAlign w:val="center"/>
            <w:hideMark/>
          </w:tcPr>
          <w:p w14:paraId="32D277F2"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6708596A" w14:textId="77777777" w:rsidTr="00D768A1">
        <w:trPr>
          <w:trHeight w:val="315"/>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F3536"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3D9935FA" w14:textId="77777777" w:rsidR="00131F07" w:rsidRPr="00D14184" w:rsidRDefault="00131F07" w:rsidP="00D768A1">
            <w:pPr>
              <w:rPr>
                <w:rFonts w:ascii="Arial" w:hAnsi="Arial" w:cs="Arial"/>
                <w:i/>
                <w:iCs/>
                <w:color w:val="000000"/>
              </w:rPr>
            </w:pPr>
            <w:r w:rsidRPr="00D14184">
              <w:rPr>
                <w:rFonts w:ascii="Arial" w:hAnsi="Arial" w:cs="Arial"/>
                <w:i/>
                <w:iCs/>
                <w:color w:val="000000"/>
              </w:rPr>
              <w:t>Klebsiella</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39B89E19"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single" w:sz="4" w:space="0" w:color="auto"/>
              <w:left w:val="nil"/>
              <w:bottom w:val="single" w:sz="4" w:space="0" w:color="auto"/>
              <w:right w:val="single" w:sz="4" w:space="0" w:color="auto"/>
            </w:tcBorders>
            <w:shd w:val="clear" w:color="auto" w:fill="auto"/>
            <w:vAlign w:val="center"/>
            <w:hideMark/>
          </w:tcPr>
          <w:p w14:paraId="7A95FC98"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D14184" w14:paraId="23523FE0" w14:textId="77777777" w:rsidTr="00D768A1">
        <w:trPr>
          <w:trHeight w:val="570"/>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465B1DA3"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308CBFCC" w14:textId="77777777" w:rsidR="00131F07" w:rsidRPr="00D14184" w:rsidRDefault="00131F07" w:rsidP="00D768A1">
            <w:pPr>
              <w:rPr>
                <w:rFonts w:ascii="Arial" w:hAnsi="Arial" w:cs="Arial"/>
                <w:i/>
                <w:iCs/>
                <w:color w:val="000000"/>
              </w:rPr>
            </w:pPr>
            <w:r w:rsidRPr="00D14184">
              <w:rPr>
                <w:rFonts w:ascii="Arial" w:hAnsi="Arial" w:cs="Arial"/>
                <w:i/>
                <w:iCs/>
                <w:color w:val="000000"/>
              </w:rPr>
              <w:t>H. influenzae</w:t>
            </w:r>
          </w:p>
        </w:tc>
        <w:tc>
          <w:tcPr>
            <w:tcW w:w="2687" w:type="dxa"/>
            <w:tcBorders>
              <w:top w:val="nil"/>
              <w:left w:val="nil"/>
              <w:bottom w:val="single" w:sz="4" w:space="0" w:color="auto"/>
              <w:right w:val="single" w:sz="4" w:space="0" w:color="auto"/>
            </w:tcBorders>
            <w:shd w:val="clear" w:color="auto" w:fill="auto"/>
            <w:vAlign w:val="center"/>
            <w:hideMark/>
          </w:tcPr>
          <w:p w14:paraId="22A6B6D3"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Sputum</w:t>
            </w:r>
          </w:p>
        </w:tc>
        <w:tc>
          <w:tcPr>
            <w:tcW w:w="3029" w:type="dxa"/>
            <w:tcBorders>
              <w:top w:val="nil"/>
              <w:left w:val="nil"/>
              <w:bottom w:val="single" w:sz="4" w:space="0" w:color="auto"/>
              <w:right w:val="single" w:sz="4" w:space="0" w:color="auto"/>
            </w:tcBorders>
            <w:shd w:val="clear" w:color="auto" w:fill="auto"/>
            <w:vAlign w:val="center"/>
            <w:hideMark/>
          </w:tcPr>
          <w:p w14:paraId="70C07B97"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r w:rsidR="00131F07" w:rsidRPr="00E13057" w14:paraId="2CE57A78" w14:textId="77777777" w:rsidTr="00D768A1">
        <w:trPr>
          <w:trHeight w:val="315"/>
        </w:trPr>
        <w:tc>
          <w:tcPr>
            <w:tcW w:w="1059" w:type="dxa"/>
            <w:tcBorders>
              <w:top w:val="nil"/>
              <w:left w:val="single" w:sz="4" w:space="0" w:color="auto"/>
              <w:bottom w:val="single" w:sz="4" w:space="0" w:color="auto"/>
              <w:right w:val="single" w:sz="4" w:space="0" w:color="auto"/>
            </w:tcBorders>
            <w:shd w:val="clear" w:color="auto" w:fill="auto"/>
            <w:vAlign w:val="center"/>
            <w:hideMark/>
          </w:tcPr>
          <w:p w14:paraId="25693D22" w14:textId="77777777" w:rsidR="00131F07" w:rsidRPr="00D14184" w:rsidRDefault="00131F07" w:rsidP="00D768A1">
            <w:pPr>
              <w:rPr>
                <w:rFonts w:ascii="Arial" w:hAnsi="Arial" w:cs="Arial"/>
                <w:color w:val="000000"/>
              </w:rPr>
            </w:pPr>
            <w:r w:rsidRPr="00D14184">
              <w:rPr>
                <w:rFonts w:ascii="Arial" w:hAnsi="Arial" w:cs="Arial"/>
                <w:color w:val="000000"/>
              </w:rPr>
              <w:t>Lung</w:t>
            </w:r>
          </w:p>
        </w:tc>
        <w:tc>
          <w:tcPr>
            <w:tcW w:w="2076" w:type="dxa"/>
            <w:tcBorders>
              <w:top w:val="nil"/>
              <w:left w:val="nil"/>
              <w:bottom w:val="single" w:sz="4" w:space="0" w:color="auto"/>
              <w:right w:val="single" w:sz="4" w:space="0" w:color="auto"/>
            </w:tcBorders>
            <w:shd w:val="clear" w:color="auto" w:fill="auto"/>
            <w:vAlign w:val="center"/>
            <w:hideMark/>
          </w:tcPr>
          <w:p w14:paraId="515B0323" w14:textId="77777777" w:rsidR="00131F07" w:rsidRPr="00D14184" w:rsidRDefault="00131F07" w:rsidP="00D768A1">
            <w:pPr>
              <w:rPr>
                <w:rFonts w:ascii="Arial" w:hAnsi="Arial" w:cs="Arial"/>
                <w:color w:val="000000"/>
              </w:rPr>
            </w:pPr>
            <w:r w:rsidRPr="00D14184">
              <w:rPr>
                <w:rFonts w:ascii="Arial" w:hAnsi="Arial" w:cs="Arial"/>
                <w:color w:val="000000"/>
              </w:rPr>
              <w:t>MRSA</w:t>
            </w:r>
          </w:p>
        </w:tc>
        <w:tc>
          <w:tcPr>
            <w:tcW w:w="2687" w:type="dxa"/>
            <w:tcBorders>
              <w:top w:val="nil"/>
              <w:left w:val="nil"/>
              <w:bottom w:val="single" w:sz="4" w:space="0" w:color="auto"/>
              <w:right w:val="single" w:sz="4" w:space="0" w:color="auto"/>
            </w:tcBorders>
            <w:shd w:val="clear" w:color="auto" w:fill="auto"/>
            <w:vAlign w:val="center"/>
            <w:hideMark/>
          </w:tcPr>
          <w:p w14:paraId="2B9441FD"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c>
          <w:tcPr>
            <w:tcW w:w="3029" w:type="dxa"/>
            <w:tcBorders>
              <w:top w:val="nil"/>
              <w:left w:val="nil"/>
              <w:bottom w:val="single" w:sz="4" w:space="0" w:color="auto"/>
              <w:right w:val="single" w:sz="4" w:space="0" w:color="auto"/>
            </w:tcBorders>
            <w:shd w:val="clear" w:color="auto" w:fill="auto"/>
            <w:vAlign w:val="center"/>
            <w:hideMark/>
          </w:tcPr>
          <w:p w14:paraId="71B44C71" w14:textId="77777777" w:rsidR="00131F07" w:rsidRPr="00D14184" w:rsidRDefault="00131F07" w:rsidP="00D768A1">
            <w:pPr>
              <w:pStyle w:val="ListParagraph"/>
              <w:numPr>
                <w:ilvl w:val="0"/>
                <w:numId w:val="6"/>
              </w:numPr>
              <w:ind w:left="105" w:hanging="179"/>
              <w:rPr>
                <w:rFonts w:ascii="Arial" w:hAnsi="Arial" w:cs="Arial"/>
                <w:color w:val="000000"/>
              </w:rPr>
            </w:pPr>
            <w:r w:rsidRPr="00D14184">
              <w:rPr>
                <w:rFonts w:ascii="Arial" w:hAnsi="Arial" w:cs="Arial"/>
                <w:color w:val="000000"/>
              </w:rPr>
              <w:t>BAL</w:t>
            </w:r>
          </w:p>
        </w:tc>
      </w:tr>
    </w:tbl>
    <w:p w14:paraId="7A982B53" w14:textId="77777777" w:rsidR="00131F07" w:rsidRPr="00E13057" w:rsidRDefault="00131F07" w:rsidP="00131F07">
      <w:pPr>
        <w:spacing w:line="480" w:lineRule="auto"/>
        <w:rPr>
          <w:rFonts w:ascii="Arial" w:hAnsi="Arial" w:cs="Arial"/>
        </w:rPr>
      </w:pPr>
    </w:p>
    <w:p w14:paraId="0BF517D7" w14:textId="77777777" w:rsidR="00835B0D" w:rsidRDefault="00835B0D"/>
    <w:sectPr w:rsidR="00835B0D" w:rsidSect="00386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5C"/>
    <w:multiLevelType w:val="hybridMultilevel"/>
    <w:tmpl w:val="2DC40E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A7A2F"/>
    <w:multiLevelType w:val="hybridMultilevel"/>
    <w:tmpl w:val="ECC61E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1F43A4"/>
    <w:multiLevelType w:val="hybridMultilevel"/>
    <w:tmpl w:val="09E64008"/>
    <w:lvl w:ilvl="0" w:tplc="0054FDE0">
      <w:start w:val="1"/>
      <w:numFmt w:val="upperLetter"/>
      <w:lvlText w:val="%1."/>
      <w:lvlJc w:val="left"/>
      <w:pPr>
        <w:ind w:left="360" w:hanging="360"/>
      </w:pPr>
      <w:rPr>
        <w:rFonts w:hint="default"/>
        <w:b/>
      </w:rPr>
    </w:lvl>
    <w:lvl w:ilvl="1" w:tplc="CC127338">
      <w:start w:val="1"/>
      <w:numFmt w:val="decimal"/>
      <w:lvlText w:val="%2."/>
      <w:lvlJc w:val="left"/>
      <w:pPr>
        <w:ind w:left="1080" w:hanging="360"/>
      </w:pPr>
      <w:rPr>
        <w:rFonts w:ascii="Arial" w:eastAsia="Times New Roman"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5AF7"/>
    <w:multiLevelType w:val="hybridMultilevel"/>
    <w:tmpl w:val="2DC40E1C"/>
    <w:lvl w:ilvl="0" w:tplc="7FE62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B7593"/>
    <w:multiLevelType w:val="hybridMultilevel"/>
    <w:tmpl w:val="2DC40E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D337240"/>
    <w:multiLevelType w:val="hybridMultilevel"/>
    <w:tmpl w:val="7E367592"/>
    <w:lvl w:ilvl="0" w:tplc="9BA0DD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996161">
    <w:abstractNumId w:val="3"/>
  </w:num>
  <w:num w:numId="2" w16cid:durableId="764881084">
    <w:abstractNumId w:val="4"/>
  </w:num>
  <w:num w:numId="3" w16cid:durableId="2088721516">
    <w:abstractNumId w:val="2"/>
  </w:num>
  <w:num w:numId="4" w16cid:durableId="1489133685">
    <w:abstractNumId w:val="1"/>
  </w:num>
  <w:num w:numId="5" w16cid:durableId="737171898">
    <w:abstractNumId w:val="0"/>
  </w:num>
  <w:num w:numId="6" w16cid:durableId="2109042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07"/>
    <w:rsid w:val="000A5600"/>
    <w:rsid w:val="00131F07"/>
    <w:rsid w:val="001A41FD"/>
    <w:rsid w:val="001A50E5"/>
    <w:rsid w:val="001B4E8E"/>
    <w:rsid w:val="001C26CC"/>
    <w:rsid w:val="001D378D"/>
    <w:rsid w:val="001E13C7"/>
    <w:rsid w:val="00206EFE"/>
    <w:rsid w:val="00213653"/>
    <w:rsid w:val="0024766F"/>
    <w:rsid w:val="0028024C"/>
    <w:rsid w:val="002D2946"/>
    <w:rsid w:val="003263F6"/>
    <w:rsid w:val="003365C3"/>
    <w:rsid w:val="003462E2"/>
    <w:rsid w:val="0034701C"/>
    <w:rsid w:val="00347BF2"/>
    <w:rsid w:val="0035518A"/>
    <w:rsid w:val="0037118D"/>
    <w:rsid w:val="0037338A"/>
    <w:rsid w:val="00381190"/>
    <w:rsid w:val="00386713"/>
    <w:rsid w:val="003B0CA9"/>
    <w:rsid w:val="003D2E12"/>
    <w:rsid w:val="003F50A4"/>
    <w:rsid w:val="004064EA"/>
    <w:rsid w:val="004210F4"/>
    <w:rsid w:val="00453ABC"/>
    <w:rsid w:val="004B0100"/>
    <w:rsid w:val="004C7BFA"/>
    <w:rsid w:val="004D58F1"/>
    <w:rsid w:val="00526B43"/>
    <w:rsid w:val="00543699"/>
    <w:rsid w:val="005443B0"/>
    <w:rsid w:val="00561E49"/>
    <w:rsid w:val="005725D0"/>
    <w:rsid w:val="0057639F"/>
    <w:rsid w:val="0058125C"/>
    <w:rsid w:val="005A1A26"/>
    <w:rsid w:val="005A62E0"/>
    <w:rsid w:val="005F715B"/>
    <w:rsid w:val="00631AEB"/>
    <w:rsid w:val="00666051"/>
    <w:rsid w:val="0067715A"/>
    <w:rsid w:val="00696F7F"/>
    <w:rsid w:val="006D49A9"/>
    <w:rsid w:val="00715CD1"/>
    <w:rsid w:val="00724A94"/>
    <w:rsid w:val="00760334"/>
    <w:rsid w:val="0079614A"/>
    <w:rsid w:val="007B66A0"/>
    <w:rsid w:val="007D5AD7"/>
    <w:rsid w:val="00816260"/>
    <w:rsid w:val="00835B0D"/>
    <w:rsid w:val="00856F12"/>
    <w:rsid w:val="0085729F"/>
    <w:rsid w:val="00857598"/>
    <w:rsid w:val="008671C4"/>
    <w:rsid w:val="00881DF8"/>
    <w:rsid w:val="008B2EA9"/>
    <w:rsid w:val="008B4A56"/>
    <w:rsid w:val="008F2D58"/>
    <w:rsid w:val="009007BB"/>
    <w:rsid w:val="00936D8A"/>
    <w:rsid w:val="00952308"/>
    <w:rsid w:val="00957169"/>
    <w:rsid w:val="00960826"/>
    <w:rsid w:val="00993162"/>
    <w:rsid w:val="009975F9"/>
    <w:rsid w:val="009978BA"/>
    <w:rsid w:val="009B008A"/>
    <w:rsid w:val="009C6155"/>
    <w:rsid w:val="00A00193"/>
    <w:rsid w:val="00A0235F"/>
    <w:rsid w:val="00A16F3A"/>
    <w:rsid w:val="00A45123"/>
    <w:rsid w:val="00A737A9"/>
    <w:rsid w:val="00B0604E"/>
    <w:rsid w:val="00B2735A"/>
    <w:rsid w:val="00B417BC"/>
    <w:rsid w:val="00B759B3"/>
    <w:rsid w:val="00BE27B5"/>
    <w:rsid w:val="00BE55D0"/>
    <w:rsid w:val="00C26154"/>
    <w:rsid w:val="00C46D7C"/>
    <w:rsid w:val="00C622FE"/>
    <w:rsid w:val="00C6569B"/>
    <w:rsid w:val="00C6624A"/>
    <w:rsid w:val="00C92036"/>
    <w:rsid w:val="00CB266F"/>
    <w:rsid w:val="00D13147"/>
    <w:rsid w:val="00D46D8E"/>
    <w:rsid w:val="00D65CCB"/>
    <w:rsid w:val="00D97F5E"/>
    <w:rsid w:val="00DC0260"/>
    <w:rsid w:val="00DC35F5"/>
    <w:rsid w:val="00DD0C37"/>
    <w:rsid w:val="00E02AA2"/>
    <w:rsid w:val="00E03203"/>
    <w:rsid w:val="00E039B1"/>
    <w:rsid w:val="00E04E15"/>
    <w:rsid w:val="00E425B6"/>
    <w:rsid w:val="00E9374A"/>
    <w:rsid w:val="00EE5AAD"/>
    <w:rsid w:val="00EF4B2C"/>
    <w:rsid w:val="00F0575B"/>
    <w:rsid w:val="00F17C01"/>
    <w:rsid w:val="00F472B3"/>
    <w:rsid w:val="00F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3270"/>
  <w15:chartTrackingRefBased/>
  <w15:docId w15:val="{80BFF1FD-DF6F-5749-87FE-D0F347E4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F07"/>
    <w:pPr>
      <w:ind w:left="720"/>
      <w:contextualSpacing/>
    </w:pPr>
  </w:style>
  <w:style w:type="table" w:styleId="TableGrid">
    <w:name w:val="Table Grid"/>
    <w:basedOn w:val="TableNormal"/>
    <w:uiPriority w:val="39"/>
    <w:rsid w:val="0013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E9CFA5D18C4247B2D933D9AB08F458"/>
        <w:category>
          <w:name w:val="General"/>
          <w:gallery w:val="placeholder"/>
        </w:category>
        <w:types>
          <w:type w:val="bbPlcHdr"/>
        </w:types>
        <w:behaviors>
          <w:behavior w:val="content"/>
        </w:behaviors>
        <w:guid w:val="{44D7D954-AB6B-DE40-873C-9665106D3B19}"/>
      </w:docPartPr>
      <w:docPartBody>
        <w:p w:rsidR="00000000" w:rsidRDefault="00DF1958" w:rsidP="00DF1958">
          <w:pPr>
            <w:pStyle w:val="F5E9CFA5D18C4247B2D933D9AB08F458"/>
          </w:pPr>
          <w:r w:rsidRPr="00A800CE">
            <w:rPr>
              <w:rStyle w:val="PlaceholderText"/>
            </w:rPr>
            <w:t>Formatting...</w:t>
          </w:r>
        </w:p>
      </w:docPartBody>
    </w:docPart>
    <w:docPart>
      <w:docPartPr>
        <w:name w:val="FCAC50F0CC01904C8C5C72C89A006A0C"/>
        <w:category>
          <w:name w:val="General"/>
          <w:gallery w:val="placeholder"/>
        </w:category>
        <w:types>
          <w:type w:val="bbPlcHdr"/>
        </w:types>
        <w:behaviors>
          <w:behavior w:val="content"/>
        </w:behaviors>
        <w:guid w:val="{35B65A82-A798-8A42-BC6C-7F25B0273804}"/>
      </w:docPartPr>
      <w:docPartBody>
        <w:p w:rsidR="00000000" w:rsidRDefault="00DF1958" w:rsidP="00DF1958">
          <w:pPr>
            <w:pStyle w:val="FCAC50F0CC01904C8C5C72C89A006A0C"/>
          </w:pPr>
          <w:r w:rsidRPr="00A800CE">
            <w:rPr>
              <w:rStyle w:val="PlaceholderText"/>
            </w:rPr>
            <w:t>Formatting...</w:t>
          </w:r>
        </w:p>
      </w:docPartBody>
    </w:docPart>
    <w:docPart>
      <w:docPartPr>
        <w:name w:val="CD488D488E2DFE4DACCC39C9D9DC808D"/>
        <w:category>
          <w:name w:val="General"/>
          <w:gallery w:val="placeholder"/>
        </w:category>
        <w:types>
          <w:type w:val="bbPlcHdr"/>
        </w:types>
        <w:behaviors>
          <w:behavior w:val="content"/>
        </w:behaviors>
        <w:guid w:val="{A3348F1D-F16A-AC43-A895-B7A02A4403DC}"/>
      </w:docPartPr>
      <w:docPartBody>
        <w:p w:rsidR="00000000" w:rsidRDefault="00DF1958" w:rsidP="00DF1958">
          <w:pPr>
            <w:pStyle w:val="CD488D488E2DFE4DACCC39C9D9DC808D"/>
          </w:pPr>
          <w:r w:rsidRPr="00A800CE">
            <w:rPr>
              <w:rStyle w:val="PlaceholderText"/>
            </w:rPr>
            <w:t>Formatting...</w:t>
          </w:r>
        </w:p>
      </w:docPartBody>
    </w:docPart>
    <w:docPart>
      <w:docPartPr>
        <w:name w:val="207DD51945B23648A870FB362E80DB46"/>
        <w:category>
          <w:name w:val="General"/>
          <w:gallery w:val="placeholder"/>
        </w:category>
        <w:types>
          <w:type w:val="bbPlcHdr"/>
        </w:types>
        <w:behaviors>
          <w:behavior w:val="content"/>
        </w:behaviors>
        <w:guid w:val="{B4DA14D1-1B57-224F-A30A-13809B34E543}"/>
      </w:docPartPr>
      <w:docPartBody>
        <w:p w:rsidR="00000000" w:rsidRDefault="00DF1958" w:rsidP="00DF1958">
          <w:pPr>
            <w:pStyle w:val="207DD51945B23648A870FB362E80DB46"/>
          </w:pPr>
          <w:r w:rsidRPr="00A800CE">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58"/>
    <w:rsid w:val="00722F1B"/>
    <w:rsid w:val="00DF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958"/>
    <w:rPr>
      <w:color w:val="808080"/>
    </w:rPr>
  </w:style>
  <w:style w:type="paragraph" w:customStyle="1" w:styleId="F5E9CFA5D18C4247B2D933D9AB08F458">
    <w:name w:val="F5E9CFA5D18C4247B2D933D9AB08F458"/>
    <w:rsid w:val="00DF1958"/>
  </w:style>
  <w:style w:type="paragraph" w:customStyle="1" w:styleId="FCAC50F0CC01904C8C5C72C89A006A0C">
    <w:name w:val="FCAC50F0CC01904C8C5C72C89A006A0C"/>
    <w:rsid w:val="00DF1958"/>
  </w:style>
  <w:style w:type="paragraph" w:customStyle="1" w:styleId="CD488D488E2DFE4DACCC39C9D9DC808D">
    <w:name w:val="CD488D488E2DFE4DACCC39C9D9DC808D"/>
    <w:rsid w:val="00DF1958"/>
  </w:style>
  <w:style w:type="paragraph" w:customStyle="1" w:styleId="207DD51945B23648A870FB362E80DB46">
    <w:name w:val="207DD51945B23648A870FB362E80DB46"/>
    <w:rsid w:val="00DF1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Moore</dc:creator>
  <cp:keywords/>
  <dc:description/>
  <cp:lastModifiedBy>Krista Moore</cp:lastModifiedBy>
  <cp:revision>1</cp:revision>
  <dcterms:created xsi:type="dcterms:W3CDTF">2024-02-18T16:40:00Z</dcterms:created>
  <dcterms:modified xsi:type="dcterms:W3CDTF">2024-02-18T16:50:00Z</dcterms:modified>
</cp:coreProperties>
</file>