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BB" w:rsidRPr="000B25B1" w:rsidRDefault="000C4DBB" w:rsidP="000C4DBB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>Supplemental Material</w:t>
      </w:r>
    </w:p>
    <w:p w:rsidR="000C4DBB" w:rsidRPr="000B25B1" w:rsidRDefault="000C4DBB" w:rsidP="000C4DBB">
      <w:pPr>
        <w:spacing w:after="0" w:line="480" w:lineRule="auto"/>
        <w:rPr>
          <w:rFonts w:cstheme="minorHAnsi"/>
          <w:b/>
          <w:sz w:val="24"/>
          <w:szCs w:val="24"/>
        </w:rPr>
      </w:pPr>
      <w:r w:rsidRPr="000B25B1">
        <w:rPr>
          <w:rFonts w:cstheme="minorHAnsi"/>
          <w:b/>
          <w:sz w:val="24"/>
          <w:szCs w:val="24"/>
        </w:rPr>
        <w:t xml:space="preserve">Deterministic Bias Analyses to Investigate Potential Impacts of Differential Participation </w:t>
      </w:r>
      <w:r w:rsidRPr="000B25B1">
        <w:rPr>
          <w:rFonts w:cstheme="minorHAnsi"/>
          <w:b/>
          <w:bCs/>
          <w:sz w:val="24"/>
          <w:szCs w:val="24"/>
        </w:rPr>
        <w:t>on Certain Associations in</w:t>
      </w:r>
      <w:r w:rsidRPr="000B25B1">
        <w:rPr>
          <w:rFonts w:cstheme="minorHAnsi"/>
          <w:b/>
          <w:sz w:val="24"/>
          <w:szCs w:val="24"/>
        </w:rPr>
        <w:t xml:space="preserve"> a United States Population-Based Case-Control Study of Birth Defect Risk Factors </w:t>
      </w:r>
    </w:p>
    <w:p w:rsidR="000C4DBB" w:rsidRPr="000B25B1" w:rsidRDefault="000C4DBB" w:rsidP="000C4DBB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b/>
          <w:bCs/>
          <w:sz w:val="24"/>
          <w:szCs w:val="24"/>
        </w:rPr>
        <w:t>Corresponding Author</w:t>
      </w:r>
      <w:r w:rsidRPr="000B25B1">
        <w:rPr>
          <w:rFonts w:cstheme="minorHAnsi"/>
          <w:sz w:val="24"/>
          <w:szCs w:val="24"/>
        </w:rPr>
        <w:t xml:space="preserve">: Julie M. Petersen, Boston University School of Public Health, Department of Epidemiology, 715 Albany Street, Talbot Building, T3E, Boston, MA, 02118, </w:t>
      </w:r>
      <w:hyperlink r:id="rId4" w:history="1">
        <w:r w:rsidRPr="000B25B1">
          <w:rPr>
            <w:rStyle w:val="Hyperlink"/>
            <w:rFonts w:cstheme="minorHAnsi"/>
            <w:sz w:val="24"/>
            <w:szCs w:val="24"/>
          </w:rPr>
          <w:t>juliemo@bu.edu</w:t>
        </w:r>
      </w:hyperlink>
      <w:r w:rsidRPr="000B25B1">
        <w:rPr>
          <w:rFonts w:cstheme="minorHAnsi"/>
          <w:sz w:val="24"/>
          <w:szCs w:val="24"/>
        </w:rPr>
        <w:t xml:space="preserve"> </w:t>
      </w:r>
    </w:p>
    <w:p w:rsidR="000C4DBB" w:rsidRPr="000B25B1" w:rsidRDefault="000C4DBB">
      <w:pPr>
        <w:rPr>
          <w:rFonts w:cstheme="minorHAnsi"/>
          <w:sz w:val="24"/>
          <w:szCs w:val="24"/>
        </w:rPr>
      </w:pPr>
    </w:p>
    <w:p w:rsidR="000C4DBB" w:rsidRPr="000B25B1" w:rsidRDefault="000C4DBB">
      <w:pPr>
        <w:rPr>
          <w:rFonts w:cstheme="minorHAnsi"/>
          <w:sz w:val="24"/>
          <w:szCs w:val="24"/>
        </w:rPr>
        <w:sectPr w:rsidR="000C4DBB" w:rsidRPr="000B25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C4DBB" w:rsidRPr="000B25B1" w:rsidRDefault="00251E03" w:rsidP="00DC7B77">
      <w:pPr>
        <w:spacing w:after="0" w:line="480" w:lineRule="auto"/>
        <w:rPr>
          <w:rFonts w:cstheme="minorHAnsi"/>
          <w:b/>
          <w:sz w:val="24"/>
          <w:szCs w:val="24"/>
        </w:rPr>
      </w:pPr>
      <w:r w:rsidRPr="000B25B1">
        <w:rPr>
          <w:rFonts w:cstheme="minorHAnsi"/>
          <w:b/>
          <w:sz w:val="24"/>
          <w:szCs w:val="24"/>
        </w:rPr>
        <w:lastRenderedPageBreak/>
        <w:t>S</w:t>
      </w:r>
      <w:r w:rsidR="000C4DBB" w:rsidRPr="000B25B1">
        <w:rPr>
          <w:rFonts w:cstheme="minorHAnsi"/>
          <w:b/>
          <w:sz w:val="24"/>
          <w:szCs w:val="24"/>
        </w:rPr>
        <w:t xml:space="preserve">election bias analysis calculations </w:t>
      </w:r>
    </w:p>
    <w:p w:rsidR="00677758" w:rsidRPr="000B25B1" w:rsidRDefault="000C4DBB" w:rsidP="00DC7B77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 xml:space="preserve">The selection OR was defined as observed OR divided by the </w:t>
      </w:r>
      <w:r w:rsidR="00C77468" w:rsidRPr="000B25B1">
        <w:rPr>
          <w:rFonts w:cstheme="minorHAnsi"/>
          <w:sz w:val="24"/>
          <w:szCs w:val="24"/>
        </w:rPr>
        <w:t>hypothesized</w:t>
      </w:r>
      <w:r w:rsidRPr="000B25B1">
        <w:rPr>
          <w:rFonts w:cstheme="minorHAnsi"/>
          <w:sz w:val="24"/>
          <w:szCs w:val="24"/>
        </w:rPr>
        <w:t xml:space="preserve"> true OR. Then, we calculated the selection fractions</w:t>
      </w:r>
      <w:r w:rsidR="009154AB" w:rsidRPr="000B25B1">
        <w:rPr>
          <w:rFonts w:cstheme="minorHAnsi"/>
          <w:sz w:val="24"/>
          <w:szCs w:val="24"/>
        </w:rPr>
        <w:t xml:space="preserve"> among the controls, i.e.,</w:t>
      </w:r>
      <w:r w:rsidRPr="000B25B1">
        <w:rPr>
          <w:rFonts w:cstheme="minorHAnsi"/>
          <w:sz w:val="24"/>
          <w:szCs w:val="24"/>
        </w:rPr>
        <w:t xml:space="preserve"> </w:t>
      </w:r>
      <w:r w:rsidR="009154AB" w:rsidRPr="000B25B1">
        <w:rPr>
          <w:rFonts w:cstheme="minorHAnsi"/>
          <w:sz w:val="24"/>
          <w:szCs w:val="24"/>
        </w:rPr>
        <w:t xml:space="preserve">the proportion of exposed controls </w:t>
      </w:r>
      <w:r w:rsidR="002A34A6" w:rsidRPr="000B25B1">
        <w:rPr>
          <w:rFonts w:cstheme="minorHAnsi"/>
          <w:sz w:val="24"/>
          <w:szCs w:val="24"/>
        </w:rPr>
        <w:t>who</w:t>
      </w:r>
      <w:r w:rsidR="009154AB" w:rsidRPr="000B25B1">
        <w:rPr>
          <w:rFonts w:cstheme="minorHAnsi"/>
          <w:sz w:val="24"/>
          <w:szCs w:val="24"/>
        </w:rPr>
        <w:t xml:space="preserve"> participated (</w:t>
      </w:r>
      <w:r w:rsidR="009154AB" w:rsidRPr="000B25B1">
        <w:rPr>
          <w:rFonts w:eastAsia="Times New Roman" w:cstheme="minorHAnsi"/>
          <w:color w:val="000000"/>
          <w:sz w:val="24"/>
          <w:szCs w:val="24"/>
        </w:rPr>
        <w:t xml:space="preserve">γ) and the proportion of unexposed controls </w:t>
      </w:r>
      <w:r w:rsidR="002A34A6" w:rsidRPr="000B25B1">
        <w:rPr>
          <w:rFonts w:eastAsia="Times New Roman" w:cstheme="minorHAnsi"/>
          <w:color w:val="000000"/>
          <w:sz w:val="24"/>
          <w:szCs w:val="24"/>
        </w:rPr>
        <w:t>who</w:t>
      </w:r>
      <w:r w:rsidR="009154AB" w:rsidRPr="000B25B1">
        <w:rPr>
          <w:rFonts w:eastAsia="Times New Roman" w:cstheme="minorHAnsi"/>
          <w:color w:val="000000"/>
          <w:sz w:val="24"/>
          <w:szCs w:val="24"/>
        </w:rPr>
        <w:t xml:space="preserve"> participated (δ).</w:t>
      </w:r>
      <w:r w:rsidR="009154AB" w:rsidRPr="000B25B1">
        <w:rPr>
          <w:rFonts w:cstheme="minorHAnsi"/>
          <w:sz w:val="24"/>
          <w:szCs w:val="24"/>
        </w:rPr>
        <w:t xml:space="preserve"> Specifically, f</w:t>
      </w:r>
      <w:r w:rsidRPr="000B25B1">
        <w:rPr>
          <w:rFonts w:cstheme="minorHAnsi"/>
          <w:sz w:val="24"/>
          <w:szCs w:val="24"/>
        </w:rPr>
        <w:t xml:space="preserve">or a given exposure group (exposed or unexposed), </w:t>
      </w:r>
      <w:bookmarkStart w:id="0" w:name="OLE_LINK1"/>
      <w:bookmarkStart w:id="1" w:name="OLE_LINK2"/>
      <w:r w:rsidRPr="000B25B1">
        <w:rPr>
          <w:rFonts w:cstheme="minorHAnsi"/>
          <w:sz w:val="24"/>
          <w:szCs w:val="24"/>
        </w:rPr>
        <w:t xml:space="preserve">the selection fraction was calculated by dividing the total number of participating controls by the proportion of </w:t>
      </w:r>
      <w:r w:rsidR="00363342" w:rsidRPr="000B25B1">
        <w:rPr>
          <w:rFonts w:cstheme="minorHAnsi"/>
          <w:sz w:val="24"/>
          <w:szCs w:val="24"/>
        </w:rPr>
        <w:t xml:space="preserve">all </w:t>
      </w:r>
      <w:r w:rsidR="002A34A6" w:rsidRPr="000B25B1">
        <w:rPr>
          <w:rFonts w:cstheme="minorHAnsi"/>
          <w:sz w:val="24"/>
          <w:szCs w:val="24"/>
        </w:rPr>
        <w:t xml:space="preserve">eligible </w:t>
      </w:r>
      <w:r w:rsidRPr="000B25B1">
        <w:rPr>
          <w:rFonts w:cstheme="minorHAnsi"/>
          <w:sz w:val="24"/>
          <w:szCs w:val="24"/>
        </w:rPr>
        <w:t xml:space="preserve">controls </w:t>
      </w:r>
      <w:r w:rsidR="00363342" w:rsidRPr="000B25B1">
        <w:rPr>
          <w:rFonts w:cstheme="minorHAnsi"/>
          <w:sz w:val="24"/>
          <w:szCs w:val="24"/>
        </w:rPr>
        <w:t>who</w:t>
      </w:r>
      <w:r w:rsidRPr="000B25B1">
        <w:rPr>
          <w:rFonts w:cstheme="minorHAnsi"/>
          <w:sz w:val="24"/>
          <w:szCs w:val="24"/>
        </w:rPr>
        <w:t xml:space="preserve"> participated, then multiplying that quotient by the estimated proportion of all </w:t>
      </w:r>
      <w:r w:rsidR="002A34A6" w:rsidRPr="000B25B1">
        <w:rPr>
          <w:rFonts w:cstheme="minorHAnsi"/>
          <w:sz w:val="24"/>
          <w:szCs w:val="24"/>
        </w:rPr>
        <w:t xml:space="preserve">eligible </w:t>
      </w:r>
      <w:r w:rsidRPr="000B25B1">
        <w:rPr>
          <w:rFonts w:cstheme="minorHAnsi"/>
          <w:sz w:val="24"/>
          <w:szCs w:val="24"/>
        </w:rPr>
        <w:t xml:space="preserve">controls in that exposure group, and lastly </w:t>
      </w:r>
      <w:bookmarkEnd w:id="0"/>
      <w:bookmarkEnd w:id="1"/>
      <w:r w:rsidRPr="000B25B1">
        <w:rPr>
          <w:rFonts w:cstheme="minorHAnsi"/>
          <w:sz w:val="24"/>
          <w:szCs w:val="24"/>
        </w:rPr>
        <w:t xml:space="preserve">dividing the number of participating controls in that exposure group by that product. We divided </w:t>
      </w:r>
      <w:r w:rsidR="00D0612F" w:rsidRPr="000B25B1">
        <w:rPr>
          <w:rFonts w:eastAsia="Times New Roman" w:cstheme="minorHAnsi"/>
          <w:color w:val="000000"/>
          <w:sz w:val="24"/>
          <w:szCs w:val="24"/>
        </w:rPr>
        <w:t>γ</w:t>
      </w:r>
      <w:r w:rsidRPr="000B25B1">
        <w:rPr>
          <w:rFonts w:cstheme="minorHAnsi"/>
          <w:sz w:val="24"/>
          <w:szCs w:val="24"/>
        </w:rPr>
        <w:t xml:space="preserve"> by </w:t>
      </w:r>
      <w:r w:rsidR="00D0612F" w:rsidRPr="000B25B1">
        <w:rPr>
          <w:rFonts w:eastAsia="Times New Roman" w:cstheme="minorHAnsi"/>
          <w:color w:val="000000"/>
          <w:sz w:val="24"/>
          <w:szCs w:val="24"/>
        </w:rPr>
        <w:t>δ</w:t>
      </w:r>
      <w:r w:rsidR="00D0612F" w:rsidRPr="000B25B1">
        <w:rPr>
          <w:rFonts w:cstheme="minorHAnsi"/>
          <w:sz w:val="24"/>
          <w:szCs w:val="24"/>
        </w:rPr>
        <w:t xml:space="preserve"> </w:t>
      </w:r>
      <w:r w:rsidRPr="000B25B1">
        <w:rPr>
          <w:rFonts w:cstheme="minorHAnsi"/>
          <w:sz w:val="24"/>
          <w:szCs w:val="24"/>
        </w:rPr>
        <w:t>to compute the selection fraction ratio among the controls. The cases’ selection fraction ratio was calculated as the selection OR multiplied by the controls’ selection fraction ratio. We then used a system of two equations solving for the selection fraction among the exposed cases</w:t>
      </w:r>
      <w:r w:rsidR="00D0612F" w:rsidRPr="000B25B1">
        <w:rPr>
          <w:rFonts w:cstheme="minorHAnsi"/>
          <w:sz w:val="24"/>
          <w:szCs w:val="24"/>
        </w:rPr>
        <w:t xml:space="preserve"> (</w:t>
      </w:r>
      <w:r w:rsidR="00D0612F" w:rsidRPr="000B25B1">
        <w:rPr>
          <w:rFonts w:eastAsia="Times New Roman" w:cstheme="minorHAnsi"/>
          <w:color w:val="000000"/>
          <w:sz w:val="24"/>
          <w:szCs w:val="24"/>
        </w:rPr>
        <w:t>α</w:t>
      </w:r>
      <w:r w:rsidRPr="000B25B1">
        <w:rPr>
          <w:rFonts w:cstheme="minorHAnsi"/>
          <w:sz w:val="24"/>
          <w:szCs w:val="24"/>
        </w:rPr>
        <w:t>) and the selection fraction among the unexposed cases</w:t>
      </w:r>
      <w:r w:rsidR="00D0612F" w:rsidRPr="000B25B1">
        <w:rPr>
          <w:rFonts w:cstheme="minorHAnsi"/>
          <w:sz w:val="24"/>
          <w:szCs w:val="24"/>
        </w:rPr>
        <w:t xml:space="preserve"> (</w:t>
      </w:r>
      <w:r w:rsidR="00D0612F" w:rsidRPr="000B25B1">
        <w:rPr>
          <w:rFonts w:eastAsia="Times New Roman" w:cstheme="minorHAnsi"/>
          <w:color w:val="000000"/>
          <w:sz w:val="24"/>
          <w:szCs w:val="24"/>
        </w:rPr>
        <w:t>β</w:t>
      </w:r>
      <w:r w:rsidRPr="000B25B1">
        <w:rPr>
          <w:rFonts w:cstheme="minorHAnsi"/>
          <w:sz w:val="24"/>
          <w:szCs w:val="24"/>
        </w:rPr>
        <w:t xml:space="preserve">). We set 1) the cases’ selection fraction ratio being equal to </w:t>
      </w:r>
      <w:r w:rsidR="00D0612F" w:rsidRPr="000B25B1">
        <w:rPr>
          <w:rFonts w:eastAsia="Times New Roman" w:cstheme="minorHAnsi"/>
          <w:color w:val="000000"/>
          <w:sz w:val="24"/>
          <w:szCs w:val="24"/>
        </w:rPr>
        <w:t>α</w:t>
      </w:r>
      <w:r w:rsidRPr="000B25B1">
        <w:rPr>
          <w:rFonts w:cstheme="minorHAnsi"/>
          <w:sz w:val="24"/>
          <w:szCs w:val="24"/>
        </w:rPr>
        <w:t xml:space="preserve"> divided by </w:t>
      </w:r>
      <w:r w:rsidR="00D0612F" w:rsidRPr="000B25B1">
        <w:rPr>
          <w:rFonts w:eastAsia="Times New Roman" w:cstheme="minorHAnsi"/>
          <w:color w:val="000000"/>
          <w:sz w:val="24"/>
          <w:szCs w:val="24"/>
        </w:rPr>
        <w:t>β</w:t>
      </w:r>
      <w:r w:rsidRPr="000B25B1">
        <w:rPr>
          <w:rFonts w:cstheme="minorHAnsi"/>
          <w:sz w:val="24"/>
          <w:szCs w:val="24"/>
        </w:rPr>
        <w:t xml:space="preserve"> and 2) the number of participating cases divided by the proportion of all </w:t>
      </w:r>
      <w:r w:rsidR="002A34A6" w:rsidRPr="000B25B1">
        <w:rPr>
          <w:rFonts w:cstheme="minorHAnsi"/>
          <w:sz w:val="24"/>
          <w:szCs w:val="24"/>
        </w:rPr>
        <w:t xml:space="preserve">eligible </w:t>
      </w:r>
      <w:r w:rsidRPr="000B25B1">
        <w:rPr>
          <w:rFonts w:cstheme="minorHAnsi"/>
          <w:sz w:val="24"/>
          <w:szCs w:val="24"/>
        </w:rPr>
        <w:t xml:space="preserve">cases </w:t>
      </w:r>
      <w:r w:rsidR="002A34A6" w:rsidRPr="000B25B1">
        <w:rPr>
          <w:rFonts w:cstheme="minorHAnsi"/>
          <w:sz w:val="24"/>
          <w:szCs w:val="24"/>
        </w:rPr>
        <w:t>who</w:t>
      </w:r>
      <w:r w:rsidRPr="000B25B1">
        <w:rPr>
          <w:rFonts w:cstheme="minorHAnsi"/>
          <w:sz w:val="24"/>
          <w:szCs w:val="24"/>
        </w:rPr>
        <w:t xml:space="preserve"> participated being equal to the number of exposed participating cases divided by </w:t>
      </w:r>
      <w:r w:rsidR="00616123" w:rsidRPr="000B25B1">
        <w:rPr>
          <w:rFonts w:eastAsia="Times New Roman" w:cstheme="minorHAnsi"/>
          <w:color w:val="000000"/>
          <w:sz w:val="24"/>
          <w:szCs w:val="24"/>
        </w:rPr>
        <w:t>α</w:t>
      </w:r>
      <w:r w:rsidRPr="000B25B1">
        <w:rPr>
          <w:rFonts w:cstheme="minorHAnsi"/>
          <w:sz w:val="24"/>
          <w:szCs w:val="24"/>
        </w:rPr>
        <w:t xml:space="preserve"> and the number of unexposed participating cases divided by </w:t>
      </w:r>
      <w:r w:rsidR="00616123" w:rsidRPr="000B25B1">
        <w:rPr>
          <w:rFonts w:eastAsia="Times New Roman" w:cstheme="minorHAnsi"/>
          <w:color w:val="000000"/>
          <w:sz w:val="24"/>
          <w:szCs w:val="24"/>
        </w:rPr>
        <w:t>β</w:t>
      </w:r>
      <w:r w:rsidRPr="000B25B1">
        <w:rPr>
          <w:rFonts w:cstheme="minorHAnsi"/>
          <w:sz w:val="24"/>
          <w:szCs w:val="24"/>
        </w:rPr>
        <w:t>.</w:t>
      </w:r>
    </w:p>
    <w:p w:rsidR="00251E03" w:rsidRPr="000B25B1" w:rsidRDefault="00251E03" w:rsidP="00DC7B77">
      <w:pPr>
        <w:spacing w:after="0" w:line="480" w:lineRule="auto"/>
        <w:rPr>
          <w:rFonts w:cstheme="minorHAnsi"/>
          <w:sz w:val="24"/>
          <w:szCs w:val="24"/>
        </w:rPr>
      </w:pPr>
    </w:p>
    <w:p w:rsidR="00251E03" w:rsidRPr="000B25B1" w:rsidRDefault="00251E03" w:rsidP="00DC7B77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0B25B1">
        <w:rPr>
          <w:rFonts w:cstheme="minorHAnsi"/>
          <w:sz w:val="24"/>
          <w:szCs w:val="24"/>
          <w:u w:val="single"/>
        </w:rPr>
        <w:t>Example: Folic acid-Spina Bifida Main Analysis</w:t>
      </w:r>
    </w:p>
    <w:p w:rsidR="0088395D" w:rsidRPr="000B25B1" w:rsidRDefault="0088395D" w:rsidP="00DC7B77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>Observed Data (2x2):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2250"/>
      </w:tblGrid>
      <w:tr w:rsidR="0088395D" w:rsidRPr="000B25B1" w:rsidTr="0088395D">
        <w:tc>
          <w:tcPr>
            <w:tcW w:w="1525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B25B1">
              <w:rPr>
                <w:rFonts w:cstheme="minorHAnsi"/>
                <w:sz w:val="24"/>
                <w:szCs w:val="24"/>
              </w:rPr>
              <w:t>Supplementer</w:t>
            </w:r>
            <w:proofErr w:type="spellEnd"/>
          </w:p>
        </w:tc>
        <w:tc>
          <w:tcPr>
            <w:tcW w:w="2250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Non-</w:t>
            </w:r>
            <w:proofErr w:type="spellStart"/>
            <w:r w:rsidRPr="000B25B1">
              <w:rPr>
                <w:rFonts w:cstheme="minorHAnsi"/>
                <w:sz w:val="24"/>
                <w:szCs w:val="24"/>
              </w:rPr>
              <w:t>supplementer</w:t>
            </w:r>
            <w:proofErr w:type="spellEnd"/>
          </w:p>
        </w:tc>
      </w:tr>
      <w:tr w:rsidR="0088395D" w:rsidRPr="000B25B1" w:rsidTr="0088395D">
        <w:tc>
          <w:tcPr>
            <w:tcW w:w="1525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Cases</w:t>
            </w:r>
          </w:p>
        </w:tc>
        <w:tc>
          <w:tcPr>
            <w:tcW w:w="1890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2250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288</w:t>
            </w:r>
          </w:p>
        </w:tc>
      </w:tr>
      <w:tr w:rsidR="0088395D" w:rsidRPr="000B25B1" w:rsidTr="0088395D">
        <w:tc>
          <w:tcPr>
            <w:tcW w:w="1525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Controls</w:t>
            </w:r>
          </w:p>
        </w:tc>
        <w:tc>
          <w:tcPr>
            <w:tcW w:w="1890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965</w:t>
            </w:r>
          </w:p>
        </w:tc>
        <w:tc>
          <w:tcPr>
            <w:tcW w:w="2250" w:type="dxa"/>
          </w:tcPr>
          <w:p w:rsidR="0088395D" w:rsidRPr="000B25B1" w:rsidRDefault="0088395D" w:rsidP="00565A9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B25B1">
              <w:rPr>
                <w:rFonts w:cstheme="minorHAnsi"/>
                <w:sz w:val="24"/>
                <w:szCs w:val="24"/>
              </w:rPr>
              <w:t>2726</w:t>
            </w:r>
          </w:p>
        </w:tc>
      </w:tr>
    </w:tbl>
    <w:tbl>
      <w:tblPr>
        <w:tblW w:w="7560" w:type="dxa"/>
        <w:tblLook w:val="04A0" w:firstRow="1" w:lastRow="0" w:firstColumn="1" w:lastColumn="0" w:noHBand="0" w:noVBand="1"/>
      </w:tblPr>
      <w:tblGrid>
        <w:gridCol w:w="4050"/>
        <w:gridCol w:w="3510"/>
      </w:tblGrid>
      <w:tr w:rsidR="0088395D" w:rsidRPr="000B25B1" w:rsidTr="00565A92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 Crude OR (95% CI)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0.95 (0.75, 1.21)</w:t>
            </w:r>
          </w:p>
        </w:tc>
      </w:tr>
    </w:tbl>
    <w:p w:rsidR="0088395D" w:rsidRPr="000B25B1" w:rsidRDefault="0088395D" w:rsidP="00DC7B77">
      <w:pPr>
        <w:spacing w:after="0" w:line="480" w:lineRule="auto"/>
        <w:rPr>
          <w:rFonts w:cstheme="minorHAnsi"/>
          <w:sz w:val="24"/>
          <w:szCs w:val="24"/>
        </w:rPr>
      </w:pPr>
    </w:p>
    <w:p w:rsidR="0088395D" w:rsidRPr="000B25B1" w:rsidRDefault="0088395D" w:rsidP="00DC7B77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>Bias Parameters: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4050"/>
        <w:gridCol w:w="3510"/>
      </w:tblGrid>
      <w:tr w:rsidR="0088395D" w:rsidRPr="000B25B1" w:rsidTr="0088395D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N,  </w:t>
            </w:r>
            <w:proofErr w:type="spellStart"/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Pr</w:t>
            </w:r>
            <w:proofErr w:type="spellEnd"/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(participating | all cases)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385, 55.6%</w:t>
            </w:r>
          </w:p>
        </w:tc>
      </w:tr>
      <w:tr w:rsidR="0088395D" w:rsidRPr="000B25B1" w:rsidTr="0088395D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N,  </w:t>
            </w:r>
            <w:proofErr w:type="spellStart"/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Pr</w:t>
            </w:r>
            <w:proofErr w:type="spellEnd"/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(participating | all controls)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3691, 57.8%</w:t>
            </w:r>
          </w:p>
        </w:tc>
      </w:tr>
      <w:tr w:rsidR="0088395D" w:rsidRPr="000B25B1" w:rsidTr="0088395D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Hypothesized True OR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0.70</w:t>
            </w:r>
          </w:p>
        </w:tc>
      </w:tr>
      <w:tr w:rsidR="0088395D" w:rsidRPr="000B25B1" w:rsidTr="0088395D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Estimated </w:t>
            </w:r>
            <w:proofErr w:type="spellStart"/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Pr</w:t>
            </w:r>
            <w:proofErr w:type="spellEnd"/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exposed | all controls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5D" w:rsidRPr="000B25B1" w:rsidRDefault="0088395D" w:rsidP="0056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25B1">
              <w:rPr>
                <w:rFonts w:eastAsia="Times New Roman" w:cstheme="minorHAnsi"/>
                <w:color w:val="000000"/>
                <w:sz w:val="24"/>
                <w:szCs w:val="24"/>
              </w:rPr>
              <w:t>25.0%</w:t>
            </w:r>
          </w:p>
        </w:tc>
      </w:tr>
    </w:tbl>
    <w:p w:rsidR="0088395D" w:rsidRPr="000B25B1" w:rsidRDefault="0088395D" w:rsidP="00DC7B77">
      <w:pPr>
        <w:spacing w:after="0" w:line="480" w:lineRule="auto"/>
        <w:rPr>
          <w:rFonts w:cstheme="minorHAnsi"/>
          <w:sz w:val="24"/>
          <w:szCs w:val="24"/>
        </w:rPr>
      </w:pPr>
    </w:p>
    <w:p w:rsidR="0088395D" w:rsidRPr="000B25B1" w:rsidRDefault="0088395D" w:rsidP="00DC7B77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>Calculations:</w:t>
      </w:r>
    </w:p>
    <w:p w:rsidR="00251E03" w:rsidRPr="000B25B1" w:rsidRDefault="00371917" w:rsidP="00DC7B77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>Selection OR = Observed OR / Hypothesized True OR = 0.95 / 0.70 = 1.36</w:t>
      </w:r>
    </w:p>
    <w:p w:rsidR="00285E68" w:rsidRPr="000B25B1" w:rsidRDefault="00285E68" w:rsidP="00DC7B77">
      <w:pPr>
        <w:spacing w:after="0" w:line="480" w:lineRule="auto"/>
        <w:rPr>
          <w:rFonts w:cstheme="minorHAnsi"/>
          <w:sz w:val="24"/>
          <w:szCs w:val="24"/>
        </w:rPr>
      </w:pPr>
    </w:p>
    <w:p w:rsidR="00371917" w:rsidRPr="000B25B1" w:rsidRDefault="00363342" w:rsidP="00DC7B77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cstheme="minorHAnsi"/>
          <w:sz w:val="24"/>
          <w:szCs w:val="24"/>
        </w:rPr>
        <w:t xml:space="preserve">Selection Fraction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γ (i.e., </w:t>
      </w:r>
      <w:proofErr w:type="spellStart"/>
      <w:r w:rsidR="00F6491B"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="00F6491B"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participated | exposed controls) = </w:t>
      </w:r>
    </w:p>
    <w:p w:rsidR="00363342" w:rsidRPr="000B25B1" w:rsidRDefault="00B81496" w:rsidP="00DC7B77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>(N exposed | participating controls)</w:t>
      </w:r>
      <w:r w:rsidR="00363342" w:rsidRPr="000B25B1">
        <w:rPr>
          <w:rFonts w:eastAsia="Times New Roman" w:cstheme="minorHAnsi"/>
          <w:color w:val="000000"/>
          <w:sz w:val="24"/>
          <w:szCs w:val="24"/>
        </w:rPr>
        <w:t xml:space="preserve"> / ((</w:t>
      </w:r>
      <w:r w:rsidRPr="000B25B1">
        <w:rPr>
          <w:rFonts w:eastAsia="Times New Roman" w:cstheme="minorHAnsi"/>
          <w:color w:val="000000"/>
          <w:sz w:val="24"/>
          <w:szCs w:val="24"/>
        </w:rPr>
        <w:t>N participating | all controls</w:t>
      </w:r>
      <w:r w:rsidR="00363342" w:rsidRPr="000B25B1">
        <w:rPr>
          <w:rFonts w:eastAsia="Times New Roman" w:cstheme="minorHAnsi"/>
          <w:color w:val="000000"/>
          <w:sz w:val="24"/>
          <w:szCs w:val="24"/>
        </w:rPr>
        <w:t xml:space="preserve"> / </w:t>
      </w:r>
      <w:proofErr w:type="spellStart"/>
      <w:r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Pr="000B25B1">
        <w:rPr>
          <w:rFonts w:eastAsia="Times New Roman" w:cstheme="minorHAnsi"/>
          <w:color w:val="000000"/>
          <w:sz w:val="24"/>
          <w:szCs w:val="24"/>
        </w:rPr>
        <w:t xml:space="preserve"> participating | all controls)</w:t>
      </w:r>
      <w:r w:rsidR="00A6402E" w:rsidRPr="000B25B1">
        <w:rPr>
          <w:rFonts w:eastAsia="Times New Roman" w:cstheme="minorHAnsi"/>
          <w:color w:val="000000"/>
          <w:sz w:val="24"/>
          <w:szCs w:val="24"/>
        </w:rPr>
        <w:t xml:space="preserve"> * </w:t>
      </w:r>
      <w:proofErr w:type="spellStart"/>
      <w:r w:rsidR="00F6491B"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="00F6491B"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exposed | </w:t>
      </w:r>
      <w:r w:rsidR="00F6491B" w:rsidRPr="000B25B1">
        <w:rPr>
          <w:rFonts w:eastAsia="Times New Roman" w:cstheme="minorHAnsi"/>
          <w:color w:val="000000"/>
          <w:sz w:val="24"/>
          <w:szCs w:val="24"/>
        </w:rPr>
        <w:t>all controls</w:t>
      </w:r>
      <w:r w:rsidR="00113BF6" w:rsidRPr="000B25B1">
        <w:rPr>
          <w:rFonts w:eastAsia="Times New Roman" w:cstheme="minorHAnsi"/>
          <w:color w:val="000000"/>
          <w:sz w:val="24"/>
          <w:szCs w:val="24"/>
        </w:rPr>
        <w:t xml:space="preserve">) = </w:t>
      </w:r>
    </w:p>
    <w:p w:rsidR="00113BF6" w:rsidRPr="000B25B1" w:rsidRDefault="00113BF6" w:rsidP="00DC7B77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>965 / ((3691/0.578) * 0.25</w:t>
      </w:r>
      <w:r w:rsidR="00354714" w:rsidRPr="000B25B1">
        <w:rPr>
          <w:rFonts w:eastAsia="Times New Roman" w:cstheme="minorHAnsi"/>
          <w:color w:val="000000"/>
          <w:sz w:val="24"/>
          <w:szCs w:val="24"/>
        </w:rPr>
        <w:t>)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 = 0.604= 60.4%</w:t>
      </w:r>
    </w:p>
    <w:p w:rsidR="00285E68" w:rsidRPr="000B25B1" w:rsidRDefault="00285E68" w:rsidP="00DC7B77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</w:p>
    <w:p w:rsidR="00113BF6" w:rsidRPr="000B25B1" w:rsidRDefault="00113BF6" w:rsidP="00113BF6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cstheme="minorHAnsi"/>
          <w:sz w:val="24"/>
          <w:szCs w:val="24"/>
        </w:rPr>
        <w:t xml:space="preserve">Selection Fraction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δ (i.e., </w:t>
      </w:r>
      <w:proofErr w:type="spellStart"/>
      <w:r w:rsidR="00F6491B"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="00F6491B"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participated | unexposed controls) = </w:t>
      </w:r>
    </w:p>
    <w:p w:rsidR="00F6491B" w:rsidRPr="000B25B1" w:rsidRDefault="00F6491B" w:rsidP="00F6491B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 xml:space="preserve">(N unexposed | participating controls) / ((N participating | all controls / </w:t>
      </w:r>
      <w:proofErr w:type="spellStart"/>
      <w:r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Pr="000B25B1">
        <w:rPr>
          <w:rFonts w:eastAsia="Times New Roman" w:cstheme="minorHAnsi"/>
          <w:color w:val="000000"/>
          <w:sz w:val="24"/>
          <w:szCs w:val="24"/>
        </w:rPr>
        <w:t xml:space="preserve"> participating | all controls) * </w:t>
      </w:r>
      <w:proofErr w:type="spellStart"/>
      <w:r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Pr="000B25B1">
        <w:rPr>
          <w:rFonts w:eastAsia="Times New Roman" w:cstheme="minorHAnsi"/>
          <w:color w:val="000000"/>
          <w:sz w:val="24"/>
          <w:szCs w:val="24"/>
        </w:rPr>
        <w:t xml:space="preserve"> unexposed | all controls) = </w:t>
      </w:r>
    </w:p>
    <w:p w:rsidR="00113BF6" w:rsidRPr="000B25B1" w:rsidRDefault="00354714" w:rsidP="00113BF6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>2726 / ((3691/0.578) *0.75) = 0.569 = 56.9%</w:t>
      </w:r>
    </w:p>
    <w:p w:rsidR="00285E68" w:rsidRPr="000B25B1" w:rsidRDefault="00285E68" w:rsidP="00113BF6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</w:p>
    <w:p w:rsidR="00285E68" w:rsidRPr="000B25B1" w:rsidRDefault="00285E68" w:rsidP="00113BF6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cstheme="minorHAnsi"/>
          <w:sz w:val="24"/>
          <w:szCs w:val="24"/>
        </w:rPr>
        <w:t xml:space="preserve">Selection Fraction Ratio | Controls = </w:t>
      </w:r>
      <w:r w:rsidRPr="000B25B1">
        <w:rPr>
          <w:rFonts w:eastAsia="Times New Roman" w:cstheme="minorHAnsi"/>
          <w:color w:val="000000"/>
          <w:sz w:val="24"/>
          <w:szCs w:val="24"/>
        </w:rPr>
        <w:t>γ</w:t>
      </w:r>
      <w:r w:rsidR="000E4D24"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/ δ = 0.604 / 0.569 = </w:t>
      </w:r>
      <w:r w:rsidR="000E4D24" w:rsidRPr="000B25B1">
        <w:rPr>
          <w:rFonts w:eastAsia="Times New Roman" w:cstheme="minorHAnsi"/>
          <w:color w:val="000000"/>
          <w:sz w:val="24"/>
          <w:szCs w:val="24"/>
        </w:rPr>
        <w:t>1.06</w:t>
      </w:r>
    </w:p>
    <w:p w:rsidR="000E4D24" w:rsidRPr="000B25B1" w:rsidRDefault="000E4D24" w:rsidP="00113BF6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</w:p>
    <w:p w:rsidR="000E4D24" w:rsidRPr="000B25B1" w:rsidRDefault="000E4D24" w:rsidP="00113BF6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 xml:space="preserve">Selection Fraction Ratio | Cases (i.e., </w:t>
      </w:r>
      <w:r w:rsidRPr="000B25B1">
        <w:rPr>
          <w:rFonts w:eastAsia="Times New Roman" w:cstheme="minorHAnsi"/>
          <w:color w:val="000000"/>
          <w:sz w:val="24"/>
          <w:szCs w:val="24"/>
        </w:rPr>
        <w:t>α</w:t>
      </w:r>
      <w:r w:rsidRPr="000B25B1">
        <w:rPr>
          <w:rFonts w:cstheme="minorHAnsi"/>
          <w:sz w:val="24"/>
          <w:szCs w:val="24"/>
        </w:rPr>
        <w:t xml:space="preserve"> / </w:t>
      </w:r>
      <w:r w:rsidRPr="000B25B1">
        <w:rPr>
          <w:rFonts w:eastAsia="Times New Roman" w:cstheme="minorHAnsi"/>
          <w:color w:val="000000"/>
          <w:sz w:val="24"/>
          <w:szCs w:val="24"/>
        </w:rPr>
        <w:t>β</w:t>
      </w:r>
      <w:r w:rsidRPr="000B25B1">
        <w:rPr>
          <w:rFonts w:cstheme="minorHAnsi"/>
          <w:sz w:val="24"/>
          <w:szCs w:val="24"/>
        </w:rPr>
        <w:t xml:space="preserve">) = Selection OR * Selection Fraction Ratio | Controls </w:t>
      </w:r>
    </w:p>
    <w:p w:rsidR="000E4D24" w:rsidRPr="000B25B1" w:rsidRDefault="000E4D24" w:rsidP="00113BF6">
      <w:pPr>
        <w:spacing w:after="0" w:line="480" w:lineRule="auto"/>
        <w:rPr>
          <w:rFonts w:cstheme="minorHAnsi"/>
          <w:sz w:val="24"/>
          <w:szCs w:val="24"/>
        </w:rPr>
      </w:pPr>
      <w:r w:rsidRPr="000B25B1">
        <w:rPr>
          <w:rFonts w:cstheme="minorHAnsi"/>
          <w:sz w:val="24"/>
          <w:szCs w:val="24"/>
        </w:rPr>
        <w:t>1.36 * 1.06 = 1.44</w:t>
      </w:r>
    </w:p>
    <w:p w:rsidR="000E4D24" w:rsidRPr="000B25B1" w:rsidRDefault="000E4D24" w:rsidP="00113BF6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</w:p>
    <w:p w:rsidR="000E4D24" w:rsidRPr="000B25B1" w:rsidRDefault="000E4D24" w:rsidP="000E4D24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>Selection Fraction</w:t>
      </w:r>
      <w:r w:rsidR="002C4A6C" w:rsidRPr="000B25B1">
        <w:rPr>
          <w:rFonts w:eastAsia="Times New Roman" w:cstheme="minorHAnsi"/>
          <w:color w:val="000000"/>
          <w:sz w:val="24"/>
          <w:szCs w:val="24"/>
        </w:rPr>
        <w:t>s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 α (i.e., </w:t>
      </w:r>
      <w:proofErr w:type="spellStart"/>
      <w:r w:rsidR="00B81496"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="00B81496"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B25B1">
        <w:rPr>
          <w:rFonts w:eastAsia="Times New Roman" w:cstheme="minorHAnsi"/>
          <w:color w:val="000000"/>
          <w:sz w:val="24"/>
          <w:szCs w:val="24"/>
        </w:rPr>
        <w:t>participated | exposed cases)</w:t>
      </w:r>
      <w:r w:rsidR="002C4A6C" w:rsidRPr="000B25B1">
        <w:rPr>
          <w:rFonts w:eastAsia="Times New Roman" w:cstheme="minorHAnsi"/>
          <w:color w:val="000000"/>
          <w:sz w:val="24"/>
          <w:szCs w:val="24"/>
        </w:rPr>
        <w:t xml:space="preserve"> and β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C4A6C" w:rsidRPr="000B25B1">
        <w:rPr>
          <w:rFonts w:eastAsia="Times New Roman" w:cstheme="minorHAnsi"/>
          <w:color w:val="000000"/>
          <w:sz w:val="24"/>
          <w:szCs w:val="24"/>
        </w:rPr>
        <w:t xml:space="preserve">(i.e., </w:t>
      </w:r>
      <w:proofErr w:type="spellStart"/>
      <w:r w:rsidR="00B81496"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="00B81496" w:rsidRPr="000B25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C4A6C" w:rsidRPr="000B25B1">
        <w:rPr>
          <w:rFonts w:eastAsia="Times New Roman" w:cstheme="minorHAnsi"/>
          <w:color w:val="000000"/>
          <w:sz w:val="24"/>
          <w:szCs w:val="24"/>
        </w:rPr>
        <w:t>participated | unexposed cases) =</w:t>
      </w:r>
    </w:p>
    <w:p w:rsidR="002C4A6C" w:rsidRPr="000B25B1" w:rsidRDefault="002C4A6C" w:rsidP="000E4D24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 xml:space="preserve">α = </w:t>
      </w:r>
      <w:r w:rsidRPr="000B25B1">
        <w:rPr>
          <w:rFonts w:cstheme="minorHAnsi"/>
          <w:sz w:val="24"/>
          <w:szCs w:val="24"/>
        </w:rPr>
        <w:t xml:space="preserve">Selection Fraction Ratio | Cases * </w:t>
      </w:r>
      <w:r w:rsidRPr="000B25B1">
        <w:rPr>
          <w:rFonts w:eastAsia="Times New Roman" w:cstheme="minorHAnsi"/>
          <w:color w:val="000000"/>
          <w:sz w:val="24"/>
          <w:szCs w:val="24"/>
        </w:rPr>
        <w:t>β = 1.44 β</w:t>
      </w:r>
    </w:p>
    <w:p w:rsidR="00F6491B" w:rsidRPr="000B25B1" w:rsidRDefault="00F6491B" w:rsidP="000E4D24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>(N</w:t>
      </w:r>
      <w:r w:rsidR="00B81496" w:rsidRPr="000B25B1">
        <w:rPr>
          <w:rFonts w:eastAsia="Times New Roman" w:cstheme="minorHAnsi"/>
          <w:color w:val="000000"/>
          <w:sz w:val="24"/>
          <w:szCs w:val="24"/>
        </w:rPr>
        <w:t xml:space="preserve"> exposed | participating cases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/ α) + (N unexposed | participating cases / β) = (N participating | all cases / </w:t>
      </w:r>
      <w:proofErr w:type="spellStart"/>
      <w:r w:rsidRPr="000B25B1">
        <w:rPr>
          <w:rFonts w:eastAsia="Times New Roman" w:cstheme="minorHAnsi"/>
          <w:color w:val="000000"/>
          <w:sz w:val="24"/>
          <w:szCs w:val="24"/>
        </w:rPr>
        <w:t>Pr</w:t>
      </w:r>
      <w:proofErr w:type="spellEnd"/>
      <w:r w:rsidRPr="000B25B1">
        <w:rPr>
          <w:rFonts w:eastAsia="Times New Roman" w:cstheme="minorHAnsi"/>
          <w:color w:val="000000"/>
          <w:sz w:val="24"/>
          <w:szCs w:val="24"/>
        </w:rPr>
        <w:t xml:space="preserve"> participating | all cases) = </w:t>
      </w:r>
    </w:p>
    <w:p w:rsidR="00914E17" w:rsidRPr="000B25B1" w:rsidRDefault="00F6491B" w:rsidP="00F6491B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 xml:space="preserve">(97 / α) + (288 / β) = (385 / 0.556) = </w:t>
      </w:r>
    </w:p>
    <w:p w:rsidR="00F6491B" w:rsidRPr="000B25B1" w:rsidRDefault="00F6491B" w:rsidP="00F6491B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 xml:space="preserve">(97 / 1.44 β) + (288 / β) = (385 / 0.556) = (97 / 1.44) + (288) = </w:t>
      </w:r>
      <w:r w:rsidR="00EE6A1D" w:rsidRPr="000B25B1">
        <w:rPr>
          <w:rFonts w:eastAsia="Times New Roman" w:cstheme="minorHAnsi"/>
          <w:color w:val="000000"/>
          <w:sz w:val="24"/>
          <w:szCs w:val="24"/>
        </w:rPr>
        <w:t xml:space="preserve">β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(385 / 0.556) = </w:t>
      </w:r>
    </w:p>
    <w:p w:rsidR="00F6491B" w:rsidRPr="000B25B1" w:rsidRDefault="00EE6A1D" w:rsidP="00F6491B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>67.4 + 288 = 692.4 β</w:t>
      </w:r>
      <w:r w:rsidR="00914E17" w:rsidRPr="000B25B1">
        <w:rPr>
          <w:rFonts w:eastAsia="Times New Roman" w:cstheme="minorHAnsi"/>
          <w:color w:val="000000"/>
          <w:sz w:val="24"/>
          <w:szCs w:val="24"/>
        </w:rPr>
        <w:t xml:space="preserve"> = 355.4 / 692.4 = </w:t>
      </w:r>
      <w:proofErr w:type="gramStart"/>
      <w:r w:rsidR="00914E17" w:rsidRPr="000B25B1">
        <w:rPr>
          <w:rFonts w:eastAsia="Times New Roman" w:cstheme="minorHAnsi"/>
          <w:color w:val="000000"/>
          <w:sz w:val="24"/>
          <w:szCs w:val="24"/>
        </w:rPr>
        <w:t>β  =</w:t>
      </w:r>
      <w:proofErr w:type="gramEnd"/>
      <w:r w:rsidR="00914E17" w:rsidRPr="000B25B1">
        <w:rPr>
          <w:rFonts w:eastAsia="Times New Roman" w:cstheme="minorHAnsi"/>
          <w:color w:val="000000"/>
          <w:sz w:val="24"/>
          <w:szCs w:val="24"/>
        </w:rPr>
        <w:t xml:space="preserve"> 0.513 = 51.3%</w:t>
      </w:r>
    </w:p>
    <w:p w:rsidR="007E3210" w:rsidRPr="000B25B1" w:rsidRDefault="007E3210" w:rsidP="007E3210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  <w:r w:rsidRPr="000B25B1">
        <w:rPr>
          <w:rFonts w:eastAsia="Times New Roman" w:cstheme="minorHAnsi"/>
          <w:color w:val="000000"/>
          <w:sz w:val="24"/>
          <w:szCs w:val="24"/>
        </w:rPr>
        <w:t xml:space="preserve">α = </w:t>
      </w:r>
      <w:r w:rsidRPr="000B25B1">
        <w:rPr>
          <w:rFonts w:cstheme="minorHAnsi"/>
          <w:sz w:val="24"/>
          <w:szCs w:val="24"/>
        </w:rPr>
        <w:t xml:space="preserve">Selection Fraction Ratio | Cases * </w:t>
      </w:r>
      <w:r w:rsidRPr="000B25B1">
        <w:rPr>
          <w:rFonts w:eastAsia="Times New Roman" w:cstheme="minorHAnsi"/>
          <w:color w:val="000000"/>
          <w:sz w:val="24"/>
          <w:szCs w:val="24"/>
        </w:rPr>
        <w:t xml:space="preserve">β = </w:t>
      </w:r>
      <w:bookmarkStart w:id="2" w:name="_GoBack"/>
      <w:bookmarkEnd w:id="2"/>
      <w:r w:rsidRPr="000B25B1">
        <w:rPr>
          <w:rFonts w:eastAsia="Times New Roman" w:cstheme="minorHAnsi"/>
          <w:color w:val="000000"/>
          <w:sz w:val="24"/>
          <w:szCs w:val="24"/>
        </w:rPr>
        <w:t xml:space="preserve">1.44 </w:t>
      </w:r>
      <w:proofErr w:type="gramStart"/>
      <w:r w:rsidRPr="000B25B1">
        <w:rPr>
          <w:rFonts w:eastAsia="Times New Roman" w:cstheme="minorHAnsi"/>
          <w:color w:val="000000"/>
          <w:sz w:val="24"/>
          <w:szCs w:val="24"/>
        </w:rPr>
        <w:t>β  =</w:t>
      </w:r>
      <w:proofErr w:type="gramEnd"/>
      <w:r w:rsidRPr="000B25B1">
        <w:rPr>
          <w:rFonts w:eastAsia="Times New Roman" w:cstheme="minorHAnsi"/>
          <w:color w:val="000000"/>
          <w:sz w:val="24"/>
          <w:szCs w:val="24"/>
        </w:rPr>
        <w:t xml:space="preserve"> 1.44 * 0.513 = 0.739</w:t>
      </w:r>
      <w:r w:rsidR="000A1EEE" w:rsidRPr="000B25B1">
        <w:rPr>
          <w:rFonts w:eastAsia="Times New Roman" w:cstheme="minorHAnsi"/>
          <w:color w:val="000000"/>
          <w:sz w:val="24"/>
          <w:szCs w:val="24"/>
        </w:rPr>
        <w:t xml:space="preserve"> = 73.9%</w:t>
      </w:r>
    </w:p>
    <w:p w:rsidR="007E3210" w:rsidRPr="000B25B1" w:rsidRDefault="007E3210" w:rsidP="00F6491B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</w:pPr>
    </w:p>
    <w:p w:rsidR="00EF5756" w:rsidRPr="000B25B1" w:rsidRDefault="00EF5756" w:rsidP="00F6491B">
      <w:pPr>
        <w:spacing w:after="0" w:line="480" w:lineRule="auto"/>
        <w:rPr>
          <w:rFonts w:eastAsia="Times New Roman" w:cstheme="minorHAnsi"/>
          <w:color w:val="000000"/>
          <w:sz w:val="24"/>
          <w:szCs w:val="24"/>
        </w:rPr>
        <w:sectPr w:rsidR="00EF5756" w:rsidRPr="000B25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E17" w:rsidRPr="00623AD3" w:rsidRDefault="00EF5756" w:rsidP="00623AD3">
      <w:pPr>
        <w:spacing w:after="6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623AD3">
        <w:rPr>
          <w:rFonts w:eastAsia="Times New Roman" w:cstheme="minorHAnsi"/>
          <w:b/>
          <w:color w:val="000000"/>
          <w:sz w:val="24"/>
          <w:szCs w:val="24"/>
        </w:rPr>
        <w:lastRenderedPageBreak/>
        <w:t xml:space="preserve">Supplemental Table. </w:t>
      </w:r>
      <w:r w:rsidR="00623AD3" w:rsidRPr="00623AD3">
        <w:rPr>
          <w:rFonts w:eastAsia="Times New Roman" w:cstheme="minorHAnsi"/>
          <w:b/>
          <w:color w:val="000000"/>
          <w:sz w:val="24"/>
          <w:szCs w:val="24"/>
        </w:rPr>
        <w:t>Observed and Bias Analysis Estimates from an Investigation into the Association between Maternal First Trimester Smoking and Hypospadias in Offspring in the National Birth Defects Prevention Study</w:t>
      </w:r>
    </w:p>
    <w:tbl>
      <w:tblPr>
        <w:tblW w:w="1270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5"/>
        <w:gridCol w:w="1710"/>
        <w:gridCol w:w="1710"/>
        <w:gridCol w:w="900"/>
        <w:gridCol w:w="990"/>
        <w:gridCol w:w="900"/>
        <w:gridCol w:w="990"/>
        <w:gridCol w:w="1080"/>
        <w:gridCol w:w="1800"/>
        <w:gridCol w:w="1080"/>
        <w:gridCol w:w="1080"/>
      </w:tblGrid>
      <w:tr w:rsidR="004E7538" w:rsidRPr="00623AD3" w:rsidTr="00623AD3">
        <w:trPr>
          <w:trHeight w:val="655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38" w:rsidRPr="00623AD3" w:rsidRDefault="004E7538" w:rsidP="00EF5756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  <w:p w:rsidR="004E7538" w:rsidRPr="00623AD3" w:rsidRDefault="004E7538" w:rsidP="00EF5756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  <w:p w:rsidR="004E7538" w:rsidRPr="00EF5756" w:rsidRDefault="004E7538" w:rsidP="00EF5756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>Smoking prevalence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(as observed or after varying based on external US-based estimates)</w:t>
            </w:r>
            <w:r w:rsidRPr="00EF5756">
              <w:rPr>
                <w:rFonts w:eastAsia="Times New Roman" w:cstheme="minorHAnsi"/>
                <w:szCs w:val="20"/>
              </w:rPr>
              <w:t> 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 xml:space="preserve">Selection </w:t>
            </w:r>
            <w:r w:rsidRPr="00623AD3">
              <w:rPr>
                <w:rFonts w:eastAsia="Times New Roman" w:cstheme="minorHAnsi"/>
                <w:b/>
                <w:bCs/>
                <w:szCs w:val="20"/>
              </w:rPr>
              <w:t>fraction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>Selection OR</w:t>
            </w:r>
          </w:p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>Smoking-hypospadias</w:t>
            </w:r>
          </w:p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>OR</w:t>
            </w:r>
          </w:p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(after adjustment for selection bias, when applicable)</w:t>
            </w:r>
            <w:r w:rsidRPr="00EF5756">
              <w:rPr>
                <w:rFonts w:eastAsia="Times New Roman" w:cstheme="minorHAnsi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 xml:space="preserve">Selection fraction </w:t>
            </w:r>
            <w:r w:rsidRPr="00623AD3">
              <w:rPr>
                <w:rFonts w:eastAsia="Times New Roman" w:cstheme="minorHAnsi"/>
                <w:b/>
                <w:bCs/>
                <w:szCs w:val="20"/>
              </w:rPr>
              <w:t>ratio in</w:t>
            </w:r>
            <w:r w:rsidRPr="00EF5756">
              <w:rPr>
                <w:rFonts w:eastAsia="Times New Roman" w:cstheme="minorHAnsi"/>
                <w:b/>
                <w:bCs/>
                <w:szCs w:val="20"/>
              </w:rPr>
              <w:t xml:space="preserve"> cases</w:t>
            </w:r>
          </w:p>
          <w:p w:rsidR="004E7538" w:rsidRPr="00EF5756" w:rsidRDefault="004E7538" w:rsidP="00623A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α / β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7538" w:rsidRPr="00623AD3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szCs w:val="20"/>
              </w:rPr>
              <w:t xml:space="preserve">Selection fraction </w:t>
            </w:r>
            <w:r w:rsidRPr="00623AD3">
              <w:rPr>
                <w:rFonts w:eastAsia="Times New Roman" w:cstheme="minorHAnsi"/>
                <w:b/>
                <w:bCs/>
                <w:szCs w:val="20"/>
              </w:rPr>
              <w:t>ratio in</w:t>
            </w:r>
            <w:r w:rsidRPr="00EF5756">
              <w:rPr>
                <w:rFonts w:eastAsia="Times New Roman" w:cstheme="minorHAnsi"/>
                <w:b/>
                <w:bCs/>
                <w:szCs w:val="20"/>
              </w:rPr>
              <w:t xml:space="preserve"> controls</w:t>
            </w:r>
          </w:p>
          <w:p w:rsidR="004E7538" w:rsidRPr="00EF5756" w:rsidRDefault="004E7538" w:rsidP="00623A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γ / δ</w:t>
            </w:r>
            <w:r w:rsidRPr="00EF5756">
              <w:rPr>
                <w:rFonts w:eastAsia="Times New Roman" w:cstheme="minorHAnsi"/>
                <w:szCs w:val="20"/>
              </w:rPr>
              <w:t>  </w:t>
            </w:r>
          </w:p>
        </w:tc>
      </w:tr>
      <w:tr w:rsidR="004E7538" w:rsidRPr="00623AD3" w:rsidTr="00623AD3">
        <w:trPr>
          <w:trHeight w:val="31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623AD3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Cases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623AD3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 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Controls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Exposed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Unexposed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</w:tr>
      <w:tr w:rsidR="004E7538" w:rsidRPr="00623AD3" w:rsidTr="00623AD3">
        <w:trPr>
          <w:trHeight w:val="323"/>
        </w:trPr>
        <w:tc>
          <w:tcPr>
            <w:tcW w:w="46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623AD3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Cases</w:t>
            </w:r>
            <w:r w:rsidRPr="00623AD3">
              <w:rPr>
                <w:rFonts w:eastAsia="Times New Roman" w:cstheme="minorHAnsi"/>
                <w:szCs w:val="20"/>
              </w:rPr>
              <w:t xml:space="preserve"> 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623AD3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Controls</w:t>
            </w:r>
            <w:r w:rsidRPr="00623AD3">
              <w:rPr>
                <w:rFonts w:eastAsia="Times New Roman" w:cstheme="minorHAnsi"/>
                <w:szCs w:val="20"/>
              </w:rPr>
              <w:t xml:space="preserve"> 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623AD3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Cases</w:t>
            </w:r>
            <w:r w:rsidRPr="00623AD3">
              <w:rPr>
                <w:rFonts w:eastAsia="Times New Roman" w:cstheme="minorHAnsi"/>
                <w:szCs w:val="20"/>
              </w:rPr>
              <w:t xml:space="preserve"> 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623AD3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Controls</w:t>
            </w:r>
            <w:r w:rsidRPr="00623AD3">
              <w:rPr>
                <w:rFonts w:eastAsia="Times New Roman" w:cstheme="minorHAnsi"/>
                <w:szCs w:val="20"/>
              </w:rPr>
              <w:t xml:space="preserve"> </w:t>
            </w:r>
          </w:p>
          <w:p w:rsidR="004E7538" w:rsidRPr="00EF5756" w:rsidRDefault="004E7538" w:rsidP="004E753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623AD3">
              <w:rPr>
                <w:rFonts w:eastAsia="Times New Roman" w:cstheme="minorHAnsi"/>
                <w:szCs w:val="20"/>
              </w:rPr>
              <w:t>δ</w:t>
            </w: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</w:tr>
      <w:tr w:rsidR="00EF5756" w:rsidRPr="00623AD3" w:rsidTr="00623AD3">
        <w:trPr>
          <w:trHeight w:val="315"/>
        </w:trPr>
        <w:tc>
          <w:tcPr>
            <w:tcW w:w="127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756" w:rsidRPr="00EF5756" w:rsidRDefault="00EF5756" w:rsidP="000E13E8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color w:val="000000"/>
                <w:szCs w:val="20"/>
              </w:rPr>
              <w:t>Observed Data</w:t>
            </w:r>
          </w:p>
        </w:tc>
      </w:tr>
      <w:tr w:rsidR="004E7538" w:rsidRPr="00623AD3" w:rsidTr="00623AD3">
        <w:trPr>
          <w:trHeight w:val="24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color w:val="000000"/>
                <w:szCs w:val="20"/>
              </w:rPr>
              <w:t>15.6%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color w:val="000000"/>
                <w:szCs w:val="20"/>
              </w:rPr>
              <w:t>19.0%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2445E5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2445E5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2445E5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2445E5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538" w:rsidRPr="00EF5756" w:rsidRDefault="004E7538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N/A</w:t>
            </w:r>
          </w:p>
        </w:tc>
      </w:tr>
      <w:tr w:rsidR="000E13E8" w:rsidRPr="00623AD3" w:rsidTr="00623AD3">
        <w:trPr>
          <w:trHeight w:val="315"/>
        </w:trPr>
        <w:tc>
          <w:tcPr>
            <w:tcW w:w="127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3E8" w:rsidRPr="00EF5756" w:rsidRDefault="000E13E8" w:rsidP="000E13E8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b/>
                <w:bCs/>
                <w:color w:val="000000"/>
                <w:szCs w:val="20"/>
              </w:rPr>
              <w:t>Hypothetical Selection Bias-Adjusted Scenarios</w:t>
            </w:r>
            <w:r w:rsidRPr="00EF5756">
              <w:rPr>
                <w:rFonts w:eastAsia="Times New Roman" w:cstheme="minorHAnsi"/>
                <w:szCs w:val="20"/>
              </w:rPr>
              <w:t> </w:t>
            </w:r>
          </w:p>
        </w:tc>
      </w:tr>
      <w:tr w:rsidR="00691D32" w:rsidRPr="00623AD3" w:rsidTr="00E46747">
        <w:trPr>
          <w:trHeight w:val="2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691D32" w:rsidP="00EF57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781A62" w:rsidRDefault="00AA6DEB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781A62">
              <w:rPr>
                <w:rFonts w:eastAsia="Times New Roman" w:cstheme="minorHAnsi"/>
                <w:color w:val="000000"/>
                <w:szCs w:val="20"/>
              </w:rPr>
              <w:t>14</w:t>
            </w:r>
            <w:r w:rsidR="000C7BCE" w:rsidRPr="00781A62">
              <w:rPr>
                <w:rFonts w:eastAsia="Times New Roman" w:cstheme="minorHAnsi"/>
                <w:color w:val="000000"/>
                <w:szCs w:val="20"/>
              </w:rPr>
              <w:t>.0</w:t>
            </w:r>
            <w:r w:rsidR="00691D32" w:rsidRPr="00781A62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781A62" w:rsidRDefault="000664EC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781A62">
              <w:rPr>
                <w:rFonts w:eastAsia="Times New Roman" w:cstheme="minorHAnsi"/>
                <w:color w:val="000000"/>
                <w:szCs w:val="20"/>
              </w:rPr>
              <w:t>25.0</w:t>
            </w:r>
            <w:r w:rsidR="00691D32" w:rsidRPr="00781A62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781A62" w:rsidRDefault="00A42A77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781A62">
              <w:rPr>
                <w:rFonts w:eastAsia="Times New Roman" w:cstheme="minorHAnsi"/>
                <w:color w:val="000000"/>
                <w:szCs w:val="20"/>
              </w:rPr>
              <w:t>71.8</w:t>
            </w:r>
            <w:r w:rsidR="00691D32" w:rsidRPr="00781A62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B75215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912C89">
              <w:rPr>
                <w:rFonts w:eastAsia="Times New Roman" w:cstheme="minorHAnsi"/>
                <w:color w:val="000000"/>
                <w:szCs w:val="20"/>
              </w:rPr>
              <w:t>48.3%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A42A77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912C89">
              <w:rPr>
                <w:rFonts w:eastAsia="Times New Roman" w:cstheme="minorHAnsi"/>
                <w:color w:val="000000"/>
                <w:szCs w:val="20"/>
              </w:rPr>
              <w:t>63.1</w:t>
            </w:r>
            <w:r w:rsidR="00903570" w:rsidRPr="00912C89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406BDD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912C89">
              <w:rPr>
                <w:rFonts w:eastAsia="Times New Roman" w:cstheme="minorHAnsi"/>
                <w:color w:val="000000"/>
                <w:szCs w:val="20"/>
              </w:rPr>
              <w:t>68.6</w:t>
            </w:r>
            <w:r w:rsidR="00691D32" w:rsidRPr="00912C89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912C89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912C89">
              <w:rPr>
                <w:rFonts w:eastAsia="Times New Roman" w:cstheme="minorHAnsi"/>
                <w:color w:val="000000"/>
                <w:szCs w:val="20"/>
              </w:rPr>
              <w:t>1.63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912C89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912C89">
              <w:rPr>
                <w:rFonts w:eastAsia="Times New Roman" w:cstheme="minorHAnsi"/>
                <w:color w:val="000000"/>
                <w:szCs w:val="20"/>
              </w:rPr>
              <w:t>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CA08D2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912C89">
              <w:rPr>
                <w:rFonts w:eastAsia="Times New Roman" w:cstheme="minorHAnsi"/>
                <w:szCs w:val="20"/>
              </w:rPr>
              <w:t>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912C89" w:rsidRDefault="00E46747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912C89">
              <w:rPr>
                <w:rFonts w:eastAsia="Times New Roman" w:cstheme="minorHAnsi"/>
                <w:szCs w:val="20"/>
              </w:rPr>
              <w:t>0.70</w:t>
            </w:r>
          </w:p>
        </w:tc>
      </w:tr>
      <w:tr w:rsidR="00AA6DEB" w:rsidRPr="00623AD3" w:rsidTr="00623AD3">
        <w:trPr>
          <w:trHeight w:val="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Pr="00EF5756" w:rsidRDefault="00AA6DEB" w:rsidP="00EF57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AA6DEB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15.6%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Pr="00EF5756" w:rsidRDefault="00AA6DEB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15.6%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5E3E74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64.3%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D73A92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77.4%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Pr="00EF5756" w:rsidRDefault="005E3E74" w:rsidP="00A87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64.3%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D73A92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60.9%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9637CF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0.79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9637CF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Default="009637CF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DEB" w:rsidRPr="00EF5756" w:rsidRDefault="009637CF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1.27</w:t>
            </w:r>
          </w:p>
        </w:tc>
      </w:tr>
      <w:tr w:rsidR="00691D32" w:rsidRPr="00623AD3" w:rsidTr="00623AD3">
        <w:trPr>
          <w:trHeight w:val="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691D32" w:rsidP="00EF57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EA1B26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19.0</w:t>
            </w:r>
            <w:r w:rsidR="00691D32" w:rsidRPr="00EF5756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691D32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color w:val="000000"/>
                <w:szCs w:val="20"/>
              </w:rPr>
              <w:t>19.0%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A87954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52.9</w:t>
            </w:r>
            <w:r w:rsidR="00691D32" w:rsidRPr="00EF5756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2150F8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63.5</w:t>
            </w:r>
            <w:r w:rsidRPr="00EF5756">
              <w:rPr>
                <w:rFonts w:eastAsia="Times New Roman" w:cstheme="minorHAnsi"/>
                <w:color w:val="000000"/>
                <w:szCs w:val="20"/>
              </w:rPr>
              <w:t>%</w:t>
            </w:r>
            <w:r w:rsidR="00B75215">
              <w:rPr>
                <w:rFonts w:eastAsia="Times New Roman"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691D32" w:rsidP="00A87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 w:rsidRPr="00EF5756">
              <w:rPr>
                <w:rFonts w:eastAsia="Times New Roman" w:cstheme="minorHAnsi"/>
                <w:color w:val="000000"/>
                <w:szCs w:val="20"/>
              </w:rPr>
              <w:t>6</w:t>
            </w:r>
            <w:r w:rsidR="00A87954">
              <w:rPr>
                <w:rFonts w:eastAsia="Times New Roman" w:cstheme="minorHAnsi"/>
                <w:color w:val="000000"/>
                <w:szCs w:val="20"/>
              </w:rPr>
              <w:t>7</w:t>
            </w:r>
            <w:r w:rsidRPr="00EF5756">
              <w:rPr>
                <w:rFonts w:eastAsia="Times New Roman" w:cstheme="minorHAnsi"/>
                <w:color w:val="000000"/>
                <w:szCs w:val="20"/>
              </w:rPr>
              <w:t>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2150F8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63.5</w:t>
            </w:r>
            <w:r w:rsidRPr="00EF5756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A87954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0.79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A87954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A87954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D32" w:rsidRPr="00EF5756" w:rsidRDefault="00691D32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EF5756">
              <w:rPr>
                <w:rFonts w:eastAsia="Times New Roman" w:cstheme="minorHAnsi"/>
                <w:szCs w:val="20"/>
              </w:rPr>
              <w:t>1.00</w:t>
            </w:r>
          </w:p>
        </w:tc>
      </w:tr>
      <w:tr w:rsidR="00903570" w:rsidRPr="00623AD3" w:rsidTr="00623AD3">
        <w:trPr>
          <w:trHeight w:val="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Pr="00EF5756" w:rsidRDefault="00903570" w:rsidP="00EF57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Default="00903570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25.0%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Pr="00EF5756" w:rsidRDefault="00AA6DEB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14</w:t>
            </w:r>
            <w:r w:rsidR="00903570">
              <w:rPr>
                <w:rFonts w:eastAsia="Times New Roman" w:cstheme="minorHAnsi"/>
                <w:color w:val="000000"/>
                <w:szCs w:val="20"/>
              </w:rPr>
              <w:t>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Default="00903570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40.2%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Default="001C6BE2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86.2</w:t>
            </w:r>
            <w:r w:rsidR="00903570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Default="00903570" w:rsidP="00EF12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72.3%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Default="00C75A8A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59.8</w:t>
            </w:r>
            <w:r w:rsidR="00903570">
              <w:rPr>
                <w:rFonts w:eastAsia="Times New Roman" w:cstheme="minorHAnsi"/>
                <w:color w:val="00000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Pr="00EF5756" w:rsidRDefault="004C0FB9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0.39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Pr="00EF5756" w:rsidRDefault="003F04B1" w:rsidP="00EF5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2.03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Pr="00EF5756" w:rsidRDefault="00903570" w:rsidP="00EF575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0.56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570" w:rsidRPr="00EF5756" w:rsidRDefault="004C0FB9" w:rsidP="004C0FB9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1.44</w:t>
            </w:r>
          </w:p>
        </w:tc>
      </w:tr>
    </w:tbl>
    <w:p w:rsidR="00113BF6" w:rsidRPr="00032D42" w:rsidRDefault="004E7538" w:rsidP="00623AD3">
      <w:pPr>
        <w:pStyle w:val="pf0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032D42">
        <w:rPr>
          <w:rFonts w:asciiTheme="minorHAnsi" w:hAnsiTheme="minorHAnsi" w:cstheme="minorHAnsi"/>
          <w:sz w:val="22"/>
          <w:szCs w:val="22"/>
        </w:rPr>
        <w:t>α</w:t>
      </w:r>
      <w:proofErr w:type="gramEnd"/>
      <w:r w:rsidRPr="00032D42">
        <w:rPr>
          <w:rFonts w:asciiTheme="minorHAnsi" w:hAnsiTheme="minorHAnsi" w:cstheme="minorHAnsi"/>
          <w:sz w:val="22"/>
          <w:szCs w:val="22"/>
        </w:rPr>
        <w:t xml:space="preserve"> proportion of exposed cases that participated, β proportion of unexposed cases that participated, γ proportion of exposed controls that participated, δ proportion of unexposed controls that participated </w:t>
      </w:r>
    </w:p>
    <w:p w:rsidR="00032D42" w:rsidRPr="00032D42" w:rsidRDefault="00032D42" w:rsidP="00623AD3">
      <w:pPr>
        <w:pStyle w:val="pf0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32D42">
        <w:rPr>
          <w:rFonts w:asciiTheme="minorHAnsi" w:hAnsiTheme="minorHAnsi" w:cstheme="minorHAnsi"/>
          <w:sz w:val="22"/>
          <w:szCs w:val="22"/>
        </w:rPr>
        <w:t>Smoking prevalence among the cases for the hypothetical selection bias-adjusted scenarios calculated as:</w:t>
      </w:r>
    </w:p>
    <w:p w:rsidR="00032D42" w:rsidRPr="00032D42" w:rsidRDefault="00032D42" w:rsidP="00623AD3">
      <w:pPr>
        <w:pStyle w:val="pf0"/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2D42">
        <w:rPr>
          <w:rFonts w:asciiTheme="minorHAnsi" w:hAnsiTheme="minorHAnsi" w:cstheme="minorHAnsi"/>
          <w:sz w:val="22"/>
          <w:szCs w:val="22"/>
        </w:rPr>
        <w:t>(Number of exposed case participants i.e., 333 / Selection fraction α) / (Number of all</w:t>
      </w:r>
      <w:r w:rsidR="002A34A6">
        <w:rPr>
          <w:rFonts w:asciiTheme="minorHAnsi" w:hAnsiTheme="minorHAnsi" w:cstheme="minorHAnsi"/>
          <w:sz w:val="22"/>
          <w:szCs w:val="22"/>
        </w:rPr>
        <w:t xml:space="preserve"> eligible cases i.e., 2130 / Proportion of all eligible c</w:t>
      </w:r>
      <w:r w:rsidRPr="00032D42">
        <w:rPr>
          <w:rFonts w:asciiTheme="minorHAnsi" w:hAnsiTheme="minorHAnsi" w:cstheme="minorHAnsi"/>
          <w:sz w:val="22"/>
          <w:szCs w:val="22"/>
        </w:rPr>
        <w:t>ases who participated i.e., 64.3%)</w:t>
      </w:r>
    </w:p>
    <w:sectPr w:rsidR="00032D42" w:rsidRPr="00032D42" w:rsidSect="00EF57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BB"/>
    <w:rsid w:val="0000574D"/>
    <w:rsid w:val="00032D42"/>
    <w:rsid w:val="000664EC"/>
    <w:rsid w:val="000A1EEE"/>
    <w:rsid w:val="000B25B1"/>
    <w:rsid w:val="000C4DBB"/>
    <w:rsid w:val="000C7BCE"/>
    <w:rsid w:val="000E13E8"/>
    <w:rsid w:val="000E4D24"/>
    <w:rsid w:val="00113BF6"/>
    <w:rsid w:val="001C6BE2"/>
    <w:rsid w:val="002150F8"/>
    <w:rsid w:val="002445E5"/>
    <w:rsid w:val="00251E03"/>
    <w:rsid w:val="00285E68"/>
    <w:rsid w:val="002A34A6"/>
    <w:rsid w:val="002C4A6C"/>
    <w:rsid w:val="002D744E"/>
    <w:rsid w:val="002E0AB9"/>
    <w:rsid w:val="00340A5B"/>
    <w:rsid w:val="00354714"/>
    <w:rsid w:val="00363342"/>
    <w:rsid w:val="00371917"/>
    <w:rsid w:val="003815FF"/>
    <w:rsid w:val="003F04B1"/>
    <w:rsid w:val="00406BDD"/>
    <w:rsid w:val="004C0FB9"/>
    <w:rsid w:val="004E7538"/>
    <w:rsid w:val="005A29B6"/>
    <w:rsid w:val="005E28DC"/>
    <w:rsid w:val="005E3E74"/>
    <w:rsid w:val="00616123"/>
    <w:rsid w:val="00623AD3"/>
    <w:rsid w:val="00691D32"/>
    <w:rsid w:val="006A634C"/>
    <w:rsid w:val="00781A62"/>
    <w:rsid w:val="007E3210"/>
    <w:rsid w:val="0088395D"/>
    <w:rsid w:val="00903570"/>
    <w:rsid w:val="00912C89"/>
    <w:rsid w:val="00914E17"/>
    <w:rsid w:val="009154AB"/>
    <w:rsid w:val="009637CF"/>
    <w:rsid w:val="00A00BB8"/>
    <w:rsid w:val="00A42A77"/>
    <w:rsid w:val="00A6402E"/>
    <w:rsid w:val="00A87954"/>
    <w:rsid w:val="00AA6DEB"/>
    <w:rsid w:val="00B75215"/>
    <w:rsid w:val="00B81496"/>
    <w:rsid w:val="00C15CF3"/>
    <w:rsid w:val="00C75A8A"/>
    <w:rsid w:val="00C77468"/>
    <w:rsid w:val="00CA08D2"/>
    <w:rsid w:val="00D0612F"/>
    <w:rsid w:val="00D73A92"/>
    <w:rsid w:val="00DC7B77"/>
    <w:rsid w:val="00E46747"/>
    <w:rsid w:val="00EA1B26"/>
    <w:rsid w:val="00EE6A1D"/>
    <w:rsid w:val="00EF1264"/>
    <w:rsid w:val="00EF5756"/>
    <w:rsid w:val="00F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BF7FB-3EEE-4873-A09E-38410AA8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0C4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DB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4D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E68"/>
    <w:pPr>
      <w:ind w:left="720"/>
      <w:contextualSpacing/>
    </w:pPr>
  </w:style>
  <w:style w:type="paragraph" w:customStyle="1" w:styleId="pf0">
    <w:name w:val="pf0"/>
    <w:basedOn w:val="Normal"/>
    <w:rsid w:val="004E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E7538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88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mo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Julie Margit</dc:creator>
  <cp:keywords/>
  <dc:description/>
  <cp:lastModifiedBy>Petersen, Julie Margit</cp:lastModifiedBy>
  <cp:revision>56</cp:revision>
  <dcterms:created xsi:type="dcterms:W3CDTF">2023-11-09T21:04:00Z</dcterms:created>
  <dcterms:modified xsi:type="dcterms:W3CDTF">2023-11-10T23:51:00Z</dcterms:modified>
</cp:coreProperties>
</file>