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98" w:rsidRPr="00CF5D13" w:rsidRDefault="00847698" w:rsidP="00134C5B">
      <w:pPr>
        <w:spacing w:after="200" w:line="480" w:lineRule="auto"/>
        <w:jc w:val="both"/>
        <w:rPr>
          <w:rFonts w:eastAsia="Calibri" w:cstheme="minorHAnsi"/>
          <w:b/>
          <w:sz w:val="24"/>
          <w:szCs w:val="24"/>
        </w:rPr>
      </w:pPr>
      <w:bookmarkStart w:id="0" w:name="_GoBack"/>
      <w:bookmarkEnd w:id="0"/>
      <w:r w:rsidRPr="00CF5D13">
        <w:rPr>
          <w:rFonts w:eastAsia="Calibri" w:cstheme="minorHAnsi"/>
          <w:b/>
          <w:sz w:val="24"/>
          <w:szCs w:val="24"/>
        </w:rPr>
        <w:t>SUPPLEMENTAL FIGURES</w:t>
      </w:r>
    </w:p>
    <w:p w:rsidR="00847698" w:rsidRDefault="00847698" w:rsidP="00134C5B">
      <w:pPr>
        <w:spacing w:after="200" w:line="48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CF5D13">
        <w:rPr>
          <w:rFonts w:eastAsia="Calibri" w:cstheme="minorHAnsi"/>
          <w:b/>
          <w:bCs/>
          <w:sz w:val="24"/>
          <w:szCs w:val="24"/>
        </w:rPr>
        <w:t xml:space="preserve">Figure S1. </w:t>
      </w:r>
      <w:r>
        <w:rPr>
          <w:rFonts w:eastAsia="Calibri" w:cstheme="minorHAnsi"/>
          <w:b/>
          <w:bCs/>
          <w:sz w:val="24"/>
          <w:szCs w:val="24"/>
        </w:rPr>
        <w:t>T cell gating strategy</w:t>
      </w:r>
    </w:p>
    <w:p w:rsidR="00847698" w:rsidRPr="00CF5D13" w:rsidRDefault="00847698" w:rsidP="00134C5B">
      <w:pPr>
        <w:spacing w:after="200" w:line="480" w:lineRule="auto"/>
        <w:jc w:val="both"/>
        <w:rPr>
          <w:rFonts w:eastAsia="Calibri" w:cstheme="minorHAnsi"/>
          <w:bCs/>
          <w:sz w:val="24"/>
          <w:szCs w:val="24"/>
        </w:rPr>
      </w:pPr>
      <w:r w:rsidRPr="00CF5D13">
        <w:rPr>
          <w:rFonts w:eastAsia="Calibri" w:cstheme="minorHAnsi"/>
          <w:bCs/>
          <w:sz w:val="24"/>
          <w:szCs w:val="24"/>
        </w:rPr>
        <w:t>Live CD4</w:t>
      </w:r>
      <w:r w:rsidRPr="00CF5D13">
        <w:rPr>
          <w:rFonts w:eastAsia="Calibri" w:cstheme="minorHAnsi"/>
          <w:bCs/>
          <w:sz w:val="24"/>
          <w:szCs w:val="24"/>
          <w:vertAlign w:val="superscript"/>
        </w:rPr>
        <w:t>+</w:t>
      </w:r>
      <w:r w:rsidRPr="00CF5D13">
        <w:rPr>
          <w:rFonts w:eastAsia="Calibri" w:cstheme="minorHAnsi"/>
          <w:bCs/>
          <w:sz w:val="24"/>
          <w:szCs w:val="24"/>
        </w:rPr>
        <w:t xml:space="preserve"> and CD8</w:t>
      </w:r>
      <w:r w:rsidRPr="00CF5D13">
        <w:rPr>
          <w:rFonts w:eastAsia="Calibri" w:cstheme="minorHAnsi"/>
          <w:bCs/>
          <w:sz w:val="24"/>
          <w:szCs w:val="24"/>
          <w:vertAlign w:val="superscript"/>
        </w:rPr>
        <w:t>+</w:t>
      </w:r>
      <w:r w:rsidRPr="00CF5D13">
        <w:rPr>
          <w:rFonts w:eastAsia="Calibri" w:cstheme="minorHAnsi"/>
          <w:bCs/>
          <w:sz w:val="24"/>
          <w:szCs w:val="24"/>
        </w:rPr>
        <w:t xml:space="preserve"> T cells were identified as CD56</w:t>
      </w:r>
      <w:r w:rsidRPr="00CF5D13">
        <w:rPr>
          <w:rFonts w:eastAsia="Calibri" w:cstheme="minorHAnsi"/>
          <w:bCs/>
          <w:sz w:val="24"/>
          <w:szCs w:val="24"/>
          <w:vertAlign w:val="superscript"/>
        </w:rPr>
        <w:t>-</w:t>
      </w:r>
      <w:r w:rsidRPr="00CF5D13">
        <w:rPr>
          <w:rFonts w:eastAsia="Calibri" w:cstheme="minorHAnsi"/>
          <w:bCs/>
          <w:sz w:val="24"/>
          <w:szCs w:val="24"/>
        </w:rPr>
        <w:t>. Following this NK cell exclusion, activated T cells expressing CD69 were gated on to examine cytokine production to virus stimulation.</w:t>
      </w:r>
    </w:p>
    <w:p w:rsidR="00847698" w:rsidRPr="00CF5D13" w:rsidRDefault="00847698" w:rsidP="00134C5B">
      <w:pPr>
        <w:spacing w:after="200" w:line="480" w:lineRule="auto"/>
        <w:jc w:val="both"/>
        <w:rPr>
          <w:rFonts w:eastAsia="Calibri" w:cstheme="minorHAnsi"/>
          <w:bCs/>
          <w:sz w:val="24"/>
          <w:szCs w:val="24"/>
        </w:rPr>
      </w:pPr>
    </w:p>
    <w:p w:rsidR="00847698" w:rsidRDefault="00847698" w:rsidP="00134C5B">
      <w:pPr>
        <w:spacing w:after="200" w:line="48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CF5D13">
        <w:rPr>
          <w:rFonts w:eastAsia="Calibri" w:cstheme="minorHAnsi"/>
          <w:b/>
          <w:bCs/>
          <w:sz w:val="24"/>
          <w:szCs w:val="24"/>
        </w:rPr>
        <w:t xml:space="preserve">Figure S2. </w:t>
      </w:r>
      <w:r>
        <w:rPr>
          <w:rFonts w:eastAsia="Calibri" w:cstheme="minorHAnsi"/>
          <w:b/>
          <w:bCs/>
          <w:sz w:val="24"/>
          <w:szCs w:val="24"/>
        </w:rPr>
        <w:t>Multifunctional CD8</w:t>
      </w:r>
      <w:r>
        <w:rPr>
          <w:rFonts w:eastAsia="Calibri" w:cstheme="minorHAnsi"/>
          <w:b/>
          <w:bCs/>
          <w:sz w:val="24"/>
          <w:szCs w:val="24"/>
          <w:vertAlign w:val="superscript"/>
        </w:rPr>
        <w:t xml:space="preserve">+ </w:t>
      </w:r>
      <w:r>
        <w:rPr>
          <w:rFonts w:eastAsia="Calibri" w:cstheme="minorHAnsi"/>
          <w:b/>
          <w:bCs/>
          <w:sz w:val="24"/>
          <w:szCs w:val="24"/>
        </w:rPr>
        <w:t>T cell responses</w:t>
      </w:r>
    </w:p>
    <w:p w:rsidR="00847698" w:rsidRPr="00CF5D13" w:rsidRDefault="00847698" w:rsidP="00134C5B">
      <w:pPr>
        <w:spacing w:after="200" w:line="48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Changes in the IFN</w:t>
      </w:r>
      <w:r w:rsidRPr="009C7F68">
        <w:rPr>
          <w:rFonts w:ascii="Symbol" w:eastAsia="Calibri" w:hAnsi="Symbol" w:cstheme="minorHAnsi"/>
          <w:sz w:val="24"/>
          <w:szCs w:val="24"/>
        </w:rPr>
        <w:t></w:t>
      </w:r>
      <w:r w:rsidRPr="00CF5D13">
        <w:rPr>
          <w:rFonts w:eastAsia="Calibri" w:cstheme="minorHAnsi"/>
          <w:sz w:val="24"/>
          <w:szCs w:val="24"/>
          <w:vertAlign w:val="superscript"/>
        </w:rPr>
        <w:t>+</w:t>
      </w:r>
      <w:r w:rsidRPr="00CF5D13">
        <w:rPr>
          <w:rFonts w:eastAsia="Calibri" w:cstheme="minorHAnsi"/>
          <w:sz w:val="24"/>
          <w:szCs w:val="24"/>
        </w:rPr>
        <w:t>TNF-</w:t>
      </w:r>
      <w:r w:rsidRPr="00CF5D13">
        <w:rPr>
          <w:rFonts w:eastAsia="Calibri" w:cstheme="minorHAnsi"/>
          <w:sz w:val="24"/>
          <w:szCs w:val="24"/>
          <w:lang w:val="el-GR"/>
        </w:rPr>
        <w:t>α</w:t>
      </w:r>
      <w:r w:rsidRPr="00CF5D13">
        <w:rPr>
          <w:rFonts w:eastAsia="Calibri" w:cstheme="minorHAnsi"/>
          <w:sz w:val="24"/>
          <w:szCs w:val="24"/>
          <w:vertAlign w:val="superscript"/>
        </w:rPr>
        <w:t>+</w:t>
      </w:r>
      <w:r w:rsidRPr="00CF5D13">
        <w:rPr>
          <w:rFonts w:eastAsia="Calibri" w:cstheme="minorHAnsi"/>
          <w:sz w:val="24"/>
          <w:szCs w:val="24"/>
        </w:rPr>
        <w:t>IL-2</w:t>
      </w:r>
      <w:r w:rsidRPr="00CF5D13">
        <w:rPr>
          <w:rFonts w:eastAsia="Calibri" w:cstheme="minorHAnsi"/>
          <w:sz w:val="24"/>
          <w:szCs w:val="24"/>
          <w:vertAlign w:val="superscript"/>
        </w:rPr>
        <w:t>+</w:t>
      </w:r>
      <w:r w:rsidRPr="00CF5D13">
        <w:rPr>
          <w:rFonts w:eastAsia="Calibri" w:cstheme="minorHAnsi"/>
          <w:sz w:val="24"/>
          <w:szCs w:val="24"/>
        </w:rPr>
        <w:t xml:space="preserve"> CD8</w:t>
      </w:r>
      <w:r w:rsidRPr="00CF5D13">
        <w:rPr>
          <w:rFonts w:eastAsia="Calibri" w:cstheme="minorHAnsi"/>
          <w:sz w:val="24"/>
          <w:szCs w:val="24"/>
          <w:vertAlign w:val="superscript"/>
        </w:rPr>
        <w:t>+</w:t>
      </w:r>
      <w:r w:rsidRPr="00CF5D13">
        <w:rPr>
          <w:rFonts w:eastAsia="Calibri" w:cstheme="minorHAnsi"/>
          <w:sz w:val="24"/>
          <w:szCs w:val="24"/>
        </w:rPr>
        <w:t xml:space="preserve"> T cell response were assessed by overnight </w:t>
      </w:r>
      <w:r w:rsidRPr="00CF5D13">
        <w:rPr>
          <w:rFonts w:eastAsia="Calibri" w:cstheme="minorHAnsi"/>
          <w:i/>
          <w:iCs/>
          <w:sz w:val="24"/>
          <w:szCs w:val="24"/>
        </w:rPr>
        <w:t xml:space="preserve">in vitro </w:t>
      </w:r>
      <w:r w:rsidRPr="00CF5D13">
        <w:rPr>
          <w:rFonts w:eastAsia="Calibri" w:cstheme="minorHAnsi"/>
          <w:sz w:val="24"/>
          <w:szCs w:val="24"/>
        </w:rPr>
        <w:t xml:space="preserve">stimulation with A/California/7/2009(H1N1), A/Perth/16/2009(H3N2) </w:t>
      </w:r>
      <w:r>
        <w:rPr>
          <w:rFonts w:eastAsia="Calibri" w:cstheme="minorHAnsi"/>
          <w:sz w:val="24"/>
          <w:szCs w:val="24"/>
        </w:rPr>
        <w:t>and</w:t>
      </w:r>
      <w:r w:rsidRPr="00CF5D13">
        <w:rPr>
          <w:rFonts w:eastAsia="Calibri" w:cstheme="minorHAnsi"/>
          <w:sz w:val="24"/>
          <w:szCs w:val="24"/>
        </w:rPr>
        <w:t xml:space="preserve"> B/Brisbane/60/2008 on </w:t>
      </w:r>
      <w:r w:rsidRPr="00CF5D13">
        <w:rPr>
          <w:rFonts w:eastAsia="Calibri" w:cstheme="minorHAnsi"/>
          <w:bCs/>
          <w:sz w:val="24"/>
          <w:szCs w:val="24"/>
        </w:rPr>
        <w:t>D0</w:t>
      </w:r>
      <w:r>
        <w:rPr>
          <w:rFonts w:eastAsia="Calibri" w:cstheme="minorHAnsi"/>
          <w:bCs/>
          <w:sz w:val="24"/>
          <w:szCs w:val="24"/>
        </w:rPr>
        <w:t xml:space="preserve"> and D7 (</w:t>
      </w:r>
      <w:r>
        <w:rPr>
          <w:rFonts w:eastAsia="Calibri" w:cstheme="minorHAnsi"/>
          <w:b/>
          <w:bCs/>
          <w:sz w:val="24"/>
          <w:szCs w:val="24"/>
        </w:rPr>
        <w:t>A)</w:t>
      </w:r>
      <w:r w:rsidRPr="00CF5D13">
        <w:rPr>
          <w:rFonts w:eastAsia="Calibri" w:cstheme="minorHAnsi"/>
          <w:bCs/>
          <w:sz w:val="24"/>
          <w:szCs w:val="24"/>
        </w:rPr>
        <w:t>,</w:t>
      </w:r>
      <w:r>
        <w:rPr>
          <w:rFonts w:eastAsia="Calibri" w:cstheme="minorHAnsi"/>
          <w:bCs/>
          <w:sz w:val="24"/>
          <w:szCs w:val="24"/>
        </w:rPr>
        <w:t xml:space="preserve"> or D0,</w:t>
      </w:r>
      <w:r w:rsidRPr="00CF5D13">
        <w:rPr>
          <w:rFonts w:eastAsia="Calibri" w:cstheme="minorHAnsi"/>
          <w:bCs/>
          <w:sz w:val="24"/>
          <w:szCs w:val="24"/>
        </w:rPr>
        <w:t xml:space="preserve"> M1 and M6</w:t>
      </w:r>
      <w:r>
        <w:rPr>
          <w:rFonts w:eastAsia="Calibri" w:cstheme="minorHAnsi"/>
          <w:bCs/>
          <w:sz w:val="24"/>
          <w:szCs w:val="24"/>
        </w:rPr>
        <w:t xml:space="preserve"> (</w:t>
      </w:r>
      <w:r>
        <w:rPr>
          <w:rFonts w:eastAsia="Calibri" w:cstheme="minorHAnsi"/>
          <w:b/>
          <w:bCs/>
          <w:sz w:val="24"/>
          <w:szCs w:val="24"/>
        </w:rPr>
        <w:t>B</w:t>
      </w:r>
      <w:r>
        <w:rPr>
          <w:rFonts w:eastAsia="Calibri" w:cstheme="minorHAnsi"/>
          <w:bCs/>
          <w:sz w:val="24"/>
          <w:szCs w:val="24"/>
        </w:rPr>
        <w:t>)</w:t>
      </w:r>
      <w:r w:rsidRPr="00CF5D13">
        <w:rPr>
          <w:rFonts w:eastAsia="Calibri" w:cstheme="minorHAnsi"/>
          <w:bCs/>
          <w:sz w:val="24"/>
          <w:szCs w:val="24"/>
        </w:rPr>
        <w:t xml:space="preserve"> </w:t>
      </w:r>
      <w:r w:rsidRPr="00CF5D13">
        <w:rPr>
          <w:rFonts w:eastAsia="Calibri" w:cstheme="minorHAnsi"/>
          <w:sz w:val="24"/>
          <w:szCs w:val="24"/>
        </w:rPr>
        <w:t>after vaccination with either IM (VAXIGRIP) and ID vaccines (</w:t>
      </w:r>
      <w:proofErr w:type="spellStart"/>
      <w:r w:rsidRPr="00CF5D13">
        <w:rPr>
          <w:rFonts w:eastAsia="Calibri" w:cstheme="minorHAnsi"/>
          <w:sz w:val="24"/>
          <w:szCs w:val="24"/>
        </w:rPr>
        <w:t>Intanza</w:t>
      </w:r>
      <w:proofErr w:type="spellEnd"/>
      <w:r w:rsidRPr="00CF5D13">
        <w:rPr>
          <w:rFonts w:eastAsia="Calibri" w:cstheme="minorHAnsi"/>
          <w:sz w:val="24"/>
          <w:szCs w:val="24"/>
        </w:rPr>
        <w:t>/</w:t>
      </w:r>
      <w:proofErr w:type="spellStart"/>
      <w:r w:rsidRPr="00CF5D13">
        <w:rPr>
          <w:rFonts w:eastAsia="Calibri" w:cstheme="minorHAnsi"/>
          <w:sz w:val="24"/>
          <w:szCs w:val="24"/>
        </w:rPr>
        <w:t>Idflu</w:t>
      </w:r>
      <w:proofErr w:type="spellEnd"/>
      <w:r w:rsidRPr="00933A45">
        <w:rPr>
          <w:rFonts w:eastAsia="Calibri" w:cstheme="minorHAnsi"/>
          <w:sz w:val="24"/>
          <w:szCs w:val="24"/>
        </w:rPr>
        <w:t>). Data are expressed as geometric mean percentages after log</w:t>
      </w:r>
      <w:r w:rsidRPr="00933A45">
        <w:rPr>
          <w:rFonts w:eastAsia="Calibri" w:cstheme="minorHAnsi"/>
          <w:sz w:val="24"/>
          <w:szCs w:val="24"/>
          <w:vertAlign w:val="subscript"/>
        </w:rPr>
        <w:t>10</w:t>
      </w:r>
      <w:r w:rsidRPr="00933A45">
        <w:rPr>
          <w:rFonts w:eastAsia="Calibri" w:cstheme="minorHAnsi"/>
          <w:sz w:val="24"/>
          <w:szCs w:val="24"/>
        </w:rPr>
        <w:t xml:space="preserve"> transformation of the combined cytokine response to all viruses</w:t>
      </w:r>
      <w:r w:rsidRPr="00CF5D13">
        <w:rPr>
          <w:rFonts w:eastAsia="Calibri" w:cstheme="minorHAnsi"/>
          <w:sz w:val="24"/>
          <w:szCs w:val="24"/>
        </w:rPr>
        <w:t xml:space="preserve">. Triple cytokine producers were estimated using Boolean gating with </w:t>
      </w:r>
      <w:proofErr w:type="spellStart"/>
      <w:r w:rsidRPr="00CF5D13">
        <w:rPr>
          <w:rFonts w:eastAsia="Calibri" w:cstheme="minorHAnsi"/>
          <w:sz w:val="24"/>
          <w:szCs w:val="24"/>
        </w:rPr>
        <w:t>FlowJo</w:t>
      </w:r>
      <w:proofErr w:type="spellEnd"/>
      <w:r w:rsidRPr="00CF5D13">
        <w:rPr>
          <w:rFonts w:eastAsia="Calibri" w:cstheme="minorHAnsi"/>
          <w:sz w:val="24"/>
          <w:szCs w:val="24"/>
        </w:rPr>
        <w:t xml:space="preserve"> software.</w:t>
      </w:r>
    </w:p>
    <w:p w:rsidR="00847698" w:rsidRPr="00CF5D13" w:rsidRDefault="00847698" w:rsidP="00134C5B">
      <w:pPr>
        <w:spacing w:after="200" w:line="48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:rsidR="00847698" w:rsidRPr="00815918" w:rsidRDefault="00847698" w:rsidP="00134C5B">
      <w:pPr>
        <w:spacing w:after="200" w:line="48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CF5D13">
        <w:rPr>
          <w:rFonts w:eastAsia="Calibri" w:cstheme="minorHAnsi"/>
          <w:b/>
          <w:bCs/>
          <w:sz w:val="24"/>
          <w:szCs w:val="24"/>
        </w:rPr>
        <w:t xml:space="preserve">Figure S3. </w:t>
      </w:r>
      <w:r>
        <w:rPr>
          <w:rFonts w:eastAsia="Calibri" w:cstheme="minorHAnsi"/>
          <w:b/>
          <w:bCs/>
          <w:sz w:val="24"/>
          <w:szCs w:val="24"/>
        </w:rPr>
        <w:t>Changes in CD4</w:t>
      </w:r>
      <w:r>
        <w:rPr>
          <w:rFonts w:eastAsia="Calibri" w:cstheme="minorHAnsi"/>
          <w:b/>
          <w:bCs/>
          <w:sz w:val="24"/>
          <w:szCs w:val="24"/>
          <w:vertAlign w:val="superscript"/>
        </w:rPr>
        <w:t xml:space="preserve">+ </w:t>
      </w:r>
      <w:r>
        <w:rPr>
          <w:rFonts w:eastAsia="Calibri" w:cstheme="minorHAnsi"/>
          <w:b/>
          <w:bCs/>
          <w:sz w:val="24"/>
          <w:szCs w:val="24"/>
        </w:rPr>
        <w:t>T cell cytokine profile</w:t>
      </w:r>
    </w:p>
    <w:p w:rsidR="00847698" w:rsidRPr="00CF5D13" w:rsidRDefault="00847698" w:rsidP="00134C5B">
      <w:pPr>
        <w:spacing w:after="200" w:line="480" w:lineRule="auto"/>
        <w:jc w:val="both"/>
        <w:rPr>
          <w:rFonts w:eastAsia="Calibri" w:cstheme="minorHAnsi"/>
          <w:bCs/>
          <w:sz w:val="24"/>
          <w:szCs w:val="24"/>
        </w:rPr>
      </w:pPr>
      <w:r w:rsidRPr="00CF5D13">
        <w:rPr>
          <w:rFonts w:eastAsia="Calibri" w:cstheme="minorHAnsi"/>
          <w:bCs/>
          <w:sz w:val="24"/>
          <w:szCs w:val="24"/>
        </w:rPr>
        <w:t>CD4</w:t>
      </w:r>
      <w:r w:rsidRPr="00CF5D13">
        <w:rPr>
          <w:rFonts w:eastAsia="Calibri" w:cstheme="minorHAnsi"/>
          <w:bCs/>
          <w:sz w:val="24"/>
          <w:szCs w:val="24"/>
          <w:vertAlign w:val="superscript"/>
        </w:rPr>
        <w:t>+</w:t>
      </w:r>
      <w:r w:rsidRPr="00CF5D13">
        <w:rPr>
          <w:rFonts w:eastAsia="Calibri" w:cstheme="minorHAnsi"/>
          <w:bCs/>
          <w:sz w:val="24"/>
          <w:szCs w:val="24"/>
        </w:rPr>
        <w:t xml:space="preserve"> T cells from HIV-infected or HIV-uninfected (healthy) groups produc</w:t>
      </w:r>
      <w:r>
        <w:rPr>
          <w:rFonts w:eastAsia="Calibri" w:cstheme="minorHAnsi"/>
          <w:bCs/>
          <w:sz w:val="24"/>
          <w:szCs w:val="24"/>
        </w:rPr>
        <w:t>ing various combinations of IFN</w:t>
      </w:r>
      <w:r>
        <w:rPr>
          <w:rFonts w:ascii="Symbol" w:eastAsia="Calibri" w:hAnsi="Symbol" w:cstheme="minorHAnsi"/>
          <w:bCs/>
          <w:sz w:val="24"/>
          <w:szCs w:val="24"/>
        </w:rPr>
        <w:t></w:t>
      </w:r>
      <w:r w:rsidRPr="00CF5D13">
        <w:rPr>
          <w:rFonts w:eastAsia="Calibri" w:cstheme="minorHAnsi"/>
          <w:bCs/>
          <w:sz w:val="24"/>
          <w:szCs w:val="24"/>
          <w:vertAlign w:val="superscript"/>
        </w:rPr>
        <w:t>+</w:t>
      </w:r>
      <w:r w:rsidRPr="00CF5D13">
        <w:rPr>
          <w:rFonts w:eastAsia="Calibri" w:cstheme="minorHAnsi"/>
          <w:bCs/>
          <w:sz w:val="24"/>
          <w:szCs w:val="24"/>
        </w:rPr>
        <w:t>, TNF-</w:t>
      </w:r>
      <w:r w:rsidRPr="00CF5D13">
        <w:rPr>
          <w:rFonts w:eastAsia="Calibri" w:cstheme="minorHAnsi"/>
          <w:bCs/>
          <w:sz w:val="24"/>
          <w:szCs w:val="24"/>
          <w:lang w:val="el-GR"/>
        </w:rPr>
        <w:t>α</w:t>
      </w:r>
      <w:r w:rsidRPr="00CF5D13">
        <w:rPr>
          <w:rFonts w:eastAsia="Calibri" w:cstheme="minorHAnsi"/>
          <w:bCs/>
          <w:sz w:val="24"/>
          <w:szCs w:val="24"/>
          <w:vertAlign w:val="superscript"/>
        </w:rPr>
        <w:t>+</w:t>
      </w:r>
      <w:r w:rsidRPr="00CF5D13">
        <w:rPr>
          <w:rFonts w:eastAsia="Calibri" w:cstheme="minorHAnsi"/>
          <w:bCs/>
          <w:sz w:val="24"/>
          <w:szCs w:val="24"/>
        </w:rPr>
        <w:t xml:space="preserve"> and IL-2</w:t>
      </w:r>
      <w:r w:rsidRPr="00CF5D13">
        <w:rPr>
          <w:rFonts w:eastAsia="Calibri" w:cstheme="minorHAnsi"/>
          <w:bCs/>
          <w:sz w:val="24"/>
          <w:szCs w:val="24"/>
          <w:vertAlign w:val="superscript"/>
        </w:rPr>
        <w:t>+</w:t>
      </w:r>
      <w:r w:rsidRPr="00CF5D13">
        <w:rPr>
          <w:rFonts w:eastAsia="Calibri" w:cstheme="minorHAnsi"/>
          <w:bCs/>
          <w:sz w:val="24"/>
          <w:szCs w:val="24"/>
        </w:rPr>
        <w:t xml:space="preserve"> in response to overnight </w:t>
      </w:r>
      <w:r w:rsidRPr="00CF5D13">
        <w:rPr>
          <w:rFonts w:eastAsia="Calibri" w:cstheme="minorHAnsi"/>
          <w:bCs/>
          <w:i/>
          <w:iCs/>
          <w:sz w:val="24"/>
          <w:szCs w:val="24"/>
        </w:rPr>
        <w:t xml:space="preserve">in vitro </w:t>
      </w:r>
      <w:r w:rsidRPr="00CF5D13">
        <w:rPr>
          <w:rFonts w:eastAsia="Calibri" w:cstheme="minorHAnsi"/>
          <w:bCs/>
          <w:sz w:val="24"/>
          <w:szCs w:val="24"/>
        </w:rPr>
        <w:t xml:space="preserve">stimulation with </w:t>
      </w:r>
      <w:r w:rsidRPr="00CF5D13">
        <w:rPr>
          <w:rFonts w:eastAsia="Calibri" w:cstheme="minorHAnsi"/>
          <w:sz w:val="24"/>
          <w:szCs w:val="24"/>
        </w:rPr>
        <w:t xml:space="preserve">A/California/7/2009(H1N1), A/Perth/16/2009(H3N2) or B/Brisbane/60/2008 on </w:t>
      </w:r>
      <w:r>
        <w:rPr>
          <w:rFonts w:eastAsia="Calibri" w:cstheme="minorHAnsi"/>
          <w:bCs/>
          <w:sz w:val="24"/>
          <w:szCs w:val="24"/>
        </w:rPr>
        <w:t>D0,</w:t>
      </w:r>
      <w:r w:rsidRPr="00CF5D13">
        <w:rPr>
          <w:rFonts w:eastAsia="Calibri" w:cstheme="minorHAnsi"/>
          <w:bCs/>
          <w:sz w:val="24"/>
          <w:szCs w:val="24"/>
        </w:rPr>
        <w:t xml:space="preserve"> M1 and M6</w:t>
      </w:r>
      <w:r>
        <w:rPr>
          <w:rFonts w:eastAsia="Calibri" w:cstheme="minorHAnsi"/>
          <w:bCs/>
          <w:sz w:val="24"/>
          <w:szCs w:val="24"/>
        </w:rPr>
        <w:t xml:space="preserve"> </w:t>
      </w:r>
      <w:r w:rsidRPr="00CF5D13">
        <w:rPr>
          <w:rFonts w:eastAsia="Calibri" w:cstheme="minorHAnsi"/>
          <w:bCs/>
          <w:sz w:val="24"/>
          <w:szCs w:val="24"/>
        </w:rPr>
        <w:t>post-vaccination with either IM (VAXIGRIP) and ID vaccines (</w:t>
      </w:r>
      <w:proofErr w:type="spellStart"/>
      <w:r w:rsidRPr="00CF5D13">
        <w:rPr>
          <w:rFonts w:eastAsia="Calibri" w:cstheme="minorHAnsi"/>
          <w:bCs/>
          <w:sz w:val="24"/>
          <w:szCs w:val="24"/>
        </w:rPr>
        <w:t>Intanza</w:t>
      </w:r>
      <w:proofErr w:type="spellEnd"/>
      <w:r w:rsidRPr="00CF5D13">
        <w:rPr>
          <w:rFonts w:eastAsia="Calibri" w:cstheme="minorHAnsi"/>
          <w:bCs/>
          <w:sz w:val="24"/>
          <w:szCs w:val="24"/>
        </w:rPr>
        <w:t>/</w:t>
      </w:r>
      <w:proofErr w:type="spellStart"/>
      <w:r w:rsidRPr="00CF5D13">
        <w:rPr>
          <w:rFonts w:eastAsia="Calibri" w:cstheme="minorHAnsi"/>
          <w:bCs/>
          <w:sz w:val="24"/>
          <w:szCs w:val="24"/>
        </w:rPr>
        <w:t>Idflu</w:t>
      </w:r>
      <w:proofErr w:type="spellEnd"/>
      <w:r w:rsidRPr="00933A45">
        <w:rPr>
          <w:rFonts w:eastAsia="Calibri" w:cstheme="minorHAnsi"/>
          <w:bCs/>
          <w:sz w:val="24"/>
          <w:szCs w:val="24"/>
        </w:rPr>
        <w:t xml:space="preserve">). Data were analyzed using </w:t>
      </w:r>
      <w:proofErr w:type="spellStart"/>
      <w:r w:rsidRPr="00933A45">
        <w:rPr>
          <w:rFonts w:eastAsia="Calibri" w:cstheme="minorHAnsi"/>
          <w:bCs/>
          <w:sz w:val="24"/>
          <w:szCs w:val="24"/>
        </w:rPr>
        <w:t>FlowJo</w:t>
      </w:r>
      <w:proofErr w:type="spellEnd"/>
      <w:r w:rsidRPr="00933A45">
        <w:rPr>
          <w:rFonts w:eastAsia="Calibri" w:cstheme="minorHAnsi"/>
          <w:bCs/>
          <w:sz w:val="24"/>
          <w:szCs w:val="24"/>
        </w:rPr>
        <w:t xml:space="preserve"> followed by SPICE of the combined cytokine response to all viruses.</w:t>
      </w:r>
    </w:p>
    <w:p w:rsidR="00847698" w:rsidRPr="00CF5D13" w:rsidRDefault="00847698" w:rsidP="00134C5B">
      <w:pPr>
        <w:spacing w:after="200" w:line="48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:rsidR="00847698" w:rsidRDefault="00847698" w:rsidP="00AA5C80">
      <w:pPr>
        <w:spacing w:after="200" w:line="48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CF5D13">
        <w:rPr>
          <w:rFonts w:eastAsia="Calibri" w:cstheme="minorHAnsi"/>
          <w:b/>
          <w:bCs/>
          <w:sz w:val="24"/>
          <w:szCs w:val="24"/>
        </w:rPr>
        <w:t xml:space="preserve">Figure S4. </w:t>
      </w:r>
      <w:r>
        <w:rPr>
          <w:rFonts w:eastAsia="Calibri" w:cstheme="minorHAnsi"/>
          <w:b/>
          <w:bCs/>
          <w:sz w:val="24"/>
          <w:szCs w:val="24"/>
        </w:rPr>
        <w:t>CD8</w:t>
      </w:r>
      <w:r>
        <w:rPr>
          <w:rFonts w:eastAsia="Calibri" w:cstheme="minorHAnsi"/>
          <w:b/>
          <w:bCs/>
          <w:sz w:val="24"/>
          <w:szCs w:val="24"/>
          <w:vertAlign w:val="superscript"/>
        </w:rPr>
        <w:t xml:space="preserve">+ </w:t>
      </w:r>
      <w:r>
        <w:rPr>
          <w:rFonts w:eastAsia="Calibri" w:cstheme="minorHAnsi"/>
          <w:b/>
          <w:bCs/>
          <w:sz w:val="24"/>
          <w:szCs w:val="24"/>
        </w:rPr>
        <w:t>T cell cytokine profile</w:t>
      </w:r>
    </w:p>
    <w:p w:rsidR="00847698" w:rsidRDefault="00847698" w:rsidP="00AA5C80">
      <w:pPr>
        <w:spacing w:after="200" w:line="480" w:lineRule="auto"/>
        <w:jc w:val="both"/>
        <w:rPr>
          <w:rFonts w:eastAsia="Calibri" w:cstheme="minorHAnsi"/>
          <w:sz w:val="24"/>
          <w:szCs w:val="24"/>
        </w:rPr>
      </w:pPr>
      <w:r w:rsidRPr="00CF5D13">
        <w:rPr>
          <w:rFonts w:eastAsia="Calibri" w:cstheme="minorHAnsi"/>
          <w:sz w:val="24"/>
          <w:szCs w:val="24"/>
        </w:rPr>
        <w:t>CD8</w:t>
      </w:r>
      <w:r w:rsidRPr="00CF5D13">
        <w:rPr>
          <w:rFonts w:eastAsia="Calibri" w:cstheme="minorHAnsi"/>
          <w:sz w:val="24"/>
          <w:szCs w:val="24"/>
          <w:vertAlign w:val="superscript"/>
        </w:rPr>
        <w:t>+</w:t>
      </w:r>
      <w:r w:rsidRPr="00CF5D13">
        <w:rPr>
          <w:rFonts w:eastAsia="Calibri" w:cstheme="minorHAnsi"/>
          <w:sz w:val="24"/>
          <w:szCs w:val="24"/>
        </w:rPr>
        <w:t xml:space="preserve"> T cells from </w:t>
      </w:r>
      <w:r w:rsidRPr="00CF5D13">
        <w:rPr>
          <w:rFonts w:eastAsia="Calibri" w:cstheme="minorHAnsi"/>
          <w:bCs/>
          <w:sz w:val="24"/>
          <w:szCs w:val="24"/>
        </w:rPr>
        <w:t>HIV-infected or HIV-uninfected (healthy)</w:t>
      </w:r>
      <w:r w:rsidRPr="00CF5D13">
        <w:rPr>
          <w:rFonts w:eastAsia="Calibri" w:cstheme="minorHAnsi"/>
          <w:sz w:val="24"/>
          <w:szCs w:val="24"/>
        </w:rPr>
        <w:t xml:space="preserve"> produc</w:t>
      </w:r>
      <w:r>
        <w:rPr>
          <w:rFonts w:eastAsia="Calibri" w:cstheme="minorHAnsi"/>
          <w:sz w:val="24"/>
          <w:szCs w:val="24"/>
        </w:rPr>
        <w:t>ing various combinations of IFN</w:t>
      </w:r>
      <w:r w:rsidRPr="009C7F68">
        <w:rPr>
          <w:rFonts w:ascii="Symbol" w:eastAsia="Calibri" w:hAnsi="Symbol" w:cstheme="minorHAnsi"/>
          <w:sz w:val="24"/>
          <w:szCs w:val="24"/>
        </w:rPr>
        <w:t></w:t>
      </w:r>
      <w:r w:rsidRPr="00CF5D13">
        <w:rPr>
          <w:rFonts w:eastAsia="Calibri" w:cstheme="minorHAnsi"/>
          <w:sz w:val="24"/>
          <w:szCs w:val="24"/>
          <w:vertAlign w:val="superscript"/>
        </w:rPr>
        <w:t>+</w:t>
      </w:r>
      <w:r w:rsidRPr="00CF5D13">
        <w:rPr>
          <w:rFonts w:eastAsia="Calibri" w:cstheme="minorHAnsi"/>
          <w:sz w:val="24"/>
          <w:szCs w:val="24"/>
        </w:rPr>
        <w:t>, TNF-</w:t>
      </w:r>
      <w:r w:rsidRPr="00CF5D13">
        <w:rPr>
          <w:rFonts w:eastAsia="Calibri" w:cstheme="minorHAnsi"/>
          <w:sz w:val="24"/>
          <w:szCs w:val="24"/>
          <w:lang w:val="el-GR"/>
        </w:rPr>
        <w:t>α</w:t>
      </w:r>
      <w:r w:rsidRPr="00CF5D13">
        <w:rPr>
          <w:rFonts w:eastAsia="Calibri" w:cstheme="minorHAnsi"/>
          <w:sz w:val="24"/>
          <w:szCs w:val="24"/>
          <w:vertAlign w:val="superscript"/>
        </w:rPr>
        <w:t>+</w:t>
      </w:r>
      <w:r w:rsidRPr="00CF5D13">
        <w:rPr>
          <w:rFonts w:eastAsia="Calibri" w:cstheme="minorHAnsi"/>
          <w:sz w:val="24"/>
          <w:szCs w:val="24"/>
        </w:rPr>
        <w:t xml:space="preserve"> and IL-2</w:t>
      </w:r>
      <w:r w:rsidRPr="00CF5D13">
        <w:rPr>
          <w:rFonts w:eastAsia="Calibri" w:cstheme="minorHAnsi"/>
          <w:sz w:val="24"/>
          <w:szCs w:val="24"/>
          <w:vertAlign w:val="superscript"/>
        </w:rPr>
        <w:t>+</w:t>
      </w:r>
      <w:r w:rsidRPr="00CF5D13">
        <w:rPr>
          <w:rFonts w:eastAsia="Calibri" w:cstheme="minorHAnsi"/>
          <w:sz w:val="24"/>
          <w:szCs w:val="24"/>
        </w:rPr>
        <w:t xml:space="preserve"> in response to overnight </w:t>
      </w:r>
      <w:r w:rsidRPr="00CF5D13">
        <w:rPr>
          <w:rFonts w:eastAsia="Calibri" w:cstheme="minorHAnsi"/>
          <w:i/>
          <w:iCs/>
          <w:sz w:val="24"/>
          <w:szCs w:val="24"/>
        </w:rPr>
        <w:t xml:space="preserve">in vitro </w:t>
      </w:r>
      <w:r w:rsidRPr="00CF5D13">
        <w:rPr>
          <w:rFonts w:eastAsia="Calibri" w:cstheme="minorHAnsi"/>
          <w:sz w:val="24"/>
          <w:szCs w:val="24"/>
        </w:rPr>
        <w:t xml:space="preserve">stimulation with A/California/7/2009(H1N1), A/Perth/16/2009(H3N2) </w:t>
      </w:r>
      <w:r>
        <w:rPr>
          <w:rFonts w:eastAsia="Calibri" w:cstheme="minorHAnsi"/>
          <w:sz w:val="24"/>
          <w:szCs w:val="24"/>
        </w:rPr>
        <w:t>and</w:t>
      </w:r>
      <w:r w:rsidRPr="00CF5D13">
        <w:rPr>
          <w:rFonts w:eastAsia="Calibri" w:cstheme="minorHAnsi"/>
          <w:sz w:val="24"/>
          <w:szCs w:val="24"/>
        </w:rPr>
        <w:t xml:space="preserve"> B/Brisbane/60/2008 on </w:t>
      </w:r>
      <w:r w:rsidRPr="00CF5D13">
        <w:rPr>
          <w:rFonts w:eastAsia="Calibri" w:cstheme="minorHAnsi"/>
          <w:bCs/>
          <w:sz w:val="24"/>
          <w:szCs w:val="24"/>
        </w:rPr>
        <w:t>D0, M1 and M6</w:t>
      </w:r>
      <w:r w:rsidRPr="00CF5D13">
        <w:rPr>
          <w:rFonts w:eastAsia="Calibri" w:cstheme="minorHAnsi"/>
          <w:sz w:val="24"/>
          <w:szCs w:val="24"/>
        </w:rPr>
        <w:t xml:space="preserve">  post-vaccination with either IM (VAXIGRIP) and ID vaccines (</w:t>
      </w:r>
      <w:proofErr w:type="spellStart"/>
      <w:r w:rsidRPr="00CF5D13">
        <w:rPr>
          <w:rFonts w:eastAsia="Calibri" w:cstheme="minorHAnsi"/>
          <w:sz w:val="24"/>
          <w:szCs w:val="24"/>
        </w:rPr>
        <w:t>Intanza</w:t>
      </w:r>
      <w:proofErr w:type="spellEnd"/>
      <w:r w:rsidRPr="00CF5D13">
        <w:rPr>
          <w:rFonts w:eastAsia="Calibri" w:cstheme="minorHAnsi"/>
          <w:sz w:val="24"/>
          <w:szCs w:val="24"/>
        </w:rPr>
        <w:t>/</w:t>
      </w:r>
      <w:proofErr w:type="spellStart"/>
      <w:r w:rsidRPr="00CF5D13">
        <w:rPr>
          <w:rFonts w:eastAsia="Calibri" w:cstheme="minorHAnsi"/>
          <w:sz w:val="24"/>
          <w:szCs w:val="24"/>
        </w:rPr>
        <w:t>Idflu</w:t>
      </w:r>
      <w:proofErr w:type="spellEnd"/>
      <w:r w:rsidRPr="00933A45">
        <w:rPr>
          <w:rFonts w:eastAsia="Calibri" w:cstheme="minorHAnsi"/>
          <w:sz w:val="24"/>
          <w:szCs w:val="24"/>
        </w:rPr>
        <w:t xml:space="preserve">). Data were analyzed using </w:t>
      </w:r>
      <w:proofErr w:type="spellStart"/>
      <w:r w:rsidRPr="00933A45">
        <w:rPr>
          <w:rFonts w:eastAsia="Calibri" w:cstheme="minorHAnsi"/>
          <w:sz w:val="24"/>
          <w:szCs w:val="24"/>
        </w:rPr>
        <w:t>FlowJo</w:t>
      </w:r>
      <w:proofErr w:type="spellEnd"/>
      <w:r w:rsidRPr="00933A45">
        <w:rPr>
          <w:rFonts w:eastAsia="Calibri" w:cstheme="minorHAnsi"/>
          <w:sz w:val="24"/>
          <w:szCs w:val="24"/>
        </w:rPr>
        <w:t xml:space="preserve"> followed by SPICE </w:t>
      </w:r>
      <w:r w:rsidRPr="00933A45">
        <w:rPr>
          <w:rFonts w:eastAsia="Calibri" w:cstheme="minorHAnsi"/>
          <w:bCs/>
          <w:sz w:val="24"/>
          <w:szCs w:val="24"/>
        </w:rPr>
        <w:t>of the combined cytokine response to all viruses</w:t>
      </w:r>
      <w:r w:rsidRPr="00933A45">
        <w:rPr>
          <w:rFonts w:eastAsia="Calibri" w:cstheme="minorHAnsi"/>
          <w:sz w:val="24"/>
          <w:szCs w:val="24"/>
        </w:rPr>
        <w:t>.</w:t>
      </w:r>
    </w:p>
    <w:p w:rsidR="00847698" w:rsidRDefault="00847698" w:rsidP="00AA5C80">
      <w:pPr>
        <w:spacing w:after="200" w:line="480" w:lineRule="auto"/>
        <w:jc w:val="both"/>
        <w:rPr>
          <w:rFonts w:eastAsia="Calibri" w:cstheme="minorHAnsi"/>
          <w:sz w:val="24"/>
          <w:szCs w:val="24"/>
        </w:rPr>
      </w:pPr>
    </w:p>
    <w:p w:rsidR="00847698" w:rsidRDefault="00847698" w:rsidP="00AA5C80">
      <w:pPr>
        <w:spacing w:after="200" w:line="480" w:lineRule="auto"/>
        <w:jc w:val="both"/>
        <w:rPr>
          <w:rFonts w:eastAsia="Calibri" w:cstheme="minorHAnsi"/>
          <w:sz w:val="24"/>
          <w:szCs w:val="24"/>
        </w:rPr>
      </w:pPr>
    </w:p>
    <w:p w:rsidR="00AA5C80" w:rsidRDefault="00AA5C80" w:rsidP="00AA5C80">
      <w:pPr>
        <w:spacing w:after="200" w:line="480" w:lineRule="auto"/>
        <w:jc w:val="both"/>
        <w:rPr>
          <w:rFonts w:eastAsia="Calibri" w:cstheme="minorHAnsi"/>
          <w:sz w:val="24"/>
          <w:szCs w:val="24"/>
        </w:rPr>
      </w:pPr>
    </w:p>
    <w:sectPr w:rsidR="00AA5C80" w:rsidSect="00AA5C80">
      <w:footerReference w:type="default" r:id="rId7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D8D" w:rsidRDefault="00C83D8D">
      <w:pPr>
        <w:spacing w:after="0" w:line="240" w:lineRule="auto"/>
      </w:pPr>
      <w:r>
        <w:separator/>
      </w:r>
    </w:p>
  </w:endnote>
  <w:endnote w:type="continuationSeparator" w:id="0">
    <w:p w:rsidR="00C83D8D" w:rsidRDefault="00C8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8907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7BF0" w:rsidRDefault="00A37B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0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3A81" w:rsidRDefault="00E93A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D8D" w:rsidRDefault="00C83D8D">
      <w:pPr>
        <w:spacing w:after="0" w:line="240" w:lineRule="auto"/>
      </w:pPr>
      <w:r>
        <w:separator/>
      </w:r>
    </w:p>
  </w:footnote>
  <w:footnote w:type="continuationSeparator" w:id="0">
    <w:p w:rsidR="00C83D8D" w:rsidRDefault="00C83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 Infectious Diseas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zfezrz20as556erafqvxwvyswz5awsrtddf&quot;&gt;Thailand paper&lt;record-ids&gt;&lt;item&gt;1&lt;/item&gt;&lt;item&gt;2&lt;/item&gt;&lt;item&gt;5&lt;/item&gt;&lt;item&gt;6&lt;/item&gt;&lt;item&gt;7&lt;/item&gt;&lt;item&gt;9&lt;/item&gt;&lt;item&gt;13&lt;/item&gt;&lt;item&gt;24&lt;/item&gt;&lt;item&gt;26&lt;/item&gt;&lt;item&gt;28&lt;/item&gt;&lt;item&gt;29&lt;/item&gt;&lt;item&gt;30&lt;/item&gt;&lt;item&gt;31&lt;/item&gt;&lt;item&gt;32&lt;/item&gt;&lt;item&gt;33&lt;/item&gt;&lt;item&gt;34&lt;/item&gt;&lt;item&gt;36&lt;/item&gt;&lt;item&gt;38&lt;/item&gt;&lt;item&gt;39&lt;/item&gt;&lt;item&gt;41&lt;/item&gt;&lt;item&gt;43&lt;/item&gt;&lt;item&gt;44&lt;/item&gt;&lt;item&gt;45&lt;/item&gt;&lt;item&gt;46&lt;/item&gt;&lt;item&gt;47&lt;/item&gt;&lt;item&gt;49&lt;/item&gt;&lt;item&gt;50&lt;/item&gt;&lt;item&gt;51&lt;/item&gt;&lt;item&gt;53&lt;/item&gt;&lt;/record-ids&gt;&lt;/item&gt;&lt;/Libraries&gt;"/>
  </w:docVars>
  <w:rsids>
    <w:rsidRoot w:val="00BB5B08"/>
    <w:rsid w:val="00004729"/>
    <w:rsid w:val="00040574"/>
    <w:rsid w:val="000756B7"/>
    <w:rsid w:val="00090DDE"/>
    <w:rsid w:val="000C304D"/>
    <w:rsid w:val="000C50CA"/>
    <w:rsid w:val="000D38A1"/>
    <w:rsid w:val="000E0446"/>
    <w:rsid w:val="000E099F"/>
    <w:rsid w:val="000E0E43"/>
    <w:rsid w:val="0013012A"/>
    <w:rsid w:val="00131102"/>
    <w:rsid w:val="00134C5B"/>
    <w:rsid w:val="001430BD"/>
    <w:rsid w:val="00151B3C"/>
    <w:rsid w:val="00151C97"/>
    <w:rsid w:val="00162420"/>
    <w:rsid w:val="001A6899"/>
    <w:rsid w:val="001B1199"/>
    <w:rsid w:val="001C2123"/>
    <w:rsid w:val="001D0C2B"/>
    <w:rsid w:val="001D5AEC"/>
    <w:rsid w:val="0020451B"/>
    <w:rsid w:val="00207A3B"/>
    <w:rsid w:val="0023189B"/>
    <w:rsid w:val="002355FD"/>
    <w:rsid w:val="00272A03"/>
    <w:rsid w:val="002807E5"/>
    <w:rsid w:val="0028485F"/>
    <w:rsid w:val="002C5F5A"/>
    <w:rsid w:val="002E1D04"/>
    <w:rsid w:val="003310AF"/>
    <w:rsid w:val="0034334B"/>
    <w:rsid w:val="00350423"/>
    <w:rsid w:val="00350828"/>
    <w:rsid w:val="00362AD2"/>
    <w:rsid w:val="003703C9"/>
    <w:rsid w:val="00374122"/>
    <w:rsid w:val="003910D3"/>
    <w:rsid w:val="003B5788"/>
    <w:rsid w:val="003B6A70"/>
    <w:rsid w:val="004007EB"/>
    <w:rsid w:val="00411AB4"/>
    <w:rsid w:val="00433BEA"/>
    <w:rsid w:val="004357AC"/>
    <w:rsid w:val="00461DF6"/>
    <w:rsid w:val="00463627"/>
    <w:rsid w:val="0048720D"/>
    <w:rsid w:val="00496314"/>
    <w:rsid w:val="004A3E16"/>
    <w:rsid w:val="004F5CF4"/>
    <w:rsid w:val="004F6CDE"/>
    <w:rsid w:val="00507CAD"/>
    <w:rsid w:val="005225BF"/>
    <w:rsid w:val="005274BC"/>
    <w:rsid w:val="0053335B"/>
    <w:rsid w:val="00533A40"/>
    <w:rsid w:val="005446CB"/>
    <w:rsid w:val="00560C7C"/>
    <w:rsid w:val="00576389"/>
    <w:rsid w:val="00580AE6"/>
    <w:rsid w:val="005A134B"/>
    <w:rsid w:val="005B3369"/>
    <w:rsid w:val="005C1FA1"/>
    <w:rsid w:val="005D557B"/>
    <w:rsid w:val="005F14BD"/>
    <w:rsid w:val="005F6FC7"/>
    <w:rsid w:val="0063023C"/>
    <w:rsid w:val="00630EA6"/>
    <w:rsid w:val="00637D2B"/>
    <w:rsid w:val="00641E89"/>
    <w:rsid w:val="0065099C"/>
    <w:rsid w:val="00652C59"/>
    <w:rsid w:val="006847B7"/>
    <w:rsid w:val="006D2ED5"/>
    <w:rsid w:val="006D5AD5"/>
    <w:rsid w:val="006E6A66"/>
    <w:rsid w:val="006F7AA6"/>
    <w:rsid w:val="00702E91"/>
    <w:rsid w:val="007074B5"/>
    <w:rsid w:val="00747022"/>
    <w:rsid w:val="00751225"/>
    <w:rsid w:val="007A0448"/>
    <w:rsid w:val="007A7F48"/>
    <w:rsid w:val="007D603B"/>
    <w:rsid w:val="007D65BE"/>
    <w:rsid w:val="007D68B2"/>
    <w:rsid w:val="007D7CE9"/>
    <w:rsid w:val="007E076C"/>
    <w:rsid w:val="007E3856"/>
    <w:rsid w:val="007F51B3"/>
    <w:rsid w:val="007F77C5"/>
    <w:rsid w:val="00800431"/>
    <w:rsid w:val="0080195B"/>
    <w:rsid w:val="0081135E"/>
    <w:rsid w:val="0081574E"/>
    <w:rsid w:val="00815918"/>
    <w:rsid w:val="00817306"/>
    <w:rsid w:val="00847698"/>
    <w:rsid w:val="00851587"/>
    <w:rsid w:val="00862692"/>
    <w:rsid w:val="00864346"/>
    <w:rsid w:val="008839D1"/>
    <w:rsid w:val="00883D80"/>
    <w:rsid w:val="00884172"/>
    <w:rsid w:val="008911BA"/>
    <w:rsid w:val="008A0237"/>
    <w:rsid w:val="008A0EF5"/>
    <w:rsid w:val="008A608C"/>
    <w:rsid w:val="008A77BF"/>
    <w:rsid w:val="008B75DD"/>
    <w:rsid w:val="00907283"/>
    <w:rsid w:val="00911175"/>
    <w:rsid w:val="00916CF9"/>
    <w:rsid w:val="00954378"/>
    <w:rsid w:val="009920D4"/>
    <w:rsid w:val="009950B5"/>
    <w:rsid w:val="009A16EA"/>
    <w:rsid w:val="009A2A51"/>
    <w:rsid w:val="009A41D2"/>
    <w:rsid w:val="009B0043"/>
    <w:rsid w:val="009C7F68"/>
    <w:rsid w:val="009D0849"/>
    <w:rsid w:val="009D5017"/>
    <w:rsid w:val="009E0A34"/>
    <w:rsid w:val="009E4319"/>
    <w:rsid w:val="00A0035B"/>
    <w:rsid w:val="00A13147"/>
    <w:rsid w:val="00A2339B"/>
    <w:rsid w:val="00A250E8"/>
    <w:rsid w:val="00A2763B"/>
    <w:rsid w:val="00A37BF0"/>
    <w:rsid w:val="00A55027"/>
    <w:rsid w:val="00A62985"/>
    <w:rsid w:val="00A71FCB"/>
    <w:rsid w:val="00A758D9"/>
    <w:rsid w:val="00A768C6"/>
    <w:rsid w:val="00A86576"/>
    <w:rsid w:val="00A96D0C"/>
    <w:rsid w:val="00AA5C80"/>
    <w:rsid w:val="00AB0667"/>
    <w:rsid w:val="00AB2109"/>
    <w:rsid w:val="00AC5952"/>
    <w:rsid w:val="00AD52C3"/>
    <w:rsid w:val="00AF40DC"/>
    <w:rsid w:val="00B21DF4"/>
    <w:rsid w:val="00B23FEF"/>
    <w:rsid w:val="00B510F8"/>
    <w:rsid w:val="00B54D66"/>
    <w:rsid w:val="00B71829"/>
    <w:rsid w:val="00B7433A"/>
    <w:rsid w:val="00B91680"/>
    <w:rsid w:val="00BB5B08"/>
    <w:rsid w:val="00BD358A"/>
    <w:rsid w:val="00BE3CFA"/>
    <w:rsid w:val="00BE6C85"/>
    <w:rsid w:val="00BF42A3"/>
    <w:rsid w:val="00BF5F61"/>
    <w:rsid w:val="00BF68FC"/>
    <w:rsid w:val="00C04DFD"/>
    <w:rsid w:val="00C36E3D"/>
    <w:rsid w:val="00C43596"/>
    <w:rsid w:val="00C46088"/>
    <w:rsid w:val="00C745A6"/>
    <w:rsid w:val="00C764B5"/>
    <w:rsid w:val="00C83D8D"/>
    <w:rsid w:val="00C9146F"/>
    <w:rsid w:val="00C94406"/>
    <w:rsid w:val="00CA15C3"/>
    <w:rsid w:val="00CA4EAB"/>
    <w:rsid w:val="00CC4604"/>
    <w:rsid w:val="00CE74AA"/>
    <w:rsid w:val="00CF0261"/>
    <w:rsid w:val="00CF1F4F"/>
    <w:rsid w:val="00CF5D13"/>
    <w:rsid w:val="00D00769"/>
    <w:rsid w:val="00D00B6F"/>
    <w:rsid w:val="00D11B75"/>
    <w:rsid w:val="00D25B3B"/>
    <w:rsid w:val="00D26908"/>
    <w:rsid w:val="00D329D1"/>
    <w:rsid w:val="00D33D21"/>
    <w:rsid w:val="00D35343"/>
    <w:rsid w:val="00D46287"/>
    <w:rsid w:val="00D820FF"/>
    <w:rsid w:val="00D83E59"/>
    <w:rsid w:val="00D868E3"/>
    <w:rsid w:val="00D95FCA"/>
    <w:rsid w:val="00DE63C8"/>
    <w:rsid w:val="00DE7B6A"/>
    <w:rsid w:val="00DF1D41"/>
    <w:rsid w:val="00E02FA3"/>
    <w:rsid w:val="00E07E1E"/>
    <w:rsid w:val="00E31CD8"/>
    <w:rsid w:val="00E367B3"/>
    <w:rsid w:val="00E41C69"/>
    <w:rsid w:val="00E45D76"/>
    <w:rsid w:val="00E50031"/>
    <w:rsid w:val="00E55881"/>
    <w:rsid w:val="00E559CE"/>
    <w:rsid w:val="00E874A7"/>
    <w:rsid w:val="00E9235E"/>
    <w:rsid w:val="00E93500"/>
    <w:rsid w:val="00E93A81"/>
    <w:rsid w:val="00EA472F"/>
    <w:rsid w:val="00EA4DE7"/>
    <w:rsid w:val="00EA6583"/>
    <w:rsid w:val="00EC14D1"/>
    <w:rsid w:val="00ED5573"/>
    <w:rsid w:val="00F074B0"/>
    <w:rsid w:val="00F11DCF"/>
    <w:rsid w:val="00F337BC"/>
    <w:rsid w:val="00F36EC2"/>
    <w:rsid w:val="00F45711"/>
    <w:rsid w:val="00F47D7D"/>
    <w:rsid w:val="00F53CE1"/>
    <w:rsid w:val="00F54E55"/>
    <w:rsid w:val="00F56AFE"/>
    <w:rsid w:val="00F6524B"/>
    <w:rsid w:val="00F80744"/>
    <w:rsid w:val="00F8639B"/>
    <w:rsid w:val="00FB2CDC"/>
    <w:rsid w:val="00FC70C6"/>
    <w:rsid w:val="00FD20F1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B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B08"/>
  </w:style>
  <w:style w:type="paragraph" w:customStyle="1" w:styleId="EndNoteBibliography">
    <w:name w:val="EndNote Bibliography"/>
    <w:basedOn w:val="Normal"/>
    <w:link w:val="EndNoteBibliographyChar"/>
    <w:rsid w:val="00BB5B08"/>
    <w:pPr>
      <w:spacing w:after="200"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B5B08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BB5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B0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B0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5B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F4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6C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6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2109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9E0A3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E0A34"/>
    <w:rPr>
      <w:rFonts w:ascii="Calibri" w:hAnsi="Calibri" w:cs="Calibri"/>
      <w:noProof/>
    </w:rPr>
  </w:style>
  <w:style w:type="paragraph" w:styleId="ListParagraph">
    <w:name w:val="List Paragraph"/>
    <w:basedOn w:val="Normal"/>
    <w:uiPriority w:val="34"/>
    <w:qFormat/>
    <w:rsid w:val="00E41C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7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BF0"/>
  </w:style>
  <w:style w:type="character" w:styleId="LineNumber">
    <w:name w:val="line number"/>
    <w:basedOn w:val="DefaultParagraphFont"/>
    <w:uiPriority w:val="99"/>
    <w:semiHidden/>
    <w:unhideWhenUsed/>
    <w:rsid w:val="00AA5C80"/>
  </w:style>
  <w:style w:type="table" w:customStyle="1" w:styleId="PlainTable4">
    <w:name w:val="Plain Table 4"/>
    <w:basedOn w:val="TableNormal"/>
    <w:uiPriority w:val="44"/>
    <w:rsid w:val="008515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B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B08"/>
  </w:style>
  <w:style w:type="paragraph" w:customStyle="1" w:styleId="EndNoteBibliography">
    <w:name w:val="EndNote Bibliography"/>
    <w:basedOn w:val="Normal"/>
    <w:link w:val="EndNoteBibliographyChar"/>
    <w:rsid w:val="00BB5B08"/>
    <w:pPr>
      <w:spacing w:after="200"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B5B08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BB5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B0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B0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5B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F4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6C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6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2109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9E0A3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E0A34"/>
    <w:rPr>
      <w:rFonts w:ascii="Calibri" w:hAnsi="Calibri" w:cs="Calibri"/>
      <w:noProof/>
    </w:rPr>
  </w:style>
  <w:style w:type="paragraph" w:styleId="ListParagraph">
    <w:name w:val="List Paragraph"/>
    <w:basedOn w:val="Normal"/>
    <w:uiPriority w:val="34"/>
    <w:qFormat/>
    <w:rsid w:val="00E41C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7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BF0"/>
  </w:style>
  <w:style w:type="character" w:styleId="LineNumber">
    <w:name w:val="line number"/>
    <w:basedOn w:val="DefaultParagraphFont"/>
    <w:uiPriority w:val="99"/>
    <w:semiHidden/>
    <w:unhideWhenUsed/>
    <w:rsid w:val="00AA5C80"/>
  </w:style>
  <w:style w:type="table" w:customStyle="1" w:styleId="PlainTable4">
    <w:name w:val="Plain Table 4"/>
    <w:basedOn w:val="TableNormal"/>
    <w:uiPriority w:val="44"/>
    <w:rsid w:val="008515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Amoah, Samuel (CDC/DDID/NCIRD) (CTR)</dc:creator>
  <cp:keywords/>
  <dc:description/>
  <cp:lastModifiedBy>Sharath M. babu</cp:lastModifiedBy>
  <cp:revision>3</cp:revision>
  <dcterms:created xsi:type="dcterms:W3CDTF">2019-04-17T17:33:00Z</dcterms:created>
  <dcterms:modified xsi:type="dcterms:W3CDTF">2019-04-23T14:27:00Z</dcterms:modified>
</cp:coreProperties>
</file>