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2DC9" w14:textId="77777777" w:rsidR="00633C9B" w:rsidRDefault="00633C9B" w:rsidP="00633C9B">
      <w:pPr>
        <w:jc w:val="center"/>
        <w:rPr>
          <w:b/>
          <w:bCs/>
        </w:rPr>
      </w:pPr>
      <w:r>
        <w:rPr>
          <w:b/>
          <w:bCs/>
        </w:rPr>
        <w:t xml:space="preserve">Supplementary Materials </w:t>
      </w:r>
    </w:p>
    <w:p w14:paraId="5D1F4365" w14:textId="77777777" w:rsidR="00633C9B" w:rsidRDefault="00633C9B" w:rsidP="00633C9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B893DC3" wp14:editId="0B134918">
            <wp:extent cx="5943600" cy="3714750"/>
            <wp:effectExtent l="0" t="0" r="0" b="0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96F8F" w14:textId="77777777" w:rsidR="00633C9B" w:rsidRDefault="00633C9B" w:rsidP="00633C9B">
      <w:pPr>
        <w:jc w:val="center"/>
        <w:rPr>
          <w:i/>
          <w:iCs/>
        </w:rPr>
      </w:pPr>
      <w:r>
        <w:rPr>
          <w:b/>
          <w:bCs/>
        </w:rPr>
        <w:t xml:space="preserve">Figure A1: </w:t>
      </w:r>
      <w:r>
        <w:rPr>
          <w:i/>
          <w:iCs/>
        </w:rPr>
        <w:t>Estimated % of population aware of status at year-end 2021, based on year acquiring infection.</w:t>
      </w:r>
    </w:p>
    <w:p w14:paraId="4EE969B6" w14:textId="77777777" w:rsidR="00633C9B" w:rsidRDefault="00633C9B" w:rsidP="00633C9B">
      <w:pPr>
        <w:jc w:val="center"/>
        <w:rPr>
          <w:b/>
          <w:bCs/>
        </w:rPr>
      </w:pPr>
    </w:p>
    <w:p w14:paraId="262F2C4B" w14:textId="77777777" w:rsidR="00633C9B" w:rsidRDefault="00633C9B" w:rsidP="005329DE">
      <w:pPr>
        <w:jc w:val="center"/>
        <w:rPr>
          <w:b/>
          <w:bCs/>
        </w:rPr>
      </w:pPr>
    </w:p>
    <w:p w14:paraId="24CC3230" w14:textId="361AEFCD" w:rsidR="00633C9B" w:rsidRDefault="00633C9B" w:rsidP="005329DE">
      <w:pPr>
        <w:jc w:val="center"/>
        <w:rPr>
          <w:b/>
          <w:bCs/>
        </w:rPr>
      </w:pPr>
    </w:p>
    <w:p w14:paraId="426E6C81" w14:textId="21457352" w:rsidR="00633C9B" w:rsidRDefault="00633C9B" w:rsidP="005329DE">
      <w:pPr>
        <w:jc w:val="center"/>
        <w:rPr>
          <w:b/>
          <w:bCs/>
        </w:rPr>
      </w:pPr>
    </w:p>
    <w:p w14:paraId="0065DE32" w14:textId="5F09C9A0" w:rsidR="00633C9B" w:rsidRDefault="00633C9B" w:rsidP="005329DE">
      <w:pPr>
        <w:jc w:val="center"/>
        <w:rPr>
          <w:b/>
          <w:bCs/>
        </w:rPr>
      </w:pPr>
    </w:p>
    <w:p w14:paraId="1588F870" w14:textId="42AFA579" w:rsidR="00633C9B" w:rsidRDefault="00633C9B" w:rsidP="005329DE">
      <w:pPr>
        <w:jc w:val="center"/>
        <w:rPr>
          <w:b/>
          <w:bCs/>
        </w:rPr>
      </w:pPr>
    </w:p>
    <w:p w14:paraId="676BE30E" w14:textId="30F27098" w:rsidR="00633C9B" w:rsidRDefault="00633C9B" w:rsidP="005329DE">
      <w:pPr>
        <w:jc w:val="center"/>
        <w:rPr>
          <w:b/>
          <w:bCs/>
        </w:rPr>
      </w:pPr>
    </w:p>
    <w:p w14:paraId="5FD64F42" w14:textId="3BAB813A" w:rsidR="00633C9B" w:rsidRDefault="00633C9B" w:rsidP="005329DE">
      <w:pPr>
        <w:jc w:val="center"/>
        <w:rPr>
          <w:b/>
          <w:bCs/>
        </w:rPr>
      </w:pPr>
    </w:p>
    <w:p w14:paraId="3D895747" w14:textId="58E60407" w:rsidR="00633C9B" w:rsidRDefault="00633C9B" w:rsidP="005329DE">
      <w:pPr>
        <w:jc w:val="center"/>
        <w:rPr>
          <w:b/>
          <w:bCs/>
        </w:rPr>
      </w:pPr>
    </w:p>
    <w:p w14:paraId="0B355417" w14:textId="17E7BE24" w:rsidR="00633C9B" w:rsidRDefault="00633C9B" w:rsidP="005329DE">
      <w:pPr>
        <w:jc w:val="center"/>
        <w:rPr>
          <w:b/>
          <w:bCs/>
        </w:rPr>
      </w:pPr>
    </w:p>
    <w:p w14:paraId="30761F01" w14:textId="3E903E7B" w:rsidR="00633C9B" w:rsidRDefault="00633C9B" w:rsidP="005329DE">
      <w:pPr>
        <w:jc w:val="center"/>
        <w:rPr>
          <w:b/>
          <w:bCs/>
        </w:rPr>
      </w:pPr>
    </w:p>
    <w:p w14:paraId="3EB9DBB6" w14:textId="7B2EA596" w:rsidR="00633C9B" w:rsidRDefault="00633C9B" w:rsidP="005329DE">
      <w:pPr>
        <w:jc w:val="center"/>
        <w:rPr>
          <w:b/>
          <w:bCs/>
        </w:rPr>
      </w:pPr>
    </w:p>
    <w:p w14:paraId="47936ED7" w14:textId="7E1017FA" w:rsidR="00633C9B" w:rsidRDefault="00633C9B" w:rsidP="005329DE">
      <w:pPr>
        <w:jc w:val="center"/>
        <w:rPr>
          <w:b/>
          <w:bCs/>
        </w:rPr>
      </w:pPr>
    </w:p>
    <w:p w14:paraId="4A74C4E9" w14:textId="7CB2F87B" w:rsidR="00633C9B" w:rsidRDefault="00633C9B" w:rsidP="005329DE">
      <w:pPr>
        <w:jc w:val="center"/>
        <w:rPr>
          <w:b/>
          <w:bCs/>
        </w:rPr>
      </w:pPr>
    </w:p>
    <w:p w14:paraId="78F37EB7" w14:textId="30513262" w:rsidR="00633C9B" w:rsidRDefault="00633C9B" w:rsidP="005329DE">
      <w:pPr>
        <w:jc w:val="center"/>
        <w:rPr>
          <w:b/>
          <w:bCs/>
        </w:rPr>
      </w:pPr>
    </w:p>
    <w:p w14:paraId="3606B5D7" w14:textId="3A7AC396" w:rsidR="00633C9B" w:rsidRDefault="00633C9B" w:rsidP="005329DE">
      <w:pPr>
        <w:jc w:val="center"/>
        <w:rPr>
          <w:b/>
          <w:bCs/>
        </w:rPr>
      </w:pPr>
    </w:p>
    <w:p w14:paraId="12AE1A1A" w14:textId="3C2C0B4C" w:rsidR="00633C9B" w:rsidRDefault="00633C9B" w:rsidP="005329DE">
      <w:pPr>
        <w:jc w:val="center"/>
        <w:rPr>
          <w:b/>
          <w:bCs/>
        </w:rPr>
      </w:pPr>
    </w:p>
    <w:p w14:paraId="00BA30C4" w14:textId="01ED6DA1" w:rsidR="00633C9B" w:rsidRDefault="00633C9B" w:rsidP="005329DE">
      <w:pPr>
        <w:jc w:val="center"/>
        <w:rPr>
          <w:b/>
          <w:bCs/>
        </w:rPr>
      </w:pPr>
    </w:p>
    <w:p w14:paraId="0C93633A" w14:textId="0D526DB8" w:rsidR="00633C9B" w:rsidRDefault="00633C9B" w:rsidP="005329DE">
      <w:pPr>
        <w:jc w:val="center"/>
        <w:rPr>
          <w:b/>
          <w:bCs/>
        </w:rPr>
      </w:pPr>
    </w:p>
    <w:p w14:paraId="2E47D52D" w14:textId="14C9FBF9" w:rsidR="00633C9B" w:rsidRDefault="00633C9B" w:rsidP="005329DE">
      <w:pPr>
        <w:jc w:val="center"/>
        <w:rPr>
          <w:b/>
          <w:bCs/>
        </w:rPr>
      </w:pPr>
    </w:p>
    <w:p w14:paraId="23D42F4D" w14:textId="77777777" w:rsidR="00633C9B" w:rsidRDefault="00633C9B" w:rsidP="005329DE">
      <w:pPr>
        <w:jc w:val="center"/>
        <w:rPr>
          <w:b/>
          <w:bCs/>
        </w:rPr>
      </w:pPr>
    </w:p>
    <w:p w14:paraId="0C49D188" w14:textId="7EE86FEE" w:rsidR="005329DE" w:rsidRDefault="005329DE" w:rsidP="005329DE">
      <w:pPr>
        <w:jc w:val="center"/>
        <w:rPr>
          <w:b/>
          <w:bCs/>
        </w:rPr>
      </w:pPr>
      <w:r>
        <w:rPr>
          <w:b/>
          <w:bCs/>
        </w:rPr>
        <w:lastRenderedPageBreak/>
        <w:t>Validation analyses: 2019</w:t>
      </w:r>
    </w:p>
    <w:p w14:paraId="5A05FCD6" w14:textId="32C192DB" w:rsidR="008C6365" w:rsidRDefault="008C6365" w:rsidP="005329DE">
      <w:pPr>
        <w:jc w:val="center"/>
        <w:rPr>
          <w:b/>
          <w:bCs/>
        </w:rPr>
      </w:pPr>
    </w:p>
    <w:p w14:paraId="3E5EF9D2" w14:textId="621D1345" w:rsidR="006934FA" w:rsidRDefault="006934FA" w:rsidP="008C6365">
      <w:r>
        <w:t xml:space="preserve">We report two metrics, % error (total) and % error (year-by-year). </w:t>
      </w:r>
      <w:r w:rsidR="005C72A2">
        <w:t xml:space="preserve">Denoting as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proj</m:t>
            </m:r>
          </m:sup>
        </m:sSubSup>
        <m:r>
          <w:rPr>
            <w:rFonts w:ascii="Cambria Math" w:hAnsi="Cambria Math"/>
          </w:rPr>
          <m:t>,</m:t>
        </m:r>
        <m:r>
          <w:rPr>
            <w:rFonts w:ascii="Cambria Math" w:eastAsiaTheme="minorEastAsia" w:hAnsi="Cambria Math"/>
          </w:rPr>
          <m:t xml:space="preserve">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  <m:sup>
            <m:r>
              <w:rPr>
                <w:rFonts w:ascii="Cambria Math" w:eastAsiaTheme="minorEastAsia" w:hAnsi="Cambria Math"/>
              </w:rPr>
              <m:t>obs</m:t>
            </m:r>
          </m:sup>
        </m:sSubSup>
      </m:oMath>
      <w:r w:rsidR="005C72A2">
        <w:t xml:space="preserve"> the number of projected and observed diagnoses</w:t>
      </w:r>
      <w:r w:rsidR="001C417A">
        <w:t xml:space="preserve"> in year </w:t>
      </w:r>
      <m:oMath>
        <m:r>
          <w:rPr>
            <w:rFonts w:ascii="Cambria Math" w:hAnsi="Cambria Math"/>
          </w:rPr>
          <m:t>i</m:t>
        </m:r>
      </m:oMath>
      <w:r w:rsidR="001C417A">
        <w:rPr>
          <w:rFonts w:eastAsiaTheme="minorEastAsia"/>
        </w:rPr>
        <w:t xml:space="preserve"> , respectively, these are defined as:</w:t>
      </w:r>
    </w:p>
    <w:p w14:paraId="0F55876C" w14:textId="30950EB1" w:rsidR="006934FA" w:rsidRDefault="006934FA" w:rsidP="008C6365"/>
    <w:p w14:paraId="61617311" w14:textId="12022637" w:rsidR="006934FA" w:rsidRPr="003D01A5" w:rsidRDefault="003D01A5" w:rsidP="003D01A5">
      <w:pPr>
        <w:rPr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%Error 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total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|</m:t>
              </m:r>
              <m:nary>
                <m:naryPr>
                  <m:chr m:val="∑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i=2011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2017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proj</m:t>
                          </m:r>
                        </m:sup>
                      </m:sSub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obs</m:t>
                          </m:r>
                        </m:sup>
                      </m:sSubSup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|</m:t>
                  </m:r>
                </m:e>
              </m:nary>
            </m:num>
            <m:den>
              <m:nary>
                <m:naryPr>
                  <m:chr m:val="∑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i=2011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2017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obs</m:t>
                      </m:r>
                    </m:sup>
                  </m:sSubSup>
                </m:e>
              </m:nary>
            </m:den>
          </m:f>
          <m:r>
            <m:rPr>
              <m:sty m:val="bi"/>
            </m:rPr>
            <w:rPr>
              <w:rFonts w:ascii="Cambria Math" w:hAnsi="Cambria Math"/>
            </w:rPr>
            <m:t>,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</w:rPr>
            <w:br/>
          </m:r>
        </m:oMath>
        <m:oMath>
          <m:r>
            <m:rPr>
              <m:sty m:val="bi"/>
            </m:rPr>
            <w:rPr>
              <w:rFonts w:ascii="Cambria Math" w:hAnsi="Cambria Math"/>
            </w:rPr>
            <m:t xml:space="preserve">%Error 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year-by-year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radPr>
                <m:deg/>
                <m:e>
                  <m:nary>
                    <m:naryPr>
                      <m:chr m:val="∑"/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naryPr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i=2011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2017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proj</m:t>
                                  </m:r>
                                </m:sup>
                              </m:sSub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obs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radPr>
                <m:deg/>
                <m:e>
                  <m:nary>
                    <m:naryPr>
                      <m:chr m:val="∑"/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naryPr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i=2011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2017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obs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</m:den>
          </m:f>
          <m:r>
            <m:rPr>
              <m:sty m:val="bi"/>
            </m:rPr>
            <w:rPr>
              <w:rFonts w:ascii="Cambria Math" w:hAnsi="Cambria Math"/>
            </w:rPr>
            <m:t>.</m:t>
          </m:r>
          <m:r>
            <w:rPr>
              <w:rFonts w:eastAsiaTheme="minorEastAsia"/>
              <w:b/>
              <w:bCs/>
            </w:rPr>
            <w:br/>
          </m:r>
        </m:oMath>
      </m:oMathPara>
    </w:p>
    <w:p w14:paraId="06F7F5F9" w14:textId="77777777" w:rsidR="005329DE" w:rsidRDefault="005329DE" w:rsidP="005329DE">
      <w:pPr>
        <w:jc w:val="center"/>
        <w:rPr>
          <w:b/>
          <w:bCs/>
        </w:rPr>
      </w:pPr>
    </w:p>
    <w:p w14:paraId="71A40155" w14:textId="77777777" w:rsidR="005329DE" w:rsidRDefault="005329DE" w:rsidP="005329D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EC80DA9" wp14:editId="6BC0FE82">
            <wp:extent cx="5943600" cy="1560195"/>
            <wp:effectExtent l="0" t="0" r="0" b="1905"/>
            <wp:docPr id="2" name="Picture 2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ar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59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8"/>
        <w:gridCol w:w="1898"/>
        <w:gridCol w:w="1898"/>
        <w:gridCol w:w="1898"/>
      </w:tblGrid>
      <w:tr w:rsidR="005329DE" w:rsidRPr="00CA79F9" w14:paraId="02B21F2B" w14:textId="77777777" w:rsidTr="006A21FC">
        <w:trPr>
          <w:trHeight w:val="584"/>
          <w:jc w:val="center"/>
        </w:trPr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41CB4" w14:textId="77777777" w:rsidR="005329DE" w:rsidRPr="00CA79F9" w:rsidRDefault="005329DE" w:rsidP="006A21FC">
            <w:r w:rsidRPr="00CA79F9">
              <w:rPr>
                <w:b/>
                <w:bCs/>
              </w:rPr>
              <w:t>Method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E04EC" w14:textId="77777777" w:rsidR="005329DE" w:rsidRPr="00CA79F9" w:rsidRDefault="005329DE" w:rsidP="006A21FC">
            <w:r w:rsidRPr="00CA79F9">
              <w:rPr>
                <w:b/>
                <w:bCs/>
              </w:rPr>
              <w:t>Total diagnoses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FC247" w14:textId="77777777" w:rsidR="005329DE" w:rsidRPr="00CA79F9" w:rsidRDefault="005329DE" w:rsidP="006A21FC">
            <w:r w:rsidRPr="00CA79F9">
              <w:rPr>
                <w:b/>
                <w:bCs/>
              </w:rPr>
              <w:t>% error (total)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CF0E5" w14:textId="77777777" w:rsidR="005329DE" w:rsidRPr="00CA79F9" w:rsidRDefault="005329DE" w:rsidP="006A21FC">
            <w:r w:rsidRPr="00CA79F9">
              <w:rPr>
                <w:b/>
                <w:bCs/>
              </w:rPr>
              <w:t>% error (year by year)</w:t>
            </w:r>
          </w:p>
        </w:tc>
      </w:tr>
      <w:tr w:rsidR="005329DE" w:rsidRPr="00CA79F9" w14:paraId="5133311F" w14:textId="77777777" w:rsidTr="006A21FC">
        <w:trPr>
          <w:trHeight w:val="584"/>
          <w:jc w:val="center"/>
        </w:trPr>
        <w:tc>
          <w:tcPr>
            <w:tcW w:w="18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625AEA" w14:textId="77777777" w:rsidR="005329DE" w:rsidRPr="00CA79F9" w:rsidRDefault="005329DE" w:rsidP="006A21FC">
            <w:r w:rsidRPr="00CA79F9">
              <w:t>Surveillance</w:t>
            </w:r>
          </w:p>
        </w:tc>
        <w:tc>
          <w:tcPr>
            <w:tcW w:w="18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67B05" w14:textId="77777777" w:rsidR="005329DE" w:rsidRPr="00CA79F9" w:rsidRDefault="005329DE" w:rsidP="006A21FC">
            <w:r>
              <w:t>13605</w:t>
            </w:r>
          </w:p>
        </w:tc>
        <w:tc>
          <w:tcPr>
            <w:tcW w:w="18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A15E6" w14:textId="77777777" w:rsidR="005329DE" w:rsidRPr="00CA79F9" w:rsidRDefault="005329DE" w:rsidP="006A21FC">
            <w:r w:rsidRPr="00CA79F9">
              <w:t>NA</w:t>
            </w:r>
          </w:p>
        </w:tc>
        <w:tc>
          <w:tcPr>
            <w:tcW w:w="18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70A4F" w14:textId="77777777" w:rsidR="005329DE" w:rsidRPr="00CA79F9" w:rsidRDefault="005329DE" w:rsidP="006A21FC">
            <w:r w:rsidRPr="00CA79F9">
              <w:t>NA</w:t>
            </w:r>
          </w:p>
        </w:tc>
      </w:tr>
      <w:tr w:rsidR="005329DE" w:rsidRPr="00CA79F9" w14:paraId="3C20267E" w14:textId="77777777" w:rsidTr="006A21FC">
        <w:trPr>
          <w:trHeight w:val="584"/>
          <w:jc w:val="center"/>
        </w:trPr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0437C" w14:textId="77777777" w:rsidR="005329DE" w:rsidRPr="00CA79F9" w:rsidRDefault="005329DE" w:rsidP="006A21FC">
            <w:r w:rsidRPr="00CA79F9">
              <w:t>Diag. Delay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9C1FE" w14:textId="34CD0A2C" w:rsidR="005329DE" w:rsidRPr="00CA79F9" w:rsidRDefault="005329DE" w:rsidP="006A21FC">
            <w:r w:rsidRPr="00CA79F9">
              <w:t>1</w:t>
            </w:r>
            <w:r>
              <w:t>39</w:t>
            </w:r>
            <w:r w:rsidR="00207BF2">
              <w:t>50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3EDDD" w14:textId="44B4A5BF" w:rsidR="005329DE" w:rsidRPr="00CA79F9" w:rsidRDefault="005329DE" w:rsidP="006A21FC">
            <w:r>
              <w:t>2</w:t>
            </w:r>
            <w:r w:rsidRPr="00CA79F9">
              <w:t>.</w:t>
            </w:r>
            <w:r w:rsidR="00025F88">
              <w:t>4</w:t>
            </w:r>
            <w:r w:rsidRPr="00CA79F9">
              <w:t>%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900CB" w14:textId="77777777" w:rsidR="005329DE" w:rsidRPr="00CA79F9" w:rsidRDefault="005329DE" w:rsidP="006A21FC">
            <w:r w:rsidRPr="00CA79F9">
              <w:t>3.8%</w:t>
            </w:r>
          </w:p>
        </w:tc>
      </w:tr>
      <w:tr w:rsidR="005329DE" w:rsidRPr="00CA79F9" w14:paraId="3E86F292" w14:textId="77777777" w:rsidTr="006A21FC">
        <w:trPr>
          <w:trHeight w:val="584"/>
          <w:jc w:val="center"/>
        </w:trPr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172D6" w14:textId="77777777" w:rsidR="005329DE" w:rsidRPr="00CA79F9" w:rsidRDefault="005329DE" w:rsidP="006A21FC">
            <w:r w:rsidRPr="00CA79F9">
              <w:t>Inc. (3 yr. avg)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4F4505" w14:textId="77777777" w:rsidR="005329DE" w:rsidRPr="00CA79F9" w:rsidRDefault="005329DE" w:rsidP="006A21FC">
            <w:r>
              <w:t>13850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17C362" w14:textId="77777777" w:rsidR="005329DE" w:rsidRPr="00CA79F9" w:rsidRDefault="005329DE" w:rsidP="006A21FC">
            <w:r>
              <w:t>1</w:t>
            </w:r>
            <w:r w:rsidRPr="00CA79F9">
              <w:t>.</w:t>
            </w:r>
            <w:r>
              <w:t>8</w:t>
            </w:r>
            <w:r w:rsidRPr="00CA79F9">
              <w:t>%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AF561B" w14:textId="77777777" w:rsidR="005329DE" w:rsidRPr="00CA79F9" w:rsidRDefault="005329DE" w:rsidP="006A21FC">
            <w:r>
              <w:t>3</w:t>
            </w:r>
            <w:r w:rsidRPr="00CA79F9">
              <w:t>.</w:t>
            </w:r>
            <w:r>
              <w:t>5</w:t>
            </w:r>
            <w:r w:rsidRPr="00CA79F9">
              <w:t>%</w:t>
            </w:r>
          </w:p>
        </w:tc>
      </w:tr>
      <w:tr w:rsidR="005329DE" w:rsidRPr="00CA79F9" w14:paraId="5D8D1FAB" w14:textId="77777777" w:rsidTr="006A21FC">
        <w:trPr>
          <w:trHeight w:val="584"/>
          <w:jc w:val="center"/>
        </w:trPr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49DB0" w14:textId="77777777" w:rsidR="005329DE" w:rsidRPr="00CA79F9" w:rsidRDefault="005329DE" w:rsidP="006A21FC">
            <w:r w:rsidRPr="00CA79F9">
              <w:t>Inc. (regression)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F240D4" w14:textId="7D6A33B8" w:rsidR="005329DE" w:rsidRDefault="005329DE" w:rsidP="006A21FC">
            <w:r>
              <w:t>14</w:t>
            </w:r>
            <w:r w:rsidR="00025F88">
              <w:t>000</w:t>
            </w:r>
          </w:p>
          <w:p w14:paraId="5FADE153" w14:textId="77777777" w:rsidR="005329DE" w:rsidRDefault="005329DE" w:rsidP="006A21FC">
            <w:pPr>
              <w:jc w:val="center"/>
            </w:pPr>
          </w:p>
          <w:p w14:paraId="2CAA24F7" w14:textId="77777777" w:rsidR="005329DE" w:rsidRPr="00F93A8C" w:rsidRDefault="005329DE" w:rsidP="006A21FC"/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8DC38" w14:textId="7BE187EB" w:rsidR="005329DE" w:rsidRPr="00CA79F9" w:rsidRDefault="00025F88" w:rsidP="006A21FC">
            <w:r>
              <w:t>2</w:t>
            </w:r>
            <w:r w:rsidR="005329DE" w:rsidRPr="00CA79F9">
              <w:t>.</w:t>
            </w:r>
            <w:r>
              <w:t>9</w:t>
            </w:r>
            <w:r w:rsidR="005329DE" w:rsidRPr="00CA79F9">
              <w:t>%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50491" w14:textId="35708229" w:rsidR="005329DE" w:rsidRPr="00CA79F9" w:rsidRDefault="00025F88" w:rsidP="006A21FC">
            <w:r>
              <w:t>4.8</w:t>
            </w:r>
            <w:r w:rsidR="005329DE" w:rsidRPr="00CA79F9">
              <w:t>%</w:t>
            </w:r>
          </w:p>
        </w:tc>
      </w:tr>
    </w:tbl>
    <w:p w14:paraId="0A04B9AB" w14:textId="6804EDD4" w:rsidR="005329DE" w:rsidRDefault="005329DE" w:rsidP="005329DE">
      <w:pPr>
        <w:jc w:val="center"/>
        <w:rPr>
          <w:i/>
          <w:iCs/>
        </w:rPr>
      </w:pPr>
      <w:r>
        <w:rPr>
          <w:b/>
          <w:bCs/>
        </w:rPr>
        <w:t>Table/Figure A</w:t>
      </w:r>
      <w:r w:rsidR="00633C9B">
        <w:rPr>
          <w:b/>
          <w:bCs/>
        </w:rPr>
        <w:t>2</w:t>
      </w:r>
      <w:r>
        <w:rPr>
          <w:b/>
          <w:bCs/>
        </w:rPr>
        <w:t xml:space="preserve">: </w:t>
      </w:r>
      <w:r w:rsidRPr="00A548C6">
        <w:rPr>
          <w:i/>
          <w:iCs/>
        </w:rPr>
        <w:t xml:space="preserve">Validation analyses, total population. The projected diagnoses in 2019 using data up through 2017 are in good agreement with observation, establishing the </w:t>
      </w:r>
      <w:r>
        <w:rPr>
          <w:i/>
          <w:iCs/>
        </w:rPr>
        <w:t>validity</w:t>
      </w:r>
      <w:r w:rsidRPr="00A548C6">
        <w:rPr>
          <w:i/>
          <w:iCs/>
        </w:rPr>
        <w:t xml:space="preserve"> of the </w:t>
      </w:r>
      <w:r>
        <w:rPr>
          <w:i/>
          <w:iCs/>
        </w:rPr>
        <w:t xml:space="preserve">extending the developed </w:t>
      </w:r>
      <w:r w:rsidRPr="00A548C6">
        <w:rPr>
          <w:i/>
          <w:iCs/>
        </w:rPr>
        <w:t xml:space="preserve">methods </w:t>
      </w:r>
      <w:r>
        <w:rPr>
          <w:i/>
          <w:iCs/>
        </w:rPr>
        <w:t>to 2021.</w:t>
      </w:r>
    </w:p>
    <w:p w14:paraId="562C4F19" w14:textId="2F09B2DF" w:rsidR="005329DE" w:rsidRDefault="005329DE" w:rsidP="001C417A">
      <w:pPr>
        <w:rPr>
          <w:i/>
          <w:iCs/>
        </w:rPr>
      </w:pPr>
    </w:p>
    <w:p w14:paraId="221FD72D" w14:textId="77777777" w:rsidR="001C417A" w:rsidRDefault="001C417A" w:rsidP="001C417A">
      <w:pPr>
        <w:rPr>
          <w:i/>
          <w:iCs/>
        </w:rPr>
      </w:pPr>
    </w:p>
    <w:tbl>
      <w:tblPr>
        <w:tblW w:w="68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3"/>
        <w:gridCol w:w="1380"/>
        <w:gridCol w:w="1380"/>
        <w:gridCol w:w="1372"/>
        <w:gridCol w:w="1369"/>
      </w:tblGrid>
      <w:tr w:rsidR="005329DE" w:rsidRPr="00CA79F9" w14:paraId="679673F3" w14:textId="77777777" w:rsidTr="006A21FC">
        <w:trPr>
          <w:trHeight w:val="332"/>
          <w:jc w:val="center"/>
        </w:trPr>
        <w:tc>
          <w:tcPr>
            <w:tcW w:w="13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14:paraId="7CE3617F" w14:textId="77777777" w:rsidR="005329DE" w:rsidRPr="00CA79F9" w:rsidRDefault="005329DE" w:rsidP="006A21F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Group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14:paraId="3A204929" w14:textId="77777777" w:rsidR="005329DE" w:rsidRPr="00CA79F9" w:rsidRDefault="005329DE" w:rsidP="006A21FC">
            <w:pPr>
              <w:rPr>
                <w:b/>
                <w:bCs/>
              </w:rPr>
            </w:pPr>
            <w:r>
              <w:rPr>
                <w:b/>
                <w:bCs/>
              </w:rPr>
              <w:t>Observed Diagnoses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A385D6" w14:textId="77777777" w:rsidR="005329DE" w:rsidRPr="00CA79F9" w:rsidRDefault="005329DE" w:rsidP="006A21FC">
            <w:r>
              <w:rPr>
                <w:b/>
                <w:bCs/>
              </w:rPr>
              <w:t>Projected</w:t>
            </w:r>
            <w:r w:rsidRPr="00CA79F9">
              <w:rPr>
                <w:b/>
                <w:bCs/>
              </w:rPr>
              <w:t xml:space="preserve"> diagnoses</w:t>
            </w:r>
          </w:p>
        </w:tc>
        <w:tc>
          <w:tcPr>
            <w:tcW w:w="13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521159" w14:textId="77777777" w:rsidR="005329DE" w:rsidRPr="00CA79F9" w:rsidRDefault="005329DE" w:rsidP="006A21FC">
            <w:r w:rsidRPr="00CA79F9">
              <w:rPr>
                <w:b/>
                <w:bCs/>
              </w:rPr>
              <w:t>% error (total)</w:t>
            </w:r>
          </w:p>
        </w:tc>
        <w:tc>
          <w:tcPr>
            <w:tcW w:w="13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705C6B" w14:textId="77777777" w:rsidR="005329DE" w:rsidRPr="00CA79F9" w:rsidRDefault="005329DE" w:rsidP="006A21FC">
            <w:r w:rsidRPr="00CA79F9">
              <w:rPr>
                <w:b/>
                <w:bCs/>
              </w:rPr>
              <w:t>% error (year by year)</w:t>
            </w:r>
          </w:p>
        </w:tc>
      </w:tr>
      <w:tr w:rsidR="005329DE" w:rsidRPr="00CA79F9" w14:paraId="4B04E0F8" w14:textId="77777777" w:rsidTr="006A21FC">
        <w:trPr>
          <w:trHeight w:val="332"/>
          <w:jc w:val="center"/>
        </w:trPr>
        <w:tc>
          <w:tcPr>
            <w:tcW w:w="13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11EB0D84" w14:textId="77777777" w:rsidR="005329DE" w:rsidRPr="00095F93" w:rsidRDefault="005329DE" w:rsidP="006A21FC">
            <w:r>
              <w:t>Male</w:t>
            </w:r>
          </w:p>
        </w:tc>
        <w:tc>
          <w:tcPr>
            <w:tcW w:w="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01724B70" w14:textId="77777777" w:rsidR="005329DE" w:rsidRDefault="005329DE" w:rsidP="006A21FC">
            <w:r>
              <w:t>11320</w:t>
            </w:r>
          </w:p>
        </w:tc>
        <w:tc>
          <w:tcPr>
            <w:tcW w:w="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4A9EF" w14:textId="1D265387" w:rsidR="005329DE" w:rsidRPr="00CA79F9" w:rsidRDefault="005329DE" w:rsidP="006A21FC">
            <w:r>
              <w:t>117</w:t>
            </w:r>
            <w:r w:rsidR="00AB59C7">
              <w:t>50</w:t>
            </w:r>
          </w:p>
        </w:tc>
        <w:tc>
          <w:tcPr>
            <w:tcW w:w="13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7E9AD" w14:textId="77777777" w:rsidR="005329DE" w:rsidRPr="00CA79F9" w:rsidRDefault="005329DE" w:rsidP="006A21FC">
            <w:r>
              <w:t>3.7%</w:t>
            </w:r>
          </w:p>
        </w:tc>
        <w:tc>
          <w:tcPr>
            <w:tcW w:w="13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8C6B7F" w14:textId="77777777" w:rsidR="005329DE" w:rsidRPr="00CA79F9" w:rsidRDefault="005329DE" w:rsidP="006A21FC">
            <w:r>
              <w:t>4.9%</w:t>
            </w:r>
          </w:p>
        </w:tc>
      </w:tr>
      <w:tr w:rsidR="005329DE" w:rsidRPr="00CA79F9" w14:paraId="2193829D" w14:textId="77777777" w:rsidTr="006A21FC">
        <w:trPr>
          <w:trHeight w:val="332"/>
          <w:jc w:val="center"/>
        </w:trPr>
        <w:tc>
          <w:tcPr>
            <w:tcW w:w="1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15377146" w14:textId="77777777" w:rsidR="005329DE" w:rsidRDefault="005329DE" w:rsidP="006A21FC">
            <w:r>
              <w:t>Female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0B01427B" w14:textId="2D990CE5" w:rsidR="005329DE" w:rsidRDefault="005329DE" w:rsidP="006A21FC">
            <w:r>
              <w:t>2</w:t>
            </w:r>
            <w:r w:rsidR="002D49A6">
              <w:t>2</w:t>
            </w:r>
            <w:r w:rsidR="00FA3CE1">
              <w:t>83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01710" w14:textId="3FB72B76" w:rsidR="005329DE" w:rsidRPr="00CA79F9" w:rsidRDefault="00FA3CE1" w:rsidP="006A21FC">
            <w:r>
              <w:t>2200</w:t>
            </w:r>
          </w:p>
        </w:tc>
        <w:tc>
          <w:tcPr>
            <w:tcW w:w="1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61AB5C" w14:textId="77777777" w:rsidR="005329DE" w:rsidRPr="00CA79F9" w:rsidRDefault="005329DE" w:rsidP="006A21FC">
            <w:r>
              <w:t>3.7%</w:t>
            </w:r>
          </w:p>
        </w:tc>
        <w:tc>
          <w:tcPr>
            <w:tcW w:w="1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7CD80" w14:textId="51342C13" w:rsidR="005329DE" w:rsidRPr="00CA79F9" w:rsidRDefault="00417E69" w:rsidP="006A21FC">
            <w:r>
              <w:t>6.0</w:t>
            </w:r>
            <w:r w:rsidR="005329DE">
              <w:t>%</w:t>
            </w:r>
          </w:p>
        </w:tc>
      </w:tr>
      <w:tr w:rsidR="005329DE" w:rsidRPr="00CA79F9" w14:paraId="367E1E3C" w14:textId="77777777" w:rsidTr="006A21FC">
        <w:trPr>
          <w:trHeight w:val="332"/>
          <w:jc w:val="center"/>
        </w:trPr>
        <w:tc>
          <w:tcPr>
            <w:tcW w:w="1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33069614" w14:textId="15C9D544" w:rsidR="005329DE" w:rsidRDefault="005329DE" w:rsidP="006A21FC">
            <w:r>
              <w:t>Black</w:t>
            </w:r>
            <w:r w:rsidR="00B87709">
              <w:t>/African American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1EB85D53" w14:textId="77777777" w:rsidR="005329DE" w:rsidRDefault="005329DE" w:rsidP="006A21FC">
            <w:r>
              <w:t>5967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E10DC0" w14:textId="3498ECDD" w:rsidR="005329DE" w:rsidRDefault="005329DE" w:rsidP="006A21FC">
            <w:r>
              <w:t>59</w:t>
            </w:r>
            <w:r w:rsidR="00A65254">
              <w:t>5</w:t>
            </w:r>
            <w:r>
              <w:t>0</w:t>
            </w:r>
          </w:p>
          <w:p w14:paraId="51D934FF" w14:textId="77777777" w:rsidR="005329DE" w:rsidRPr="00F93A8C" w:rsidRDefault="005329DE" w:rsidP="006A21FC"/>
        </w:tc>
        <w:tc>
          <w:tcPr>
            <w:tcW w:w="1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307F6" w14:textId="77777777" w:rsidR="005329DE" w:rsidRPr="00CA79F9" w:rsidRDefault="005329DE" w:rsidP="006A21FC">
            <w:r>
              <w:t>0.4%</w:t>
            </w:r>
          </w:p>
        </w:tc>
        <w:tc>
          <w:tcPr>
            <w:tcW w:w="1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E51C5D" w14:textId="77777777" w:rsidR="005329DE" w:rsidRPr="00CA79F9" w:rsidRDefault="005329DE" w:rsidP="006A21FC">
            <w:r>
              <w:t>3.8%</w:t>
            </w:r>
          </w:p>
        </w:tc>
      </w:tr>
      <w:tr w:rsidR="005329DE" w:rsidRPr="00CA79F9" w14:paraId="3E6D8562" w14:textId="77777777" w:rsidTr="006A21FC">
        <w:trPr>
          <w:trHeight w:val="332"/>
          <w:jc w:val="center"/>
        </w:trPr>
        <w:tc>
          <w:tcPr>
            <w:tcW w:w="1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1F5AC6C8" w14:textId="77777777" w:rsidR="005329DE" w:rsidRPr="00832CC7" w:rsidRDefault="005329DE" w:rsidP="006A21FC">
            <w:proofErr w:type="spellStart"/>
            <w:r>
              <w:t>Hisp</w:t>
            </w:r>
            <w:proofErr w:type="spellEnd"/>
            <w:r>
              <w:t>/Latino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7888981B" w14:textId="77777777" w:rsidR="005329DE" w:rsidRDefault="005329DE" w:rsidP="006A21FC">
            <w:r>
              <w:t>3813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403F84" w14:textId="4EE546FB" w:rsidR="005329DE" w:rsidRDefault="005329DE" w:rsidP="006A21FC">
            <w:r>
              <w:t>39</w:t>
            </w:r>
            <w:r w:rsidR="00CC7548">
              <w:t>00</w:t>
            </w:r>
          </w:p>
        </w:tc>
        <w:tc>
          <w:tcPr>
            <w:tcW w:w="1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D18098" w14:textId="6BBBDD78" w:rsidR="005329DE" w:rsidRDefault="005329DE" w:rsidP="006A21FC">
            <w:r>
              <w:t>2.</w:t>
            </w:r>
            <w:r w:rsidR="00CC7548">
              <w:t>3</w:t>
            </w:r>
            <w:r>
              <w:t>%</w:t>
            </w:r>
          </w:p>
        </w:tc>
        <w:tc>
          <w:tcPr>
            <w:tcW w:w="1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3F38A9" w14:textId="77777777" w:rsidR="005329DE" w:rsidRDefault="005329DE" w:rsidP="006A21FC">
            <w:r>
              <w:t>7.2%</w:t>
            </w:r>
          </w:p>
        </w:tc>
      </w:tr>
      <w:tr w:rsidR="005329DE" w:rsidRPr="00CA79F9" w14:paraId="3F1B4B6A" w14:textId="77777777" w:rsidTr="006A21FC">
        <w:trPr>
          <w:trHeight w:val="332"/>
          <w:jc w:val="center"/>
        </w:trPr>
        <w:tc>
          <w:tcPr>
            <w:tcW w:w="1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0AA2E037" w14:textId="77777777" w:rsidR="005329DE" w:rsidRDefault="005329DE" w:rsidP="006A21FC">
            <w:r>
              <w:t>White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258048C4" w14:textId="77777777" w:rsidR="005329DE" w:rsidRDefault="005329DE" w:rsidP="006A21FC">
            <w:r>
              <w:t>3018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74562D" w14:textId="20EA68C2" w:rsidR="005329DE" w:rsidRDefault="005329DE" w:rsidP="006A21FC">
            <w:r>
              <w:t>3</w:t>
            </w:r>
            <w:r w:rsidR="003B580E">
              <w:t>10</w:t>
            </w:r>
            <w:r w:rsidR="006B1352">
              <w:t>0</w:t>
            </w:r>
          </w:p>
        </w:tc>
        <w:tc>
          <w:tcPr>
            <w:tcW w:w="1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1AE76C" w14:textId="2F328FFD" w:rsidR="005329DE" w:rsidRDefault="005329DE" w:rsidP="006A21FC">
            <w:r>
              <w:t>2.</w:t>
            </w:r>
            <w:r w:rsidR="003B580E">
              <w:t>7</w:t>
            </w:r>
            <w:r>
              <w:t>%</w:t>
            </w:r>
          </w:p>
        </w:tc>
        <w:tc>
          <w:tcPr>
            <w:tcW w:w="1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2CE35D" w14:textId="77777777" w:rsidR="005329DE" w:rsidRDefault="005329DE" w:rsidP="006A21FC">
            <w:r>
              <w:t>4.2%</w:t>
            </w:r>
          </w:p>
        </w:tc>
      </w:tr>
      <w:tr w:rsidR="005329DE" w:rsidRPr="00CA79F9" w14:paraId="1130B106" w14:textId="77777777" w:rsidTr="006A21FC">
        <w:trPr>
          <w:trHeight w:val="332"/>
          <w:jc w:val="center"/>
        </w:trPr>
        <w:tc>
          <w:tcPr>
            <w:tcW w:w="1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1528F940" w14:textId="77777777" w:rsidR="005329DE" w:rsidRDefault="005329DE" w:rsidP="006A21FC">
            <w:r>
              <w:t>Northeast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5FEEDAA0" w14:textId="77777777" w:rsidR="005329DE" w:rsidRDefault="005329DE" w:rsidP="006A21FC">
            <w:r>
              <w:t>1995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4605D0" w14:textId="78B75CE6" w:rsidR="005329DE" w:rsidRDefault="007424FB" w:rsidP="006A21FC">
            <w:r>
              <w:t>2000</w:t>
            </w:r>
          </w:p>
        </w:tc>
        <w:tc>
          <w:tcPr>
            <w:tcW w:w="1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59E6A9" w14:textId="77777777" w:rsidR="005329DE" w:rsidRDefault="005329DE" w:rsidP="006A21FC">
            <w:r>
              <w:t>0.2%</w:t>
            </w:r>
          </w:p>
        </w:tc>
        <w:tc>
          <w:tcPr>
            <w:tcW w:w="1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F2C307" w14:textId="77777777" w:rsidR="005329DE" w:rsidRDefault="005329DE" w:rsidP="006A21FC">
            <w:r>
              <w:t>6.0%</w:t>
            </w:r>
          </w:p>
        </w:tc>
      </w:tr>
      <w:tr w:rsidR="005329DE" w:rsidRPr="00CA79F9" w14:paraId="0945B73A" w14:textId="77777777" w:rsidTr="006A21FC">
        <w:trPr>
          <w:trHeight w:val="332"/>
          <w:jc w:val="center"/>
        </w:trPr>
        <w:tc>
          <w:tcPr>
            <w:tcW w:w="1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1403DF9D" w14:textId="77777777" w:rsidR="005329DE" w:rsidRDefault="005329DE" w:rsidP="006A21FC">
            <w:r>
              <w:t>Midwest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73A658DB" w14:textId="77777777" w:rsidR="005329DE" w:rsidRDefault="005329DE" w:rsidP="006A21FC">
            <w:r>
              <w:t>1779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ABCD0F" w14:textId="4D918329" w:rsidR="005329DE" w:rsidRDefault="00CF0680" w:rsidP="006A21FC">
            <w:r>
              <w:t>1850</w:t>
            </w:r>
          </w:p>
        </w:tc>
        <w:tc>
          <w:tcPr>
            <w:tcW w:w="1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E689E6" w14:textId="187DE57E" w:rsidR="005329DE" w:rsidRDefault="00CF0680" w:rsidP="006A21FC">
            <w:r>
              <w:t>3</w:t>
            </w:r>
            <w:r w:rsidR="005329DE">
              <w:t>.</w:t>
            </w:r>
            <w:r>
              <w:t>8</w:t>
            </w:r>
            <w:r w:rsidR="005329DE">
              <w:t>%</w:t>
            </w:r>
          </w:p>
        </w:tc>
        <w:tc>
          <w:tcPr>
            <w:tcW w:w="1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45010B" w14:textId="77777777" w:rsidR="005329DE" w:rsidRDefault="005329DE" w:rsidP="006A21FC">
            <w:r>
              <w:t>9.0%</w:t>
            </w:r>
          </w:p>
        </w:tc>
      </w:tr>
      <w:tr w:rsidR="005329DE" w:rsidRPr="00CA79F9" w14:paraId="606238E4" w14:textId="77777777" w:rsidTr="006A21FC">
        <w:trPr>
          <w:trHeight w:val="332"/>
          <w:jc w:val="center"/>
        </w:trPr>
        <w:tc>
          <w:tcPr>
            <w:tcW w:w="1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5292D056" w14:textId="77777777" w:rsidR="005329DE" w:rsidRDefault="005329DE" w:rsidP="006A21FC">
            <w:r>
              <w:t>West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654F60C7" w14:textId="77777777" w:rsidR="005329DE" w:rsidRDefault="005329DE" w:rsidP="006A21FC">
            <w:r>
              <w:t>2788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409247" w14:textId="4925B151" w:rsidR="005329DE" w:rsidRDefault="005329DE" w:rsidP="006A21FC">
            <w:r>
              <w:t>285</w:t>
            </w:r>
            <w:r w:rsidR="00CD2F08">
              <w:t>0</w:t>
            </w:r>
          </w:p>
        </w:tc>
        <w:tc>
          <w:tcPr>
            <w:tcW w:w="1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387B6C" w14:textId="78A4F3E4" w:rsidR="005329DE" w:rsidRDefault="005329DE" w:rsidP="006A21FC">
            <w:r>
              <w:t>2.</w:t>
            </w:r>
            <w:r w:rsidR="00CD2F08">
              <w:t>2</w:t>
            </w:r>
            <w:r>
              <w:t>%</w:t>
            </w:r>
          </w:p>
        </w:tc>
        <w:tc>
          <w:tcPr>
            <w:tcW w:w="1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E3989B" w14:textId="77777777" w:rsidR="005329DE" w:rsidRDefault="005329DE" w:rsidP="006A21FC">
            <w:r>
              <w:t>8.2%</w:t>
            </w:r>
          </w:p>
        </w:tc>
      </w:tr>
      <w:tr w:rsidR="005329DE" w:rsidRPr="00CA79F9" w14:paraId="297ADA27" w14:textId="77777777" w:rsidTr="006A21FC">
        <w:trPr>
          <w:trHeight w:val="332"/>
          <w:jc w:val="center"/>
        </w:trPr>
        <w:tc>
          <w:tcPr>
            <w:tcW w:w="1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332D60B7" w14:textId="77777777" w:rsidR="005329DE" w:rsidRDefault="005329DE" w:rsidP="006A21FC">
            <w:r>
              <w:t>South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6EE416CF" w14:textId="77777777" w:rsidR="005329DE" w:rsidRDefault="005329DE" w:rsidP="006A21FC">
            <w:r>
              <w:t>7043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4BE43B" w14:textId="7AD08BC7" w:rsidR="005329DE" w:rsidRDefault="005329DE" w:rsidP="006A21FC">
            <w:r>
              <w:t>71</w:t>
            </w:r>
            <w:r w:rsidR="008B44ED">
              <w:t>50</w:t>
            </w:r>
          </w:p>
        </w:tc>
        <w:tc>
          <w:tcPr>
            <w:tcW w:w="1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7F8DF6" w14:textId="77777777" w:rsidR="005329DE" w:rsidRDefault="005329DE" w:rsidP="006A21FC">
            <w:r>
              <w:t>1.7%</w:t>
            </w:r>
          </w:p>
        </w:tc>
        <w:tc>
          <w:tcPr>
            <w:tcW w:w="1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76111B" w14:textId="77777777" w:rsidR="005329DE" w:rsidRDefault="005329DE" w:rsidP="006A21FC">
            <w:r>
              <w:t>4.2%</w:t>
            </w:r>
          </w:p>
        </w:tc>
      </w:tr>
      <w:tr w:rsidR="005329DE" w:rsidRPr="00CA79F9" w14:paraId="6836113C" w14:textId="77777777" w:rsidTr="006A21FC">
        <w:trPr>
          <w:trHeight w:val="332"/>
          <w:jc w:val="center"/>
        </w:trPr>
        <w:tc>
          <w:tcPr>
            <w:tcW w:w="1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690FDD7D" w14:textId="77777777" w:rsidR="005329DE" w:rsidRDefault="005329DE" w:rsidP="006A21FC">
            <w:r>
              <w:t>MSM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20B0E927" w14:textId="77777777" w:rsidR="005329DE" w:rsidRDefault="005329DE" w:rsidP="006A21FC">
            <w:r>
              <w:t>9517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ED4C25" w14:textId="29839E59" w:rsidR="005329DE" w:rsidRDefault="005329DE" w:rsidP="006A21FC">
            <w:r>
              <w:t>98</w:t>
            </w:r>
            <w:r w:rsidR="008C6C74">
              <w:t>50</w:t>
            </w:r>
          </w:p>
        </w:tc>
        <w:tc>
          <w:tcPr>
            <w:tcW w:w="1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8EEC26" w14:textId="5EA00AF3" w:rsidR="005329DE" w:rsidRDefault="005329DE" w:rsidP="006A21FC">
            <w:r>
              <w:t>3.</w:t>
            </w:r>
            <w:r w:rsidR="0053238E">
              <w:t>5</w:t>
            </w:r>
            <w:r>
              <w:t>%</w:t>
            </w:r>
          </w:p>
        </w:tc>
        <w:tc>
          <w:tcPr>
            <w:tcW w:w="1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065D4D" w14:textId="47F0407D" w:rsidR="005329DE" w:rsidRDefault="00301EC2" w:rsidP="006A21FC">
            <w:r>
              <w:t>5</w:t>
            </w:r>
            <w:r w:rsidR="005329DE">
              <w:t>.</w:t>
            </w:r>
            <w:r>
              <w:t>2</w:t>
            </w:r>
            <w:r w:rsidR="005329DE">
              <w:t>%</w:t>
            </w:r>
          </w:p>
        </w:tc>
      </w:tr>
      <w:tr w:rsidR="005329DE" w:rsidRPr="00CA79F9" w14:paraId="7B0E7FFE" w14:textId="77777777" w:rsidTr="006A21FC">
        <w:trPr>
          <w:trHeight w:val="332"/>
          <w:jc w:val="center"/>
        </w:trPr>
        <w:tc>
          <w:tcPr>
            <w:tcW w:w="1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7D4028D3" w14:textId="77777777" w:rsidR="005329DE" w:rsidRDefault="005329DE" w:rsidP="006A21FC">
            <w:r>
              <w:t>HET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216B146D" w14:textId="77777777" w:rsidR="005329DE" w:rsidRDefault="005329DE" w:rsidP="006A21FC">
            <w:r>
              <w:t>2551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FB511F" w14:textId="1CCC55C6" w:rsidR="005329DE" w:rsidRDefault="005329DE" w:rsidP="006A21FC">
            <w:r>
              <w:t>25</w:t>
            </w:r>
            <w:r w:rsidR="00301EC2">
              <w:t>50</w:t>
            </w:r>
          </w:p>
        </w:tc>
        <w:tc>
          <w:tcPr>
            <w:tcW w:w="1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63DC96" w14:textId="067900C9" w:rsidR="005329DE" w:rsidRDefault="005329DE" w:rsidP="006A21FC">
            <w:r>
              <w:t>0.</w:t>
            </w:r>
            <w:r w:rsidR="00D4588D">
              <w:t>003</w:t>
            </w:r>
            <w:r>
              <w:t>%</w:t>
            </w:r>
          </w:p>
        </w:tc>
        <w:tc>
          <w:tcPr>
            <w:tcW w:w="1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126DE3" w14:textId="77777777" w:rsidR="005329DE" w:rsidRDefault="005329DE" w:rsidP="006A21FC">
            <w:r>
              <w:t>6.3%</w:t>
            </w:r>
          </w:p>
        </w:tc>
      </w:tr>
      <w:tr w:rsidR="005329DE" w:rsidRPr="00CA79F9" w14:paraId="6AA71FB8" w14:textId="77777777" w:rsidTr="006A21FC">
        <w:trPr>
          <w:trHeight w:val="332"/>
          <w:jc w:val="center"/>
        </w:trPr>
        <w:tc>
          <w:tcPr>
            <w:tcW w:w="1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76512E01" w14:textId="77777777" w:rsidR="005329DE" w:rsidRDefault="005329DE" w:rsidP="006A21FC">
            <w:r>
              <w:t>PWID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235ECA96" w14:textId="77777777" w:rsidR="005329DE" w:rsidRDefault="005329DE" w:rsidP="006A21FC">
            <w:r>
              <w:t>1001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8E9777" w14:textId="3A4077C9" w:rsidR="005329DE" w:rsidRDefault="00D4588D" w:rsidP="006A21FC">
            <w:r>
              <w:t>950</w:t>
            </w:r>
          </w:p>
        </w:tc>
        <w:tc>
          <w:tcPr>
            <w:tcW w:w="1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5561D6" w14:textId="5CB9CB72" w:rsidR="005329DE" w:rsidRDefault="0054539C" w:rsidP="006A21FC">
            <w:r>
              <w:t>5</w:t>
            </w:r>
            <w:r w:rsidR="005329DE">
              <w:t>.</w:t>
            </w:r>
            <w:r>
              <w:t>1</w:t>
            </w:r>
            <w:r w:rsidR="005329DE">
              <w:t>%</w:t>
            </w:r>
          </w:p>
        </w:tc>
        <w:tc>
          <w:tcPr>
            <w:tcW w:w="1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970BA9" w14:textId="77777777" w:rsidR="005329DE" w:rsidRDefault="005329DE" w:rsidP="006A21FC">
            <w:r>
              <w:t>9.3%</w:t>
            </w:r>
          </w:p>
        </w:tc>
      </w:tr>
      <w:tr w:rsidR="005329DE" w:rsidRPr="00CA79F9" w14:paraId="6AB9C04F" w14:textId="77777777" w:rsidTr="006A21FC">
        <w:trPr>
          <w:trHeight w:val="332"/>
          <w:jc w:val="center"/>
        </w:trPr>
        <w:tc>
          <w:tcPr>
            <w:tcW w:w="1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2878C111" w14:textId="77777777" w:rsidR="005329DE" w:rsidRDefault="005329DE" w:rsidP="006A21FC">
            <w:r>
              <w:t>MWID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3B93803E" w14:textId="77777777" w:rsidR="005329DE" w:rsidRDefault="005329DE" w:rsidP="006A21FC">
            <w:r>
              <w:t>505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ABA6E9" w14:textId="2F841D00" w:rsidR="005329DE" w:rsidRDefault="005329DE" w:rsidP="006A21FC">
            <w:r>
              <w:t>50</w:t>
            </w:r>
            <w:r w:rsidR="009E7819">
              <w:t>0</w:t>
            </w:r>
          </w:p>
        </w:tc>
        <w:tc>
          <w:tcPr>
            <w:tcW w:w="1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2F110F" w14:textId="70077195" w:rsidR="005329DE" w:rsidRDefault="005329DE" w:rsidP="006A21FC">
            <w:r>
              <w:t>0.</w:t>
            </w:r>
            <w:r w:rsidR="008C6365">
              <w:t>9</w:t>
            </w:r>
            <w:r>
              <w:t>%</w:t>
            </w:r>
          </w:p>
        </w:tc>
        <w:tc>
          <w:tcPr>
            <w:tcW w:w="13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AE532C" w14:textId="77777777" w:rsidR="005329DE" w:rsidRDefault="005329DE" w:rsidP="006A21FC">
            <w:r>
              <w:t>6.8%</w:t>
            </w:r>
          </w:p>
        </w:tc>
      </w:tr>
    </w:tbl>
    <w:p w14:paraId="73138451" w14:textId="3CF73F63" w:rsidR="005329DE" w:rsidRDefault="005329DE" w:rsidP="005329DE">
      <w:pPr>
        <w:jc w:val="center"/>
        <w:rPr>
          <w:i/>
          <w:iCs/>
        </w:rPr>
      </w:pPr>
      <w:r>
        <w:rPr>
          <w:b/>
          <w:bCs/>
        </w:rPr>
        <w:t>Table A</w:t>
      </w:r>
      <w:r w:rsidR="00633C9B">
        <w:rPr>
          <w:b/>
          <w:bCs/>
        </w:rPr>
        <w:t>3</w:t>
      </w:r>
      <w:r>
        <w:rPr>
          <w:b/>
          <w:bCs/>
        </w:rPr>
        <w:t xml:space="preserve">: </w:t>
      </w:r>
      <w:r w:rsidRPr="00A548C6">
        <w:rPr>
          <w:i/>
          <w:iCs/>
        </w:rPr>
        <w:t xml:space="preserve">Validation analyses, </w:t>
      </w:r>
      <w:r>
        <w:rPr>
          <w:i/>
          <w:iCs/>
        </w:rPr>
        <w:t>population subgroups, Incidence-based method with averaging. Errors are slightly higher than for the 1-year projection (as may be expected). The total diagnosis error is consistently under 5%, and the year-by-year error under 10%.</w:t>
      </w:r>
    </w:p>
    <w:p w14:paraId="17C87298" w14:textId="64AAECC3" w:rsidR="004D1525" w:rsidRDefault="004D1525"/>
    <w:sectPr w:rsidR="004D1525" w:rsidSect="00417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27E2A"/>
    <w:multiLevelType w:val="hybridMultilevel"/>
    <w:tmpl w:val="DEE44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47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DE"/>
    <w:rsid w:val="00025F88"/>
    <w:rsid w:val="001009B1"/>
    <w:rsid w:val="001C417A"/>
    <w:rsid w:val="00207BF2"/>
    <w:rsid w:val="002D49A6"/>
    <w:rsid w:val="00301EC2"/>
    <w:rsid w:val="003B580E"/>
    <w:rsid w:val="003D01A5"/>
    <w:rsid w:val="004174B7"/>
    <w:rsid w:val="00417E69"/>
    <w:rsid w:val="004D1525"/>
    <w:rsid w:val="0053238E"/>
    <w:rsid w:val="005329DE"/>
    <w:rsid w:val="0054539C"/>
    <w:rsid w:val="005C72A2"/>
    <w:rsid w:val="00633C9B"/>
    <w:rsid w:val="006934FA"/>
    <w:rsid w:val="006B1352"/>
    <w:rsid w:val="007424FB"/>
    <w:rsid w:val="007A36F3"/>
    <w:rsid w:val="008B44ED"/>
    <w:rsid w:val="008C6365"/>
    <w:rsid w:val="008C6C74"/>
    <w:rsid w:val="00995646"/>
    <w:rsid w:val="009B74FE"/>
    <w:rsid w:val="009E7819"/>
    <w:rsid w:val="00A65254"/>
    <w:rsid w:val="00AB59C7"/>
    <w:rsid w:val="00AC7217"/>
    <w:rsid w:val="00B45D12"/>
    <w:rsid w:val="00B87709"/>
    <w:rsid w:val="00CC7548"/>
    <w:rsid w:val="00CD2F08"/>
    <w:rsid w:val="00CF0680"/>
    <w:rsid w:val="00D17AB9"/>
    <w:rsid w:val="00D4588D"/>
    <w:rsid w:val="00FA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DB21"/>
  <w15:chartTrackingRefBased/>
  <w15:docId w15:val="{03C198DC-ACDB-45FC-91DB-90B118AE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9DE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64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5646"/>
    <w:pPr>
      <w:spacing w:after="160" w:line="259" w:lineRule="auto"/>
      <w:ind w:left="720"/>
      <w:contextualSpacing/>
    </w:pPr>
    <w:rPr>
      <w:sz w:val="22"/>
      <w:szCs w:val="22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B7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4F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4FE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6934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Viguerie, Alexander (CDC/NCHHSTP/DHP)</dc:creator>
  <cp:keywords/>
  <dc:description/>
  <cp:lastModifiedBy>Viguerie, Alexander (CDC/NCHHSTP/DHP)</cp:lastModifiedBy>
  <cp:revision>2</cp:revision>
  <dcterms:created xsi:type="dcterms:W3CDTF">2023-12-06T21:57:00Z</dcterms:created>
  <dcterms:modified xsi:type="dcterms:W3CDTF">2023-12-06T21:57:00Z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2023-12-04T20:37:08Z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0037d4d3-58bd-4007-be56-3841abd0b42e</vt:lpwstr>
  </property>
  <property fmtid="{D5CDD505-2E9C-101B-9397-08002B2CF9AE}" pid="8" name="MSIP_Label_8af03ff0-41c5-4c41-b55e-fabb8fae94be_ContentBits">
    <vt:lpwstr>0</vt:lpwstr>
  </property>
</Properties>
</file>