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9E" w:rsidRPr="00AA1901" w:rsidRDefault="00692F9E" w:rsidP="00692F9E">
      <w:pPr>
        <w:spacing w:line="480" w:lineRule="auto"/>
        <w:jc w:val="both"/>
        <w:rPr>
          <w:rFonts w:ascii="Times New Roman" w:hAnsi="Times New Roman"/>
        </w:rPr>
      </w:pPr>
      <w:proofErr w:type="gramStart"/>
      <w:r w:rsidRPr="00AA1901">
        <w:rPr>
          <w:rFonts w:ascii="Times New Roman" w:hAnsi="Times New Roman"/>
          <w:b/>
        </w:rPr>
        <w:t>Table 3.</w:t>
      </w:r>
      <w:proofErr w:type="gramEnd"/>
      <w:r w:rsidRPr="00AA1901">
        <w:rPr>
          <w:rFonts w:ascii="Times New Roman" w:hAnsi="Times New Roman"/>
          <w:b/>
        </w:rPr>
        <w:t xml:space="preserve"> Description of Documentation Used by Health Departments to Meet Accreditation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480"/>
        <w:gridCol w:w="2847"/>
        <w:gridCol w:w="2701"/>
      </w:tblGrid>
      <w:tr w:rsidR="00692F9E" w:rsidRPr="008F42A8" w:rsidTr="00621716">
        <w:tc>
          <w:tcPr>
            <w:tcW w:w="0" w:type="auto"/>
            <w:gridSpan w:val="4"/>
            <w:shd w:val="clear" w:color="auto" w:fill="B6DDE8"/>
            <w:vAlign w:val="center"/>
          </w:tcPr>
          <w:p w:rsidR="00692F9E" w:rsidRPr="008F42A8" w:rsidRDefault="00692F9E" w:rsidP="00621716">
            <w:pPr>
              <w:spacing w:after="0" w:line="480" w:lineRule="auto"/>
              <w:rPr>
                <w:rFonts w:ascii="Times New Roman" w:hAnsi="Times New Roman"/>
                <w:b/>
              </w:rPr>
            </w:pPr>
            <w:r w:rsidRPr="008F42A8">
              <w:rPr>
                <w:rFonts w:ascii="Times New Roman" w:hAnsi="Times New Roman"/>
                <w:b/>
              </w:rPr>
              <w:t>Domain 1: Conduct and disseminate assessments focused on population health and public health issues facing the community.</w:t>
            </w:r>
          </w:p>
        </w:tc>
      </w:tr>
      <w:tr w:rsidR="00692F9E" w:rsidRPr="008F42A8" w:rsidTr="00621716">
        <w:tc>
          <w:tcPr>
            <w:tcW w:w="0" w:type="auto"/>
            <w:gridSpan w:val="4"/>
            <w:shd w:val="clear" w:color="auto" w:fill="B6DDE8"/>
            <w:vAlign w:val="center"/>
          </w:tcPr>
          <w:p w:rsidR="00692F9E" w:rsidRPr="008F42A8" w:rsidRDefault="00692F9E" w:rsidP="00621716">
            <w:pPr>
              <w:spacing w:after="0" w:line="480" w:lineRule="auto"/>
              <w:rPr>
                <w:rFonts w:ascii="Times New Roman" w:hAnsi="Times New Roman"/>
                <w:b/>
              </w:rPr>
            </w:pPr>
            <w:r w:rsidRPr="008F42A8">
              <w:rPr>
                <w:rFonts w:ascii="Times New Roman" w:hAnsi="Times New Roman"/>
                <w:b/>
              </w:rPr>
              <w:t>Standard 1.1: Participate in or conduct a collaborative process resulting in a comprehensive community health assessment.</w:t>
            </w:r>
          </w:p>
        </w:tc>
      </w:tr>
      <w:tr w:rsidR="00692F9E" w:rsidRPr="008F42A8" w:rsidTr="00621716">
        <w:tc>
          <w:tcPr>
            <w:tcW w:w="0" w:type="auto"/>
            <w:shd w:val="clear" w:color="auto" w:fill="DAEEF3"/>
            <w:vAlign w:val="center"/>
          </w:tcPr>
          <w:p w:rsidR="00692F9E" w:rsidRPr="008F42A8" w:rsidRDefault="00692F9E" w:rsidP="00621716">
            <w:pPr>
              <w:spacing w:after="0" w:line="480" w:lineRule="auto"/>
              <w:jc w:val="center"/>
              <w:rPr>
                <w:rFonts w:ascii="Times New Roman" w:hAnsi="Times New Roman"/>
                <w:b/>
              </w:rPr>
            </w:pPr>
            <w:r w:rsidRPr="008F42A8">
              <w:rPr>
                <w:rFonts w:ascii="Times New Roman" w:hAnsi="Times New Roman"/>
                <w:b/>
              </w:rPr>
              <w:t>Measure</w:t>
            </w:r>
          </w:p>
        </w:tc>
        <w:tc>
          <w:tcPr>
            <w:tcW w:w="3152" w:type="dxa"/>
            <w:shd w:val="clear" w:color="auto" w:fill="DAEEF3"/>
            <w:vAlign w:val="center"/>
          </w:tcPr>
          <w:p w:rsidR="00692F9E" w:rsidRPr="008F42A8" w:rsidRDefault="00692F9E" w:rsidP="00621716">
            <w:pPr>
              <w:spacing w:after="0" w:line="480" w:lineRule="auto"/>
              <w:jc w:val="center"/>
              <w:rPr>
                <w:rFonts w:ascii="Times New Roman" w:hAnsi="Times New Roman"/>
                <w:b/>
              </w:rPr>
            </w:pPr>
            <w:r w:rsidRPr="008F42A8">
              <w:rPr>
                <w:rFonts w:ascii="Times New Roman" w:hAnsi="Times New Roman"/>
                <w:b/>
              </w:rPr>
              <w:t>Required Documentation</w:t>
            </w:r>
          </w:p>
        </w:tc>
        <w:tc>
          <w:tcPr>
            <w:tcW w:w="3690" w:type="dxa"/>
            <w:shd w:val="clear" w:color="auto" w:fill="DAEEF3"/>
            <w:vAlign w:val="center"/>
          </w:tcPr>
          <w:p w:rsidR="00692F9E" w:rsidRPr="008F42A8" w:rsidRDefault="00692F9E" w:rsidP="00621716">
            <w:pPr>
              <w:spacing w:after="0" w:line="480" w:lineRule="auto"/>
              <w:jc w:val="center"/>
              <w:rPr>
                <w:rFonts w:ascii="Times New Roman" w:hAnsi="Times New Roman"/>
                <w:b/>
              </w:rPr>
            </w:pPr>
            <w:r w:rsidRPr="008F42A8">
              <w:rPr>
                <w:rFonts w:ascii="Times New Roman" w:hAnsi="Times New Roman"/>
                <w:b/>
              </w:rPr>
              <w:t xml:space="preserve">City of Nashua, </w:t>
            </w:r>
            <w:r>
              <w:rPr>
                <w:rFonts w:ascii="Times New Roman" w:hAnsi="Times New Roman"/>
                <w:b/>
              </w:rPr>
              <w:t>DPHCS</w:t>
            </w:r>
          </w:p>
        </w:tc>
        <w:tc>
          <w:tcPr>
            <w:tcW w:w="3618" w:type="dxa"/>
            <w:shd w:val="clear" w:color="auto" w:fill="DAEEF3"/>
            <w:vAlign w:val="center"/>
          </w:tcPr>
          <w:p w:rsidR="00692F9E" w:rsidRPr="008F42A8" w:rsidRDefault="00692F9E" w:rsidP="00621716">
            <w:pPr>
              <w:spacing w:after="0" w:line="480" w:lineRule="auto"/>
              <w:jc w:val="center"/>
              <w:rPr>
                <w:rFonts w:ascii="Times New Roman" w:hAnsi="Times New Roman"/>
                <w:b/>
              </w:rPr>
            </w:pPr>
            <w:r w:rsidRPr="008F42A8">
              <w:rPr>
                <w:rFonts w:ascii="Times New Roman" w:hAnsi="Times New Roman"/>
                <w:b/>
              </w:rPr>
              <w:t>Davidson County Health Department</w:t>
            </w:r>
          </w:p>
        </w:tc>
      </w:tr>
      <w:tr w:rsidR="00692F9E" w:rsidRPr="008F42A8" w:rsidTr="00621716">
        <w:trPr>
          <w:trHeight w:val="834"/>
        </w:trPr>
        <w:tc>
          <w:tcPr>
            <w:tcW w:w="0" w:type="auto"/>
            <w:vMerge w:val="restart"/>
          </w:tcPr>
          <w:p w:rsidR="00692F9E" w:rsidRPr="008F42A8" w:rsidRDefault="00692F9E" w:rsidP="00621716">
            <w:pPr>
              <w:spacing w:after="0" w:line="480" w:lineRule="auto"/>
              <w:rPr>
                <w:rFonts w:ascii="Times New Roman" w:hAnsi="Times New Roman"/>
              </w:rPr>
            </w:pPr>
            <w:r w:rsidRPr="008F42A8">
              <w:rPr>
                <w:rFonts w:ascii="Times New Roman" w:hAnsi="Times New Roman"/>
              </w:rPr>
              <w:t xml:space="preserve">Measure 1.1.1L/T: Participate in or conduct a Tribal/local partnership for the development of a comprehensive community health assessment of the population served by the health </w:t>
            </w:r>
            <w:r w:rsidRPr="008F42A8">
              <w:rPr>
                <w:rFonts w:ascii="Times New Roman" w:hAnsi="Times New Roman"/>
              </w:rPr>
              <w:lastRenderedPageBreak/>
              <w:t>department.</w:t>
            </w:r>
          </w:p>
        </w:tc>
        <w:tc>
          <w:tcPr>
            <w:tcW w:w="3152" w:type="dxa"/>
          </w:tcPr>
          <w:p w:rsidR="00692F9E" w:rsidRPr="008F42A8" w:rsidRDefault="00692F9E" w:rsidP="00621716">
            <w:pPr>
              <w:spacing w:after="0" w:line="480" w:lineRule="auto"/>
              <w:rPr>
                <w:rFonts w:ascii="Times New Roman" w:hAnsi="Times New Roman"/>
              </w:rPr>
            </w:pPr>
            <w:r w:rsidRPr="008F42A8">
              <w:rPr>
                <w:rFonts w:ascii="Times New Roman" w:hAnsi="Times New Roman"/>
              </w:rPr>
              <w:lastRenderedPageBreak/>
              <w:t>Participation of representatives of various sectors of the Tribal or local community</w:t>
            </w:r>
          </w:p>
        </w:tc>
        <w:tc>
          <w:tcPr>
            <w:tcW w:w="3690" w:type="dxa"/>
          </w:tcPr>
          <w:p w:rsidR="00692F9E" w:rsidRPr="008F42A8" w:rsidRDefault="00692F9E" w:rsidP="00621716">
            <w:pPr>
              <w:spacing w:after="0" w:line="480" w:lineRule="auto"/>
              <w:rPr>
                <w:rFonts w:ascii="Times New Roman" w:hAnsi="Times New Roman"/>
              </w:rPr>
            </w:pPr>
            <w:r w:rsidRPr="008F42A8">
              <w:rPr>
                <w:rFonts w:ascii="Times New Roman" w:hAnsi="Times New Roman"/>
              </w:rPr>
              <w:t xml:space="preserve">A CHA Advisory Board composed of over 25 agencies including the acute care hospitals and social service agencies was established. To plan the CASPER, the Advisory Board created a Health Survey Subcommittee. The acknowledgement section of the CHA outlines the individual partners and the sign-in sheets were collected at meetings. </w:t>
            </w:r>
          </w:p>
        </w:tc>
        <w:tc>
          <w:tcPr>
            <w:tcW w:w="3618" w:type="dxa"/>
          </w:tcPr>
          <w:p w:rsidR="00692F9E" w:rsidRPr="008F42A8" w:rsidRDefault="00692F9E" w:rsidP="00621716">
            <w:pPr>
              <w:spacing w:after="0" w:line="480" w:lineRule="auto"/>
              <w:rPr>
                <w:rFonts w:ascii="Times New Roman" w:hAnsi="Times New Roman"/>
              </w:rPr>
            </w:pPr>
            <w:r w:rsidRPr="00FF4A67">
              <w:rPr>
                <w:rFonts w:ascii="Times New Roman" w:hAnsi="Times New Roman"/>
              </w:rPr>
              <w:t xml:space="preserve">A </w:t>
            </w:r>
            <w:r>
              <w:rPr>
                <w:rFonts w:ascii="Times New Roman" w:hAnsi="Times New Roman"/>
              </w:rPr>
              <w:t>CHA</w:t>
            </w:r>
            <w:r w:rsidRPr="00FF4A67">
              <w:rPr>
                <w:rFonts w:ascii="Times New Roman" w:hAnsi="Times New Roman"/>
              </w:rPr>
              <w:t xml:space="preserve"> Planning Team (14 members representing 6 agencies/</w:t>
            </w:r>
            <w:r>
              <w:rPr>
                <w:rFonts w:ascii="Times New Roman" w:hAnsi="Times New Roman"/>
              </w:rPr>
              <w:t xml:space="preserve"> </w:t>
            </w:r>
            <w:r w:rsidRPr="00FF4A67">
              <w:rPr>
                <w:rFonts w:ascii="Times New Roman" w:hAnsi="Times New Roman"/>
              </w:rPr>
              <w:t xml:space="preserve">organizations) and </w:t>
            </w:r>
            <w:r>
              <w:rPr>
                <w:rFonts w:ascii="Times New Roman" w:hAnsi="Times New Roman"/>
              </w:rPr>
              <w:t xml:space="preserve">a </w:t>
            </w:r>
            <w:r w:rsidRPr="00FF4A67">
              <w:rPr>
                <w:rFonts w:ascii="Times New Roman" w:hAnsi="Times New Roman"/>
              </w:rPr>
              <w:t>Healthy Commun</w:t>
            </w:r>
            <w:r>
              <w:rPr>
                <w:rFonts w:ascii="Times New Roman" w:hAnsi="Times New Roman"/>
              </w:rPr>
              <w:t xml:space="preserve">ities </w:t>
            </w:r>
            <w:r w:rsidRPr="00FF4A67">
              <w:rPr>
                <w:rFonts w:ascii="Times New Roman" w:hAnsi="Times New Roman"/>
              </w:rPr>
              <w:t xml:space="preserve">Coalition Steering Committee </w:t>
            </w:r>
            <w:r>
              <w:rPr>
                <w:rFonts w:ascii="Times New Roman" w:hAnsi="Times New Roman"/>
              </w:rPr>
              <w:t xml:space="preserve">(32 members representing 25 agencies/ organizations were formed. To conduct the CASPER, the Planning Team utilized the </w:t>
            </w:r>
            <w:r w:rsidRPr="00EC601A">
              <w:rPr>
                <w:rFonts w:ascii="Times New Roman" w:hAnsi="Times New Roman"/>
              </w:rPr>
              <w:t>Healthy Carolinians Co</w:t>
            </w:r>
            <w:r>
              <w:rPr>
                <w:rFonts w:ascii="Times New Roman" w:hAnsi="Times New Roman"/>
              </w:rPr>
              <w:t>mmunity Health Assessment tool as a template. The appendices of the CHA report list all partners.</w:t>
            </w:r>
          </w:p>
        </w:tc>
      </w:tr>
      <w:tr w:rsidR="00692F9E" w:rsidRPr="008F42A8" w:rsidTr="00621716">
        <w:trPr>
          <w:trHeight w:val="833"/>
        </w:trPr>
        <w:tc>
          <w:tcPr>
            <w:tcW w:w="0" w:type="auto"/>
            <w:vMerge/>
          </w:tcPr>
          <w:p w:rsidR="00692F9E" w:rsidRPr="008F42A8" w:rsidRDefault="00692F9E" w:rsidP="00621716">
            <w:pPr>
              <w:spacing w:after="0" w:line="480" w:lineRule="auto"/>
              <w:rPr>
                <w:rFonts w:ascii="Times New Roman" w:hAnsi="Times New Roman"/>
              </w:rPr>
            </w:pPr>
          </w:p>
        </w:tc>
        <w:tc>
          <w:tcPr>
            <w:tcW w:w="3152" w:type="dxa"/>
          </w:tcPr>
          <w:p w:rsidR="00692F9E" w:rsidRPr="008F42A8" w:rsidRDefault="00692F9E" w:rsidP="00621716">
            <w:pPr>
              <w:spacing w:after="0" w:line="480" w:lineRule="auto"/>
              <w:rPr>
                <w:rFonts w:ascii="Times New Roman" w:hAnsi="Times New Roman"/>
              </w:rPr>
            </w:pPr>
            <w:r w:rsidRPr="008F42A8">
              <w:rPr>
                <w:rFonts w:ascii="Times New Roman" w:hAnsi="Times New Roman"/>
              </w:rPr>
              <w:t>Regular meetings</w:t>
            </w:r>
          </w:p>
        </w:tc>
        <w:tc>
          <w:tcPr>
            <w:tcW w:w="3690" w:type="dxa"/>
          </w:tcPr>
          <w:p w:rsidR="00692F9E" w:rsidRPr="008F42A8" w:rsidRDefault="00692F9E" w:rsidP="00621716">
            <w:pPr>
              <w:spacing w:after="0" w:line="480" w:lineRule="auto"/>
              <w:rPr>
                <w:rFonts w:ascii="Times New Roman" w:hAnsi="Times New Roman"/>
              </w:rPr>
            </w:pPr>
            <w:r w:rsidRPr="008F42A8">
              <w:rPr>
                <w:rFonts w:ascii="Times New Roman" w:hAnsi="Times New Roman"/>
              </w:rPr>
              <w:t xml:space="preserve">The Health Survey Subcommittee met at least three times prior to the survey to coordinate the event. The group met post event to analyze the data and develop an after action report. </w:t>
            </w:r>
            <w:r>
              <w:rPr>
                <w:rFonts w:ascii="Times New Roman" w:hAnsi="Times New Roman"/>
              </w:rPr>
              <w:t xml:space="preserve">The subcommittee reported back to the Advisory Board which met monthly. </w:t>
            </w:r>
            <w:r w:rsidRPr="008F42A8">
              <w:rPr>
                <w:rFonts w:ascii="Times New Roman" w:hAnsi="Times New Roman"/>
              </w:rPr>
              <w:t>The sign-in sheets, agendas and minutes were documented</w:t>
            </w:r>
            <w:r>
              <w:rPr>
                <w:rFonts w:ascii="Times New Roman" w:hAnsi="Times New Roman"/>
              </w:rPr>
              <w:t xml:space="preserve"> for all meetings</w:t>
            </w:r>
            <w:r w:rsidRPr="008F42A8">
              <w:rPr>
                <w:rFonts w:ascii="Times New Roman" w:hAnsi="Times New Roman"/>
              </w:rPr>
              <w:t>.</w:t>
            </w:r>
          </w:p>
        </w:tc>
        <w:tc>
          <w:tcPr>
            <w:tcW w:w="3618" w:type="dxa"/>
          </w:tcPr>
          <w:p w:rsidR="00692F9E" w:rsidRPr="008F42A8" w:rsidRDefault="00692F9E" w:rsidP="00621716">
            <w:pPr>
              <w:spacing w:after="0" w:line="480" w:lineRule="auto"/>
              <w:rPr>
                <w:rFonts w:ascii="Times New Roman" w:hAnsi="Times New Roman"/>
              </w:rPr>
            </w:pPr>
            <w:r>
              <w:rPr>
                <w:rFonts w:ascii="Times New Roman" w:hAnsi="Times New Roman"/>
              </w:rPr>
              <w:t>The Planning Team met in-person monthly for 3 months and more frequently via conference call to plan the survey and data collection. Afterwards, data was analyzed and presented to the Steering Committee, which also met monthly. Attendance was documented via sign-in sheets.</w:t>
            </w:r>
          </w:p>
        </w:tc>
      </w:tr>
      <w:tr w:rsidR="00692F9E" w:rsidRPr="008F42A8" w:rsidTr="00621716">
        <w:trPr>
          <w:trHeight w:val="440"/>
        </w:trPr>
        <w:tc>
          <w:tcPr>
            <w:tcW w:w="0" w:type="auto"/>
            <w:vMerge/>
          </w:tcPr>
          <w:p w:rsidR="00692F9E" w:rsidRPr="008F42A8" w:rsidRDefault="00692F9E" w:rsidP="00621716">
            <w:pPr>
              <w:spacing w:after="0" w:line="480" w:lineRule="auto"/>
              <w:rPr>
                <w:rFonts w:ascii="Times New Roman" w:hAnsi="Times New Roman"/>
              </w:rPr>
            </w:pPr>
          </w:p>
        </w:tc>
        <w:tc>
          <w:tcPr>
            <w:tcW w:w="3152" w:type="dxa"/>
          </w:tcPr>
          <w:p w:rsidR="00692F9E" w:rsidRPr="008F42A8" w:rsidRDefault="00692F9E" w:rsidP="00621716">
            <w:pPr>
              <w:spacing w:after="0" w:line="480" w:lineRule="auto"/>
              <w:rPr>
                <w:rFonts w:ascii="Times New Roman" w:hAnsi="Times New Roman"/>
              </w:rPr>
            </w:pPr>
            <w:r w:rsidRPr="008F42A8">
              <w:rPr>
                <w:rFonts w:ascii="Times New Roman" w:hAnsi="Times New Roman"/>
              </w:rPr>
              <w:t>Description of the process used to identify health issues and assets</w:t>
            </w:r>
          </w:p>
        </w:tc>
        <w:tc>
          <w:tcPr>
            <w:tcW w:w="3690" w:type="dxa"/>
          </w:tcPr>
          <w:p w:rsidR="00692F9E" w:rsidRDefault="00692F9E" w:rsidP="00621716">
            <w:pPr>
              <w:spacing w:after="0" w:line="480" w:lineRule="auto"/>
              <w:rPr>
                <w:rFonts w:ascii="Times New Roman" w:hAnsi="Times New Roman"/>
              </w:rPr>
            </w:pPr>
            <w:r w:rsidRPr="008F42A8">
              <w:rPr>
                <w:rFonts w:ascii="Times New Roman" w:hAnsi="Times New Roman"/>
              </w:rPr>
              <w:t xml:space="preserve">Healthy People 2020 </w:t>
            </w:r>
            <w:proofErr w:type="gramStart"/>
            <w:r w:rsidRPr="008F42A8">
              <w:rPr>
                <w:rFonts w:ascii="Times New Roman" w:hAnsi="Times New Roman"/>
              </w:rPr>
              <w:t>was</w:t>
            </w:r>
            <w:proofErr w:type="gramEnd"/>
            <w:r w:rsidRPr="008F42A8">
              <w:rPr>
                <w:rFonts w:ascii="Times New Roman" w:hAnsi="Times New Roman"/>
              </w:rPr>
              <w:t xml:space="preserve"> used to guide the collaborative process and identify health issues for the CHA. CASPER was incorporated into this process and assisted in the collection of health issues and assets.</w:t>
            </w:r>
          </w:p>
          <w:p w:rsidR="00692F9E" w:rsidRPr="008F42A8" w:rsidRDefault="00692F9E" w:rsidP="00621716">
            <w:pPr>
              <w:spacing w:after="0" w:line="480" w:lineRule="auto"/>
              <w:rPr>
                <w:rFonts w:ascii="Times New Roman" w:hAnsi="Times New Roman"/>
              </w:rPr>
            </w:pPr>
          </w:p>
        </w:tc>
        <w:tc>
          <w:tcPr>
            <w:tcW w:w="3618" w:type="dxa"/>
          </w:tcPr>
          <w:p w:rsidR="00692F9E" w:rsidRPr="000C1177" w:rsidRDefault="00692F9E" w:rsidP="00621716">
            <w:pPr>
              <w:spacing w:after="0" w:line="480" w:lineRule="auto"/>
              <w:rPr>
                <w:rFonts w:ascii="Times New Roman" w:hAnsi="Times New Roman"/>
              </w:rPr>
            </w:pPr>
            <w:r w:rsidRPr="00EC601A">
              <w:rPr>
                <w:rFonts w:ascii="Times New Roman" w:hAnsi="Times New Roman"/>
              </w:rPr>
              <w:t>Healthy Carolinians Co</w:t>
            </w:r>
            <w:r>
              <w:rPr>
                <w:rFonts w:ascii="Times New Roman" w:hAnsi="Times New Roman"/>
              </w:rPr>
              <w:t xml:space="preserve">mmunity Health Assessment documents and </w:t>
            </w:r>
            <w:r w:rsidRPr="000C1177">
              <w:rPr>
                <w:rFonts w:ascii="Times New Roman" w:hAnsi="Times New Roman"/>
              </w:rPr>
              <w:t>Healthy North Carolina 2020</w:t>
            </w:r>
            <w:r>
              <w:rPr>
                <w:rFonts w:ascii="Times New Roman" w:hAnsi="Times New Roman"/>
              </w:rPr>
              <w:t xml:space="preserve"> focus areas were used to guide the selection of questions for the CHA. </w:t>
            </w:r>
          </w:p>
        </w:tc>
      </w:tr>
      <w:tr w:rsidR="00692F9E" w:rsidRPr="008F42A8" w:rsidTr="00621716">
        <w:trPr>
          <w:trHeight w:val="503"/>
        </w:trPr>
        <w:tc>
          <w:tcPr>
            <w:tcW w:w="0" w:type="auto"/>
            <w:vMerge w:val="restart"/>
          </w:tcPr>
          <w:p w:rsidR="00692F9E" w:rsidRPr="008F42A8" w:rsidRDefault="00692F9E" w:rsidP="00621716">
            <w:pPr>
              <w:spacing w:after="0" w:line="480" w:lineRule="auto"/>
              <w:rPr>
                <w:rFonts w:ascii="Times New Roman" w:hAnsi="Times New Roman"/>
              </w:rPr>
            </w:pPr>
            <w:r w:rsidRPr="008F42A8">
              <w:rPr>
                <w:rFonts w:ascii="Times New Roman" w:hAnsi="Times New Roman"/>
              </w:rPr>
              <w:t xml:space="preserve">Measure 1.1.2T/L: Complete a </w:t>
            </w:r>
            <w:r w:rsidRPr="008F42A8">
              <w:rPr>
                <w:rFonts w:ascii="Times New Roman" w:hAnsi="Times New Roman"/>
              </w:rPr>
              <w:lastRenderedPageBreak/>
              <w:t>Tribal/local community health assessment.</w:t>
            </w:r>
          </w:p>
        </w:tc>
        <w:tc>
          <w:tcPr>
            <w:tcW w:w="3152" w:type="dxa"/>
          </w:tcPr>
          <w:p w:rsidR="00692F9E" w:rsidRPr="008F42A8" w:rsidRDefault="00692F9E" w:rsidP="00621716">
            <w:pPr>
              <w:spacing w:after="0" w:line="480" w:lineRule="auto"/>
              <w:rPr>
                <w:rFonts w:ascii="Times New Roman" w:hAnsi="Times New Roman"/>
              </w:rPr>
            </w:pPr>
            <w:r w:rsidRPr="008F42A8">
              <w:rPr>
                <w:rFonts w:ascii="Times New Roman" w:hAnsi="Times New Roman"/>
              </w:rPr>
              <w:lastRenderedPageBreak/>
              <w:t xml:space="preserve">A Tribal or local community health assessment dated within </w:t>
            </w:r>
            <w:r w:rsidRPr="008F42A8">
              <w:rPr>
                <w:rFonts w:ascii="Times New Roman" w:hAnsi="Times New Roman"/>
              </w:rPr>
              <w:lastRenderedPageBreak/>
              <w:t>the last five years that includes:</w:t>
            </w:r>
          </w:p>
          <w:p w:rsidR="00692F9E" w:rsidRPr="008F42A8" w:rsidRDefault="00692F9E" w:rsidP="00621716">
            <w:pPr>
              <w:spacing w:after="0" w:line="480" w:lineRule="auto"/>
              <w:rPr>
                <w:rFonts w:ascii="Times New Roman" w:hAnsi="Times New Roman"/>
              </w:rPr>
            </w:pPr>
            <w:r w:rsidRPr="008F42A8">
              <w:rPr>
                <w:rFonts w:ascii="Times New Roman" w:hAnsi="Times New Roman"/>
              </w:rPr>
              <w:t>Documentation that data and information from various sources contributed to the community health assessment and how the data were obtained</w:t>
            </w:r>
          </w:p>
          <w:p w:rsidR="00692F9E" w:rsidRPr="008F42A8" w:rsidRDefault="00692F9E" w:rsidP="00621716">
            <w:pPr>
              <w:spacing w:after="0" w:line="480" w:lineRule="auto"/>
              <w:rPr>
                <w:rFonts w:ascii="Times New Roman" w:hAnsi="Times New Roman"/>
              </w:rPr>
            </w:pPr>
            <w:r w:rsidRPr="008F42A8">
              <w:rPr>
                <w:rFonts w:ascii="Times New Roman" w:hAnsi="Times New Roman"/>
              </w:rPr>
              <w:t>A description of contributing causes of community health issues</w:t>
            </w:r>
          </w:p>
          <w:p w:rsidR="00692F9E" w:rsidRPr="008F42A8" w:rsidRDefault="00692F9E" w:rsidP="00621716">
            <w:pPr>
              <w:spacing w:after="0" w:line="480" w:lineRule="auto"/>
              <w:rPr>
                <w:rFonts w:ascii="Times New Roman" w:hAnsi="Times New Roman"/>
              </w:rPr>
            </w:pPr>
            <w:r w:rsidRPr="008F42A8">
              <w:rPr>
                <w:rFonts w:ascii="Times New Roman" w:hAnsi="Times New Roman"/>
              </w:rPr>
              <w:t>A description of existing community or Tribal assets or resources to address health issues</w:t>
            </w:r>
          </w:p>
        </w:tc>
        <w:tc>
          <w:tcPr>
            <w:tcW w:w="3690" w:type="dxa"/>
          </w:tcPr>
          <w:p w:rsidR="00692F9E" w:rsidRPr="008F42A8" w:rsidRDefault="00692F9E" w:rsidP="00621716">
            <w:pPr>
              <w:spacing w:after="0" w:line="480" w:lineRule="auto"/>
              <w:rPr>
                <w:rFonts w:ascii="Times New Roman" w:hAnsi="Times New Roman"/>
              </w:rPr>
            </w:pPr>
            <w:r w:rsidRPr="008F42A8">
              <w:rPr>
                <w:rFonts w:ascii="Times New Roman" w:hAnsi="Times New Roman"/>
              </w:rPr>
              <w:lastRenderedPageBreak/>
              <w:t xml:space="preserve">To fulfill the primary data requirement, CASPER and two focus groups were held. </w:t>
            </w:r>
            <w:r w:rsidRPr="008F42A8">
              <w:rPr>
                <w:rFonts w:ascii="Times New Roman" w:hAnsi="Times New Roman"/>
              </w:rPr>
              <w:lastRenderedPageBreak/>
              <w:t>The information was incorporated into the CHA with secondary data from state-based or national databases.</w:t>
            </w:r>
            <w:r>
              <w:rPr>
                <w:rFonts w:ascii="Times New Roman" w:hAnsi="Times New Roman"/>
              </w:rPr>
              <w:t xml:space="preserve"> A list of data sources is included in the CHA.</w:t>
            </w:r>
          </w:p>
          <w:p w:rsidR="00692F9E" w:rsidRPr="008F42A8" w:rsidRDefault="00692F9E" w:rsidP="00621716">
            <w:pPr>
              <w:spacing w:after="0" w:line="480" w:lineRule="auto"/>
              <w:rPr>
                <w:rFonts w:ascii="Times New Roman" w:hAnsi="Times New Roman"/>
              </w:rPr>
            </w:pPr>
            <w:r w:rsidRPr="008F42A8">
              <w:rPr>
                <w:rFonts w:ascii="Times New Roman" w:hAnsi="Times New Roman"/>
              </w:rPr>
              <w:t xml:space="preserve">In the survey residents were asked to identify the top </w:t>
            </w:r>
            <w:r>
              <w:rPr>
                <w:rFonts w:ascii="Times New Roman" w:hAnsi="Times New Roman"/>
              </w:rPr>
              <w:t xml:space="preserve">health </w:t>
            </w:r>
            <w:r w:rsidRPr="008F42A8">
              <w:rPr>
                <w:rFonts w:ascii="Times New Roman" w:hAnsi="Times New Roman"/>
              </w:rPr>
              <w:t xml:space="preserve">concerns which provide a description of </w:t>
            </w:r>
            <w:r>
              <w:rPr>
                <w:rFonts w:ascii="Times New Roman" w:hAnsi="Times New Roman"/>
              </w:rPr>
              <w:t xml:space="preserve">the </w:t>
            </w:r>
            <w:r w:rsidRPr="008F42A8">
              <w:rPr>
                <w:rFonts w:ascii="Times New Roman" w:hAnsi="Times New Roman"/>
              </w:rPr>
              <w:t xml:space="preserve">contributing causes of </w:t>
            </w:r>
            <w:r>
              <w:rPr>
                <w:rFonts w:ascii="Times New Roman" w:hAnsi="Times New Roman"/>
              </w:rPr>
              <w:t xml:space="preserve">the </w:t>
            </w:r>
            <w:r w:rsidRPr="008F42A8">
              <w:rPr>
                <w:rFonts w:ascii="Times New Roman" w:hAnsi="Times New Roman"/>
              </w:rPr>
              <w:t>com</w:t>
            </w:r>
            <w:r>
              <w:rPr>
                <w:rFonts w:ascii="Times New Roman" w:hAnsi="Times New Roman"/>
              </w:rPr>
              <w:t>munity health issues in Nashua.</w:t>
            </w:r>
          </w:p>
          <w:p w:rsidR="00692F9E" w:rsidRPr="008F42A8" w:rsidRDefault="00692F9E" w:rsidP="00621716">
            <w:pPr>
              <w:spacing w:after="0" w:line="480" w:lineRule="auto"/>
              <w:rPr>
                <w:rFonts w:ascii="Times New Roman" w:hAnsi="Times New Roman"/>
              </w:rPr>
            </w:pPr>
            <w:r w:rsidRPr="008F42A8">
              <w:rPr>
                <w:rFonts w:ascii="Times New Roman" w:hAnsi="Times New Roman"/>
              </w:rPr>
              <w:t xml:space="preserve">In the survey residents were asked where they obtain health information which enhances the list of assets </w:t>
            </w:r>
            <w:r>
              <w:rPr>
                <w:rFonts w:ascii="Times New Roman" w:hAnsi="Times New Roman"/>
              </w:rPr>
              <w:t xml:space="preserve">that residents utilize </w:t>
            </w:r>
            <w:r w:rsidRPr="008F42A8">
              <w:rPr>
                <w:rFonts w:ascii="Times New Roman" w:hAnsi="Times New Roman"/>
              </w:rPr>
              <w:t xml:space="preserve">in the Nashua community. </w:t>
            </w:r>
          </w:p>
        </w:tc>
        <w:tc>
          <w:tcPr>
            <w:tcW w:w="3618" w:type="dxa"/>
          </w:tcPr>
          <w:p w:rsidR="00692F9E" w:rsidRDefault="00692F9E" w:rsidP="00621716">
            <w:pPr>
              <w:spacing w:after="0" w:line="480" w:lineRule="auto"/>
              <w:rPr>
                <w:rFonts w:ascii="Times New Roman" w:hAnsi="Times New Roman"/>
              </w:rPr>
            </w:pPr>
            <w:r>
              <w:rPr>
                <w:rFonts w:ascii="Times New Roman" w:hAnsi="Times New Roman"/>
              </w:rPr>
              <w:lastRenderedPageBreak/>
              <w:t xml:space="preserve">To fulfill the primary data requirement, CASPER and six focus groups were held. </w:t>
            </w:r>
            <w:r>
              <w:rPr>
                <w:rFonts w:ascii="Times New Roman" w:hAnsi="Times New Roman"/>
              </w:rPr>
              <w:lastRenderedPageBreak/>
              <w:t>The information was incorporated into the CHA with secondary data from state-based or national databases. A list of data sources is included in the CHA.</w:t>
            </w:r>
          </w:p>
          <w:p w:rsidR="00692F9E" w:rsidRDefault="00692F9E" w:rsidP="00621716">
            <w:pPr>
              <w:spacing w:after="0" w:line="480" w:lineRule="auto"/>
              <w:rPr>
                <w:rFonts w:ascii="Times New Roman" w:hAnsi="Times New Roman"/>
              </w:rPr>
            </w:pPr>
          </w:p>
          <w:p w:rsidR="00692F9E" w:rsidRPr="000C1177" w:rsidRDefault="00692F9E" w:rsidP="00621716">
            <w:pPr>
              <w:spacing w:after="0" w:line="480" w:lineRule="auto"/>
              <w:rPr>
                <w:rFonts w:ascii="Times New Roman" w:hAnsi="Times New Roman"/>
              </w:rPr>
            </w:pPr>
            <w:r w:rsidRPr="000C1177">
              <w:rPr>
                <w:rFonts w:ascii="Times New Roman" w:hAnsi="Times New Roman"/>
              </w:rPr>
              <w:t xml:space="preserve">In the survey residents were asked to identify the top </w:t>
            </w:r>
            <w:r>
              <w:rPr>
                <w:rFonts w:ascii="Times New Roman" w:hAnsi="Times New Roman"/>
              </w:rPr>
              <w:t xml:space="preserve">health problems and the top community </w:t>
            </w:r>
            <w:r w:rsidRPr="000C1177">
              <w:rPr>
                <w:rFonts w:ascii="Times New Roman" w:hAnsi="Times New Roman"/>
              </w:rPr>
              <w:t xml:space="preserve">issues that have the greatest effect on </w:t>
            </w:r>
          </w:p>
          <w:p w:rsidR="00692F9E" w:rsidRDefault="00692F9E" w:rsidP="00621716">
            <w:pPr>
              <w:spacing w:after="0" w:line="480" w:lineRule="auto"/>
              <w:rPr>
                <w:rFonts w:ascii="Times New Roman" w:hAnsi="Times New Roman"/>
              </w:rPr>
            </w:pPr>
            <w:proofErr w:type="gramStart"/>
            <w:r w:rsidRPr="000C1177">
              <w:rPr>
                <w:rFonts w:ascii="Times New Roman" w:hAnsi="Times New Roman"/>
              </w:rPr>
              <w:t>quality</w:t>
            </w:r>
            <w:proofErr w:type="gramEnd"/>
            <w:r w:rsidRPr="000C1177">
              <w:rPr>
                <w:rFonts w:ascii="Times New Roman" w:hAnsi="Times New Roman"/>
              </w:rPr>
              <w:t xml:space="preserve"> of</w:t>
            </w:r>
            <w:r>
              <w:rPr>
                <w:rFonts w:ascii="Times New Roman" w:hAnsi="Times New Roman"/>
              </w:rPr>
              <w:t xml:space="preserve"> life in Davidson County</w:t>
            </w:r>
            <w:r w:rsidRPr="008F42A8">
              <w:rPr>
                <w:rFonts w:ascii="Times New Roman" w:hAnsi="Times New Roman"/>
              </w:rPr>
              <w:t>.</w:t>
            </w:r>
          </w:p>
          <w:p w:rsidR="00692F9E" w:rsidRPr="008F42A8" w:rsidRDefault="00692F9E" w:rsidP="00621716">
            <w:pPr>
              <w:spacing w:after="0" w:line="480" w:lineRule="auto"/>
              <w:rPr>
                <w:rFonts w:ascii="Times New Roman" w:hAnsi="Times New Roman"/>
              </w:rPr>
            </w:pPr>
          </w:p>
        </w:tc>
      </w:tr>
      <w:tr w:rsidR="00692F9E" w:rsidRPr="008F42A8" w:rsidTr="00621716">
        <w:trPr>
          <w:trHeight w:val="502"/>
        </w:trPr>
        <w:tc>
          <w:tcPr>
            <w:tcW w:w="0" w:type="auto"/>
            <w:vMerge/>
          </w:tcPr>
          <w:p w:rsidR="00692F9E" w:rsidRPr="008F42A8" w:rsidRDefault="00692F9E" w:rsidP="00621716">
            <w:pPr>
              <w:spacing w:after="0" w:line="480" w:lineRule="auto"/>
              <w:rPr>
                <w:rFonts w:ascii="Times New Roman" w:hAnsi="Times New Roman"/>
              </w:rPr>
            </w:pPr>
          </w:p>
        </w:tc>
        <w:tc>
          <w:tcPr>
            <w:tcW w:w="3152" w:type="dxa"/>
          </w:tcPr>
          <w:p w:rsidR="00692F9E" w:rsidRPr="008F42A8" w:rsidRDefault="00692F9E" w:rsidP="00621716">
            <w:pPr>
              <w:spacing w:after="0" w:line="480" w:lineRule="auto"/>
              <w:rPr>
                <w:rFonts w:ascii="Times New Roman" w:hAnsi="Times New Roman"/>
              </w:rPr>
            </w:pPr>
            <w:r w:rsidRPr="008F42A8">
              <w:rPr>
                <w:rFonts w:ascii="Times New Roman" w:hAnsi="Times New Roman"/>
              </w:rPr>
              <w:t xml:space="preserve">Documentation that the Tribal or local community at large has had an opportunity to review and contribute to </w:t>
            </w:r>
            <w:r w:rsidRPr="008F42A8">
              <w:rPr>
                <w:rFonts w:ascii="Times New Roman" w:hAnsi="Times New Roman"/>
              </w:rPr>
              <w:lastRenderedPageBreak/>
              <w:t>the assessment.</w:t>
            </w:r>
          </w:p>
        </w:tc>
        <w:tc>
          <w:tcPr>
            <w:tcW w:w="3690" w:type="dxa"/>
          </w:tcPr>
          <w:p w:rsidR="00692F9E" w:rsidRPr="008F42A8" w:rsidRDefault="00692F9E" w:rsidP="00621716">
            <w:pPr>
              <w:spacing w:after="0" w:line="480" w:lineRule="auto"/>
              <w:rPr>
                <w:rFonts w:ascii="Times New Roman" w:hAnsi="Times New Roman"/>
              </w:rPr>
            </w:pPr>
            <w:r w:rsidRPr="008F42A8">
              <w:rPr>
                <w:rFonts w:ascii="Times New Roman" w:hAnsi="Times New Roman"/>
              </w:rPr>
              <w:lastRenderedPageBreak/>
              <w:t xml:space="preserve">A conference was held at a local community college to review the findings of the CHA and to receive input on the data. Data from CASPER </w:t>
            </w:r>
            <w:r w:rsidRPr="008F42A8">
              <w:rPr>
                <w:rFonts w:ascii="Times New Roman" w:hAnsi="Times New Roman"/>
              </w:rPr>
              <w:lastRenderedPageBreak/>
              <w:t>was shared at the conference.</w:t>
            </w:r>
            <w:r>
              <w:rPr>
                <w:rFonts w:ascii="Times New Roman" w:hAnsi="Times New Roman"/>
              </w:rPr>
              <w:t xml:space="preserve"> The presentations, sign-in sheets and the agenda were kept as documentation.</w:t>
            </w:r>
          </w:p>
        </w:tc>
        <w:tc>
          <w:tcPr>
            <w:tcW w:w="3618" w:type="dxa"/>
          </w:tcPr>
          <w:p w:rsidR="00692F9E" w:rsidRPr="008F42A8" w:rsidRDefault="00692F9E" w:rsidP="00621716">
            <w:pPr>
              <w:spacing w:after="0" w:line="480" w:lineRule="auto"/>
              <w:rPr>
                <w:rFonts w:ascii="Times New Roman" w:hAnsi="Times New Roman"/>
              </w:rPr>
            </w:pPr>
            <w:r w:rsidRPr="000322CD">
              <w:rPr>
                <w:rFonts w:ascii="Times New Roman" w:hAnsi="Times New Roman"/>
              </w:rPr>
              <w:lastRenderedPageBreak/>
              <w:t xml:space="preserve">Four community health forums were held at locations across the </w:t>
            </w:r>
            <w:r>
              <w:rPr>
                <w:rFonts w:ascii="Times New Roman" w:hAnsi="Times New Roman"/>
              </w:rPr>
              <w:t>c</w:t>
            </w:r>
            <w:r w:rsidRPr="000322CD">
              <w:rPr>
                <w:rFonts w:ascii="Times New Roman" w:hAnsi="Times New Roman"/>
              </w:rPr>
              <w:t>ounty to p</w:t>
            </w:r>
            <w:r>
              <w:rPr>
                <w:rFonts w:ascii="Times New Roman" w:hAnsi="Times New Roman"/>
              </w:rPr>
              <w:t>rovide</w:t>
            </w:r>
            <w:r w:rsidRPr="000322CD">
              <w:rPr>
                <w:rFonts w:ascii="Times New Roman" w:hAnsi="Times New Roman"/>
              </w:rPr>
              <w:t xml:space="preserve"> </w:t>
            </w:r>
            <w:r>
              <w:rPr>
                <w:rFonts w:ascii="Times New Roman" w:hAnsi="Times New Roman"/>
              </w:rPr>
              <w:t>r</w:t>
            </w:r>
            <w:r w:rsidRPr="000322CD">
              <w:rPr>
                <w:rFonts w:ascii="Times New Roman" w:hAnsi="Times New Roman"/>
              </w:rPr>
              <w:t xml:space="preserve">esidents with an opportunity to share their </w:t>
            </w:r>
            <w:r w:rsidRPr="000322CD">
              <w:rPr>
                <w:rFonts w:ascii="Times New Roman" w:hAnsi="Times New Roman"/>
              </w:rPr>
              <w:lastRenderedPageBreak/>
              <w:t xml:space="preserve">opinions and inform the </w:t>
            </w:r>
            <w:r>
              <w:rPr>
                <w:rFonts w:ascii="Times New Roman" w:hAnsi="Times New Roman"/>
              </w:rPr>
              <w:t xml:space="preserve">CHA </w:t>
            </w:r>
            <w:r w:rsidRPr="000322CD">
              <w:rPr>
                <w:rFonts w:ascii="Times New Roman" w:hAnsi="Times New Roman"/>
              </w:rPr>
              <w:t>priority-setting process</w:t>
            </w:r>
            <w:r>
              <w:rPr>
                <w:rFonts w:ascii="Times New Roman" w:hAnsi="Times New Roman"/>
              </w:rPr>
              <w:t>. Recruitment materials, sign-in sheets, and agendas were kept as documentation.</w:t>
            </w:r>
          </w:p>
        </w:tc>
      </w:tr>
    </w:tbl>
    <w:p w:rsidR="005253E3" w:rsidRDefault="005253E3">
      <w:bookmarkStart w:id="0" w:name="_GoBack"/>
      <w:bookmarkEnd w:id="0"/>
    </w:p>
    <w:sectPr w:rsidR="00525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E"/>
    <w:rsid w:val="005253E3"/>
    <w:rsid w:val="0069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9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9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1</cp:revision>
  <dcterms:created xsi:type="dcterms:W3CDTF">2013-08-13T18:00:00Z</dcterms:created>
  <dcterms:modified xsi:type="dcterms:W3CDTF">2013-08-13T18:00:00Z</dcterms:modified>
</cp:coreProperties>
</file>