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BA8F" w14:textId="3D4F75DC" w:rsidR="005415B1" w:rsidRPr="00304987" w:rsidRDefault="005415B1" w:rsidP="005415B1">
      <w:pPr>
        <w:rPr>
          <w:rFonts w:ascii="Arial" w:hAnsi="Arial" w:cs="Arial"/>
        </w:rPr>
      </w:pPr>
      <w:r w:rsidRPr="00304987">
        <w:rPr>
          <w:rFonts w:ascii="Arial" w:hAnsi="Arial" w:cs="Arial"/>
        </w:rPr>
        <w:t>Supplemental Table 1. Flow diagram describing cohort inclusion criteria</w:t>
      </w:r>
      <w:r w:rsidR="00304987">
        <w:rPr>
          <w:rFonts w:ascii="Arial" w:hAnsi="Arial" w:cs="Arial"/>
        </w:rPr>
        <w:t>.</w:t>
      </w:r>
    </w:p>
    <w:tbl>
      <w:tblPr>
        <w:tblW w:w="7845" w:type="dxa"/>
        <w:tblLook w:val="04A0" w:firstRow="1" w:lastRow="0" w:firstColumn="1" w:lastColumn="0" w:noHBand="0" w:noVBand="1"/>
      </w:tblPr>
      <w:tblGrid>
        <w:gridCol w:w="5125"/>
        <w:gridCol w:w="1320"/>
        <w:gridCol w:w="1400"/>
      </w:tblGrid>
      <w:tr w:rsidR="005415B1" w:rsidRPr="00304987" w14:paraId="767D8E42" w14:textId="77777777" w:rsidTr="005415B1">
        <w:trPr>
          <w:trHeight w:val="62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7FD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4987">
              <w:rPr>
                <w:rFonts w:ascii="Arial" w:eastAsia="Times New Roman" w:hAnsi="Arial" w:cs="Arial"/>
                <w:b/>
                <w:bCs/>
                <w:color w:val="000000"/>
              </w:rPr>
              <w:t>Inclusion Criteria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57EF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4987">
              <w:rPr>
                <w:rFonts w:ascii="Arial" w:eastAsia="Times New Roman" w:hAnsi="Arial" w:cs="Arial"/>
                <w:b/>
                <w:bCs/>
                <w:color w:val="000000"/>
              </w:rPr>
              <w:t>Number of Surgeries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6069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4987">
              <w:rPr>
                <w:rFonts w:ascii="Arial" w:eastAsia="Times New Roman" w:hAnsi="Arial" w:cs="Arial"/>
                <w:b/>
                <w:bCs/>
                <w:color w:val="000000"/>
              </w:rPr>
              <w:t>% of Surgeries Lost</w:t>
            </w:r>
          </w:p>
        </w:tc>
      </w:tr>
      <w:tr w:rsidR="005415B1" w:rsidRPr="00304987" w14:paraId="0AC92B91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C64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 xml:space="preserve">Surgeries defined using </w:t>
            </w:r>
            <w:proofErr w:type="gramStart"/>
            <w:r w:rsidRPr="00304987">
              <w:rPr>
                <w:rFonts w:ascii="Arial" w:eastAsia="Times New Roman" w:hAnsi="Arial" w:cs="Arial"/>
                <w:color w:val="000000"/>
              </w:rPr>
              <w:t>CPT</w:t>
            </w:r>
            <w:proofErr w:type="gramEnd"/>
          </w:p>
          <w:p w14:paraId="02962042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January 1, 2016 – September 16, 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4FB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58,273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316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415B1" w:rsidRPr="00304987" w14:paraId="6AC033C2" w14:textId="77777777" w:rsidTr="005415B1">
        <w:trPr>
          <w:trHeight w:val="332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278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First surgery per patient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9A9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44,833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9BB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23.1%</w:t>
            </w:r>
          </w:p>
        </w:tc>
      </w:tr>
      <w:tr w:rsidR="005415B1" w:rsidRPr="00304987" w14:paraId="4F664025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7BC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Planned (not emergency) Surgery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477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37,398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C06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16.6%</w:t>
            </w:r>
          </w:p>
        </w:tc>
      </w:tr>
      <w:tr w:rsidR="005415B1" w:rsidRPr="00304987" w14:paraId="7B527C83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D9A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Inpatient length &lt;=4 nights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E79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32,300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445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13.6%</w:t>
            </w:r>
          </w:p>
        </w:tc>
      </w:tr>
      <w:tr w:rsidR="005415B1" w:rsidRPr="00304987" w14:paraId="495AC28F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9871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Discharged home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B6E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27,606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D2A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14.5%</w:t>
            </w:r>
          </w:p>
        </w:tc>
      </w:tr>
      <w:tr w:rsidR="005415B1" w:rsidRPr="00304987" w14:paraId="37411149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AAC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No prior gabapentinoids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057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24,714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ADD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10.5%</w:t>
            </w:r>
          </w:p>
        </w:tc>
      </w:tr>
      <w:tr w:rsidR="005415B1" w:rsidRPr="00304987" w14:paraId="33DA3D48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E8E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No prior epilepsy or postherpetic neuralgia diagnosis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0E7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24,606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64C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0.4%</w:t>
            </w:r>
          </w:p>
        </w:tc>
      </w:tr>
      <w:tr w:rsidR="005415B1" w:rsidRPr="00304987" w14:paraId="56554668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DAB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No history of prolonged opioid use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325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24,257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D1C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1.4%</w:t>
            </w:r>
          </w:p>
        </w:tc>
      </w:tr>
      <w:tr w:rsidR="005415B1" w:rsidRPr="00304987" w14:paraId="4D41C3A2" w14:textId="77777777" w:rsidTr="005415B1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634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No prior opioid abuse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B3D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24,237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E89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0.1%</w:t>
            </w:r>
          </w:p>
        </w:tc>
      </w:tr>
      <w:tr w:rsidR="005415B1" w:rsidRPr="00304987" w14:paraId="2DDB6CEF" w14:textId="77777777" w:rsidTr="005415B1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CF9" w14:textId="77777777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>At least 90 days of follow-up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578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 xml:space="preserve">22,876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D8E" w14:textId="77777777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5.6%</w:t>
            </w:r>
          </w:p>
        </w:tc>
      </w:tr>
      <w:tr w:rsidR="005415B1" w:rsidRPr="00304987" w14:paraId="6A62F956" w14:textId="77777777" w:rsidTr="005415B1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88D7" w14:textId="4D0DF9CE" w:rsidR="005415B1" w:rsidRPr="00304987" w:rsidRDefault="005415B1" w:rsidP="00C52A9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4987">
              <w:rPr>
                <w:rFonts w:ascii="Arial" w:eastAsia="Times New Roman" w:hAnsi="Arial" w:cs="Arial"/>
                <w:color w:val="000000"/>
              </w:rPr>
              <w:t xml:space="preserve">Surgery performed in one of </w:t>
            </w:r>
            <w:r w:rsidR="001B2BE2">
              <w:rPr>
                <w:rFonts w:ascii="Arial" w:eastAsia="Times New Roman" w:hAnsi="Arial" w:cs="Arial"/>
                <w:color w:val="000000"/>
              </w:rPr>
              <w:t>two</w:t>
            </w:r>
            <w:r w:rsidRPr="00304987">
              <w:rPr>
                <w:rFonts w:ascii="Arial" w:eastAsia="Times New Roman" w:hAnsi="Arial" w:cs="Arial"/>
                <w:color w:val="000000"/>
              </w:rPr>
              <w:t xml:space="preserve"> included facilities*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83EA" w14:textId="4FF41153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1</w:t>
            </w:r>
            <w:r w:rsidR="00F35B90" w:rsidRPr="00304987">
              <w:rPr>
                <w:rFonts w:ascii="Arial" w:hAnsi="Arial" w:cs="Arial"/>
                <w:color w:val="000000"/>
              </w:rPr>
              <w:t>3</w:t>
            </w:r>
            <w:r w:rsidR="005C5961">
              <w:rPr>
                <w:rFonts w:ascii="Arial" w:hAnsi="Arial" w:cs="Arial"/>
                <w:color w:val="000000"/>
              </w:rPr>
              <w:t>,</w:t>
            </w:r>
            <w:r w:rsidR="00F35B90" w:rsidRPr="00304987">
              <w:rPr>
                <w:rFonts w:ascii="Arial" w:hAnsi="Arial" w:cs="Arial"/>
                <w:color w:val="000000"/>
              </w:rPr>
              <w:t>985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5963" w14:textId="4A38A398" w:rsidR="005415B1" w:rsidRPr="00304987" w:rsidRDefault="005415B1" w:rsidP="00C52A9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04987">
              <w:rPr>
                <w:rFonts w:ascii="Arial" w:hAnsi="Arial" w:cs="Arial"/>
                <w:color w:val="000000"/>
              </w:rPr>
              <w:t>23.8%</w:t>
            </w:r>
          </w:p>
        </w:tc>
      </w:tr>
    </w:tbl>
    <w:p w14:paraId="55EED953" w14:textId="6ED356EA" w:rsidR="005415B1" w:rsidRPr="00304987" w:rsidRDefault="005415B1" w:rsidP="005415B1">
      <w:pPr>
        <w:rPr>
          <w:rFonts w:ascii="Arial" w:hAnsi="Arial" w:cs="Arial"/>
        </w:rPr>
      </w:pPr>
      <w:r w:rsidRPr="00304987">
        <w:rPr>
          <w:rFonts w:ascii="Arial" w:hAnsi="Arial" w:cs="Arial"/>
        </w:rPr>
        <w:t xml:space="preserve">*analyses were subset to the </w:t>
      </w:r>
      <w:r w:rsidR="001B2BE2">
        <w:rPr>
          <w:rFonts w:ascii="Arial" w:hAnsi="Arial" w:cs="Arial"/>
        </w:rPr>
        <w:t>two</w:t>
      </w:r>
      <w:r w:rsidRPr="00304987">
        <w:rPr>
          <w:rFonts w:ascii="Arial" w:hAnsi="Arial" w:cs="Arial"/>
        </w:rPr>
        <w:t xml:space="preserve"> facilities conducting the most surgeries to ensure positivity. </w:t>
      </w:r>
    </w:p>
    <w:p w14:paraId="2081398E" w14:textId="279E1BCD" w:rsidR="00AB0DD6" w:rsidRDefault="00677F00" w:rsidP="00AB0DD6">
      <w:pPr>
        <w:rPr>
          <w:rFonts w:ascii="Arial" w:hAnsi="Arial" w:cs="Arial"/>
        </w:rPr>
      </w:pPr>
      <w:r w:rsidRPr="00304987">
        <w:rPr>
          <w:rFonts w:ascii="Arial" w:hAnsi="Arial" w:cs="Arial"/>
        </w:rPr>
        <w:br w:type="page"/>
      </w:r>
      <w:r w:rsidR="00AB0DD6" w:rsidRPr="00304987">
        <w:rPr>
          <w:rFonts w:ascii="Arial" w:hAnsi="Arial" w:cs="Arial"/>
        </w:rPr>
        <w:lastRenderedPageBreak/>
        <w:t xml:space="preserve">Supplemental Table 2. </w:t>
      </w:r>
      <w:r w:rsidR="00094556">
        <w:rPr>
          <w:rFonts w:ascii="Arial" w:hAnsi="Arial" w:cs="Arial"/>
        </w:rPr>
        <w:t>Follow-up and censoring reasons for patients with less than 90 days of follow-up after surgery.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2875"/>
        <w:gridCol w:w="1080"/>
        <w:gridCol w:w="1530"/>
        <w:gridCol w:w="944"/>
        <w:gridCol w:w="1395"/>
        <w:gridCol w:w="588"/>
        <w:gridCol w:w="1425"/>
      </w:tblGrid>
      <w:tr w:rsidR="00AB0DD6" w:rsidRPr="00AB0DD6" w14:paraId="16BE51E2" w14:textId="77777777" w:rsidTr="00F64909">
        <w:trPr>
          <w:trHeight w:val="284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DEF" w14:textId="77777777" w:rsidR="00AB0DD6" w:rsidRPr="008C5A45" w:rsidRDefault="00AB0DD6" w:rsidP="00AB0D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21591DA" w14:textId="73463A08" w:rsidR="00AB0DD6" w:rsidRPr="008C5A45" w:rsidRDefault="00AB0DD6" w:rsidP="00AB0D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D75" w14:textId="3459282B" w:rsidR="00AB0DD6" w:rsidRPr="008C5A45" w:rsidRDefault="00AB0DD6" w:rsidP="008E4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Exposed</w:t>
            </w:r>
            <w:r w:rsidR="000D0EBE" w:rsidRPr="008C5A4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(N=3,061)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65AE" w14:textId="0103E49C" w:rsidR="00AB0DD6" w:rsidRPr="008C5A45" w:rsidRDefault="00AB0DD6" w:rsidP="008E4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Not Exposed</w:t>
            </w:r>
            <w:r w:rsidR="000D0EBE" w:rsidRPr="008C5A4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(N=11,730)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ECA" w14:textId="13A249DD" w:rsidR="00AB0DD6" w:rsidRPr="008C5A45" w:rsidRDefault="00AB0DD6" w:rsidP="008E4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Overall</w:t>
            </w:r>
            <w:r w:rsidR="000D0EBE" w:rsidRPr="008C5A4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(N=14,791)</w:t>
            </w:r>
          </w:p>
        </w:tc>
      </w:tr>
      <w:tr w:rsidR="008C5A45" w:rsidRPr="00AB0DD6" w14:paraId="062FF1C8" w14:textId="77777777" w:rsidTr="00F64909">
        <w:trPr>
          <w:trHeight w:val="284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061" w14:textId="35CE7812" w:rsidR="008C5A45" w:rsidRPr="008C5A45" w:rsidRDefault="008C5A45" w:rsidP="008C5A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4256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074" w14:textId="185D9AD1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Total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95C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E261" w14:textId="33FB6023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9C6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867" w14:textId="4DBACD6C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Total</w:t>
            </w:r>
          </w:p>
        </w:tc>
      </w:tr>
      <w:tr w:rsidR="008C5A45" w:rsidRPr="00AB0DD6" w14:paraId="43BA4A51" w14:textId="77777777" w:rsidTr="00F64909">
        <w:trPr>
          <w:trHeight w:val="28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C720" w14:textId="77777777" w:rsidR="008C5A45" w:rsidRPr="008C5A45" w:rsidRDefault="008C5A45" w:rsidP="008C5A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Less than 90 days of follow-up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C50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99B1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4.2%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F0B8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703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F61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6.0%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298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833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958" w14:textId="77777777" w:rsidR="008C5A45" w:rsidRPr="008C5A45" w:rsidRDefault="008C5A45" w:rsidP="00F649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5.6%</w:t>
            </w:r>
          </w:p>
        </w:tc>
      </w:tr>
      <w:tr w:rsidR="008C5A45" w:rsidRPr="00AB0DD6" w14:paraId="004D5EF6" w14:textId="77777777" w:rsidTr="00F64909">
        <w:trPr>
          <w:trHeight w:val="28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BDA" w14:textId="77777777" w:rsidR="008C5A45" w:rsidRPr="008C5A45" w:rsidRDefault="008C5A45" w:rsidP="008C5A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Censoring Reason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FA7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AE6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 of Censored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9FD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735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 of Censored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7F51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FB5" w14:textId="77777777" w:rsidR="008C5A45" w:rsidRPr="008C5A45" w:rsidRDefault="008C5A45" w:rsidP="008C5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5A45">
              <w:rPr>
                <w:rFonts w:ascii="Arial" w:eastAsia="Times New Roman" w:hAnsi="Arial" w:cs="Arial"/>
                <w:b/>
                <w:bCs/>
                <w:color w:val="000000"/>
              </w:rPr>
              <w:t>% of Censored</w:t>
            </w:r>
          </w:p>
        </w:tc>
      </w:tr>
      <w:tr w:rsidR="008C5A45" w:rsidRPr="00AB0DD6" w14:paraId="15DB1EDA" w14:textId="77777777" w:rsidTr="00F64909">
        <w:trPr>
          <w:trHeight w:val="28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C6E" w14:textId="77777777" w:rsidR="008C5A45" w:rsidRPr="008C5A45" w:rsidRDefault="008C5A45" w:rsidP="008C5A4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Follow-up surgery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C01E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240E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94.6%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8CD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654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7C3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93.0%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DE9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777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4B9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93.3%</w:t>
            </w:r>
          </w:p>
        </w:tc>
      </w:tr>
      <w:tr w:rsidR="008C5A45" w:rsidRPr="00AB0DD6" w14:paraId="1571669A" w14:textId="77777777" w:rsidTr="00F64909">
        <w:trPr>
          <w:trHeight w:val="28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A07" w14:textId="77777777" w:rsidR="008C5A45" w:rsidRPr="008C5A45" w:rsidRDefault="008C5A45" w:rsidP="008C5A4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Death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874D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6C2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3.1%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CBF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749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493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6910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6.0%</w:t>
            </w:r>
          </w:p>
        </w:tc>
      </w:tr>
      <w:tr w:rsidR="008C5A45" w:rsidRPr="00AB0DD6" w14:paraId="469AB907" w14:textId="77777777" w:rsidTr="00F64909">
        <w:trPr>
          <w:trHeight w:val="284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8FA" w14:textId="77777777" w:rsidR="008C5A45" w:rsidRPr="008C5A45" w:rsidRDefault="008C5A45" w:rsidP="008C5A4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End of data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A026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021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2.3%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BC7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2FF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44D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246" w14:textId="77777777" w:rsidR="008C5A45" w:rsidRPr="008C5A45" w:rsidRDefault="008C5A45" w:rsidP="008C5A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C5A45">
              <w:rPr>
                <w:rFonts w:ascii="Arial" w:eastAsia="Times New Roman" w:hAnsi="Arial" w:cs="Arial"/>
                <w:color w:val="000000"/>
              </w:rPr>
              <w:t>0.7%</w:t>
            </w:r>
          </w:p>
        </w:tc>
      </w:tr>
    </w:tbl>
    <w:p w14:paraId="31014210" w14:textId="77777777" w:rsidR="00AB0DD6" w:rsidRPr="00304987" w:rsidRDefault="00AB0DD6" w:rsidP="00AB0DD6">
      <w:pPr>
        <w:rPr>
          <w:rFonts w:ascii="Arial" w:hAnsi="Arial" w:cs="Arial"/>
        </w:rPr>
      </w:pPr>
    </w:p>
    <w:p w14:paraId="346DD746" w14:textId="07770C46" w:rsidR="00090249" w:rsidRDefault="00090249" w:rsidP="00090249">
      <w:pPr>
        <w:pageBreakBefore/>
        <w:rPr>
          <w:rFonts w:ascii="Arial" w:hAnsi="Arial" w:cs="Arial"/>
        </w:rPr>
      </w:pPr>
      <w:bookmarkStart w:id="0" w:name="_Hlk70629355"/>
      <w:r>
        <w:rPr>
          <w:rFonts w:ascii="Arial" w:hAnsi="Arial" w:cs="Arial"/>
        </w:rPr>
        <w:lastRenderedPageBreak/>
        <w:t xml:space="preserve">Supplemental </w:t>
      </w:r>
      <w:r w:rsidRPr="00F94860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3</w:t>
      </w:r>
      <w:r w:rsidRPr="00F948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F94860">
        <w:rPr>
          <w:rFonts w:ascii="Arial" w:hAnsi="Arial" w:cs="Arial"/>
        </w:rPr>
        <w:t>djusted risk ratios of prolonged opioid use compar</w:t>
      </w:r>
      <w:r>
        <w:rPr>
          <w:rFonts w:ascii="Arial" w:hAnsi="Arial" w:cs="Arial"/>
        </w:rPr>
        <w:t>ing</w:t>
      </w:r>
      <w:r w:rsidRPr="00F94860">
        <w:rPr>
          <w:rFonts w:ascii="Arial" w:hAnsi="Arial" w:cs="Arial"/>
        </w:rPr>
        <w:t xml:space="preserve"> patients who received preoperative gabapentinoids to those who did not (referent)</w:t>
      </w:r>
      <w:r>
        <w:rPr>
          <w:rFonts w:ascii="Arial" w:hAnsi="Arial" w:cs="Arial"/>
        </w:rPr>
        <w:t xml:space="preserve"> controlling for calendar time </w:t>
      </w:r>
      <w:r w:rsidR="002B2BA0">
        <w:rPr>
          <w:rFonts w:ascii="Arial" w:hAnsi="Arial" w:cs="Arial"/>
        </w:rPr>
        <w:t>using 6-month categorical variables and continuous (number of days since the start of the study) variables.</w:t>
      </w:r>
      <w:r w:rsidRPr="00F9486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315"/>
      </w:tblGrid>
      <w:tr w:rsidR="00090249" w14:paraId="6B946DA2" w14:textId="77777777" w:rsidTr="00090249">
        <w:trPr>
          <w:trHeight w:val="247"/>
        </w:trPr>
        <w:tc>
          <w:tcPr>
            <w:tcW w:w="4765" w:type="dxa"/>
          </w:tcPr>
          <w:p w14:paraId="37889C37" w14:textId="73200534" w:rsidR="00090249" w:rsidRDefault="00090249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Calendar Time</w:t>
            </w:r>
          </w:p>
        </w:tc>
        <w:tc>
          <w:tcPr>
            <w:tcW w:w="3315" w:type="dxa"/>
            <w:vAlign w:val="center"/>
          </w:tcPr>
          <w:p w14:paraId="0EDDBC7B" w14:textId="0B3DA10F" w:rsidR="00090249" w:rsidRDefault="00090249" w:rsidP="00090249">
            <w:pPr>
              <w:rPr>
                <w:rFonts w:ascii="Arial" w:hAnsi="Arial" w:cs="Arial"/>
              </w:rPr>
            </w:pPr>
            <w:proofErr w:type="spellStart"/>
            <w:r w:rsidRPr="005224EE">
              <w:rPr>
                <w:rFonts w:ascii="Arial" w:hAnsi="Arial" w:cs="Arial"/>
                <w:b/>
                <w:bCs/>
                <w:color w:val="000000"/>
              </w:rPr>
              <w:t>Adjusted</w:t>
            </w:r>
            <w:r w:rsidRPr="005224E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  <w:r w:rsidRPr="005224EE">
              <w:rPr>
                <w:rFonts w:ascii="Arial" w:hAnsi="Arial" w:cs="Arial"/>
                <w:b/>
                <w:bCs/>
                <w:color w:val="000000"/>
              </w:rPr>
              <w:t xml:space="preserve"> Risk Ratio (95% CI)</w:t>
            </w:r>
          </w:p>
        </w:tc>
      </w:tr>
      <w:tr w:rsidR="00090249" w14:paraId="06DB18DB" w14:textId="77777777" w:rsidTr="00090249">
        <w:trPr>
          <w:trHeight w:val="257"/>
        </w:trPr>
        <w:tc>
          <w:tcPr>
            <w:tcW w:w="4765" w:type="dxa"/>
          </w:tcPr>
          <w:p w14:paraId="383ECD79" w14:textId="05E7CDEC" w:rsidR="00090249" w:rsidRDefault="00090249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Main Analysis: 6-month categories</w:t>
            </w:r>
          </w:p>
        </w:tc>
        <w:tc>
          <w:tcPr>
            <w:tcW w:w="3315" w:type="dxa"/>
            <w:vAlign w:val="center"/>
          </w:tcPr>
          <w:p w14:paraId="5C5D6AE7" w14:textId="18633AFC" w:rsidR="00090249" w:rsidRDefault="00090249" w:rsidP="00090249">
            <w:pPr>
              <w:rPr>
                <w:rFonts w:ascii="Arial" w:hAnsi="Arial" w:cs="Arial"/>
              </w:rPr>
            </w:pPr>
            <w:r w:rsidRPr="005224EE">
              <w:rPr>
                <w:rFonts w:ascii="Arial" w:hAnsi="Arial" w:cs="Arial"/>
                <w:color w:val="000000"/>
              </w:rPr>
              <w:t>1.19 (0.67,2.12)</w:t>
            </w:r>
          </w:p>
        </w:tc>
      </w:tr>
      <w:tr w:rsidR="00090249" w14:paraId="572FB089" w14:textId="77777777" w:rsidTr="00090249">
        <w:trPr>
          <w:trHeight w:val="247"/>
        </w:trPr>
        <w:tc>
          <w:tcPr>
            <w:tcW w:w="4765" w:type="dxa"/>
          </w:tcPr>
          <w:p w14:paraId="1E55437B" w14:textId="7C4C7D3D" w:rsidR="00090249" w:rsidRDefault="00090249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Day of surgery (quadratic)</w:t>
            </w:r>
          </w:p>
        </w:tc>
        <w:tc>
          <w:tcPr>
            <w:tcW w:w="3315" w:type="dxa"/>
          </w:tcPr>
          <w:p w14:paraId="480A88D2" w14:textId="10798543" w:rsidR="00090249" w:rsidRDefault="00A2243D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 (0.63, 1.93)</w:t>
            </w:r>
          </w:p>
        </w:tc>
      </w:tr>
      <w:tr w:rsidR="00090249" w14:paraId="22908C4B" w14:textId="77777777" w:rsidTr="00090249">
        <w:trPr>
          <w:trHeight w:val="247"/>
        </w:trPr>
        <w:tc>
          <w:tcPr>
            <w:tcW w:w="4765" w:type="dxa"/>
          </w:tcPr>
          <w:p w14:paraId="5B946636" w14:textId="123B9C6D" w:rsidR="00090249" w:rsidRDefault="00090249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Day of surgery (cubic spline)</w:t>
            </w:r>
          </w:p>
        </w:tc>
        <w:tc>
          <w:tcPr>
            <w:tcW w:w="3315" w:type="dxa"/>
          </w:tcPr>
          <w:p w14:paraId="67221BC7" w14:textId="4495CE18" w:rsidR="00090249" w:rsidRDefault="00A2243D" w:rsidP="000902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 (0.62, 1.93)</w:t>
            </w:r>
          </w:p>
        </w:tc>
      </w:tr>
    </w:tbl>
    <w:p w14:paraId="6565EDE0" w14:textId="59FA3DDD" w:rsidR="00090249" w:rsidRPr="005224EE" w:rsidRDefault="00090249" w:rsidP="00090249">
      <w:pPr>
        <w:tabs>
          <w:tab w:val="left" w:pos="6390"/>
        </w:tabs>
        <w:spacing w:line="240" w:lineRule="auto"/>
        <w:rPr>
          <w:rFonts w:ascii="Arial" w:hAnsi="Arial" w:cs="Arial"/>
        </w:rPr>
      </w:pPr>
      <w:proofErr w:type="spellStart"/>
      <w:r w:rsidRPr="005224EE">
        <w:rPr>
          <w:rFonts w:ascii="Arial" w:hAnsi="Arial" w:cs="Arial"/>
          <w:vertAlign w:val="superscript"/>
        </w:rPr>
        <w:t>a</w:t>
      </w:r>
      <w:r w:rsidRPr="00586203">
        <w:rPr>
          <w:rFonts w:ascii="Arial" w:hAnsi="Arial" w:cs="Arial"/>
        </w:rPr>
        <w:t>Stabilized</w:t>
      </w:r>
      <w:proofErr w:type="spellEnd"/>
      <w:r w:rsidRPr="00586203">
        <w:rPr>
          <w:rFonts w:ascii="Arial" w:hAnsi="Arial" w:cs="Arial"/>
        </w:rPr>
        <w:t xml:space="preserve"> </w:t>
      </w:r>
      <w:r w:rsidRPr="005224EE">
        <w:rPr>
          <w:rFonts w:ascii="Arial" w:hAnsi="Arial" w:cs="Arial"/>
        </w:rPr>
        <w:t>Inverse probability of treatment weights (IPTW) were calculated after</w:t>
      </w:r>
      <w:r>
        <w:rPr>
          <w:rFonts w:ascii="Arial" w:hAnsi="Arial" w:cs="Arial"/>
        </w:rPr>
        <w:t xml:space="preserve"> conducting 1% asymmetric</w:t>
      </w:r>
      <w:r w:rsidRPr="005224EE">
        <w:rPr>
          <w:rFonts w:ascii="Arial" w:hAnsi="Arial" w:cs="Arial"/>
        </w:rPr>
        <w:t xml:space="preserve"> trimming to adjust for baseline confounding.</w:t>
      </w:r>
    </w:p>
    <w:p w14:paraId="0E88A77B" w14:textId="77777777" w:rsidR="005E24DD" w:rsidRDefault="005E24DD" w:rsidP="005E24DD">
      <w:pPr>
        <w:pageBreakBefore/>
        <w:rPr>
          <w:rFonts w:ascii="Arial" w:hAnsi="Arial" w:cs="Arial"/>
        </w:rPr>
        <w:sectPr w:rsidR="005E24DD" w:rsidSect="002757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A6DF72" w14:textId="3C11F142" w:rsidR="005E24DD" w:rsidRPr="00F94860" w:rsidRDefault="005E24DD" w:rsidP="005E24DD">
      <w:pPr>
        <w:pageBreakBefore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Supplemental </w:t>
      </w:r>
      <w:r w:rsidRPr="00F94860">
        <w:rPr>
          <w:rFonts w:ascii="Arial" w:hAnsi="Arial" w:cs="Arial"/>
        </w:rPr>
        <w:t xml:space="preserve">Table </w:t>
      </w:r>
      <w:r w:rsidR="00090249">
        <w:rPr>
          <w:rFonts w:ascii="Arial" w:hAnsi="Arial" w:cs="Arial"/>
        </w:rPr>
        <w:t>4</w:t>
      </w:r>
      <w:r w:rsidRPr="00F94860">
        <w:rPr>
          <w:rFonts w:ascii="Arial" w:hAnsi="Arial" w:cs="Arial"/>
        </w:rPr>
        <w:t>. Crude and adjusted risk and risk ratios of prolonged opioid use compar</w:t>
      </w:r>
      <w:r>
        <w:rPr>
          <w:rFonts w:ascii="Arial" w:hAnsi="Arial" w:cs="Arial"/>
        </w:rPr>
        <w:t>ing</w:t>
      </w:r>
      <w:r w:rsidRPr="00F94860">
        <w:rPr>
          <w:rFonts w:ascii="Arial" w:hAnsi="Arial" w:cs="Arial"/>
        </w:rPr>
        <w:t xml:space="preserve"> patients who received preoperative gabapentinoids to those who did not (referent)</w:t>
      </w:r>
      <w:r>
        <w:rPr>
          <w:rFonts w:ascii="Arial" w:hAnsi="Arial" w:cs="Arial"/>
        </w:rPr>
        <w:t xml:space="preserve"> including supplemental analyses</w:t>
      </w:r>
      <w:r w:rsidRPr="00F94860">
        <w:rPr>
          <w:rFonts w:ascii="Arial" w:hAnsi="Arial" w:cs="Arial"/>
        </w:rPr>
        <w:t xml:space="preserve">. </w:t>
      </w:r>
    </w:p>
    <w:tbl>
      <w:tblPr>
        <w:tblW w:w="14035" w:type="dxa"/>
        <w:tblLook w:val="04A0" w:firstRow="1" w:lastRow="0" w:firstColumn="1" w:lastColumn="0" w:noHBand="0" w:noVBand="1"/>
      </w:tblPr>
      <w:tblGrid>
        <w:gridCol w:w="2018"/>
        <w:gridCol w:w="2027"/>
        <w:gridCol w:w="1260"/>
        <w:gridCol w:w="2250"/>
        <w:gridCol w:w="1740"/>
        <w:gridCol w:w="2303"/>
        <w:gridCol w:w="2437"/>
      </w:tblGrid>
      <w:tr w:rsidR="005E24DD" w:rsidRPr="005224EE" w14:paraId="39958147" w14:textId="77777777" w:rsidTr="00D33EDE">
        <w:trPr>
          <w:trHeight w:val="8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6D6F5A0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24EE">
              <w:rPr>
                <w:rFonts w:ascii="Arial" w:hAnsi="Arial" w:cs="Arial"/>
                <w:b/>
                <w:bCs/>
                <w:color w:val="000000"/>
              </w:rPr>
              <w:t>Population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377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24EE">
              <w:rPr>
                <w:rFonts w:ascii="Arial" w:hAnsi="Arial" w:cs="Arial"/>
                <w:b/>
                <w:bCs/>
                <w:color w:val="000000"/>
              </w:rPr>
              <w:t xml:space="preserve">Exposure Status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BFE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24EE">
              <w:rPr>
                <w:rFonts w:ascii="Arial" w:hAnsi="Arial" w:cs="Arial"/>
                <w:b/>
                <w:bCs/>
                <w:color w:val="000000"/>
              </w:rPr>
              <w:t>Number of Patients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7FE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24EE">
              <w:rPr>
                <w:rFonts w:ascii="Arial" w:hAnsi="Arial" w:cs="Arial"/>
                <w:b/>
                <w:bCs/>
                <w:color w:val="000000"/>
              </w:rPr>
              <w:t>Observed Risk (95% CI)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85F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224EE">
              <w:rPr>
                <w:rFonts w:ascii="Arial" w:hAnsi="Arial" w:cs="Arial"/>
                <w:b/>
                <w:bCs/>
                <w:color w:val="000000"/>
              </w:rPr>
              <w:t>Number of Patients after Trimming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9F9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5224EE">
              <w:rPr>
                <w:rFonts w:ascii="Arial" w:hAnsi="Arial" w:cs="Arial"/>
                <w:b/>
                <w:bCs/>
                <w:color w:val="000000"/>
              </w:rPr>
              <w:t>Adjusted</w:t>
            </w:r>
            <w:r w:rsidRPr="005224E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  <w:r w:rsidRPr="005224EE">
              <w:rPr>
                <w:rFonts w:ascii="Arial" w:hAnsi="Arial" w:cs="Arial"/>
                <w:b/>
                <w:bCs/>
                <w:color w:val="000000"/>
              </w:rPr>
              <w:t xml:space="preserve"> Risk (95% CI)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78C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5224EE">
              <w:rPr>
                <w:rFonts w:ascii="Arial" w:hAnsi="Arial" w:cs="Arial"/>
                <w:b/>
                <w:bCs/>
                <w:color w:val="000000"/>
              </w:rPr>
              <w:t>Adjusted</w:t>
            </w:r>
            <w:r w:rsidRPr="005224E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  <w:r w:rsidRPr="005224EE">
              <w:rPr>
                <w:rFonts w:ascii="Arial" w:hAnsi="Arial" w:cs="Arial"/>
                <w:b/>
                <w:bCs/>
                <w:color w:val="000000"/>
              </w:rPr>
              <w:t xml:space="preserve"> Risk Ratio (95% CI)</w:t>
            </w:r>
          </w:p>
        </w:tc>
      </w:tr>
      <w:tr w:rsidR="005E24DD" w:rsidRPr="005224EE" w14:paraId="72C9CA14" w14:textId="77777777" w:rsidTr="00D33EDE">
        <w:trPr>
          <w:trHeight w:val="285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C35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Full Population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27CF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FFC6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13,958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250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0.91% (0.77,1.08)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25B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11,303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204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0.87% (0.7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24EE">
              <w:rPr>
                <w:rFonts w:ascii="Arial" w:hAnsi="Arial" w:cs="Arial"/>
                <w:color w:val="000000"/>
              </w:rPr>
              <w:t>,1.09)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454F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1.19 (0.67,2.12)</w:t>
            </w:r>
          </w:p>
        </w:tc>
      </w:tr>
      <w:tr w:rsidR="005E24DD" w:rsidRPr="005224EE" w14:paraId="3292412B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E10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8BC3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A6A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2,931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BE6D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1.19% (0.86,1.66)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4519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2,491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A05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1.00% (0.59,1.68)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4F6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088F2E97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342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4D23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2077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11,027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4CAC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0.83% (0.68,1.02)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3B59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8,812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F82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0.84% (0.66,1.06)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D076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3B422D54" w14:textId="77777777" w:rsidTr="00D33EDE">
        <w:trPr>
          <w:trHeight w:val="285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3BC" w14:textId="2BC28A55" w:rsidR="005E24DD" w:rsidRPr="00C40151" w:rsidRDefault="00286E08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 xml:space="preserve">Pre-ERAS: </w:t>
            </w:r>
            <w:r w:rsidR="005E24DD" w:rsidRPr="005224EE">
              <w:rPr>
                <w:rFonts w:ascii="Arial" w:hAnsi="Arial" w:cs="Arial"/>
                <w:color w:val="000000"/>
              </w:rPr>
              <w:t>Jan 2016 - Feb 2018</w:t>
            </w:r>
            <w:r w:rsidR="00C40151">
              <w:rPr>
                <w:rFonts w:ascii="Arial" w:hAnsi="Arial" w:cs="Arial"/>
                <w:color w:val="000000"/>
                <w:vertAlign w:val="superscript"/>
              </w:rPr>
              <w:t>b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BEE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462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       7,842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053C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1.05% (0.84,1.3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24E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9C47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5,983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FC39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1.08% (0.84,1.39)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BE5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1.23 (0.66,2.28)</w:t>
            </w:r>
          </w:p>
        </w:tc>
      </w:tr>
      <w:tr w:rsidR="005E24DD" w:rsidRPr="005224EE" w14:paraId="1343B578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C0E3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A858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16C1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       1,191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BB56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1.93% (1.29,2.89)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A82F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959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A07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1.28% (0.73,2.23)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80C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1E846CE4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7FA8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1950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DE44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       6,651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621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0.89% (0.69,1.14)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082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5,024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4A3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1.04% (0.79,1.38)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BA22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3A19141E" w14:textId="77777777" w:rsidTr="00D33EDE">
        <w:trPr>
          <w:trHeight w:val="285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5B1" w14:textId="6141A90E" w:rsidR="005E24DD" w:rsidRPr="00C40151" w:rsidRDefault="00286E08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 xml:space="preserve">Post-ERAS: </w:t>
            </w:r>
            <w:r w:rsidR="005E24DD" w:rsidRPr="005224EE">
              <w:rPr>
                <w:rFonts w:ascii="Arial" w:hAnsi="Arial" w:cs="Arial"/>
                <w:color w:val="000000"/>
              </w:rPr>
              <w:t>Mar 2018 - Dec 2019</w:t>
            </w:r>
            <w:r w:rsidR="00C40151">
              <w:rPr>
                <w:rFonts w:ascii="Arial" w:hAnsi="Arial" w:cs="Arial"/>
                <w:color w:val="000000"/>
                <w:vertAlign w:val="superscript"/>
              </w:rPr>
              <w:t>b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E05A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A97F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6,116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4DF3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0.74% (0.55,0.98)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0A77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4,873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5100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0.79% (0.51,1.23)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158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1.01 (0.31,3.33)</w:t>
            </w:r>
          </w:p>
        </w:tc>
      </w:tr>
      <w:tr w:rsidR="005E24DD" w:rsidRPr="005224EE" w14:paraId="24E562C1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90BF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F07E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C40E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1,740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BFE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0.69% (0.39,1.21)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0DDF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1,443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129C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0.80% (0.26,2.44)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20A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34C8FFCD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92D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0CA1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48B1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4,376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7DB9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0.75% (0.54,1.06)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10BB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3,430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8657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0.79% (0.52,1.20)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781F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4F757A8B" w14:textId="77777777" w:rsidTr="00D33EDE">
        <w:trPr>
          <w:trHeight w:val="285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A57" w14:textId="5FBEF57C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Surgeries with </w:t>
            </w:r>
            <w:r w:rsidR="00F90124">
              <w:rPr>
                <w:rFonts w:ascii="Arial" w:hAnsi="Arial" w:cs="Arial"/>
                <w:color w:val="000000"/>
              </w:rPr>
              <w:t>≥</w:t>
            </w:r>
            <w:r w:rsidRPr="005224EE">
              <w:rPr>
                <w:rFonts w:ascii="Arial" w:hAnsi="Arial" w:cs="Arial"/>
                <w:color w:val="000000"/>
              </w:rPr>
              <w:t>30% Exposed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3E4C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0C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2,626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FD2A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0.62% (0.38,1.01)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282C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2,410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9D2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0.70% (0.41,1.21)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553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1.01 (0.30,3.33)</w:t>
            </w:r>
          </w:p>
        </w:tc>
      </w:tr>
      <w:tr w:rsidR="005E24DD" w:rsidRPr="005224EE" w14:paraId="78D40B60" w14:textId="77777777" w:rsidTr="00D33EDE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F4B8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28F6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3158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1,587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DDA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0.76% (0.44,1.34)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C8B8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1,481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EA1F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0.70% (0.39,1.28)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98B5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5A82AB08" w14:textId="77777777" w:rsidTr="00090249">
        <w:trPr>
          <w:trHeight w:val="285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67D8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C0FB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2C3B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1,039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C57A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0.39% (0.15,1.05)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9E55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929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E186" w14:textId="77777777" w:rsidR="005E24DD" w:rsidRPr="005224EE" w:rsidRDefault="005E24DD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0.70% (0.25,1.98)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7F76" w14:textId="77777777" w:rsidR="005E24DD" w:rsidRPr="005224EE" w:rsidRDefault="005E24DD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5CC26513" w14:textId="77777777" w:rsidTr="00090249">
        <w:trPr>
          <w:trHeight w:val="2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197" w14:textId="7AB3337B" w:rsidR="005E24DD" w:rsidRPr="005224EE" w:rsidRDefault="00F90124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Surgeries with &lt;30% Exposed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45F9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C50" w14:textId="31861659" w:rsidR="005E24DD" w:rsidRPr="005224EE" w:rsidRDefault="002B2BA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11,371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BE26" w14:textId="7076EE81" w:rsidR="005E24DD" w:rsidRPr="005224EE" w:rsidRDefault="00286E08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0.98% (0.81,1.17)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7D6A" w14:textId="4B086C8E" w:rsidR="005E24DD" w:rsidRPr="005224EE" w:rsidRDefault="003F264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9,737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1B88" w14:textId="697913B7" w:rsidR="005E24DD" w:rsidRPr="005224EE" w:rsidRDefault="00286E08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1.15% (0.88,1.51)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09F2" w14:textId="6AD53CCE" w:rsidR="005E24DD" w:rsidRPr="005224EE" w:rsidRDefault="003C2BFF" w:rsidP="00D33EDE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2.34 (1.02,5.41)</w:t>
            </w:r>
          </w:p>
        </w:tc>
      </w:tr>
      <w:tr w:rsidR="005E24DD" w:rsidRPr="005224EE" w14:paraId="759762E7" w14:textId="77777777" w:rsidTr="00090249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3C7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6604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A7A7" w14:textId="0C1FB6F7" w:rsidR="005E24DD" w:rsidRPr="005224EE" w:rsidRDefault="002B2BA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1,361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9C8" w14:textId="4067C24C" w:rsidR="005E24DD" w:rsidRPr="00286E08" w:rsidRDefault="00286E08" w:rsidP="00286E08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1.69% </w:t>
            </w:r>
            <w:r w:rsidRPr="00286E08">
              <w:rPr>
                <w:rFonts w:ascii="Arial" w:eastAsia="Times New Roman" w:hAnsi="Arial" w:cs="Arial"/>
                <w:color w:val="000000"/>
              </w:rPr>
              <w:t>(1.13,2.53)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17A6" w14:textId="3199198C" w:rsidR="005E24DD" w:rsidRPr="005224EE" w:rsidRDefault="003F264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1,272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BC6" w14:textId="3525136B" w:rsidR="005E24DD" w:rsidRPr="005224EE" w:rsidRDefault="00286E08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2.30% (1.03,5.15)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170E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24DD" w:rsidRPr="005224EE" w14:paraId="721C962C" w14:textId="77777777" w:rsidTr="00090249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2A8F" w14:textId="77777777" w:rsidR="005E24DD" w:rsidRPr="005224EE" w:rsidRDefault="005E24DD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867E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1BF" w14:textId="44343445" w:rsidR="005E24DD" w:rsidRPr="005224EE" w:rsidRDefault="002B2BA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10,010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AB4A" w14:textId="42EDAF0F" w:rsidR="005E24DD" w:rsidRPr="005224EE" w:rsidRDefault="00286E08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0.88% (0.71,1.08)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F3A0" w14:textId="6BDE4777" w:rsidR="005E24DD" w:rsidRPr="005224EE" w:rsidRDefault="003F2640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8,465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0E61" w14:textId="27E85D56" w:rsidR="005E24DD" w:rsidRPr="005224EE" w:rsidRDefault="003C2BFF" w:rsidP="00D33EDE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0.98% (0.79,1.23)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5D21" w14:textId="77777777" w:rsidR="005E24DD" w:rsidRPr="005224EE" w:rsidRDefault="005E24DD" w:rsidP="00D33EDE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0249" w:rsidRPr="005224EE" w14:paraId="39ED4ED0" w14:textId="77777777" w:rsidTr="00434983">
        <w:trPr>
          <w:trHeight w:val="2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FBA0" w14:textId="0AF32927" w:rsidR="00090249" w:rsidRPr="005224EE" w:rsidRDefault="00090249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5224EE">
              <w:rPr>
                <w:rFonts w:ascii="Arial" w:hAnsi="Arial" w:cs="Arial"/>
                <w:color w:val="000000"/>
              </w:rPr>
              <w:t>utpatient Visit and Rx in Prior 182 Days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D5A3" w14:textId="237CE14D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7DA4" w14:textId="7C404722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5,084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BF4" w14:textId="1AF6DE0B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1.63% (1.32,2.02)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7C1" w14:textId="2378D1C6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 xml:space="preserve">4,192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130" w14:textId="40E90AC1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1.85% (1.42,2.4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5224E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ED926" w14:textId="0E8DA1DC" w:rsidR="00090249" w:rsidRPr="005224EE" w:rsidRDefault="00090249" w:rsidP="003C2BFF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1.06 (0.57,1.99)</w:t>
            </w:r>
          </w:p>
        </w:tc>
      </w:tr>
      <w:tr w:rsidR="00090249" w:rsidRPr="005224EE" w14:paraId="25741F41" w14:textId="77777777" w:rsidTr="00434983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077" w14:textId="77777777" w:rsidR="00090249" w:rsidRPr="005224EE" w:rsidRDefault="00090249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23D5" w14:textId="22EEB03C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1D5" w14:textId="1F8B4C9F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1,128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412B" w14:textId="3546D128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1.86% (1.22,2.84)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F1D4" w14:textId="48EA9F2F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 xml:space="preserve">927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1860" w14:textId="7DD00E32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1.94% (1.11,3.36)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E3DB" w14:textId="77777777" w:rsidR="00090249" w:rsidRPr="005224EE" w:rsidRDefault="00090249" w:rsidP="003C2BFF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0249" w:rsidRPr="005224EE" w14:paraId="40F70E8C" w14:textId="77777777" w:rsidTr="00434983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5F9" w14:textId="77777777" w:rsidR="00090249" w:rsidRPr="005224EE" w:rsidRDefault="00090249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E4AD" w14:textId="4D9ED22D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6258" w14:textId="3A4E3F4F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3,956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84DE" w14:textId="291AD318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1.57% (1.22,2.01)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FA49" w14:textId="5D3B2A08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 xml:space="preserve">3,264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A0DA" w14:textId="3E8A0FA7" w:rsidR="00090249" w:rsidRPr="005224EE" w:rsidRDefault="00090249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1.82% (1.35,2.45)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F55" w14:textId="77777777" w:rsidR="00090249" w:rsidRPr="005224EE" w:rsidRDefault="00090249" w:rsidP="003C2BFF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0249" w:rsidRPr="005224EE" w14:paraId="1FFEBA30" w14:textId="77777777" w:rsidTr="00D34860">
        <w:trPr>
          <w:trHeight w:val="28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CD0" w14:textId="4754AFDC" w:rsidR="00090249" w:rsidRPr="005224EE" w:rsidRDefault="00090249" w:rsidP="00090249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Did not have ≥ 1 O</w:t>
            </w:r>
            <w:r w:rsidRPr="005224EE">
              <w:rPr>
                <w:rFonts w:ascii="Arial" w:hAnsi="Arial" w:cs="Arial"/>
                <w:color w:val="000000"/>
              </w:rPr>
              <w:t>utpatient Visit and Rx in Prior 182 Days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F993" w14:textId="1D8E0E12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hAnsi="Arial" w:cs="Arial"/>
                <w:color w:val="000000"/>
              </w:rPr>
              <w:t>Overall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5737" w14:textId="3BB5E6DF" w:rsidR="00090249" w:rsidRPr="005224EE" w:rsidRDefault="002B2BA0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8,874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B884" w14:textId="3EA89D27" w:rsidR="00090249" w:rsidRPr="005224EE" w:rsidRDefault="003C2BFF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0.50% (0.37,0.67)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A22" w14:textId="744C16B1" w:rsidR="00090249" w:rsidRPr="005224EE" w:rsidRDefault="003F2640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6,892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6D73" w14:textId="2FE218CF" w:rsidR="00090249" w:rsidRPr="005224EE" w:rsidRDefault="003C2BFF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0.48% (0.30,0.75)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0991D" w14:textId="1FE8402C" w:rsidR="00090249" w:rsidRPr="005224EE" w:rsidRDefault="003C2BFF" w:rsidP="003C2BFF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1.73 (0.57,5.30)</w:t>
            </w:r>
          </w:p>
        </w:tc>
      </w:tr>
      <w:tr w:rsidR="00090249" w:rsidRPr="005224EE" w14:paraId="6995EF52" w14:textId="77777777" w:rsidTr="00D34860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B62" w14:textId="77777777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1AE0" w14:textId="3319F335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0021" w14:textId="55F555F0" w:rsidR="00090249" w:rsidRPr="005224EE" w:rsidRDefault="002B2BA0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1,803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DC63" w14:textId="2E367BDC" w:rsidR="00090249" w:rsidRPr="005224EE" w:rsidRDefault="003C2BFF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0.78% (0.46,1.31)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991C" w14:textId="1CAB78F0" w:rsidR="00090249" w:rsidRPr="005224EE" w:rsidRDefault="003F2640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1,553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842A" w14:textId="3A690954" w:rsidR="00090249" w:rsidRPr="005224EE" w:rsidRDefault="003C2BFF" w:rsidP="005E24DD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0.71% (0.25,1.98)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138E" w14:textId="77777777" w:rsidR="00090249" w:rsidRPr="005224EE" w:rsidRDefault="00090249" w:rsidP="005E24DD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0249" w:rsidRPr="005224EE" w14:paraId="04A08249" w14:textId="77777777" w:rsidTr="00D34860">
        <w:trPr>
          <w:trHeight w:val="28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ECA" w14:textId="77777777" w:rsidR="00090249" w:rsidRPr="005224EE" w:rsidRDefault="00090249" w:rsidP="00090249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49CD" w14:textId="3D1C8B43" w:rsidR="00090249" w:rsidRPr="005224EE" w:rsidRDefault="00090249" w:rsidP="00090249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24EE">
              <w:rPr>
                <w:rFonts w:ascii="Arial" w:eastAsia="Times New Roman" w:hAnsi="Arial" w:cs="Arial"/>
                <w:color w:val="000000"/>
              </w:rPr>
              <w:t>Gabapentinoid=0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FCB7" w14:textId="3031E954" w:rsidR="00090249" w:rsidRPr="005224EE" w:rsidRDefault="002B2BA0" w:rsidP="00090249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7,071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7A5" w14:textId="569C0689" w:rsidR="00090249" w:rsidRPr="005224EE" w:rsidRDefault="003C2BFF" w:rsidP="00090249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0.42% (0.30,0.61)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1381" w14:textId="58D30551" w:rsidR="00090249" w:rsidRPr="005224EE" w:rsidRDefault="003F2640" w:rsidP="00090249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5,339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F82E" w14:textId="02613B17" w:rsidR="00090249" w:rsidRPr="005224EE" w:rsidRDefault="003C2BFF" w:rsidP="00090249">
            <w:pPr>
              <w:keepLine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0.41% (0.26,0.64)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DF05" w14:textId="77777777" w:rsidR="00090249" w:rsidRPr="005224EE" w:rsidRDefault="00090249" w:rsidP="00090249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1FE50CC" w14:textId="77777777" w:rsidR="00C40151" w:rsidRDefault="005E24DD" w:rsidP="00C40151">
      <w:pPr>
        <w:tabs>
          <w:tab w:val="left" w:pos="6390"/>
        </w:tabs>
        <w:spacing w:after="0" w:line="240" w:lineRule="auto"/>
        <w:rPr>
          <w:rFonts w:ascii="Arial" w:hAnsi="Arial" w:cs="Arial"/>
        </w:rPr>
      </w:pPr>
      <w:proofErr w:type="spellStart"/>
      <w:r w:rsidRPr="005224EE">
        <w:rPr>
          <w:rFonts w:ascii="Arial" w:hAnsi="Arial" w:cs="Arial"/>
          <w:vertAlign w:val="superscript"/>
        </w:rPr>
        <w:t>a</w:t>
      </w:r>
      <w:r w:rsidRPr="00586203">
        <w:rPr>
          <w:rFonts w:ascii="Arial" w:hAnsi="Arial" w:cs="Arial"/>
        </w:rPr>
        <w:t>Stabilized</w:t>
      </w:r>
      <w:proofErr w:type="spellEnd"/>
      <w:r w:rsidRPr="00586203">
        <w:rPr>
          <w:rFonts w:ascii="Arial" w:hAnsi="Arial" w:cs="Arial"/>
        </w:rPr>
        <w:t xml:space="preserve"> </w:t>
      </w:r>
      <w:r w:rsidRPr="005224EE">
        <w:rPr>
          <w:rFonts w:ascii="Arial" w:hAnsi="Arial" w:cs="Arial"/>
        </w:rPr>
        <w:t>Inverse probability of treatment weights (IPTW) were calculated within each population after</w:t>
      </w:r>
      <w:r>
        <w:rPr>
          <w:rFonts w:ascii="Arial" w:hAnsi="Arial" w:cs="Arial"/>
        </w:rPr>
        <w:t xml:space="preserve"> conducting 1% asymmetric</w:t>
      </w:r>
      <w:r w:rsidRPr="005224EE">
        <w:rPr>
          <w:rFonts w:ascii="Arial" w:hAnsi="Arial" w:cs="Arial"/>
        </w:rPr>
        <w:t xml:space="preserve"> trimming to adjust for baseline confounding.</w:t>
      </w:r>
    </w:p>
    <w:p w14:paraId="4DBA185C" w14:textId="5A8C785C" w:rsidR="005E24DD" w:rsidRPr="00C40151" w:rsidRDefault="00C40151" w:rsidP="00C40151">
      <w:pPr>
        <w:tabs>
          <w:tab w:val="left" w:pos="6390"/>
        </w:tabs>
        <w:spacing w:after="0" w:line="240" w:lineRule="auto"/>
        <w:rPr>
          <w:rFonts w:ascii="Arial" w:hAnsi="Arial" w:cs="Arial"/>
        </w:rPr>
      </w:pPr>
      <w:proofErr w:type="spellStart"/>
      <w:r w:rsidRPr="00C40151">
        <w:rPr>
          <w:rFonts w:ascii="Arial" w:hAnsi="Arial" w:cs="Arial"/>
          <w:vertAlign w:val="superscript"/>
        </w:rPr>
        <w:t>b</w:t>
      </w:r>
      <w:r w:rsidRPr="00C40151">
        <w:rPr>
          <w:rFonts w:ascii="Arial" w:hAnsi="Arial" w:cs="Arial"/>
        </w:rPr>
        <w:t>Due</w:t>
      </w:r>
      <w:proofErr w:type="spellEnd"/>
      <w:r w:rsidRPr="00C40151">
        <w:rPr>
          <w:rFonts w:ascii="Arial" w:hAnsi="Arial" w:cs="Arial"/>
        </w:rPr>
        <w:t xml:space="preserve"> to extreme </w:t>
      </w:r>
      <w:r>
        <w:rPr>
          <w:rFonts w:ascii="Arial" w:hAnsi="Arial" w:cs="Arial"/>
        </w:rPr>
        <w:t xml:space="preserve">weights, 1.5% asymmetric trimming was used in the </w:t>
      </w:r>
      <w:proofErr w:type="gramStart"/>
      <w:r>
        <w:rPr>
          <w:rFonts w:ascii="Arial" w:hAnsi="Arial" w:cs="Arial"/>
        </w:rPr>
        <w:t>time period</w:t>
      </w:r>
      <w:proofErr w:type="gramEnd"/>
      <w:r>
        <w:rPr>
          <w:rFonts w:ascii="Arial" w:hAnsi="Arial" w:cs="Arial"/>
        </w:rPr>
        <w:t xml:space="preserve"> stratified analyses.</w:t>
      </w:r>
    </w:p>
    <w:p w14:paraId="7BF2D952" w14:textId="231A4CA7" w:rsidR="005E24DD" w:rsidRDefault="005E24DD" w:rsidP="005E24DD">
      <w:pPr>
        <w:pageBreakBefore/>
        <w:rPr>
          <w:rFonts w:ascii="Arial" w:hAnsi="Arial" w:cs="Arial"/>
        </w:rPr>
        <w:sectPr w:rsidR="005E24DD" w:rsidSect="005E24D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9C766C1" w14:textId="69B8A60E" w:rsidR="00F00071" w:rsidRPr="00463485" w:rsidRDefault="00F00071" w:rsidP="00F00071">
      <w:pPr>
        <w:pageBreakBefore/>
        <w:spacing w:line="240" w:lineRule="auto"/>
        <w:rPr>
          <w:rFonts w:ascii="Arial" w:hAnsi="Arial" w:cs="Arial"/>
        </w:rPr>
      </w:pPr>
      <w:r w:rsidRPr="00463485">
        <w:rPr>
          <w:rFonts w:ascii="Arial" w:hAnsi="Arial" w:cs="Arial"/>
        </w:rPr>
        <w:lastRenderedPageBreak/>
        <w:t xml:space="preserve">Supplemental Table </w:t>
      </w:r>
      <w:r>
        <w:rPr>
          <w:rFonts w:ascii="Arial" w:hAnsi="Arial" w:cs="Arial"/>
        </w:rPr>
        <w:t>5</w:t>
      </w:r>
      <w:r w:rsidRPr="00463485">
        <w:rPr>
          <w:rFonts w:ascii="Arial" w:hAnsi="Arial" w:cs="Arial"/>
        </w:rPr>
        <w:t>. Bias-adjusted risk ratios accounting for outcome misclassification.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1890"/>
        <w:gridCol w:w="1890"/>
        <w:gridCol w:w="1980"/>
        <w:gridCol w:w="1705"/>
      </w:tblGrid>
      <w:tr w:rsidR="00F00071" w:rsidRPr="00463485" w14:paraId="66C07F03" w14:textId="77777777" w:rsidTr="00D33EDE">
        <w:trPr>
          <w:trHeight w:val="288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8DD" w14:textId="77777777" w:rsidR="00F00071" w:rsidRPr="0014160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Gold Standard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53A" w14:textId="77777777" w:rsidR="00F00071" w:rsidRPr="0014160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Bias adjusted RR* (95% CI)</w:t>
            </w:r>
          </w:p>
        </w:tc>
        <w:tc>
          <w:tcPr>
            <w:tcW w:w="7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82F2" w14:textId="77777777" w:rsidR="00F00071" w:rsidRPr="00141605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Probabilistic Bias Analysis Parameters</w:t>
            </w:r>
          </w:p>
        </w:tc>
      </w:tr>
      <w:tr w:rsidR="00F00071" w:rsidRPr="00463485" w14:paraId="00009118" w14:textId="77777777" w:rsidTr="00D33EDE">
        <w:trPr>
          <w:trHeight w:val="28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9519" w14:textId="77777777" w:rsidR="00F00071" w:rsidRPr="0014160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8EFC" w14:textId="77777777" w:rsidR="00F00071" w:rsidRPr="0014160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4E84" w14:textId="77777777" w:rsidR="00F00071" w:rsidRPr="00141605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PPV Unexposed (SE)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D6D2" w14:textId="77777777" w:rsidR="00F00071" w:rsidRPr="00141605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PPV Exposed (SE)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153" w14:textId="77777777" w:rsidR="00F00071" w:rsidRPr="00141605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NPV Unexposed (SE)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A85" w14:textId="77777777" w:rsidR="00F00071" w:rsidRPr="00141605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16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NPV Exposed (SE)</w:t>
            </w:r>
          </w:p>
        </w:tc>
      </w:tr>
      <w:tr w:rsidR="00F00071" w:rsidRPr="00463485" w14:paraId="520D8B17" w14:textId="77777777" w:rsidTr="00D33EDE">
        <w:trPr>
          <w:trHeight w:val="28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F1DA" w14:textId="77777777" w:rsidR="00F00071" w:rsidRPr="0046348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Combined: </w:t>
            </w:r>
            <w:proofErr w:type="spellStart"/>
            <w:r w:rsidRPr="0046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EHR+Medicare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182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(0.78,2.17)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3A3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1 (0)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DFC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1 (0)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81C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0.956 (0.004)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2AA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0.934 (0.015)</w:t>
            </w:r>
          </w:p>
        </w:tc>
      </w:tr>
      <w:tr w:rsidR="00F00071" w:rsidRPr="00463485" w14:paraId="28E4E2C9" w14:textId="77777777" w:rsidTr="00D33EDE">
        <w:trPr>
          <w:trHeight w:val="28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832" w14:textId="77777777" w:rsidR="00F00071" w:rsidRPr="00463485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Medicare Claims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401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1.48 (0.78,2.27)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5A7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0.327 (0.063)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B49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0.327 (0.063)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D7C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0.956 (0.004)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034" w14:textId="77777777" w:rsidR="00F00071" w:rsidRPr="00463485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3485">
              <w:rPr>
                <w:rFonts w:ascii="Arial" w:hAnsi="Arial" w:cs="Arial"/>
                <w:color w:val="000000"/>
                <w:sz w:val="20"/>
                <w:szCs w:val="20"/>
              </w:rPr>
              <w:t>0.934 (0.015)</w:t>
            </w:r>
          </w:p>
        </w:tc>
      </w:tr>
    </w:tbl>
    <w:p w14:paraId="6FDCEEF7" w14:textId="77777777" w:rsidR="00F00071" w:rsidRPr="00463485" w:rsidRDefault="00F00071" w:rsidP="00F00071">
      <w:pPr>
        <w:spacing w:line="240" w:lineRule="auto"/>
        <w:rPr>
          <w:rFonts w:ascii="Arial" w:hAnsi="Arial" w:cs="Arial"/>
        </w:rPr>
      </w:pPr>
      <w:r w:rsidRPr="00463485">
        <w:rPr>
          <w:rFonts w:ascii="Arial" w:hAnsi="Arial" w:cs="Arial"/>
        </w:rPr>
        <w:t>*Probabilistic bias analyses using 1,000 bootstraps to estimate impact of outcome misclassification in EHR data.</w:t>
      </w:r>
    </w:p>
    <w:p w14:paraId="6A7A9EB6" w14:textId="6B086659" w:rsidR="00F00071" w:rsidRDefault="00F00071" w:rsidP="00F00071">
      <w:pPr>
        <w:pageBreakBefore/>
        <w:rPr>
          <w:rFonts w:ascii="Arial" w:hAnsi="Arial" w:cs="Arial"/>
        </w:rPr>
      </w:pPr>
      <w:r w:rsidRPr="00304987">
        <w:rPr>
          <w:rFonts w:ascii="Arial" w:hAnsi="Arial" w:cs="Arial"/>
        </w:rPr>
        <w:lastRenderedPageBreak/>
        <w:t xml:space="preserve">Supplemental Table </w:t>
      </w:r>
      <w:r w:rsidR="005D0ED8">
        <w:rPr>
          <w:rFonts w:ascii="Arial" w:hAnsi="Arial" w:cs="Arial"/>
        </w:rPr>
        <w:t>6</w:t>
      </w:r>
      <w:r w:rsidRPr="00304987">
        <w:rPr>
          <w:rFonts w:ascii="Arial" w:hAnsi="Arial" w:cs="Arial"/>
        </w:rPr>
        <w:t xml:space="preserve">. Baseline characteristics for patients undergoing </w:t>
      </w:r>
      <w:r>
        <w:rPr>
          <w:rFonts w:ascii="Arial" w:hAnsi="Arial" w:cs="Arial"/>
        </w:rPr>
        <w:t xml:space="preserve">colorectal resection, hip arthroplasty, knee arthroplasty, or hysterectomy, stratified by </w:t>
      </w:r>
      <w:r w:rsidRPr="00304987">
        <w:rPr>
          <w:rFonts w:ascii="Arial" w:hAnsi="Arial" w:cs="Arial"/>
        </w:rPr>
        <w:t>receipt of preoperative gabapentinoids</w:t>
      </w:r>
      <w:r>
        <w:rPr>
          <w:rFonts w:ascii="Arial" w:hAnsi="Arial" w:cs="Arial"/>
        </w:rPr>
        <w:t>, before and after</w:t>
      </w:r>
      <w:r w:rsidRPr="00304987">
        <w:rPr>
          <w:rFonts w:ascii="Arial" w:hAnsi="Arial" w:cs="Arial"/>
        </w:rPr>
        <w:t xml:space="preserve"> IPTW weighting.</w:t>
      </w:r>
    </w:p>
    <w:tbl>
      <w:tblPr>
        <w:tblW w:w="10916" w:type="dxa"/>
        <w:tblLook w:val="04A0" w:firstRow="1" w:lastRow="0" w:firstColumn="1" w:lastColumn="0" w:noHBand="0" w:noVBand="1"/>
      </w:tblPr>
      <w:tblGrid>
        <w:gridCol w:w="2220"/>
        <w:gridCol w:w="1700"/>
        <w:gridCol w:w="1616"/>
        <w:gridCol w:w="960"/>
        <w:gridCol w:w="1760"/>
        <w:gridCol w:w="1700"/>
        <w:gridCol w:w="960"/>
      </w:tblGrid>
      <w:tr w:rsidR="00F00071" w:rsidRPr="00776DD2" w14:paraId="6919766F" w14:textId="77777777" w:rsidTr="00D33EDE">
        <w:trPr>
          <w:trHeight w:val="288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7D2793AA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8E202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Observed Patients Before IPTW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E34D4D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After IPTW with 1% Asymmetric Trimming</w:t>
            </w:r>
          </w:p>
        </w:tc>
      </w:tr>
      <w:tr w:rsidR="00F00071" w:rsidRPr="00776DD2" w14:paraId="6DB8A23E" w14:textId="77777777" w:rsidTr="00D33EDE">
        <w:trPr>
          <w:trHeight w:val="528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D02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572CB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Preoperative Gabapentinoid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91B102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Preoperative Gabapentinoid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7F407CB4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ASMD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FD0391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Preoperative Gabapentinoid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7ECD61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Preoperative Gabapentinoid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4B99FE2B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ASMD</w:t>
            </w:r>
          </w:p>
        </w:tc>
      </w:tr>
      <w:tr w:rsidR="00F00071" w:rsidRPr="00776DD2" w14:paraId="509EB2DC" w14:textId="77777777" w:rsidTr="00D33EDE">
        <w:trPr>
          <w:trHeight w:val="288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092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11C9882F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N=1,017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7B7A3010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N=1,570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D079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305472C5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N=940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32C3CDFA" w14:textId="77777777" w:rsidR="00F00071" w:rsidRPr="00776DD2" w:rsidRDefault="00F00071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N=1,458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491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0071" w:rsidRPr="00776DD2" w14:paraId="4C1AD3F1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86FF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E61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72.2(5.58)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BB9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71.8(5.35)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FCD4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FF3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72.1(5.60)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F07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72.1(5.35)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257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00071" w:rsidRPr="00776DD2" w14:paraId="51BB1D26" w14:textId="77777777" w:rsidTr="00D33EDE">
        <w:trPr>
          <w:trHeight w:val="5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A79B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at admission, mean (SD)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C41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 (67.4%)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9DF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1,007 (64.1%)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FC7F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54B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 (64.5%)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2D1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936 (64.2%)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130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00071" w:rsidRPr="00776DD2" w14:paraId="0514077E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2A87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 Race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29D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5B8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0609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342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8E7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497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64D31FEC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1528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9C1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 (82.6%)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E77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1,333 (84.9%)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73E95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B41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 (84.5%)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C28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1,231 (84.4%)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C66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5140C6A0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92C7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A14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(11.8%)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EBF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 (10.7%)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A9F8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41E6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 (11.0%)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CDE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(11.0%)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E27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7D5B5CCC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D393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740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(5.6%)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671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 (4.4%)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9D14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BE2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(4.5%)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358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(4.6%)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778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18AA8BB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F2A0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Surgery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A8F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A29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3D9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F06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0AD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A95A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79586838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C8E7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1DE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 (26.7%)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A6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 (11.8%)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5EED" w14:textId="70242DC9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955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(16.1%)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41E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 (16.0%)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52AD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8DB0FDB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1372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D3D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 (22.8%)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516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 (23.8%)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8668" w14:textId="36FD6471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2C7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 (24.7%)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54D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 (24.8%)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F181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7F6AECEC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1512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20D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 (23.7%)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A98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 (33.2%)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1B74B" w14:textId="32031699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94A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 (29.8%)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E34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 (29.5%)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E8E6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B7A3BE8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0734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3E4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 (26.7%)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918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 (31.3%)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547D" w14:textId="3B86B35D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099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(29.4%)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CFF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 (29.7%)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A54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B6E9F3F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0613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FC1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DB7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422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74D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89B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DFE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0A44CFFA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172B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Facility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99F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927 (91.2%)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C42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1,374 (87.5%)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49C9" w14:textId="399BD113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5A0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 (91.9%)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3069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1,342 (92.0%)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412E0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2F144292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70EE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Facility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1C66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 (8.8%)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48E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 (12.5%)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78335" w14:textId="29B09B06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786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(8.1%)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9DD9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 (8.0%)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8D2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5B8A75E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A020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 BMI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B13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1AD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C3D4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784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201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015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4E309728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8F4D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 / Optimal BMI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41C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 (22.0%)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7F9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 (18.9%)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0AEA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64B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 (19.5%)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77D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 (19.6%)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A2DB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53993766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AD14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A00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 (34.0%)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C6A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 (35.9%)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A36D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4D4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335 (35.6%)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D3D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 (35.4%)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AFB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2B1CA742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27EF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DA8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 (43.9%)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8406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(45.3%)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4B45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74F9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(44.8%)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3D5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 (45.0%)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E88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4AD2F89F" w14:textId="77777777" w:rsidTr="00D33EDE">
        <w:trPr>
          <w:trHeight w:val="79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5543" w14:textId="42FB6894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 Presurgical Pain Recorded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AD59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308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CAC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6505" w14:textId="38DF2FF1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43EA" w14:textId="3EFCEA4F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2C5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5FC11730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BEA3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22A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 (53.9%)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ECF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 (44.1%)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E44C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5A1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 (45.7%)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AE4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672 (46.1%)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A5EC" w14:textId="62105879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77F85FFA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7F15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F8A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 (16.2%)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2F6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 (15.5%)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661B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D6E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 (16.3%)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2AA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 (16.4%)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9233" w14:textId="281F0A93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0E92C2D2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F588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11A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 (22.1%)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580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 (32.0%)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6B7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ADA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 (29.3%)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FD8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(29.0%)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8C78" w14:textId="49E583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12CC2447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2FE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C6A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 (7.8%)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19D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 (8.3%)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00ED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5F0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(8.7%)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AFE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 (8.6%)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B2BF" w14:textId="04F152D0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18646D13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77EF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Alcohol Use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D1E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 (46.2%)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9E9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 (51.7%)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2E3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D26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 (49.3%)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1B1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 (49.5%)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6C1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0C33A90F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26A6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Smoking Status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A9B6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8B2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11F0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272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3D3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4158" w14:textId="1E8EC620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80C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0E763A8E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60FE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C11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(4.2%)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9BB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(3.2%)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03EA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FD9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(3.5%)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E65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(3.6%)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6DB3" w14:textId="79C34FCF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256350F1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1AD9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D8B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414 (40.7%)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BA5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668 (42.5%)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A24D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148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 (42.9%)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4D7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 (42.7%)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BB6E" w14:textId="54D99F60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26B55BAA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E931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D1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(2.7%)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7C8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(2.2%)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1EB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F38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(2.7%)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397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(2.5%)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C65AC" w14:textId="3BC4045C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AEC21EE" w14:textId="77777777" w:rsidTr="00380C98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5CFB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C2F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 (52.4%)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E63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 (52.0%)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316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440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 (50.8%)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DE8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 (51.2%)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177E" w14:textId="69E81922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71C66006" w14:textId="77777777" w:rsidTr="00D33EDE">
        <w:trPr>
          <w:trHeight w:val="5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7A2F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Baseline Outpatient Medication Orders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24E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9FB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26D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ED8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612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EA1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00071" w:rsidRPr="00776DD2" w14:paraId="317EA5A0" w14:textId="77777777" w:rsidTr="00380C98">
        <w:trPr>
          <w:trHeight w:val="5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C70E" w14:textId="3ED53AB2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 unique orders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4E1B" w14:textId="6FC0499F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62D5" w14:textId="5C8EDCFA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7D58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4506" w14:textId="45189EBF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EFE4" w14:textId="081913C8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C948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F00071" w:rsidRPr="00776DD2" w14:paraId="4D35704C" w14:textId="77777777" w:rsidTr="00F9226F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B620" w14:textId="77777777" w:rsidR="00F00071" w:rsidRPr="00776DD2" w:rsidRDefault="00F00071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E30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 (50.7%)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A77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 (46.8%)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044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EA7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 (50.1%)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B1F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 (50.9%)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2992" w14:textId="4D2A8621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30DBFEF1" w14:textId="77777777" w:rsidTr="00F9226F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FE89" w14:textId="77777777" w:rsidR="00F00071" w:rsidRPr="00776DD2" w:rsidRDefault="00F00071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946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(32.4%)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FE7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 (33.2%)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6E59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2DB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(32.0%)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8A9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 (31.9%)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C861" w14:textId="736882E4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0F6D35F3" w14:textId="77777777" w:rsidTr="00F9226F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24E4" w14:textId="77777777" w:rsidR="00F00071" w:rsidRPr="00776DD2" w:rsidRDefault="00F00071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014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(16.9%)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522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 (20.0%)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333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ABF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 (18.0%)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4F5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 (17.1%)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4614" w14:textId="0B725C0B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00071" w:rsidRPr="00776DD2" w14:paraId="0EA5551C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6618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Opioids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971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 (13.5%)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F8B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(8.3%)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913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C39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(8.8%)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C64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(8.6%)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7C0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20BA1799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DABA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Benzodiazepines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FD5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(7.3%)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EE0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(7.7%)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8300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70C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(8.0%)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D9E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(6.8%)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76CB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F00071" w:rsidRPr="00776DD2" w14:paraId="54BC445B" w14:textId="77777777" w:rsidTr="00D33EDE">
        <w:trPr>
          <w:trHeight w:val="5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17DC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Baseline Health Conditions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D2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FD1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B1F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4D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17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4B7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00071" w:rsidRPr="00776DD2" w14:paraId="0CA92213" w14:textId="77777777" w:rsidTr="00D33EDE">
        <w:trPr>
          <w:trHeight w:val="79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3F22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Recent </w:t>
            </w:r>
            <w:proofErr w:type="gramStart"/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outpatient</w:t>
            </w:r>
            <w:proofErr w:type="gramEnd"/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visit and outpatient medication order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E0A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 (16.8%)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56A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(24.5%)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669F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9CB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 (19.8%)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89E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(19.0%)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1FD6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F00071" w:rsidRPr="00776DD2" w14:paraId="58503921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CDD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Arthritis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D95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 (19.2%)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83E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 (22.8%)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B9BE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930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 (18.9%)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47B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(19.0%)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041A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3B728170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F1B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F9A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 (12.1%)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B3D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 (16.2%)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2B1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6E49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 (14.8%)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E66C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 (14.4%)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979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03CBF02C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E4B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0D76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(3.0%)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604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(4.3%)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229B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3E0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(3.3%)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0C8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(3.2%)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88E8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643F2D0C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AD4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Back Pain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0C3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(10.4%)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C6C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 (13.7%)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47E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D01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 (12.2%)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E41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 (11.9%)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345A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F00071" w:rsidRPr="00776DD2" w14:paraId="228198FA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02B8" w14:textId="77777777" w:rsidR="00F00071" w:rsidRPr="00776DD2" w:rsidRDefault="00F00071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Surgical Procedure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32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03C8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C921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B6A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F3D2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AB7D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00071" w:rsidRPr="00776DD2" w14:paraId="57DC6243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7BFF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Colorectal Resection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C2E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(16.9%)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B70B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(14.5%)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FCA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B24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(15.6%)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6A4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 (15.5%)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D6A5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2AF86EBB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9AE0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 Arthroplasty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6AD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 (19.1%)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011D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393 (25.0%)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A029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0A95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 (23.2%)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A6C1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 (23.2%)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35E4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4E55731A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BC00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Knee Arthroplasty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0B17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 (49.7%)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48F3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875 (55.7%)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52B7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86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 (55.3%)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D7E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 (55.3%)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9372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F00071" w:rsidRPr="00776DD2" w14:paraId="31CB7378" w14:textId="77777777" w:rsidTr="00D33EDE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7B7F" w14:textId="77777777" w:rsidR="00F00071" w:rsidRPr="00776DD2" w:rsidRDefault="00F00071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82D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(14.4%)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50F0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 (4.8%)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C5D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2A2A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(6.0%)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400F" w14:textId="77777777" w:rsidR="00F00071" w:rsidRPr="00776DD2" w:rsidRDefault="00F00071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 (6.0%)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5F23" w14:textId="77777777" w:rsidR="00F00071" w:rsidRPr="00776DD2" w:rsidRDefault="00F00071" w:rsidP="00F92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</w:tbl>
    <w:p w14:paraId="65198D72" w14:textId="076123C5" w:rsidR="00F00071" w:rsidRDefault="00F00071" w:rsidP="00F00071">
      <w:pPr>
        <w:rPr>
          <w:rFonts w:ascii="Arial" w:hAnsi="Arial" w:cs="Arial"/>
          <w:sz w:val="20"/>
          <w:szCs w:val="20"/>
        </w:rPr>
      </w:pPr>
      <w:r w:rsidRPr="00716135">
        <w:rPr>
          <w:rFonts w:ascii="Arial" w:hAnsi="Arial" w:cs="Arial"/>
          <w:sz w:val="20"/>
          <w:szCs w:val="20"/>
        </w:rPr>
        <w:t xml:space="preserve">ASMD-absolute standardized mean difference; BMI-body mass index; </w:t>
      </w:r>
      <w:r>
        <w:rPr>
          <w:rFonts w:ascii="Arial" w:hAnsi="Arial" w:cs="Arial"/>
          <w:sz w:val="20"/>
          <w:szCs w:val="20"/>
        </w:rPr>
        <w:t xml:space="preserve">IPTW-inverse probability of treatment weights; </w:t>
      </w:r>
      <w:r w:rsidRPr="00716135">
        <w:rPr>
          <w:rFonts w:ascii="Arial" w:hAnsi="Arial" w:cs="Arial"/>
          <w:sz w:val="20"/>
          <w:szCs w:val="20"/>
        </w:rPr>
        <w:t>SD-standard deviation</w:t>
      </w:r>
      <w:r>
        <w:rPr>
          <w:rFonts w:ascii="Arial" w:hAnsi="Arial" w:cs="Arial"/>
          <w:sz w:val="20"/>
          <w:szCs w:val="20"/>
        </w:rPr>
        <w:t>.</w:t>
      </w:r>
      <w:r w:rsidRPr="00716135">
        <w:rPr>
          <w:rFonts w:ascii="Arial" w:hAnsi="Arial" w:cs="Arial"/>
          <w:sz w:val="20"/>
          <w:szCs w:val="20"/>
        </w:rPr>
        <w:t xml:space="preserve"> </w:t>
      </w:r>
    </w:p>
    <w:p w14:paraId="34A5F909" w14:textId="5E4F9826" w:rsidR="005D0ED8" w:rsidRDefault="005D0ED8" w:rsidP="00F00071">
      <w:pPr>
        <w:rPr>
          <w:rFonts w:ascii="Arial" w:hAnsi="Arial" w:cs="Arial"/>
          <w:sz w:val="20"/>
          <w:szCs w:val="20"/>
        </w:rPr>
      </w:pPr>
    </w:p>
    <w:p w14:paraId="69CA1C25" w14:textId="160FB15C" w:rsidR="005D0ED8" w:rsidRDefault="005D0ED8" w:rsidP="005D0ED8">
      <w:pPr>
        <w:pageBreakBefore/>
        <w:rPr>
          <w:rFonts w:ascii="Arial" w:hAnsi="Arial" w:cs="Arial"/>
        </w:rPr>
      </w:pPr>
      <w:r w:rsidRPr="00304987">
        <w:rPr>
          <w:rFonts w:ascii="Arial" w:hAnsi="Arial" w:cs="Arial"/>
        </w:rPr>
        <w:lastRenderedPageBreak/>
        <w:t xml:space="preserve">Supplemental Table </w:t>
      </w:r>
      <w:r>
        <w:rPr>
          <w:rFonts w:ascii="Arial" w:hAnsi="Arial" w:cs="Arial"/>
        </w:rPr>
        <w:t>7</w:t>
      </w:r>
      <w:r w:rsidRPr="00304987">
        <w:rPr>
          <w:rFonts w:ascii="Arial" w:hAnsi="Arial" w:cs="Arial"/>
        </w:rPr>
        <w:t xml:space="preserve">. Baseline characteristics for patients </w:t>
      </w:r>
      <w:r>
        <w:rPr>
          <w:rFonts w:ascii="Arial" w:hAnsi="Arial" w:cs="Arial"/>
        </w:rPr>
        <w:t xml:space="preserve">with at least one outpatient visit and prescription medication in the 182 days prior to undergoing surgery, stratified by </w:t>
      </w:r>
      <w:r w:rsidRPr="00304987">
        <w:rPr>
          <w:rFonts w:ascii="Arial" w:hAnsi="Arial" w:cs="Arial"/>
        </w:rPr>
        <w:t>receipt of preoperative gabapentinoids</w:t>
      </w:r>
      <w:r>
        <w:rPr>
          <w:rFonts w:ascii="Arial" w:hAnsi="Arial" w:cs="Arial"/>
        </w:rPr>
        <w:t>, before and after</w:t>
      </w:r>
      <w:r w:rsidRPr="00304987">
        <w:rPr>
          <w:rFonts w:ascii="Arial" w:hAnsi="Arial" w:cs="Arial"/>
        </w:rPr>
        <w:t xml:space="preserve"> IPTW weighting.</w:t>
      </w:r>
    </w:p>
    <w:tbl>
      <w:tblPr>
        <w:tblW w:w="11040" w:type="dxa"/>
        <w:tblLook w:val="04A0" w:firstRow="1" w:lastRow="0" w:firstColumn="1" w:lastColumn="0" w:noHBand="0" w:noVBand="1"/>
      </w:tblPr>
      <w:tblGrid>
        <w:gridCol w:w="2300"/>
        <w:gridCol w:w="1771"/>
        <w:gridCol w:w="1616"/>
        <w:gridCol w:w="952"/>
        <w:gridCol w:w="1658"/>
        <w:gridCol w:w="1791"/>
        <w:gridCol w:w="952"/>
      </w:tblGrid>
      <w:tr w:rsidR="005D0ED8" w:rsidRPr="00541223" w14:paraId="5EC8C403" w14:textId="77777777" w:rsidTr="00D33EDE">
        <w:trPr>
          <w:trHeight w:val="804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09A6A8F6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C9FF6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Preoperative Gabapentinoid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817BDB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Preoperative Gabapentinoid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58795214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ASMD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EBB15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Preoperative Gabapentinoid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6BEB1A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Preoperative Gabapentinoid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3B26E916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ASMD</w:t>
            </w:r>
          </w:p>
        </w:tc>
      </w:tr>
      <w:tr w:rsidR="005D0ED8" w:rsidRPr="00541223" w14:paraId="1B7D5CDB" w14:textId="77777777" w:rsidTr="00D33EDE">
        <w:trPr>
          <w:trHeight w:val="288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8AD1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4A1E6B10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N=3,956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0BFE1750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N=1,128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0B04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47A05FB6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N=3,264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BBBB"/>
            <w:vAlign w:val="center"/>
            <w:hideMark/>
          </w:tcPr>
          <w:p w14:paraId="6E8498FD" w14:textId="77777777" w:rsidR="005D0ED8" w:rsidRPr="00541223" w:rsidRDefault="005D0ED8" w:rsidP="00D33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N=927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3E0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0ED8" w:rsidRPr="00541223" w14:paraId="01F0053C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075D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516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2,238 (56.6%)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B55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736 (65.2%)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553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6A0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1,944 (59.5%)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987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 (58.7%)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902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4B02D02C" w14:textId="77777777" w:rsidTr="00D33EDE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72D6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at admission, mean (SD)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63B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73.2(6.21)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657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71.7(5.38)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455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EC2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72.7(6.01)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9F8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72.8(5.86)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1EE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1EF731CE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07D1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 Race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C2F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D9C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2D05" w14:textId="77BDEBFB" w:rsidR="005D0ED8" w:rsidRPr="00541223" w:rsidRDefault="003F6C73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DE5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EBC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027C" w14:textId="7CF58A43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80C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5D0ED8" w:rsidRPr="00541223" w14:paraId="7914D520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6EC0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771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3,209 (81.1%)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A82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939 (83.2%)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421EF" w14:textId="36928F8F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9D0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2,689 (82.4%)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C8C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 (82.1%)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DF6E0" w14:textId="72C6292B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7CD11E5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2017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E8B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 (14.2%)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D1C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(11.9%)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DE329" w14:textId="2F9A340C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7F3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 (13.1%)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8E8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 (14.0%)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51AD" w14:textId="698F4CD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1A390021" w14:textId="77777777" w:rsidTr="00380C98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52EF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855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 (4.7%)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72B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(4.9%)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A5C8" w14:textId="05C7FF4D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E3C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 (4.5%)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993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(3.8%)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ED548" w14:textId="3983C7DF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762EB7EF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A4B8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of Surgery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D93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2F6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4CE5" w14:textId="1CDD7AD5" w:rsidR="005D0ED8" w:rsidRPr="00541223" w:rsidRDefault="003F6C73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DC2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EB1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F52" w14:textId="03318A93" w:rsidR="005D0ED8" w:rsidRPr="00541223" w:rsidRDefault="003F6C73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5D0ED8" w:rsidRPr="00541223" w14:paraId="4A4685C7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4248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CB1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1,203 (30.4%)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838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 (11.4%)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BF24" w14:textId="5538438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8D8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 (20.1%)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A93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 (21.3%)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AB47" w14:textId="14CDFFE3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4AE10557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BF9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F96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1,049 (26.5%)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CE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 (23.1%)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EC57C" w14:textId="6A838069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186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898 (27.5%)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6ED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 (26.3%)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04F5B" w14:textId="3DDE6C53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78EC16E7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5AF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048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1,021 (25.8%)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E7E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 (36.3%)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419E2" w14:textId="51E22B56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C21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1,009 (30.9%)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3DF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 (28.5%)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68F3" w14:textId="18EE8339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2790767D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9F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C6D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 (17.3%)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C52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(29.2%)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03E1B" w14:textId="6CA5715C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77B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 (21.5%)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5C2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 (23.9%)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8389B" w14:textId="112CD7BC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48CEFB54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6DA1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999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446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DC83" w14:textId="6836E434" w:rsidR="005D0ED8" w:rsidRPr="00541223" w:rsidRDefault="003F6C73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772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5D7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D548" w14:textId="276434C6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F6C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5D0ED8" w:rsidRPr="00541223" w14:paraId="41EEFC1E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ACFE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Facility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603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1,856 (46.9%)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226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 (70.2%)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D755C" w14:textId="199B110A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020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1,912 (58.6%)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4B1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 (57.8%)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7486" w14:textId="57CF1B89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2208A669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D0A9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Facility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9AF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2,100 (53.1%)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D39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 (29.8%)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4F3" w14:textId="21FABE93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A11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1,352 (41.4%)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4792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 (42.1%)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A52D" w14:textId="2B6DD376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7A07EE17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D5BF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Patient BMI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E4C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028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08FF" w14:textId="72094206" w:rsidR="005D0ED8" w:rsidRPr="00541223" w:rsidRDefault="003F6C73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FB7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2CD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424A" w14:textId="1E9DC966" w:rsidR="005D0ED8" w:rsidRPr="00541223" w:rsidRDefault="00895E3C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</w:tr>
      <w:tr w:rsidR="005D0ED8" w:rsidRPr="00541223" w14:paraId="1FCB9FD5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E710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0A4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(0.3%)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523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(0.7%)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7A43B" w14:textId="42AAE575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314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(0.4%)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E2A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(0.6%)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D2E07" w14:textId="31812975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5CE2FC2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675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 / Optimal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B6C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1,118 (28.3%)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42D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 (25.2%)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11BAF" w14:textId="31318FAC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96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893 (27.4%)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74E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 (27.1%)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51E9" w14:textId="4320489E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663BDE0E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16B1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Overweight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6FB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1,408 (35.6%)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DE5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 (35.0%)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3F73" w14:textId="55618EFA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D1F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1,181 (36.2%)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59C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 (37.4%)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F758" w14:textId="488EAA71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36F1B48D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BF4A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Obese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4B8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1,420 (35.9%)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5FF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 (39.1%)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C80C" w14:textId="1AB6F054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401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1,179 (36.1%)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648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(34.8%)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D67A" w14:textId="242D911C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BC02AC7" w14:textId="77777777" w:rsidTr="003F6C73">
        <w:trPr>
          <w:trHeight w:val="79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61D5" w14:textId="177CAF6C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Maximum Presurgical Pain Recorded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E15B3" w14:textId="2F56295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34E78" w14:textId="4DF9F0E6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0E4A" w14:textId="4E4CC876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  <w:r w:rsidR="003F6C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E54D" w14:textId="25627A48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B28E" w14:textId="089B921B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EDE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5D0ED8" w:rsidRPr="00541223" w14:paraId="5CBBB5C1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0428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A7A0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(0.02%)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B6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(0.1%)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8DE0" w14:textId="5340D486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BD1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(0.2%)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F8C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(0.0%)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14AB5" w14:textId="03AE613C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720ECF1D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8934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44C6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3,215 (81.3%)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0F2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776 (68.8%)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E473" w14:textId="7925F3CA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E4F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2,536 (77.7%)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EC1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 (74.9%)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FAB6" w14:textId="53D4DBEA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18AC1D54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71D0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1E8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 (7.3%)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762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 (11.0%)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00D09" w14:textId="400687CA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D07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 (8.6%)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0F9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 (8.7%)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F934" w14:textId="280584CA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06AD153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E666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AA7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 (7.5%)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DDF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 (13.9%)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EF13" w14:textId="55943084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A6A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 (9.0%)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82E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(10.7%)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F6B0E" w14:textId="76C3F89F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6A6367DF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43CE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09D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 (3.7%)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FB9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(6.2%)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513B" w14:textId="5113E7BF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422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 (4.6%)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174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(5.6%)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E133" w14:textId="5725D14A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BBA7187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CA14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Alcohol 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229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1,250 (31.6%)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56C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405 (35.9%)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B8D4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811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1,035 (31.7%)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4F8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 (30.3%)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38E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5D0ED8" w:rsidRPr="00541223" w14:paraId="1BB2C35A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1FF0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Smoking Status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F02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402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4FBE" w14:textId="41E7BB4D" w:rsidR="005D0ED8" w:rsidRPr="00541223" w:rsidRDefault="003F6C73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06C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3F6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4716" w14:textId="510A5978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95E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5D0ED8" w:rsidRPr="00541223" w14:paraId="19022F63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1B8D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D17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 (6.1%)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2CA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(3.8%)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1F69E" w14:textId="60DAE284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B1F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 (5.2%)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FF4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(5.1%)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BC8C" w14:textId="1517239E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26534D60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AB5B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72F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1,519 (38.4%)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1ED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 (32.4%)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EA29" w14:textId="4830CB9A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86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1,146 (35.1%)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C80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(34.9%)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47E05" w14:textId="33BE21C4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420CA669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2142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C27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 (19.3%)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E86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298 (26.4%)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B8D2" w14:textId="12FFB122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1E5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 (24.3%)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B9F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 (24.9%)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B0CF3" w14:textId="20222CFA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326A30F5" w14:textId="77777777" w:rsidTr="00895E3C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E5B4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Never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293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1,432 (36.2%)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1D4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(37.3%)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A40F" w14:textId="763B2530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96C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1,157 (35.4%)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685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 (35.1%)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26ED" w14:textId="5A244551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6EA30AD0" w14:textId="77777777" w:rsidTr="003F6C73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FF32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Baseline Outpatient Medication Orders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F2F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94E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1B5C" w14:textId="1B924E02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64E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9D0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19F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D0ED8" w:rsidRPr="00541223" w14:paraId="021B150F" w14:textId="77777777" w:rsidTr="003F6C73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CCB6" w14:textId="2C6B06B0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 unique orders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46BC3" w14:textId="20EC6562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E53F" w14:textId="27FA131B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75B" w14:textId="3B031AE1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3F6C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F1AA4" w14:textId="3FBBB69E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F959" w14:textId="1F59B400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70CC" w14:textId="310FF948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  <w:r w:rsidR="00895E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D0ED8" w:rsidRPr="00541223" w14:paraId="5D07DE7E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6D8" w14:textId="77777777" w:rsidR="005D0ED8" w:rsidRPr="00541223" w:rsidRDefault="005D0ED8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D7B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 (2.4%)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E3B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(2.9%)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9F783" w14:textId="012AF6EB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19E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 (2.6%)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BCE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(3.6%)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5E6E6" w14:textId="77E7CF3A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05E4D0B2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78EB" w14:textId="77777777" w:rsidR="005D0ED8" w:rsidRPr="00541223" w:rsidRDefault="005D0ED8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8D7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2,045 (51.7%)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BE2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590 (52.3%)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3ABB" w14:textId="684F4C4B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CEA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1,712 (52.4%)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FE3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 (49.4%)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ACE6" w14:textId="1305D5BD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5FDE7BFA" w14:textId="77777777" w:rsidTr="003F6C73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E7AD" w14:textId="77777777" w:rsidR="005D0ED8" w:rsidRPr="00541223" w:rsidRDefault="005D0ED8" w:rsidP="00D33EDE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7+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55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1,815 (45.9%)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EF7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 (44.8%)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A563" w14:textId="452EB88E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76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1,467 (44.9%)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2E0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 (47.0%)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AA0D" w14:textId="2BC50386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0ED8" w:rsidRPr="00541223" w14:paraId="2FC3921C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1C0E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Opioids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370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788 (19.9%)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D23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 (20.1%)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DE9F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496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 (20.3%)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1E3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 (21.8%)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A1A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D0ED8" w:rsidRPr="00541223" w14:paraId="2624AC2B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FB1C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Benzodiazepines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513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 (18.4%)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8D8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 (16.6%)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68BD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E09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 (18.1%)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069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 (16.8%)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FE7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D0ED8" w:rsidRPr="00541223" w14:paraId="785C054D" w14:textId="77777777" w:rsidTr="00D33EDE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A331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Baseline Health Conditions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8A2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137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AEC4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717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C68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180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D0ED8" w:rsidRPr="00541223" w14:paraId="0A1C399F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4F7C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Arthritis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334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1,108 (28.0%)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B53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 (37.6%)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959B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55F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 (30.4%)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CBD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 (32.2%)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81D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D0ED8" w:rsidRPr="00541223" w14:paraId="21AB1EB0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4A0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B35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1,260 (31.9%)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35A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(35.3%)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E73E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149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1,081 (33.1%)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6B6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 (33.8%)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3A3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2742A4BF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85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2F7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(7.0%)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F35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 (8.8%)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4306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FEA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 (7.3%)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B68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(6.8%)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26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52C44E6A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FB9E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Chronic Back Pain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BA2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1,106 (28.0%)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8D1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 (24.6%)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2E16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C8D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897 (27.5%)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9CC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 (31.4%)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1CE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5D0ED8" w:rsidRPr="00541223" w14:paraId="6D0105B4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0E7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Fibromyalgia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38B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 (2.4%)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276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(2.0%)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D4CB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592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(2.1%)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B64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(1.8%)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1AE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5D0ED8" w:rsidRPr="00541223" w14:paraId="0AFCB8EB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8E9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Neuralgia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997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 (6.2%)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17E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(5.1%)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6AC1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61A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 (5.8%)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20F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(5.4%)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0FF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25A1A950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878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Headache/Migraine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66C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 (6.2%)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C40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 (6.1%)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110C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C98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 (6.0%)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4DE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(5.3%)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AB1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5D0ED8" w:rsidRPr="00541223" w14:paraId="707DEF28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3A0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Abdominal Pain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887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 (15.8%)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1BA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 (15.4%)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5D6A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93B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 (15.2%)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604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 (17.4%)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3FA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5D0ED8" w:rsidRPr="00541223" w14:paraId="6AA7E736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D27C" w14:textId="77777777" w:rsidR="005D0ED8" w:rsidRPr="00541223" w:rsidRDefault="005D0ED8" w:rsidP="00D33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Surgical Procedure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A9C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084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C030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E71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A47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080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D0ED8" w:rsidRPr="00541223" w14:paraId="0D3BA253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F28F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Knee Arthroplasty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F400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(1.5%)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0B7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 (15.2%)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5DB5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8B1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 (3.3%)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12B8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(3.3%)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0D3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5D0ED8" w:rsidRPr="00541223" w14:paraId="7DD91B38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F05E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Lumpectomy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120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 (11.1%)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56A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 (7.1%)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83DB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3DD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 (10.2%)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BC9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(6.0%)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C1A0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5D0ED8" w:rsidRPr="00541223" w14:paraId="40786AD1" w14:textId="77777777" w:rsidTr="00D33EDE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3C8A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Inguinal / Femoral Hernia Repair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441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(3.7%)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E48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(1.2%)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9F8E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FC7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 (2.7%)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B1C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(3.0%)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265C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677054F2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B422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Laminectomy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5EE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 (3.2%)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D87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(2.0%)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61AB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8A1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 (3.5%)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FA8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 (5.9%)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0D8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5D0ED8" w:rsidRPr="00541223" w14:paraId="4CA3CEC9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B994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 Arthroplasty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51A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(0.7%)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93A3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(6.7%)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CCDA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8B9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(1.6%)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8CE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(1.5%)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553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5D0ED8" w:rsidRPr="00541223" w14:paraId="0689DBEB" w14:textId="77777777" w:rsidTr="00D33EDE">
        <w:trPr>
          <w:trHeight w:val="52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CA8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Laparoscopic Cholecystectomy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E71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 (4.2%)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65F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(0.4%)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A23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E8E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(0.7%)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DE1A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(0.6%)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72C5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5D0ED8" w:rsidRPr="00541223" w14:paraId="59B250C9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C82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Prostate Surgery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A286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 (2.9%)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CCB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(0.4%)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60BE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582D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(1.3%)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99A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(1.1%)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82D1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5D0ED8" w:rsidRPr="00541223" w14:paraId="57EF1D80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0617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Colorectal Resection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566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 (1.0%)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FA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(9.8%)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B065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EDBB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(2.3%)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ED02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(2.0%)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49E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5D0ED8" w:rsidRPr="00541223" w14:paraId="5B456752" w14:textId="77777777" w:rsidTr="00D33EDE">
        <w:trPr>
          <w:trHeight w:val="28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97A3" w14:textId="77777777" w:rsidR="005D0ED8" w:rsidRPr="00541223" w:rsidRDefault="005D0ED8" w:rsidP="00D33ED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Hysterectomy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FD69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 (1.1%)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A3FF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(2.4%)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5B69" w14:textId="77777777" w:rsidR="005D0ED8" w:rsidRPr="00541223" w:rsidRDefault="005D0ED8" w:rsidP="006A75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8297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(1.7%)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C494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(1.6%)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46FE" w14:textId="77777777" w:rsidR="005D0ED8" w:rsidRPr="00541223" w:rsidRDefault="005D0ED8" w:rsidP="00D3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1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</w:tbl>
    <w:p w14:paraId="1099A7F5" w14:textId="77777777" w:rsidR="005D0ED8" w:rsidRPr="00716135" w:rsidRDefault="005D0ED8" w:rsidP="005D0ED8">
      <w:pPr>
        <w:rPr>
          <w:rFonts w:ascii="Arial" w:hAnsi="Arial" w:cs="Arial"/>
          <w:sz w:val="20"/>
          <w:szCs w:val="20"/>
        </w:rPr>
      </w:pPr>
      <w:r w:rsidRPr="00716135">
        <w:rPr>
          <w:rFonts w:ascii="Arial" w:hAnsi="Arial" w:cs="Arial"/>
          <w:sz w:val="20"/>
          <w:szCs w:val="20"/>
        </w:rPr>
        <w:t xml:space="preserve">ASMD-absolute standardized mean difference; BMI-body mass index; </w:t>
      </w:r>
      <w:r>
        <w:rPr>
          <w:rFonts w:ascii="Arial" w:hAnsi="Arial" w:cs="Arial"/>
          <w:sz w:val="20"/>
          <w:szCs w:val="20"/>
        </w:rPr>
        <w:t xml:space="preserve">IPTW-inverse probability of treatment weights; </w:t>
      </w:r>
      <w:r w:rsidRPr="00716135">
        <w:rPr>
          <w:rFonts w:ascii="Arial" w:hAnsi="Arial" w:cs="Arial"/>
          <w:sz w:val="20"/>
          <w:szCs w:val="20"/>
        </w:rPr>
        <w:t>SD-standard deviation</w:t>
      </w:r>
      <w:r>
        <w:rPr>
          <w:rFonts w:ascii="Arial" w:hAnsi="Arial" w:cs="Arial"/>
          <w:sz w:val="20"/>
          <w:szCs w:val="20"/>
        </w:rPr>
        <w:t>.</w:t>
      </w:r>
      <w:r w:rsidRPr="00716135">
        <w:rPr>
          <w:rFonts w:ascii="Arial" w:hAnsi="Arial" w:cs="Arial"/>
          <w:sz w:val="20"/>
          <w:szCs w:val="20"/>
        </w:rPr>
        <w:t xml:space="preserve"> </w:t>
      </w:r>
    </w:p>
    <w:p w14:paraId="71CD1C72" w14:textId="77777777" w:rsidR="005D0ED8" w:rsidRPr="00463485" w:rsidRDefault="005D0ED8" w:rsidP="005D0ED8">
      <w:pPr>
        <w:spacing w:line="240" w:lineRule="auto"/>
        <w:rPr>
          <w:rFonts w:ascii="Arial" w:hAnsi="Arial" w:cs="Arial"/>
        </w:rPr>
      </w:pPr>
    </w:p>
    <w:p w14:paraId="2E8CC764" w14:textId="77777777" w:rsidR="005D0ED8" w:rsidRPr="00716135" w:rsidRDefault="005D0ED8" w:rsidP="00F00071">
      <w:pPr>
        <w:rPr>
          <w:rFonts w:ascii="Arial" w:hAnsi="Arial" w:cs="Arial"/>
          <w:sz w:val="20"/>
          <w:szCs w:val="20"/>
        </w:rPr>
      </w:pPr>
    </w:p>
    <w:p w14:paraId="75A7C66B" w14:textId="77777777" w:rsidR="00304987" w:rsidRDefault="00304987" w:rsidP="00D43EEB"/>
    <w:p w14:paraId="4E8EB69B" w14:textId="4C593F32" w:rsidR="00812A41" w:rsidRPr="00463485" w:rsidRDefault="00812A41" w:rsidP="00463485">
      <w:pPr>
        <w:pageBreakBefore/>
        <w:rPr>
          <w:rFonts w:ascii="Arial" w:hAnsi="Arial" w:cs="Arial"/>
        </w:rPr>
      </w:pPr>
      <w:r w:rsidRPr="00463485">
        <w:rPr>
          <w:rFonts w:ascii="Arial" w:hAnsi="Arial" w:cs="Arial"/>
        </w:rPr>
        <w:lastRenderedPageBreak/>
        <w:t xml:space="preserve">Supplemental Table </w:t>
      </w:r>
      <w:r w:rsidR="00F9226F">
        <w:rPr>
          <w:rFonts w:ascii="Arial" w:hAnsi="Arial" w:cs="Arial"/>
        </w:rPr>
        <w:t>8</w:t>
      </w:r>
      <w:r w:rsidRPr="00463485">
        <w:rPr>
          <w:rFonts w:ascii="Arial" w:hAnsi="Arial" w:cs="Arial"/>
        </w:rPr>
        <w:t xml:space="preserve">. Proportion of patients with at least one outpatient prescription in the 90 days </w:t>
      </w:r>
      <w:r w:rsidR="00DF7717" w:rsidRPr="00463485">
        <w:rPr>
          <w:rFonts w:ascii="Arial" w:hAnsi="Arial" w:cs="Arial"/>
        </w:rPr>
        <w:t>immediately</w:t>
      </w:r>
      <w:r w:rsidRPr="00463485">
        <w:rPr>
          <w:rFonts w:ascii="Arial" w:hAnsi="Arial" w:cs="Arial"/>
        </w:rPr>
        <w:t xml:space="preserve"> following discharge from surgery.</w:t>
      </w:r>
    </w:p>
    <w:tbl>
      <w:tblPr>
        <w:tblW w:w="7791" w:type="dxa"/>
        <w:tblLook w:val="04A0" w:firstRow="1" w:lastRow="0" w:firstColumn="1" w:lastColumn="0" w:noHBand="0" w:noVBand="1"/>
      </w:tblPr>
      <w:tblGrid>
        <w:gridCol w:w="1975"/>
        <w:gridCol w:w="1350"/>
        <w:gridCol w:w="1879"/>
        <w:gridCol w:w="2016"/>
        <w:gridCol w:w="864"/>
      </w:tblGrid>
      <w:tr w:rsidR="00812A41" w:rsidRPr="00463485" w14:paraId="73A1E783" w14:textId="77777777" w:rsidTr="00AB0DD6">
        <w:trPr>
          <w:trHeight w:val="55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925" w14:textId="484A62CB" w:rsidR="00BF31A6" w:rsidRPr="00463485" w:rsidRDefault="00BF31A6" w:rsidP="00BF3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485">
              <w:rPr>
                <w:rFonts w:ascii="Arial" w:eastAsia="Times New Roman" w:hAnsi="Arial" w:cs="Arial"/>
                <w:b/>
                <w:bCs/>
                <w:color w:val="000000"/>
              </w:rPr>
              <w:t>Population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466" w14:textId="368EA75E" w:rsidR="00812A41" w:rsidRPr="00463485" w:rsidRDefault="00812A41" w:rsidP="00BF3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485">
              <w:rPr>
                <w:rFonts w:ascii="Arial" w:eastAsia="Times New Roman" w:hAnsi="Arial" w:cs="Arial"/>
                <w:b/>
                <w:bCs/>
                <w:color w:val="000000"/>
              </w:rPr>
              <w:t>Number of Patients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398" w14:textId="008B76E7" w:rsidR="00812A41" w:rsidRPr="00463485" w:rsidRDefault="00812A41" w:rsidP="00BF3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485">
              <w:rPr>
                <w:rFonts w:ascii="Arial" w:eastAsia="Times New Roman" w:hAnsi="Arial" w:cs="Arial"/>
                <w:b/>
                <w:bCs/>
                <w:color w:val="000000"/>
              </w:rPr>
              <w:t>Preoperative Gabapentinoids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F7C" w14:textId="77777777" w:rsidR="00812A41" w:rsidRPr="00463485" w:rsidRDefault="00812A41" w:rsidP="00BF3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485">
              <w:rPr>
                <w:rFonts w:ascii="Arial" w:eastAsia="Times New Roman" w:hAnsi="Arial" w:cs="Arial"/>
                <w:b/>
                <w:bCs/>
                <w:color w:val="000000"/>
              </w:rPr>
              <w:t>No Preoperative Gabapentinoid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4389" w14:textId="77777777" w:rsidR="00812A41" w:rsidRPr="00463485" w:rsidRDefault="00812A41" w:rsidP="00812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63485">
              <w:rPr>
                <w:rFonts w:ascii="Arial" w:eastAsia="Times New Roman" w:hAnsi="Arial" w:cs="Arial"/>
                <w:b/>
                <w:bCs/>
                <w:color w:val="000000"/>
              </w:rPr>
              <w:t>ASMD</w:t>
            </w:r>
          </w:p>
        </w:tc>
      </w:tr>
      <w:tr w:rsidR="00812A41" w:rsidRPr="00463485" w14:paraId="5D6DCA72" w14:textId="77777777" w:rsidTr="00AB0DD6">
        <w:trPr>
          <w:trHeight w:val="28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976" w14:textId="77777777" w:rsidR="00812A41" w:rsidRPr="00463485" w:rsidRDefault="00812A41" w:rsidP="00812A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Main Analysis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7ADB" w14:textId="4A46133A" w:rsidR="00812A41" w:rsidRPr="00463485" w:rsidRDefault="003C45CB" w:rsidP="003C45CB">
            <w:pPr>
              <w:tabs>
                <w:tab w:val="right" w:pos="749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1</w:t>
            </w:r>
            <w:r w:rsidR="00812A41" w:rsidRPr="00463485">
              <w:rPr>
                <w:rFonts w:ascii="Arial" w:eastAsia="Times New Roman" w:hAnsi="Arial" w:cs="Arial"/>
                <w:color w:val="000000"/>
              </w:rPr>
              <w:t xml:space="preserve">3,985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1F57" w14:textId="77777777" w:rsidR="00812A41" w:rsidRPr="00463485" w:rsidRDefault="00812A41" w:rsidP="00BF3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2924" w14:textId="77777777" w:rsidR="00812A41" w:rsidRPr="00463485" w:rsidRDefault="00812A41" w:rsidP="00BF3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06E" w14:textId="77777777" w:rsidR="00812A41" w:rsidRPr="00463485" w:rsidRDefault="00812A41" w:rsidP="00812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</w:tr>
      <w:tr w:rsidR="00812A41" w:rsidRPr="00463485" w14:paraId="6AC972D7" w14:textId="77777777" w:rsidTr="00AB0DD6">
        <w:trPr>
          <w:trHeight w:val="28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320" w14:textId="77777777" w:rsidR="00812A41" w:rsidRPr="00463485" w:rsidRDefault="00812A41" w:rsidP="00812A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182-day baseline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D90E" w14:textId="2229BBAC" w:rsidR="00812A41" w:rsidRPr="00463485" w:rsidRDefault="003C45CB" w:rsidP="003C4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5</w:t>
            </w:r>
            <w:r w:rsidR="00812A41" w:rsidRPr="00463485">
              <w:rPr>
                <w:rFonts w:ascii="Arial" w:eastAsia="Times New Roman" w:hAnsi="Arial" w:cs="Arial"/>
                <w:color w:val="000000"/>
              </w:rPr>
              <w:t xml:space="preserve">,084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AD2D" w14:textId="77777777" w:rsidR="00812A41" w:rsidRPr="00463485" w:rsidRDefault="00812A41" w:rsidP="00BF3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6EF1" w14:textId="77777777" w:rsidR="00812A41" w:rsidRPr="00463485" w:rsidRDefault="00812A41" w:rsidP="00BF3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3FE" w14:textId="77777777" w:rsidR="00812A41" w:rsidRPr="00463485" w:rsidRDefault="00812A41" w:rsidP="00812A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3485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</w:tbl>
    <w:p w14:paraId="04392BAC" w14:textId="687B8E9A" w:rsidR="00677F00" w:rsidRPr="00463485" w:rsidRDefault="00AB0DD6">
      <w:pPr>
        <w:rPr>
          <w:rFonts w:ascii="Arial" w:hAnsi="Arial" w:cs="Arial"/>
        </w:rPr>
        <w:sectPr w:rsidR="00677F00" w:rsidRPr="00463485" w:rsidSect="002757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63485">
        <w:rPr>
          <w:rFonts w:ascii="Arial" w:hAnsi="Arial" w:cs="Arial"/>
          <w:sz w:val="20"/>
          <w:szCs w:val="20"/>
        </w:rPr>
        <w:t>ASMD-absolute standardized mean differe</w:t>
      </w:r>
      <w:r w:rsidR="002757FD" w:rsidRPr="00463485">
        <w:rPr>
          <w:rFonts w:ascii="Arial" w:hAnsi="Arial" w:cs="Arial"/>
          <w:sz w:val="20"/>
          <w:szCs w:val="20"/>
        </w:rPr>
        <w:t>nce</w:t>
      </w:r>
    </w:p>
    <w:p w14:paraId="43416465" w14:textId="33CEC1C2" w:rsidR="00013351" w:rsidRDefault="00013351" w:rsidP="00013351">
      <w:pPr>
        <w:pageBreakBefore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Supplemental Figure 1. Propensity score distributions for the main analysis following 1% asymmetric trimming. </w:t>
      </w:r>
    </w:p>
    <w:p w14:paraId="1DEC0ABE" w14:textId="38A2E7EB" w:rsidR="00013351" w:rsidRDefault="00013351" w:rsidP="00A37589">
      <w:pPr>
        <w:spacing w:line="24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58D9A575" wp14:editId="03DE2AFF">
            <wp:extent cx="6858000" cy="469519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88DAA29-4448-452C-8A64-5A1202F510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988DAA29-4448-452C-8A64-5A1202F510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019B" w14:textId="6AEF8359" w:rsidR="00013351" w:rsidRDefault="00013351" w:rsidP="00A37589">
      <w:pPr>
        <w:spacing w:line="240" w:lineRule="auto"/>
        <w:rPr>
          <w:rFonts w:cs="Times New Roman"/>
        </w:rPr>
      </w:pPr>
    </w:p>
    <w:p w14:paraId="018EEC44" w14:textId="64A322F6" w:rsidR="00013351" w:rsidRDefault="00013351" w:rsidP="00A37589">
      <w:pPr>
        <w:spacing w:line="240" w:lineRule="auto"/>
        <w:rPr>
          <w:rFonts w:cs="Times New Roman"/>
        </w:rPr>
      </w:pPr>
    </w:p>
    <w:p w14:paraId="354A7A7A" w14:textId="618135B2" w:rsidR="00013351" w:rsidRDefault="00013351" w:rsidP="00A37589">
      <w:pPr>
        <w:spacing w:line="240" w:lineRule="auto"/>
        <w:rPr>
          <w:rFonts w:cs="Times New Roman"/>
        </w:rPr>
      </w:pPr>
    </w:p>
    <w:p w14:paraId="2021DA6A" w14:textId="244CAD9A" w:rsidR="00013351" w:rsidRDefault="00013351" w:rsidP="00013351">
      <w:pPr>
        <w:pageBreakBefore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Supplemental Figure </w:t>
      </w:r>
      <w:r w:rsidR="005D0ED8">
        <w:rPr>
          <w:rFonts w:cs="Times New Roman"/>
        </w:rPr>
        <w:t>2</w:t>
      </w:r>
      <w:r>
        <w:rPr>
          <w:rFonts w:cs="Times New Roman"/>
        </w:rPr>
        <w:t xml:space="preserve">. Propensity score distributions for the population colorectal resection, hip arthroplasty, knee arthroplasty, or hysterectomy following 1% asymmetric trimming. </w:t>
      </w:r>
      <w:r>
        <w:rPr>
          <w:noProof/>
        </w:rPr>
        <w:drawing>
          <wp:inline distT="0" distB="0" distL="0" distR="0" wp14:anchorId="31D20BB3" wp14:editId="42A86F5C">
            <wp:extent cx="6858000" cy="4683760"/>
            <wp:effectExtent l="0" t="0" r="0" b="2540"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6A66009-7C34-4BE6-8EF3-EEFA9641F6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6A66009-7C34-4BE6-8EF3-EEFA9641F6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329A" w14:textId="7B27C0A1" w:rsidR="00013351" w:rsidRDefault="00013351" w:rsidP="00013351">
      <w:pPr>
        <w:pageBreakBefore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Supplemental Figure </w:t>
      </w:r>
      <w:r w:rsidR="005D0ED8">
        <w:rPr>
          <w:rFonts w:cs="Times New Roman"/>
        </w:rPr>
        <w:t>3</w:t>
      </w:r>
      <w:r>
        <w:rPr>
          <w:rFonts w:cs="Times New Roman"/>
        </w:rPr>
        <w:t xml:space="preserve">. Propensity score distributions for the </w:t>
      </w:r>
      <w:r w:rsidR="00EC114F">
        <w:rPr>
          <w:rFonts w:cs="Times New Roman"/>
        </w:rPr>
        <w:t>population with at least one outpatient visit and one outpatient order in the 182 days prior to surgery</w:t>
      </w:r>
      <w:r>
        <w:rPr>
          <w:rFonts w:cs="Times New Roman"/>
        </w:rPr>
        <w:t xml:space="preserve"> following 1% asymmetric trimming.</w:t>
      </w:r>
    </w:p>
    <w:p w14:paraId="0D518D85" w14:textId="37C2693C" w:rsidR="00013351" w:rsidRDefault="00013351" w:rsidP="00A37589">
      <w:pPr>
        <w:spacing w:line="240" w:lineRule="auto"/>
        <w:rPr>
          <w:rFonts w:cs="Times New Roman"/>
        </w:rPr>
      </w:pPr>
      <w:r>
        <w:rPr>
          <w:noProof/>
        </w:rPr>
        <w:drawing>
          <wp:inline distT="0" distB="0" distL="0" distR="0" wp14:anchorId="79C9D4EB" wp14:editId="3AECDE97">
            <wp:extent cx="6858000" cy="4702810"/>
            <wp:effectExtent l="0" t="0" r="0" b="254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BDD03BA-0BE1-46D1-BA93-D9EB1BC217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BDD03BA-0BE1-46D1-BA93-D9EB1BC217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E14A" w14:textId="520E9A17" w:rsidR="00F14B31" w:rsidRDefault="00F14B31" w:rsidP="00A37589">
      <w:pPr>
        <w:spacing w:line="240" w:lineRule="auto"/>
        <w:rPr>
          <w:rFonts w:cs="Times New Roman"/>
        </w:rPr>
      </w:pPr>
    </w:p>
    <w:p w14:paraId="1151B3E8" w14:textId="16DA3B88" w:rsidR="005D0ED8" w:rsidRDefault="005D0ED8" w:rsidP="005D0ED8">
      <w:pPr>
        <w:spacing w:line="240" w:lineRule="auto"/>
        <w:rPr>
          <w:rFonts w:cs="Times New Roman"/>
        </w:rPr>
      </w:pPr>
    </w:p>
    <w:sectPr w:rsidR="005D0ED8" w:rsidSect="00275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C20"/>
    <w:multiLevelType w:val="hybridMultilevel"/>
    <w:tmpl w:val="E7ECCA9C"/>
    <w:lvl w:ilvl="0" w:tplc="5018407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B1"/>
    <w:rsid w:val="00013351"/>
    <w:rsid w:val="000303A6"/>
    <w:rsid w:val="00090249"/>
    <w:rsid w:val="00094556"/>
    <w:rsid w:val="000C6D4A"/>
    <w:rsid w:val="000D0EBE"/>
    <w:rsid w:val="00141605"/>
    <w:rsid w:val="00182B5F"/>
    <w:rsid w:val="001B2BE2"/>
    <w:rsid w:val="001F6883"/>
    <w:rsid w:val="002060EC"/>
    <w:rsid w:val="002757FD"/>
    <w:rsid w:val="00286E08"/>
    <w:rsid w:val="002B2BA0"/>
    <w:rsid w:val="002D53FC"/>
    <w:rsid w:val="002D7085"/>
    <w:rsid w:val="002E75BA"/>
    <w:rsid w:val="00304987"/>
    <w:rsid w:val="00380C98"/>
    <w:rsid w:val="00396FB1"/>
    <w:rsid w:val="003C2BFF"/>
    <w:rsid w:val="003C45CB"/>
    <w:rsid w:val="003E5554"/>
    <w:rsid w:val="003E756F"/>
    <w:rsid w:val="003F2640"/>
    <w:rsid w:val="003F6C73"/>
    <w:rsid w:val="00443E84"/>
    <w:rsid w:val="00463485"/>
    <w:rsid w:val="00541223"/>
    <w:rsid w:val="005415B1"/>
    <w:rsid w:val="00542E97"/>
    <w:rsid w:val="005C5961"/>
    <w:rsid w:val="005D0ED8"/>
    <w:rsid w:val="005D5462"/>
    <w:rsid w:val="005E24DD"/>
    <w:rsid w:val="00677F00"/>
    <w:rsid w:val="006A75E8"/>
    <w:rsid w:val="006F4C45"/>
    <w:rsid w:val="00765C64"/>
    <w:rsid w:val="00776DD2"/>
    <w:rsid w:val="0078436D"/>
    <w:rsid w:val="007C6376"/>
    <w:rsid w:val="007F7439"/>
    <w:rsid w:val="00812A41"/>
    <w:rsid w:val="00833620"/>
    <w:rsid w:val="00895E3C"/>
    <w:rsid w:val="008C5A45"/>
    <w:rsid w:val="008E42D6"/>
    <w:rsid w:val="00961890"/>
    <w:rsid w:val="00A11A4E"/>
    <w:rsid w:val="00A2243D"/>
    <w:rsid w:val="00A37589"/>
    <w:rsid w:val="00AB0DD6"/>
    <w:rsid w:val="00AC7ADA"/>
    <w:rsid w:val="00B2499E"/>
    <w:rsid w:val="00B502FD"/>
    <w:rsid w:val="00BF31A6"/>
    <w:rsid w:val="00C0271E"/>
    <w:rsid w:val="00C40151"/>
    <w:rsid w:val="00C52A94"/>
    <w:rsid w:val="00CA5AE4"/>
    <w:rsid w:val="00D43EEB"/>
    <w:rsid w:val="00DF6716"/>
    <w:rsid w:val="00DF7717"/>
    <w:rsid w:val="00E575F7"/>
    <w:rsid w:val="00E65134"/>
    <w:rsid w:val="00E772F8"/>
    <w:rsid w:val="00E85750"/>
    <w:rsid w:val="00EC114F"/>
    <w:rsid w:val="00F00071"/>
    <w:rsid w:val="00F14B31"/>
    <w:rsid w:val="00F209B4"/>
    <w:rsid w:val="00F35B90"/>
    <w:rsid w:val="00F64909"/>
    <w:rsid w:val="00F90124"/>
    <w:rsid w:val="00F9226F"/>
    <w:rsid w:val="00FB47CE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E479"/>
  <w15:chartTrackingRefBased/>
  <w15:docId w15:val="{2C02D4E6-E3CC-4DA2-B9A8-E26C2EC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B03A-5464-40CF-A3D5-98815B79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Jessica Carolyn</dc:creator>
  <cp:keywords/>
  <dc:description/>
  <cp:lastModifiedBy>Young, Jessica Carolyn</cp:lastModifiedBy>
  <cp:revision>5</cp:revision>
  <dcterms:created xsi:type="dcterms:W3CDTF">2021-05-05T17:25:00Z</dcterms:created>
  <dcterms:modified xsi:type="dcterms:W3CDTF">2021-05-06T17:35:00Z</dcterms:modified>
</cp:coreProperties>
</file>