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3B" w:rsidRDefault="001E0C3B" w:rsidP="001E0C3B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SUPPLEMENTAL DIGITAL CONTENT 1</w:t>
      </w:r>
    </w:p>
    <w:p w:rsidR="001E0C3B" w:rsidRPr="00866318" w:rsidRDefault="001E0C3B" w:rsidP="001E0C3B">
      <w:pPr>
        <w:spacing w:after="0" w:line="240" w:lineRule="auto"/>
        <w:jc w:val="both"/>
        <w:rPr>
          <w:rFonts w:ascii="Arial" w:hAnsi="Arial" w:cs="Arial"/>
          <w:b/>
        </w:rPr>
      </w:pPr>
    </w:p>
    <w:p w:rsidR="001E0C3B" w:rsidRPr="00544C3D" w:rsidRDefault="001E0C3B" w:rsidP="001E0C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44C3D">
        <w:rPr>
          <w:rFonts w:ascii="Arial" w:hAnsi="Arial" w:cs="Arial"/>
          <w:b/>
          <w:sz w:val="24"/>
          <w:szCs w:val="24"/>
        </w:rPr>
        <w:t>List of drugs examined classified by indication and Potentially Inappropriate Medication (PIM) classification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306"/>
        <w:gridCol w:w="1392"/>
        <w:gridCol w:w="1306"/>
      </w:tblGrid>
      <w:tr w:rsidR="001E0C3B" w:rsidRPr="00544C3D" w:rsidTr="001D3946">
        <w:tc>
          <w:tcPr>
            <w:tcW w:w="4405" w:type="dxa"/>
            <w:shd w:val="clear" w:color="auto" w:fill="D9D9D9" w:themeFill="background1" w:themeFillShade="D9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4C3D">
              <w:rPr>
                <w:rFonts w:ascii="Arial" w:hAnsi="Arial" w:cs="Arial"/>
                <w:b/>
                <w:sz w:val="20"/>
                <w:szCs w:val="20"/>
              </w:rPr>
              <w:t>Drug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C3D">
              <w:rPr>
                <w:rFonts w:ascii="Arial" w:hAnsi="Arial" w:cs="Arial"/>
                <w:b/>
                <w:sz w:val="20"/>
                <w:szCs w:val="20"/>
              </w:rPr>
              <w:t>On-Label for Depression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4C3D">
              <w:rPr>
                <w:rFonts w:ascii="Arial" w:hAnsi="Arial" w:cs="Arial"/>
                <w:b/>
                <w:sz w:val="20"/>
                <w:szCs w:val="20"/>
              </w:rPr>
              <w:t>On-Label for Anxiety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b/>
                <w:sz w:val="20"/>
                <w:szCs w:val="20"/>
              </w:rPr>
              <w:t>PIM</w:t>
            </w:r>
            <w:r w:rsidR="001D3946" w:rsidRPr="001D394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Alprazolam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Amitriptyline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Amoxapine</w:t>
            </w:r>
            <w:proofErr w:type="spellEnd"/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 xml:space="preserve">Bupropion </w:t>
            </w: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Hydrobromide</w:t>
            </w:r>
            <w:proofErr w:type="spellEnd"/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Bupropion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Buspirone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 xml:space="preserve">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Chlordiazepoxide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 xml:space="preserve">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Chlordiazepoxide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>/Amitriptyline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 xml:space="preserve">Citalopram </w:t>
            </w: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Hydrobromide</w:t>
            </w:r>
            <w:proofErr w:type="spellEnd"/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Clomipramine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Clonazepam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Clorazepate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 xml:space="preserve"> Dipotassium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Desipramine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 xml:space="preserve">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Desvenlafaxine</w:t>
            </w:r>
            <w:proofErr w:type="spellEnd"/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Desvenlafaxine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 xml:space="preserve"> Succinate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Diazepam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Doxepin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Duloxetine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Escitalopram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 xml:space="preserve"> Oxalate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Fluoxetine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Fluvoxamine Maleate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Hydroxyzine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 xml:space="preserve">Hydroxyzine </w:t>
            </w: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Pamoate</w:t>
            </w:r>
            <w:proofErr w:type="spellEnd"/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Imipramine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 xml:space="preserve">Imipramine </w:t>
            </w: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Pamoate</w:t>
            </w:r>
            <w:proofErr w:type="spellEnd"/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Isocarboxazid</w:t>
            </w:r>
            <w:proofErr w:type="spellEnd"/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Levomilnacipran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 xml:space="preserve">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Lorazepam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Maprotiline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Hydrchloride</w:t>
            </w:r>
            <w:proofErr w:type="spellEnd"/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Meprobamate</w:t>
            </w:r>
            <w:proofErr w:type="spellEnd"/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675D73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Mirtazapine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Nefazodone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 xml:space="preserve">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Nortriptyline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Oxazepam</w:t>
            </w:r>
            <w:proofErr w:type="spellEnd"/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Paroxetine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 xml:space="preserve">Paroxetine </w:t>
            </w: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Mesylate</w:t>
            </w:r>
            <w:proofErr w:type="spellEnd"/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Phenelzine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 xml:space="preserve"> Sulfate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Protriptyline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 xml:space="preserve">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Sertraline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Tranylcypromine Sulfate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Trazodone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Trimipramine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 xml:space="preserve"> Maleate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Venlafaxine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Vilazodone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 xml:space="preserve"> Hydrochloride</w:t>
            </w:r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E0C3B" w:rsidRPr="00544C3D" w:rsidTr="001D3946">
        <w:tc>
          <w:tcPr>
            <w:tcW w:w="4405" w:type="dxa"/>
          </w:tcPr>
          <w:p w:rsidR="001E0C3B" w:rsidRPr="00544C3D" w:rsidRDefault="001E0C3B" w:rsidP="001E0C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Vortioxetine</w:t>
            </w:r>
            <w:proofErr w:type="spellEnd"/>
            <w:r w:rsidRPr="00544C3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C3D">
              <w:rPr>
                <w:rFonts w:ascii="Arial" w:hAnsi="Arial" w:cs="Arial"/>
                <w:sz w:val="20"/>
                <w:szCs w:val="20"/>
              </w:rPr>
              <w:t>Hydrobromide</w:t>
            </w:r>
            <w:proofErr w:type="spellEnd"/>
          </w:p>
        </w:tc>
        <w:tc>
          <w:tcPr>
            <w:tcW w:w="1023" w:type="dxa"/>
          </w:tcPr>
          <w:p w:rsidR="001E0C3B" w:rsidRPr="00544C3D" w:rsidRDefault="001E0C3B" w:rsidP="001E0C3B">
            <w:pPr>
              <w:spacing w:after="0" w:line="240" w:lineRule="auto"/>
              <w:jc w:val="center"/>
            </w:pPr>
            <w:r w:rsidRPr="00544C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06" w:type="dxa"/>
          </w:tcPr>
          <w:p w:rsidR="001E0C3B" w:rsidRPr="00544C3D" w:rsidRDefault="001E0C3B" w:rsidP="001E0C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C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1D3946" w:rsidRPr="007734CC" w:rsidRDefault="001D3946" w:rsidP="001D3946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1D3946">
        <w:rPr>
          <w:rFonts w:ascii="Arial" w:hAnsi="Arial" w:cs="Arial"/>
          <w:sz w:val="20"/>
          <w:szCs w:val="20"/>
          <w:vertAlign w:val="superscript"/>
        </w:rPr>
        <w:t>a</w:t>
      </w:r>
      <w:r w:rsidRPr="001D3946">
        <w:rPr>
          <w:rFonts w:ascii="Arial" w:hAnsi="Arial" w:cs="Arial"/>
          <w:sz w:val="20"/>
          <w:szCs w:val="20"/>
        </w:rPr>
        <w:t>PIMs</w:t>
      </w:r>
      <w:proofErr w:type="spellEnd"/>
      <w:proofErr w:type="gramEnd"/>
      <w:r w:rsidRPr="001D3946">
        <w:rPr>
          <w:rFonts w:ascii="Arial" w:hAnsi="Arial" w:cs="Arial"/>
          <w:sz w:val="20"/>
          <w:szCs w:val="20"/>
        </w:rPr>
        <w:t xml:space="preserve"> were restricted to Beers Criteria® medications considered potentially inappropriate in most older adults.  We did not classify Beers Criteria medications that are potentially inappropriate for certain conditions or medications that should be used with ca</w:t>
      </w:r>
      <w:r w:rsidR="007734CC">
        <w:rPr>
          <w:rFonts w:ascii="Arial" w:hAnsi="Arial" w:cs="Arial"/>
          <w:sz w:val="20"/>
          <w:szCs w:val="20"/>
        </w:rPr>
        <w:t>ution as PIMs for this analysis.</w:t>
      </w:r>
    </w:p>
    <w:sectPr w:rsidR="001D3946" w:rsidRPr="007734CC" w:rsidSect="001D394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3B"/>
    <w:rsid w:val="001D3946"/>
    <w:rsid w:val="001E0C3B"/>
    <w:rsid w:val="00224285"/>
    <w:rsid w:val="00675D73"/>
    <w:rsid w:val="007734CC"/>
    <w:rsid w:val="00CC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8EA6F-F35F-4E46-9DA5-C153D153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3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Abraham</dc:creator>
  <cp:keywords/>
  <dc:description/>
  <cp:lastModifiedBy>Danielle Abraham</cp:lastModifiedBy>
  <cp:revision>2</cp:revision>
  <dcterms:created xsi:type="dcterms:W3CDTF">2020-06-17T23:16:00Z</dcterms:created>
  <dcterms:modified xsi:type="dcterms:W3CDTF">2020-06-17T23:16:00Z</dcterms:modified>
</cp:coreProperties>
</file>