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C3D21" w14:textId="3927185C" w:rsidR="008A1405" w:rsidRDefault="008A1405" w:rsidP="008A1405">
      <w:pPr>
        <w:rPr>
          <w:b/>
        </w:rPr>
      </w:pPr>
      <w:r>
        <w:rPr>
          <w:b/>
        </w:rPr>
        <w:t>Appendix 1</w:t>
      </w:r>
      <w:r w:rsidRPr="00116DB9">
        <w:rPr>
          <w:b/>
        </w:rPr>
        <w:t>: Sp</w:t>
      </w:r>
      <w:r>
        <w:rPr>
          <w:b/>
        </w:rPr>
        <w:t>inal Fusion Admission Procedure Confirmation</w:t>
      </w:r>
    </w:p>
    <w:p w14:paraId="0791DD61" w14:textId="77777777" w:rsidR="008A1405" w:rsidRDefault="008A1405" w:rsidP="008A1405">
      <w:pPr>
        <w:rPr>
          <w:b/>
        </w:rPr>
      </w:pPr>
    </w:p>
    <w:tbl>
      <w:tblPr>
        <w:tblStyle w:val="TableGrid"/>
        <w:tblW w:w="0" w:type="auto"/>
        <w:tblLook w:val="04A0" w:firstRow="1" w:lastRow="0" w:firstColumn="1" w:lastColumn="0" w:noHBand="0" w:noVBand="1"/>
      </w:tblPr>
      <w:tblGrid>
        <w:gridCol w:w="4675"/>
        <w:gridCol w:w="4675"/>
      </w:tblGrid>
      <w:tr w:rsidR="008A1405" w14:paraId="392CB097" w14:textId="77777777" w:rsidTr="002272BE">
        <w:tc>
          <w:tcPr>
            <w:tcW w:w="4675" w:type="dxa"/>
          </w:tcPr>
          <w:p w14:paraId="01E6832C" w14:textId="77777777" w:rsidR="008A1405" w:rsidRDefault="008A1405" w:rsidP="002272BE">
            <w:pPr>
              <w:rPr>
                <w:b/>
              </w:rPr>
            </w:pPr>
            <w:r>
              <w:rPr>
                <w:b/>
              </w:rPr>
              <w:t>Spinal fusion</w:t>
            </w:r>
          </w:p>
        </w:tc>
        <w:tc>
          <w:tcPr>
            <w:tcW w:w="4675" w:type="dxa"/>
          </w:tcPr>
          <w:p w14:paraId="0342EA8C" w14:textId="77777777" w:rsidR="008A1405" w:rsidRDefault="008A1405" w:rsidP="002272BE">
            <w:pPr>
              <w:rPr>
                <w:b/>
              </w:rPr>
            </w:pPr>
            <w:r>
              <w:rPr>
                <w:b/>
              </w:rPr>
              <w:t>CPT-4 code</w:t>
            </w:r>
          </w:p>
        </w:tc>
      </w:tr>
      <w:tr w:rsidR="008A1405" w14:paraId="6F6143B9" w14:textId="77777777" w:rsidTr="002272BE">
        <w:tc>
          <w:tcPr>
            <w:tcW w:w="4675" w:type="dxa"/>
          </w:tcPr>
          <w:p w14:paraId="027F6F7B" w14:textId="77777777" w:rsidR="008A1405" w:rsidRDefault="008A1405" w:rsidP="002272BE">
            <w:pPr>
              <w:rPr>
                <w:b/>
              </w:rPr>
            </w:pPr>
            <w:r>
              <w:t>Cervical s</w:t>
            </w:r>
            <w:r w:rsidRPr="00116DB9">
              <w:t xml:space="preserve">pinal fusion </w:t>
            </w:r>
          </w:p>
        </w:tc>
        <w:tc>
          <w:tcPr>
            <w:tcW w:w="4675" w:type="dxa"/>
          </w:tcPr>
          <w:p w14:paraId="6DE46E1D" w14:textId="77777777" w:rsidR="008A1405" w:rsidRDefault="008A1405" w:rsidP="002272BE">
            <w:pPr>
              <w:rPr>
                <w:b/>
              </w:rPr>
            </w:pPr>
            <w:r w:rsidRPr="00116DB9">
              <w:rPr>
                <w:rFonts w:eastAsia="Calibri" w:cs="Arial"/>
              </w:rPr>
              <w:t>22548, 22551, 22554, 22590, 22595, 22600</w:t>
            </w:r>
          </w:p>
        </w:tc>
      </w:tr>
      <w:tr w:rsidR="008A1405" w14:paraId="1246A5AF" w14:textId="77777777" w:rsidTr="002272BE">
        <w:tc>
          <w:tcPr>
            <w:tcW w:w="4675" w:type="dxa"/>
          </w:tcPr>
          <w:p w14:paraId="0170046D" w14:textId="77777777" w:rsidR="008A1405" w:rsidRDefault="008A1405" w:rsidP="002272BE">
            <w:pPr>
              <w:rPr>
                <w:b/>
              </w:rPr>
            </w:pPr>
            <w:r>
              <w:t>Thoracic s</w:t>
            </w:r>
            <w:r w:rsidRPr="00116DB9">
              <w:t xml:space="preserve">pinal fusion </w:t>
            </w:r>
          </w:p>
        </w:tc>
        <w:tc>
          <w:tcPr>
            <w:tcW w:w="4675" w:type="dxa"/>
          </w:tcPr>
          <w:p w14:paraId="41667295" w14:textId="77777777" w:rsidR="008A1405" w:rsidRDefault="008A1405" w:rsidP="002272BE">
            <w:pPr>
              <w:rPr>
                <w:b/>
              </w:rPr>
            </w:pPr>
            <w:r w:rsidRPr="00116DB9">
              <w:rPr>
                <w:rFonts w:eastAsia="Calibri" w:cs="Arial"/>
              </w:rPr>
              <w:t>22532, 22556, 22610</w:t>
            </w:r>
          </w:p>
        </w:tc>
      </w:tr>
      <w:tr w:rsidR="008A1405" w14:paraId="7D5291D1" w14:textId="77777777" w:rsidTr="002272BE">
        <w:tc>
          <w:tcPr>
            <w:tcW w:w="4675" w:type="dxa"/>
          </w:tcPr>
          <w:p w14:paraId="3B4EEA90" w14:textId="77777777" w:rsidR="008A1405" w:rsidRDefault="008A1405" w:rsidP="002272BE">
            <w:pPr>
              <w:rPr>
                <w:b/>
              </w:rPr>
            </w:pPr>
            <w:r>
              <w:t>Lumbar spinal fusion</w:t>
            </w:r>
          </w:p>
        </w:tc>
        <w:tc>
          <w:tcPr>
            <w:tcW w:w="4675" w:type="dxa"/>
          </w:tcPr>
          <w:p w14:paraId="5D8974CC" w14:textId="77777777" w:rsidR="008A1405" w:rsidRDefault="008A1405" w:rsidP="002272BE">
            <w:pPr>
              <w:rPr>
                <w:b/>
              </w:rPr>
            </w:pPr>
            <w:r w:rsidRPr="00116DB9">
              <w:rPr>
                <w:rFonts w:eastAsia="Calibri" w:cs="Arial"/>
              </w:rPr>
              <w:t>22533, 22558, 22586, 22612, 22630, 22633</w:t>
            </w:r>
          </w:p>
        </w:tc>
      </w:tr>
      <w:tr w:rsidR="008A1405" w14:paraId="24FF984A" w14:textId="77777777" w:rsidTr="002272BE">
        <w:tc>
          <w:tcPr>
            <w:tcW w:w="4675" w:type="dxa"/>
          </w:tcPr>
          <w:p w14:paraId="63B10BB7" w14:textId="77777777" w:rsidR="008A1405" w:rsidRDefault="008A1405" w:rsidP="002272BE">
            <w:pPr>
              <w:rPr>
                <w:b/>
              </w:rPr>
            </w:pPr>
            <w:r>
              <w:t>Spinal fusion for deformity</w:t>
            </w:r>
          </w:p>
        </w:tc>
        <w:tc>
          <w:tcPr>
            <w:tcW w:w="4675" w:type="dxa"/>
          </w:tcPr>
          <w:p w14:paraId="1A1B5103" w14:textId="77777777" w:rsidR="008A1405" w:rsidRDefault="008A1405" w:rsidP="002272BE">
            <w:pPr>
              <w:rPr>
                <w:b/>
              </w:rPr>
            </w:pPr>
            <w:r w:rsidRPr="00116DB9">
              <w:rPr>
                <w:rFonts w:eastAsia="Calibri" w:cs="Arial"/>
              </w:rPr>
              <w:t>22800, 22802, 22804, 22808, 22810, 22812, 22818, 22819</w:t>
            </w:r>
          </w:p>
        </w:tc>
      </w:tr>
      <w:tr w:rsidR="008A1405" w14:paraId="76BF2234" w14:textId="77777777" w:rsidTr="002272BE">
        <w:tc>
          <w:tcPr>
            <w:tcW w:w="4675" w:type="dxa"/>
          </w:tcPr>
          <w:p w14:paraId="7C820B32" w14:textId="77777777" w:rsidR="008A1405" w:rsidRDefault="008A1405" w:rsidP="002272BE">
            <w:pPr>
              <w:rPr>
                <w:b/>
              </w:rPr>
            </w:pPr>
            <w:r>
              <w:rPr>
                <w:rFonts w:eastAsia="Calibri" w:cs="Arial"/>
              </w:rPr>
              <w:t>Spinal fusion add-on codes</w:t>
            </w:r>
          </w:p>
        </w:tc>
        <w:tc>
          <w:tcPr>
            <w:tcW w:w="4675" w:type="dxa"/>
          </w:tcPr>
          <w:p w14:paraId="23F485D6" w14:textId="77777777" w:rsidR="008A1405" w:rsidRDefault="008A1405" w:rsidP="002272BE">
            <w:pPr>
              <w:rPr>
                <w:b/>
              </w:rPr>
            </w:pPr>
            <w:r w:rsidRPr="00116DB9">
              <w:rPr>
                <w:rFonts w:eastAsia="Calibri" w:cs="Arial"/>
              </w:rPr>
              <w:t>22534, 22552, 22585, 22614, 22632, 22634</w:t>
            </w:r>
          </w:p>
        </w:tc>
      </w:tr>
    </w:tbl>
    <w:p w14:paraId="1D901F53" w14:textId="77777777" w:rsidR="008A1405" w:rsidRDefault="008A1405" w:rsidP="008A1405">
      <w:pPr>
        <w:rPr>
          <w:b/>
        </w:rPr>
      </w:pPr>
    </w:p>
    <w:p w14:paraId="3D0E8580" w14:textId="77777777" w:rsidR="008A1405" w:rsidRDefault="008A1405" w:rsidP="008A1405">
      <w:pPr>
        <w:rPr>
          <w:b/>
        </w:rPr>
      </w:pPr>
      <w:r w:rsidRPr="0054798E">
        <w:rPr>
          <w:rFonts w:eastAsia="Calibri" w:cs="Arial"/>
        </w:rPr>
        <w:t>Abbreviations: CPT-4= Current Procedural Terminology, 4th edition</w:t>
      </w:r>
      <w:r>
        <w:rPr>
          <w:rFonts w:eastAsia="Calibri" w:cs="Arial"/>
        </w:rPr>
        <w:t>.</w:t>
      </w:r>
    </w:p>
    <w:p w14:paraId="3CBEE963" w14:textId="0C574B67" w:rsidR="008A1405" w:rsidRDefault="008A1405">
      <w:pPr>
        <w:rPr>
          <w:b/>
        </w:rPr>
      </w:pPr>
      <w:r>
        <w:rPr>
          <w:b/>
        </w:rPr>
        <w:br w:type="page"/>
      </w:r>
    </w:p>
    <w:p w14:paraId="26EF882C" w14:textId="63632CE6" w:rsidR="006925DC" w:rsidRDefault="00AA60FA">
      <w:pPr>
        <w:rPr>
          <w:b/>
        </w:rPr>
      </w:pPr>
      <w:r w:rsidRPr="00116DB9">
        <w:rPr>
          <w:b/>
        </w:rPr>
        <w:lastRenderedPageBreak/>
        <w:t xml:space="preserve">Appendix </w:t>
      </w:r>
      <w:r w:rsidR="008E700D" w:rsidRPr="00116DB9">
        <w:rPr>
          <w:b/>
        </w:rPr>
        <w:t xml:space="preserve">Table </w:t>
      </w:r>
      <w:r w:rsidR="008A1405">
        <w:rPr>
          <w:b/>
        </w:rPr>
        <w:t>2</w:t>
      </w:r>
      <w:r w:rsidR="008E700D" w:rsidRPr="00116DB9">
        <w:rPr>
          <w:b/>
        </w:rPr>
        <w:t xml:space="preserve">: </w:t>
      </w:r>
      <w:r w:rsidR="00933162" w:rsidRPr="00116DB9">
        <w:rPr>
          <w:b/>
        </w:rPr>
        <w:t>Spinal Fusion Admission Exclusions</w:t>
      </w:r>
    </w:p>
    <w:p w14:paraId="67B9CC9D" w14:textId="77777777" w:rsidR="009B05B1" w:rsidRPr="00116DB9" w:rsidRDefault="009B05B1">
      <w:pPr>
        <w:rPr>
          <w:b/>
        </w:rPr>
      </w:pPr>
    </w:p>
    <w:tbl>
      <w:tblPr>
        <w:tblStyle w:val="TableGrid"/>
        <w:tblW w:w="5000" w:type="pct"/>
        <w:tblLook w:val="04A0" w:firstRow="1" w:lastRow="0" w:firstColumn="1" w:lastColumn="0" w:noHBand="0" w:noVBand="1"/>
      </w:tblPr>
      <w:tblGrid>
        <w:gridCol w:w="2516"/>
        <w:gridCol w:w="3417"/>
        <w:gridCol w:w="3417"/>
      </w:tblGrid>
      <w:tr w:rsidR="00CC421E" w:rsidRPr="00116DB9" w14:paraId="0B464CAF" w14:textId="23CE8BD1" w:rsidTr="00B35377">
        <w:tc>
          <w:tcPr>
            <w:tcW w:w="1345" w:type="pct"/>
          </w:tcPr>
          <w:p w14:paraId="0BA2D5DA" w14:textId="30E65CC9" w:rsidR="00CC421E" w:rsidRPr="00116DB9" w:rsidRDefault="00CC421E" w:rsidP="00F66D04">
            <w:pPr>
              <w:rPr>
                <w:b/>
              </w:rPr>
            </w:pPr>
            <w:r>
              <w:rPr>
                <w:b/>
              </w:rPr>
              <w:t>Description</w:t>
            </w:r>
          </w:p>
        </w:tc>
        <w:tc>
          <w:tcPr>
            <w:tcW w:w="1827" w:type="pct"/>
          </w:tcPr>
          <w:p w14:paraId="00F2D1A8" w14:textId="0AD3C937" w:rsidR="00CC421E" w:rsidRPr="00116DB9" w:rsidRDefault="00CC421E" w:rsidP="00DC125B">
            <w:pPr>
              <w:rPr>
                <w:b/>
              </w:rPr>
            </w:pPr>
            <w:r w:rsidRPr="00116DB9">
              <w:rPr>
                <w:b/>
              </w:rPr>
              <w:t>ICD-9-CM diagnosis code</w:t>
            </w:r>
          </w:p>
        </w:tc>
        <w:tc>
          <w:tcPr>
            <w:tcW w:w="1827" w:type="pct"/>
          </w:tcPr>
          <w:p w14:paraId="45D68F91" w14:textId="4DEF5D26" w:rsidR="00CC421E" w:rsidRPr="00116DB9" w:rsidRDefault="00CC421E" w:rsidP="00DC125B">
            <w:pPr>
              <w:rPr>
                <w:b/>
              </w:rPr>
            </w:pPr>
            <w:r w:rsidRPr="00116DB9">
              <w:rPr>
                <w:b/>
              </w:rPr>
              <w:t>Antibiotic name</w:t>
            </w:r>
          </w:p>
        </w:tc>
      </w:tr>
      <w:tr w:rsidR="00CC421E" w:rsidRPr="00116DB9" w14:paraId="0648348B" w14:textId="534E81D2" w:rsidTr="00B35377">
        <w:tc>
          <w:tcPr>
            <w:tcW w:w="1345" w:type="pct"/>
          </w:tcPr>
          <w:p w14:paraId="22F8963D" w14:textId="77777777" w:rsidR="00CC421E" w:rsidRPr="00116DB9" w:rsidRDefault="00CC421E" w:rsidP="007258FC">
            <w:r w:rsidRPr="00116DB9">
              <w:t xml:space="preserve">Gunshot wound </w:t>
            </w:r>
          </w:p>
        </w:tc>
        <w:tc>
          <w:tcPr>
            <w:tcW w:w="1827" w:type="pct"/>
          </w:tcPr>
          <w:p w14:paraId="35A872A2" w14:textId="29417025" w:rsidR="00CC421E" w:rsidRPr="00116DB9" w:rsidRDefault="00CC421E" w:rsidP="0089505C">
            <w:pPr>
              <w:autoSpaceDE w:val="0"/>
              <w:autoSpaceDN w:val="0"/>
              <w:adjustRightInd w:val="0"/>
            </w:pPr>
            <w:r w:rsidRPr="00116DB9">
              <w:t>E922.0–E922.3, E922.8, E922.9, E928.7, E965.0–E965.4, E970, E979.4, E985.x–E985.4</w:t>
            </w:r>
          </w:p>
        </w:tc>
        <w:tc>
          <w:tcPr>
            <w:tcW w:w="1827" w:type="pct"/>
          </w:tcPr>
          <w:p w14:paraId="05D72E75" w14:textId="2FF20329" w:rsidR="00CC421E" w:rsidRPr="00116DB9" w:rsidRDefault="00CC421E" w:rsidP="007258FC">
            <w:pPr>
              <w:autoSpaceDE w:val="0"/>
              <w:autoSpaceDN w:val="0"/>
              <w:adjustRightInd w:val="0"/>
            </w:pPr>
          </w:p>
        </w:tc>
      </w:tr>
      <w:tr w:rsidR="00CC421E" w:rsidRPr="00116DB9" w14:paraId="5391018E" w14:textId="60D6BE0B" w:rsidTr="00B35377">
        <w:tc>
          <w:tcPr>
            <w:tcW w:w="1345" w:type="pct"/>
          </w:tcPr>
          <w:p w14:paraId="2A273300" w14:textId="77777777" w:rsidR="00CC421E" w:rsidRPr="00116DB9" w:rsidRDefault="00CC421E" w:rsidP="007258FC">
            <w:r w:rsidRPr="00116DB9">
              <w:t>Motor vehicle accident</w:t>
            </w:r>
          </w:p>
        </w:tc>
        <w:tc>
          <w:tcPr>
            <w:tcW w:w="1827" w:type="pct"/>
          </w:tcPr>
          <w:p w14:paraId="3CDC603D" w14:textId="4E77F417" w:rsidR="00CC421E" w:rsidRPr="00116DB9" w:rsidRDefault="00CC421E" w:rsidP="00BC2088">
            <w:r w:rsidRPr="00116DB9">
              <w:t>E810.x-E825.9</w:t>
            </w:r>
            <w:r>
              <w:t>,</w:t>
            </w:r>
            <w:r w:rsidRPr="0089505C">
              <w:t xml:space="preserve"> E968.5, E988.5</w:t>
            </w:r>
          </w:p>
        </w:tc>
        <w:tc>
          <w:tcPr>
            <w:tcW w:w="1827" w:type="pct"/>
          </w:tcPr>
          <w:p w14:paraId="2945A4C8" w14:textId="72700732" w:rsidR="00CC421E" w:rsidRPr="00116DB9" w:rsidRDefault="00CC421E" w:rsidP="007258FC">
            <w:pPr>
              <w:autoSpaceDE w:val="0"/>
              <w:autoSpaceDN w:val="0"/>
              <w:adjustRightInd w:val="0"/>
            </w:pPr>
          </w:p>
        </w:tc>
      </w:tr>
      <w:tr w:rsidR="00CC421E" w:rsidRPr="00116DB9" w14:paraId="630F310A" w14:textId="77777777" w:rsidTr="00B35377">
        <w:tc>
          <w:tcPr>
            <w:tcW w:w="1345" w:type="pct"/>
          </w:tcPr>
          <w:p w14:paraId="44382864" w14:textId="1126406E" w:rsidR="00CC421E" w:rsidRPr="0004022B" w:rsidRDefault="00CC421E" w:rsidP="007258FC">
            <w:pPr>
              <w:rPr>
                <w:vertAlign w:val="superscript"/>
              </w:rPr>
            </w:pPr>
            <w:r w:rsidRPr="00116DB9">
              <w:t xml:space="preserve">Surgical site </w:t>
            </w:r>
            <w:proofErr w:type="spellStart"/>
            <w:r w:rsidRPr="00116DB9">
              <w:t>infection</w:t>
            </w:r>
            <w:r w:rsidR="0004022B">
              <w:rPr>
                <w:vertAlign w:val="superscript"/>
              </w:rPr>
              <w:t>a</w:t>
            </w:r>
            <w:proofErr w:type="spellEnd"/>
          </w:p>
        </w:tc>
        <w:tc>
          <w:tcPr>
            <w:tcW w:w="1827" w:type="pct"/>
          </w:tcPr>
          <w:p w14:paraId="39726C67" w14:textId="4C7419CC" w:rsidR="00CC421E" w:rsidRPr="00541BE9" w:rsidRDefault="00CC421E" w:rsidP="00296D2B">
            <w:pPr>
              <w:rPr>
                <w:highlight w:val="yellow"/>
              </w:rPr>
            </w:pPr>
            <w:r w:rsidRPr="00407F6D">
              <w:t>324.x, 478.2</w:t>
            </w:r>
            <w:r>
              <w:t>1-478.2</w:t>
            </w:r>
            <w:r w:rsidRPr="00407F6D">
              <w:t>4,</w:t>
            </w:r>
            <w:r>
              <w:t xml:space="preserve"> 478.29,</w:t>
            </w:r>
            <w:r w:rsidRPr="00407F6D">
              <w:t xml:space="preserve"> </w:t>
            </w:r>
            <w:r>
              <w:t xml:space="preserve">536.41, </w:t>
            </w:r>
            <w:r w:rsidRPr="00827A91">
              <w:t xml:space="preserve">730.0x–730.2x, </w:t>
            </w:r>
            <w:r w:rsidRPr="00541BE9">
              <w:t xml:space="preserve">730.8x, 730.9x, </w:t>
            </w:r>
            <w:r w:rsidRPr="00827A91">
              <w:t>996.6x</w:t>
            </w:r>
            <w:r>
              <w:t xml:space="preserve">, </w:t>
            </w:r>
            <w:r w:rsidRPr="00541BE9">
              <w:t>998.5</w:t>
            </w:r>
            <w:r>
              <w:t>x</w:t>
            </w:r>
          </w:p>
        </w:tc>
        <w:tc>
          <w:tcPr>
            <w:tcW w:w="1827" w:type="pct"/>
          </w:tcPr>
          <w:p w14:paraId="517DD2DC" w14:textId="77777777" w:rsidR="00CC421E" w:rsidRPr="00116DB9" w:rsidRDefault="00CC421E" w:rsidP="007258FC"/>
        </w:tc>
      </w:tr>
      <w:tr w:rsidR="00CC421E" w:rsidRPr="00116DB9" w14:paraId="2704DEB1" w14:textId="77777777" w:rsidTr="00B35377">
        <w:tc>
          <w:tcPr>
            <w:tcW w:w="1345" w:type="pct"/>
          </w:tcPr>
          <w:p w14:paraId="1EFFD6FA" w14:textId="6EBFEA30" w:rsidR="00CC421E" w:rsidRPr="00541BE9" w:rsidRDefault="00CC421E" w:rsidP="007258FC">
            <w:r w:rsidRPr="00541BE9">
              <w:t>Cellulitis/skin and soft tissue infections</w:t>
            </w:r>
          </w:p>
        </w:tc>
        <w:tc>
          <w:tcPr>
            <w:tcW w:w="1827" w:type="pct"/>
          </w:tcPr>
          <w:p w14:paraId="57E7037E" w14:textId="5A1A4DB2" w:rsidR="00CC421E" w:rsidRPr="002A0AD6" w:rsidRDefault="00CC421E" w:rsidP="00CF3C7F">
            <w:r w:rsidRPr="00541BE9">
              <w:t xml:space="preserve">681.x, 682.x, </w:t>
            </w:r>
            <w:r>
              <w:t xml:space="preserve">683, </w:t>
            </w:r>
            <w:r w:rsidR="005E503E">
              <w:t xml:space="preserve">684, </w:t>
            </w:r>
            <w:r w:rsidR="00CF3C7F">
              <w:t>685.0</w:t>
            </w:r>
            <w:r>
              <w:t xml:space="preserve">, </w:t>
            </w:r>
            <w:r w:rsidRPr="00541BE9">
              <w:t xml:space="preserve">686.x, 728.0, </w:t>
            </w:r>
            <w:r>
              <w:t xml:space="preserve">728.86, 958.3, </w:t>
            </w:r>
            <w:r w:rsidRPr="002A0AD6">
              <w:t xml:space="preserve">997.62 </w:t>
            </w:r>
          </w:p>
        </w:tc>
        <w:tc>
          <w:tcPr>
            <w:tcW w:w="1827" w:type="pct"/>
          </w:tcPr>
          <w:p w14:paraId="7E2D32DA" w14:textId="77777777" w:rsidR="00CC421E" w:rsidRPr="00116DB9" w:rsidRDefault="00CC421E" w:rsidP="007258FC"/>
        </w:tc>
      </w:tr>
      <w:tr w:rsidR="00CC421E" w:rsidRPr="00116DB9" w14:paraId="5DB815F6" w14:textId="77777777" w:rsidTr="00B35377">
        <w:tc>
          <w:tcPr>
            <w:tcW w:w="1345" w:type="pct"/>
          </w:tcPr>
          <w:p w14:paraId="58D934C8" w14:textId="7FA386BF" w:rsidR="00CC421E" w:rsidRPr="00116DB9" w:rsidRDefault="00CC421E" w:rsidP="007258FC">
            <w:r w:rsidRPr="00116DB9">
              <w:t>Pneumonia</w:t>
            </w:r>
          </w:p>
        </w:tc>
        <w:tc>
          <w:tcPr>
            <w:tcW w:w="1827" w:type="pct"/>
          </w:tcPr>
          <w:p w14:paraId="1FCAC8EE" w14:textId="2DF2A900" w:rsidR="00CC421E" w:rsidRPr="00541BE9" w:rsidRDefault="00CC421E" w:rsidP="00296D2B">
            <w:pPr>
              <w:rPr>
                <w:highlight w:val="yellow"/>
              </w:rPr>
            </w:pPr>
            <w:r w:rsidRPr="00827A91">
              <w:t>481, 482.xx, 483.x, 485, 486, 510.0, 510.9, 513.0, 997.31, 997.32</w:t>
            </w:r>
          </w:p>
        </w:tc>
        <w:tc>
          <w:tcPr>
            <w:tcW w:w="1827" w:type="pct"/>
          </w:tcPr>
          <w:p w14:paraId="10245AB2" w14:textId="77777777" w:rsidR="00CC421E" w:rsidRPr="00116DB9" w:rsidRDefault="00CC421E" w:rsidP="007258FC"/>
        </w:tc>
      </w:tr>
      <w:tr w:rsidR="00CC421E" w:rsidRPr="00116DB9" w14:paraId="471A4C80" w14:textId="77777777" w:rsidTr="00B35377">
        <w:tc>
          <w:tcPr>
            <w:tcW w:w="1345" w:type="pct"/>
          </w:tcPr>
          <w:p w14:paraId="32EE8490" w14:textId="6EBE684A" w:rsidR="00CC421E" w:rsidRPr="00116DB9" w:rsidRDefault="00CC421E" w:rsidP="00586375">
            <w:r>
              <w:t>U</w:t>
            </w:r>
            <w:r w:rsidRPr="00116DB9">
              <w:t>rinary tract</w:t>
            </w:r>
            <w:r>
              <w:t xml:space="preserve">, </w:t>
            </w:r>
            <w:r w:rsidRPr="00116DB9">
              <w:t xml:space="preserve"> pyelonephritis</w:t>
            </w:r>
            <w:r>
              <w:t>, prostatitis, genitourinary infection</w:t>
            </w:r>
          </w:p>
        </w:tc>
        <w:tc>
          <w:tcPr>
            <w:tcW w:w="1827" w:type="pct"/>
          </w:tcPr>
          <w:p w14:paraId="036055A4" w14:textId="2E4B6252" w:rsidR="00CC421E" w:rsidRPr="00541BE9" w:rsidRDefault="00CC421E" w:rsidP="007258FC">
            <w:pPr>
              <w:rPr>
                <w:highlight w:val="yellow"/>
              </w:rPr>
            </w:pPr>
            <w:r w:rsidRPr="00827A91">
              <w:t xml:space="preserve">590.0x, 590.1x, 590.2, 590.80, 590.9, 595.0, </w:t>
            </w:r>
            <w:r w:rsidR="00030987">
              <w:t xml:space="preserve">598.0x, </w:t>
            </w:r>
            <w:r w:rsidRPr="00827A91">
              <w:t>599.0</w:t>
            </w:r>
            <w:r w:rsidRPr="00407F6D">
              <w:t>, 601.0</w:t>
            </w:r>
            <w:r>
              <w:t>, 616.3, 616.4</w:t>
            </w:r>
          </w:p>
        </w:tc>
        <w:tc>
          <w:tcPr>
            <w:tcW w:w="1827" w:type="pct"/>
          </w:tcPr>
          <w:p w14:paraId="332254C1" w14:textId="77777777" w:rsidR="00CC421E" w:rsidRPr="00116DB9" w:rsidRDefault="00CC421E" w:rsidP="007258FC"/>
        </w:tc>
      </w:tr>
      <w:tr w:rsidR="00CC421E" w:rsidRPr="00116DB9" w14:paraId="51B771A2" w14:textId="77777777" w:rsidTr="00B35377">
        <w:tc>
          <w:tcPr>
            <w:tcW w:w="1345" w:type="pct"/>
          </w:tcPr>
          <w:p w14:paraId="1BD93A93" w14:textId="60678DF7" w:rsidR="00CC421E" w:rsidRDefault="00CC421E" w:rsidP="004C3953">
            <w:r>
              <w:t>Gastrointestinal infection</w:t>
            </w:r>
          </w:p>
        </w:tc>
        <w:tc>
          <w:tcPr>
            <w:tcW w:w="1827" w:type="pct"/>
          </w:tcPr>
          <w:p w14:paraId="77A8CC0D" w14:textId="131D7C94" w:rsidR="00CC421E" w:rsidRPr="00827A91" w:rsidRDefault="00CC421E" w:rsidP="007258FC">
            <w:r>
              <w:t xml:space="preserve">566, </w:t>
            </w:r>
            <w:r w:rsidR="008020A9">
              <w:t xml:space="preserve">567.1, </w:t>
            </w:r>
            <w:r>
              <w:t>567.2x, 567.3x, 567.9, 569.5, 572.0</w:t>
            </w:r>
          </w:p>
        </w:tc>
        <w:tc>
          <w:tcPr>
            <w:tcW w:w="1827" w:type="pct"/>
          </w:tcPr>
          <w:p w14:paraId="6C77F9CF" w14:textId="77777777" w:rsidR="00CC421E" w:rsidRPr="00116DB9" w:rsidRDefault="00CC421E" w:rsidP="007258FC"/>
        </w:tc>
      </w:tr>
      <w:tr w:rsidR="00CC421E" w:rsidRPr="00116DB9" w14:paraId="546E7EB7" w14:textId="77777777" w:rsidTr="00B35377">
        <w:tc>
          <w:tcPr>
            <w:tcW w:w="1345" w:type="pct"/>
          </w:tcPr>
          <w:p w14:paraId="56F5A2EA" w14:textId="5BBBDA85" w:rsidR="00CC421E" w:rsidRPr="00116DB9" w:rsidRDefault="00CC421E" w:rsidP="007258FC">
            <w:r>
              <w:t>S</w:t>
            </w:r>
            <w:r w:rsidRPr="00116DB9">
              <w:t>epsis</w:t>
            </w:r>
            <w:r>
              <w:t>/sterile site infection</w:t>
            </w:r>
          </w:p>
        </w:tc>
        <w:tc>
          <w:tcPr>
            <w:tcW w:w="1827" w:type="pct"/>
          </w:tcPr>
          <w:p w14:paraId="2877D1BC" w14:textId="38613B6E" w:rsidR="00CC421E" w:rsidRPr="00541BE9" w:rsidRDefault="00CC421E" w:rsidP="00A62631">
            <w:pPr>
              <w:rPr>
                <w:highlight w:val="yellow"/>
              </w:rPr>
            </w:pPr>
            <w:r w:rsidRPr="00407F6D">
              <w:t xml:space="preserve">038.x, </w:t>
            </w:r>
            <w:r>
              <w:t xml:space="preserve">320.x, </w:t>
            </w:r>
            <w:r w:rsidRPr="00541BE9">
              <w:t>711.0x,</w:t>
            </w:r>
            <w:r w:rsidRPr="00407F6D">
              <w:t xml:space="preserve"> </w:t>
            </w:r>
            <w:r w:rsidR="00CF3C7F">
              <w:t xml:space="preserve">711.9x, </w:t>
            </w:r>
            <w:r w:rsidRPr="00407F6D">
              <w:t xml:space="preserve">785.52, 790.7, </w:t>
            </w:r>
            <w:r w:rsidRPr="00781158">
              <w:t>995.91, 995.92</w:t>
            </w:r>
            <w:r>
              <w:t>, 999.3x</w:t>
            </w:r>
            <w:r w:rsidRPr="00781158">
              <w:t xml:space="preserve"> </w:t>
            </w:r>
          </w:p>
        </w:tc>
        <w:tc>
          <w:tcPr>
            <w:tcW w:w="1827" w:type="pct"/>
          </w:tcPr>
          <w:p w14:paraId="3A687573" w14:textId="77777777" w:rsidR="00CC421E" w:rsidRPr="00116DB9" w:rsidRDefault="00CC421E" w:rsidP="007258FC"/>
        </w:tc>
      </w:tr>
      <w:tr w:rsidR="00CC421E" w:rsidRPr="00116DB9" w14:paraId="50AFADDC" w14:textId="77777777" w:rsidTr="00B35377">
        <w:tc>
          <w:tcPr>
            <w:tcW w:w="1345" w:type="pct"/>
          </w:tcPr>
          <w:p w14:paraId="6DA39DF3" w14:textId="6F23D1CD" w:rsidR="00CC421E" w:rsidRDefault="00CC421E" w:rsidP="007258FC">
            <w:r>
              <w:t>Upper respiratory infections</w:t>
            </w:r>
          </w:p>
        </w:tc>
        <w:tc>
          <w:tcPr>
            <w:tcW w:w="1827" w:type="pct"/>
          </w:tcPr>
          <w:p w14:paraId="38EF6D30" w14:textId="19B3DEF0" w:rsidR="00CC421E" w:rsidRDefault="00CC421E" w:rsidP="00030987">
            <w:r>
              <w:t xml:space="preserve">380.1x, 382.0x, 382.4, 382.9, 383.0x, 383.9, 461.x, 463, 466.0, 475, </w:t>
            </w:r>
            <w:r w:rsidR="00030987">
              <w:t xml:space="preserve">491.1, </w:t>
            </w:r>
            <w:r>
              <w:t xml:space="preserve">522.5, 528.3 </w:t>
            </w:r>
          </w:p>
        </w:tc>
        <w:tc>
          <w:tcPr>
            <w:tcW w:w="1827" w:type="pct"/>
          </w:tcPr>
          <w:p w14:paraId="32C52881" w14:textId="77777777" w:rsidR="00CC421E" w:rsidRPr="00116DB9" w:rsidRDefault="00CC421E" w:rsidP="007258FC"/>
        </w:tc>
      </w:tr>
      <w:tr w:rsidR="00CC421E" w:rsidRPr="00116DB9" w14:paraId="7F87EDA8" w14:textId="77777777" w:rsidTr="00B35377">
        <w:tc>
          <w:tcPr>
            <w:tcW w:w="1345" w:type="pct"/>
          </w:tcPr>
          <w:p w14:paraId="168092FD" w14:textId="7A014343" w:rsidR="00CC421E" w:rsidRDefault="00CC421E" w:rsidP="00202D78">
            <w:r w:rsidRPr="00116DB9">
              <w:t>Intravenous route for discharge antibiotic</w:t>
            </w:r>
          </w:p>
        </w:tc>
        <w:tc>
          <w:tcPr>
            <w:tcW w:w="1827" w:type="pct"/>
          </w:tcPr>
          <w:p w14:paraId="5D93BB04" w14:textId="77777777" w:rsidR="00CC421E" w:rsidRPr="00116DB9" w:rsidRDefault="00CC421E" w:rsidP="00202D78"/>
        </w:tc>
        <w:tc>
          <w:tcPr>
            <w:tcW w:w="1827" w:type="pct"/>
          </w:tcPr>
          <w:p w14:paraId="7F446FF4" w14:textId="4DC04FC1" w:rsidR="00CC421E" w:rsidRPr="00116DB9" w:rsidRDefault="00CC421E" w:rsidP="007C1D3B">
            <w:r>
              <w:t>amikacin, ampicillin, ampicillin-</w:t>
            </w:r>
            <w:proofErr w:type="spellStart"/>
            <w:r>
              <w:t>sulbactam</w:t>
            </w:r>
            <w:proofErr w:type="spellEnd"/>
            <w:r>
              <w:t xml:space="preserve">, azithromycin, </w:t>
            </w:r>
            <w:proofErr w:type="spellStart"/>
            <w:r>
              <w:t>aztreonam</w:t>
            </w:r>
            <w:proofErr w:type="spellEnd"/>
            <w:r>
              <w:t xml:space="preserve">, cefazolin, </w:t>
            </w:r>
            <w:proofErr w:type="spellStart"/>
            <w:r>
              <w:t>cefepime</w:t>
            </w:r>
            <w:proofErr w:type="spellEnd"/>
            <w:r>
              <w:t xml:space="preserve">, </w:t>
            </w:r>
            <w:proofErr w:type="spellStart"/>
            <w:r>
              <w:t>cefotaxime</w:t>
            </w:r>
            <w:proofErr w:type="spellEnd"/>
            <w:r>
              <w:t xml:space="preserve">, </w:t>
            </w:r>
            <w:proofErr w:type="spellStart"/>
            <w:r>
              <w:t>ceftaroline</w:t>
            </w:r>
            <w:proofErr w:type="spellEnd"/>
            <w:r>
              <w:t xml:space="preserve">, </w:t>
            </w:r>
            <w:proofErr w:type="spellStart"/>
            <w:r>
              <w:t>ceftazidime</w:t>
            </w:r>
            <w:proofErr w:type="spellEnd"/>
            <w:r>
              <w:t xml:space="preserve">, </w:t>
            </w:r>
            <w:proofErr w:type="spellStart"/>
            <w:r>
              <w:t>ceftazidime</w:t>
            </w:r>
            <w:proofErr w:type="spellEnd"/>
            <w:r>
              <w:t xml:space="preserve">-avibactam, </w:t>
            </w:r>
            <w:proofErr w:type="spellStart"/>
            <w:r>
              <w:t>ceftolozane-tazobactam</w:t>
            </w:r>
            <w:proofErr w:type="spellEnd"/>
            <w:r>
              <w:t xml:space="preserve">, ceftriaxone, cefuroxime, ciprofloxacin, clindamycin, </w:t>
            </w:r>
            <w:proofErr w:type="spellStart"/>
            <w:r>
              <w:t>colistin</w:t>
            </w:r>
            <w:proofErr w:type="spellEnd"/>
            <w:r>
              <w:t>/</w:t>
            </w:r>
            <w:proofErr w:type="spellStart"/>
            <w:r>
              <w:t>polymyxin</w:t>
            </w:r>
            <w:proofErr w:type="spellEnd"/>
            <w:r>
              <w:t xml:space="preserve"> B, </w:t>
            </w:r>
            <w:proofErr w:type="spellStart"/>
            <w:r>
              <w:t>dalbavancin</w:t>
            </w:r>
            <w:proofErr w:type="spellEnd"/>
            <w:r>
              <w:t xml:space="preserve">, </w:t>
            </w:r>
            <w:proofErr w:type="spellStart"/>
            <w:r>
              <w:t>daptomycin</w:t>
            </w:r>
            <w:proofErr w:type="spellEnd"/>
            <w:r>
              <w:t xml:space="preserve">, </w:t>
            </w:r>
            <w:proofErr w:type="spellStart"/>
            <w:r>
              <w:t>doripenem</w:t>
            </w:r>
            <w:proofErr w:type="spellEnd"/>
            <w:r>
              <w:t xml:space="preserve">, doxycycline, </w:t>
            </w:r>
            <w:proofErr w:type="spellStart"/>
            <w:r>
              <w:t>ertapenem</w:t>
            </w:r>
            <w:proofErr w:type="spellEnd"/>
            <w:r>
              <w:t xml:space="preserve">, gentamicin, </w:t>
            </w:r>
            <w:proofErr w:type="spellStart"/>
            <w:r>
              <w:t>imipenem</w:t>
            </w:r>
            <w:proofErr w:type="spellEnd"/>
            <w:r>
              <w:t xml:space="preserve">, levofloxacin, linezolid, </w:t>
            </w:r>
            <w:proofErr w:type="spellStart"/>
            <w:r>
              <w:t>meropenem</w:t>
            </w:r>
            <w:proofErr w:type="spellEnd"/>
            <w:r>
              <w:t xml:space="preserve">, metronidazole, </w:t>
            </w:r>
            <w:proofErr w:type="spellStart"/>
            <w:r>
              <w:t>moxifloxacin</w:t>
            </w:r>
            <w:proofErr w:type="spellEnd"/>
            <w:r>
              <w:t xml:space="preserve">, </w:t>
            </w:r>
            <w:proofErr w:type="spellStart"/>
            <w:r>
              <w:t>nafcillin</w:t>
            </w:r>
            <w:proofErr w:type="spellEnd"/>
            <w:r>
              <w:t xml:space="preserve">, </w:t>
            </w:r>
            <w:proofErr w:type="spellStart"/>
            <w:r>
              <w:t>oritavancin</w:t>
            </w:r>
            <w:proofErr w:type="spellEnd"/>
            <w:r>
              <w:t xml:space="preserve">, </w:t>
            </w:r>
            <w:proofErr w:type="spellStart"/>
            <w:r>
              <w:t>oxacillin</w:t>
            </w:r>
            <w:proofErr w:type="spellEnd"/>
            <w:r>
              <w:t>, penicillin, piperacillin-</w:t>
            </w:r>
            <w:proofErr w:type="spellStart"/>
            <w:r>
              <w:t>tazobactam</w:t>
            </w:r>
            <w:proofErr w:type="spellEnd"/>
            <w:r>
              <w:t xml:space="preserve">, </w:t>
            </w:r>
            <w:proofErr w:type="spellStart"/>
            <w:r>
              <w:t>tedizolid</w:t>
            </w:r>
            <w:proofErr w:type="spellEnd"/>
            <w:r>
              <w:t xml:space="preserve">, </w:t>
            </w:r>
            <w:proofErr w:type="spellStart"/>
            <w:r>
              <w:t>tigecycline</w:t>
            </w:r>
            <w:proofErr w:type="spellEnd"/>
            <w:r>
              <w:t>, tobramycin, trimethoprim-sulfamethoxazole, vancomycin</w:t>
            </w:r>
          </w:p>
        </w:tc>
      </w:tr>
    </w:tbl>
    <w:p w14:paraId="51464700" w14:textId="75419F25" w:rsidR="00106916" w:rsidRPr="0054798E" w:rsidRDefault="00F50EBF" w:rsidP="0054798E">
      <w:pPr>
        <w:spacing w:after="0" w:line="240" w:lineRule="auto"/>
        <w:rPr>
          <w:rFonts w:eastAsia="Calibri" w:cs="Arial"/>
        </w:rPr>
      </w:pPr>
      <w:r w:rsidRPr="0054798E">
        <w:rPr>
          <w:rFonts w:eastAsia="Calibri" w:cs="Arial"/>
        </w:rPr>
        <w:tab/>
      </w:r>
    </w:p>
    <w:p w14:paraId="7E37BE12" w14:textId="6D818A76" w:rsidR="00F50EBF" w:rsidRDefault="0054798E" w:rsidP="0054798E">
      <w:pPr>
        <w:spacing w:after="0" w:line="240" w:lineRule="auto"/>
        <w:rPr>
          <w:rFonts w:eastAsia="Calibri" w:cs="Arial"/>
        </w:rPr>
      </w:pPr>
      <w:r w:rsidRPr="0054798E">
        <w:rPr>
          <w:rFonts w:eastAsia="Calibri" w:cs="Arial"/>
        </w:rPr>
        <w:lastRenderedPageBreak/>
        <w:t xml:space="preserve">Abbreviations: </w:t>
      </w:r>
      <w:r w:rsidR="00F50EBF" w:rsidRPr="0054798E">
        <w:rPr>
          <w:rFonts w:eastAsia="Calibri" w:cs="Arial"/>
        </w:rPr>
        <w:t>CPT</w:t>
      </w:r>
      <w:r w:rsidRPr="0054798E">
        <w:rPr>
          <w:rFonts w:eastAsia="Calibri" w:cs="Arial"/>
        </w:rPr>
        <w:t>-4</w:t>
      </w:r>
      <w:r w:rsidR="00F50EBF" w:rsidRPr="0054798E">
        <w:rPr>
          <w:rFonts w:eastAsia="Calibri" w:cs="Arial"/>
        </w:rPr>
        <w:t>=</w:t>
      </w:r>
      <w:r w:rsidRPr="0054798E">
        <w:rPr>
          <w:rFonts w:eastAsia="Calibri" w:cs="Arial"/>
        </w:rPr>
        <w:t xml:space="preserve"> Current Procedural Terminology, 4th edition</w:t>
      </w:r>
      <w:r w:rsidR="009237C7">
        <w:rPr>
          <w:rFonts w:eastAsia="Calibri" w:cs="Arial"/>
        </w:rPr>
        <w:t>;</w:t>
      </w:r>
      <w:r w:rsidRPr="0054798E">
        <w:rPr>
          <w:rFonts w:eastAsia="Calibri" w:cs="Arial"/>
        </w:rPr>
        <w:t xml:space="preserve"> ICD-9-CM= International Classification of Diseases, </w:t>
      </w:r>
      <w:proofErr w:type="gramStart"/>
      <w:r w:rsidRPr="0054798E">
        <w:rPr>
          <w:rFonts w:eastAsia="Calibri" w:cs="Arial"/>
        </w:rPr>
        <w:t>9th</w:t>
      </w:r>
      <w:proofErr w:type="gramEnd"/>
      <w:r w:rsidRPr="0054798E">
        <w:rPr>
          <w:rFonts w:eastAsia="Calibri" w:cs="Arial"/>
        </w:rPr>
        <w:t xml:space="preserve"> Revision, Clinical Modification. </w:t>
      </w:r>
    </w:p>
    <w:p w14:paraId="1DA9CC5A" w14:textId="77777777" w:rsidR="007D1450" w:rsidRPr="0054798E" w:rsidRDefault="007D1450" w:rsidP="0054798E">
      <w:pPr>
        <w:spacing w:after="0" w:line="240" w:lineRule="auto"/>
        <w:rPr>
          <w:rFonts w:eastAsia="Calibri" w:cs="Arial"/>
        </w:rPr>
      </w:pPr>
    </w:p>
    <w:p w14:paraId="1F532AA1" w14:textId="1C3CDFB4" w:rsidR="0004022B" w:rsidRPr="0004022B" w:rsidRDefault="0004022B" w:rsidP="001D513F">
      <w:pPr>
        <w:spacing w:line="360" w:lineRule="auto"/>
        <w:rPr>
          <w:rFonts w:eastAsia="Calibri" w:cs="Arial"/>
        </w:rPr>
      </w:pPr>
      <w:proofErr w:type="spellStart"/>
      <w:proofErr w:type="gramStart"/>
      <w:r>
        <w:rPr>
          <w:rFonts w:eastAsia="Calibri" w:cs="Arial"/>
          <w:vertAlign w:val="superscript"/>
        </w:rPr>
        <w:t>a</w:t>
      </w:r>
      <w:proofErr w:type="spellEnd"/>
      <w:proofErr w:type="gramEnd"/>
      <w:r>
        <w:rPr>
          <w:rFonts w:eastAsia="Calibri" w:cs="Arial"/>
          <w:vertAlign w:val="superscript"/>
        </w:rPr>
        <w:t xml:space="preserve"> </w:t>
      </w:r>
      <w:r w:rsidRPr="0004022B">
        <w:rPr>
          <w:rFonts w:eastAsia="Calibri" w:cs="Arial"/>
        </w:rPr>
        <w:t>We excluded fusion admissions coded for an SSI</w:t>
      </w:r>
      <w:r w:rsidR="001D513F">
        <w:rPr>
          <w:rFonts w:eastAsia="Calibri" w:cs="Arial"/>
        </w:rPr>
        <w:t>. T</w:t>
      </w:r>
      <w:r w:rsidRPr="0004022B">
        <w:rPr>
          <w:rFonts w:eastAsia="Calibri" w:cs="Arial"/>
        </w:rPr>
        <w:t xml:space="preserve">here were 154 coded for an infection that would be consistent with a spinal SSI (ICD-9-CM diagnosis 324.1 (epidural abscess), 478.24 (retropharyngeal abscess), 730.08, 730.18, 730.28, 730.98 (all codes for osteomyelitis), 998.5x (surgical site infection), 996.67 (infection d/t prosthetic device)). Of these admissions, 95 were only coded for osteomyelitis, epidural abscess, or bone infection, all of which would likely have been present on admission and the reason for the spinal fusion rather than an incident infection after surgery. Of the 59 admissions with one of the remaining diagnosis codes, 23 had the infection coded as the primary diagnosis for the admission (13 coded with 996.67, 10 coded with 998.59), and </w:t>
      </w:r>
      <w:proofErr w:type="gramStart"/>
      <w:r w:rsidRPr="0004022B">
        <w:rPr>
          <w:rFonts w:eastAsia="Calibri" w:cs="Arial"/>
        </w:rPr>
        <w:t>3</w:t>
      </w:r>
      <w:proofErr w:type="gramEnd"/>
      <w:r w:rsidRPr="0004022B">
        <w:rPr>
          <w:rFonts w:eastAsia="Calibri" w:cs="Arial"/>
        </w:rPr>
        <w:t xml:space="preserve"> were coded for infection but the length of stay was &lt;= 3 days, and thus the infection was almost certainly </w:t>
      </w:r>
      <w:bookmarkStart w:id="0" w:name="_GoBack"/>
      <w:bookmarkEnd w:id="0"/>
      <w:r w:rsidRPr="0004022B">
        <w:rPr>
          <w:rFonts w:eastAsia="Calibri" w:cs="Arial"/>
        </w:rPr>
        <w:t xml:space="preserve">pre-existing. That left 33 potential SSIs during the index admission (with length of stay </w:t>
      </w:r>
      <w:proofErr w:type="gramStart"/>
      <w:r w:rsidRPr="0004022B">
        <w:rPr>
          <w:rFonts w:eastAsia="Calibri" w:cs="Arial"/>
        </w:rPr>
        <w:t>5</w:t>
      </w:r>
      <w:proofErr w:type="gramEnd"/>
      <w:r w:rsidRPr="0004022B">
        <w:rPr>
          <w:rFonts w:eastAsia="Calibri" w:cs="Arial"/>
        </w:rPr>
        <w:t xml:space="preserve"> or more days), for a</w:t>
      </w:r>
      <w:r w:rsidR="00C85E7C">
        <w:rPr>
          <w:rFonts w:eastAsia="Calibri" w:cs="Arial"/>
        </w:rPr>
        <w:t>n SSI</w:t>
      </w:r>
      <w:r w:rsidRPr="0004022B">
        <w:rPr>
          <w:rFonts w:eastAsia="Calibri" w:cs="Arial"/>
        </w:rPr>
        <w:t xml:space="preserve"> rate of 33/9267 (0.36%) </w:t>
      </w:r>
      <w:r w:rsidR="00C85E7C">
        <w:rPr>
          <w:rFonts w:eastAsia="Calibri" w:cs="Arial"/>
        </w:rPr>
        <w:t xml:space="preserve">among </w:t>
      </w:r>
      <w:r w:rsidRPr="0004022B">
        <w:rPr>
          <w:rFonts w:eastAsia="Calibri" w:cs="Arial"/>
        </w:rPr>
        <w:t xml:space="preserve">fusions that met inclusion criteria. </w:t>
      </w:r>
    </w:p>
    <w:p w14:paraId="0242024F" w14:textId="247C6100" w:rsidR="00886C0D" w:rsidRDefault="00886C0D"/>
    <w:p w14:paraId="25D82A1A" w14:textId="77777777" w:rsidR="00886C0D" w:rsidRDefault="00886C0D">
      <w:r>
        <w:br w:type="page"/>
      </w:r>
    </w:p>
    <w:p w14:paraId="70D3E6D5" w14:textId="52A1FF3C" w:rsidR="00886C0D" w:rsidRDefault="00886C0D" w:rsidP="00886C0D">
      <w:pPr>
        <w:rPr>
          <w:b/>
        </w:rPr>
      </w:pPr>
      <w:r w:rsidRPr="00116DB9">
        <w:rPr>
          <w:b/>
        </w:rPr>
        <w:lastRenderedPageBreak/>
        <w:t xml:space="preserve">Appendix Table </w:t>
      </w:r>
      <w:r w:rsidR="003B180F">
        <w:rPr>
          <w:b/>
        </w:rPr>
        <w:t>3</w:t>
      </w:r>
      <w:r w:rsidRPr="00116DB9">
        <w:rPr>
          <w:b/>
        </w:rPr>
        <w:t xml:space="preserve">: </w:t>
      </w:r>
      <w:r w:rsidR="002B4B0F">
        <w:rPr>
          <w:b/>
        </w:rPr>
        <w:t xml:space="preserve">Patient </w:t>
      </w:r>
      <w:r>
        <w:rPr>
          <w:b/>
        </w:rPr>
        <w:t xml:space="preserve">Comorbidities and </w:t>
      </w:r>
      <w:r w:rsidR="002E66D2">
        <w:rPr>
          <w:b/>
        </w:rPr>
        <w:t xml:space="preserve">Spinal Fusion Operative Factors </w:t>
      </w:r>
      <w:r w:rsidR="009B05B1">
        <w:rPr>
          <w:b/>
        </w:rPr>
        <w:t xml:space="preserve">Coded </w:t>
      </w:r>
      <w:r w:rsidR="002E66D2">
        <w:rPr>
          <w:b/>
        </w:rPr>
        <w:t>During the Index Admission</w:t>
      </w:r>
    </w:p>
    <w:p w14:paraId="767A7DAA" w14:textId="77777777" w:rsidR="009B05B1" w:rsidRDefault="009B05B1" w:rsidP="00886C0D">
      <w:pPr>
        <w:rPr>
          <w:b/>
        </w:rPr>
      </w:pPr>
    </w:p>
    <w:tbl>
      <w:tblPr>
        <w:tblStyle w:val="TableGrid"/>
        <w:tblW w:w="5000" w:type="pct"/>
        <w:tblLook w:val="04A0" w:firstRow="1" w:lastRow="0" w:firstColumn="1" w:lastColumn="0" w:noHBand="0" w:noVBand="1"/>
      </w:tblPr>
      <w:tblGrid>
        <w:gridCol w:w="3097"/>
        <w:gridCol w:w="3469"/>
        <w:gridCol w:w="2784"/>
      </w:tblGrid>
      <w:tr w:rsidR="00886C0D" w:rsidRPr="00116DB9" w14:paraId="60A7B298" w14:textId="77777777" w:rsidTr="004F2529">
        <w:tc>
          <w:tcPr>
            <w:tcW w:w="1656" w:type="pct"/>
          </w:tcPr>
          <w:p w14:paraId="3A5D1455" w14:textId="77777777" w:rsidR="00886C0D" w:rsidRPr="00116DB9" w:rsidRDefault="00886C0D" w:rsidP="00DC125B">
            <w:pPr>
              <w:rPr>
                <w:b/>
              </w:rPr>
            </w:pPr>
            <w:r>
              <w:rPr>
                <w:b/>
              </w:rPr>
              <w:t>Description</w:t>
            </w:r>
          </w:p>
        </w:tc>
        <w:tc>
          <w:tcPr>
            <w:tcW w:w="1855" w:type="pct"/>
          </w:tcPr>
          <w:p w14:paraId="1FE1D553" w14:textId="77777777" w:rsidR="00886C0D" w:rsidRPr="00116DB9" w:rsidRDefault="00886C0D" w:rsidP="00DC125B">
            <w:pPr>
              <w:rPr>
                <w:b/>
              </w:rPr>
            </w:pPr>
            <w:r w:rsidRPr="00116DB9">
              <w:rPr>
                <w:b/>
              </w:rPr>
              <w:t>ICD-9-CM diagnosis code</w:t>
            </w:r>
          </w:p>
        </w:tc>
        <w:tc>
          <w:tcPr>
            <w:tcW w:w="1489" w:type="pct"/>
          </w:tcPr>
          <w:p w14:paraId="35C19FD4" w14:textId="084243CE" w:rsidR="00886C0D" w:rsidRPr="00116DB9" w:rsidRDefault="002B4B0F" w:rsidP="002B4B0F">
            <w:pPr>
              <w:rPr>
                <w:b/>
              </w:rPr>
            </w:pPr>
            <w:r>
              <w:rPr>
                <w:b/>
              </w:rPr>
              <w:t xml:space="preserve">ICD-9-CM procedure </w:t>
            </w:r>
            <w:r w:rsidR="00886C0D" w:rsidRPr="00116DB9">
              <w:rPr>
                <w:b/>
              </w:rPr>
              <w:t>code</w:t>
            </w:r>
          </w:p>
        </w:tc>
      </w:tr>
      <w:tr w:rsidR="007C1819" w:rsidRPr="00116DB9" w14:paraId="31B19FDD" w14:textId="77777777" w:rsidTr="007C1819">
        <w:tc>
          <w:tcPr>
            <w:tcW w:w="5000" w:type="pct"/>
            <w:gridSpan w:val="3"/>
          </w:tcPr>
          <w:p w14:paraId="0377F0B4" w14:textId="349DC29D" w:rsidR="007C1819" w:rsidRPr="00116DB9" w:rsidRDefault="007C1819" w:rsidP="00DC125B">
            <w:pPr>
              <w:autoSpaceDE w:val="0"/>
              <w:autoSpaceDN w:val="0"/>
              <w:adjustRightInd w:val="0"/>
            </w:pPr>
            <w:r w:rsidRPr="00A778B6">
              <w:rPr>
                <w:b/>
              </w:rPr>
              <w:t>Patient comorbidities</w:t>
            </w:r>
          </w:p>
        </w:tc>
      </w:tr>
      <w:tr w:rsidR="00886C0D" w:rsidRPr="00116DB9" w14:paraId="28E81413" w14:textId="77777777" w:rsidTr="004F2529">
        <w:tc>
          <w:tcPr>
            <w:tcW w:w="1656" w:type="pct"/>
          </w:tcPr>
          <w:p w14:paraId="756C518E" w14:textId="7D4C828A" w:rsidR="00886C0D" w:rsidRPr="00A778B6" w:rsidRDefault="00E22A04" w:rsidP="001E7345">
            <w:r>
              <w:rPr>
                <w:color w:val="000000"/>
              </w:rPr>
              <w:t xml:space="preserve">Spinal </w:t>
            </w:r>
            <w:r w:rsidR="001E7345">
              <w:rPr>
                <w:color w:val="000000"/>
              </w:rPr>
              <w:t>trauma</w:t>
            </w:r>
            <w:r>
              <w:rPr>
                <w:color w:val="000000"/>
              </w:rPr>
              <w:t xml:space="preserve"> (s</w:t>
            </w:r>
            <w:r w:rsidR="0033527C" w:rsidRPr="00A778B6">
              <w:rPr>
                <w:color w:val="000000"/>
              </w:rPr>
              <w:t>pinal fracture/dislocation or fall</w:t>
            </w:r>
            <w:r>
              <w:rPr>
                <w:color w:val="000000"/>
              </w:rPr>
              <w:t>)</w:t>
            </w:r>
          </w:p>
        </w:tc>
        <w:tc>
          <w:tcPr>
            <w:tcW w:w="1855" w:type="pct"/>
          </w:tcPr>
          <w:p w14:paraId="5781A580" w14:textId="753EA134" w:rsidR="00886C0D" w:rsidRPr="00116DB9" w:rsidRDefault="00C1233A" w:rsidP="00C1233A">
            <w:pPr>
              <w:autoSpaceDE w:val="0"/>
              <w:autoSpaceDN w:val="0"/>
              <w:adjustRightInd w:val="0"/>
            </w:pPr>
            <w:r w:rsidRPr="007B5CD9">
              <w:t>733.13</w:t>
            </w:r>
            <w:r>
              <w:t xml:space="preserve">, </w:t>
            </w:r>
            <w:r w:rsidR="007B5CD9" w:rsidRPr="007B5CD9">
              <w:t>805.x</w:t>
            </w:r>
            <w:r w:rsidR="007B5CD9">
              <w:t>,</w:t>
            </w:r>
            <w:r w:rsidR="007B5CD9" w:rsidRPr="007B5CD9">
              <w:t xml:space="preserve"> 806</w:t>
            </w:r>
            <w:r w:rsidR="007B5CD9">
              <w:t>.x,</w:t>
            </w:r>
            <w:r w:rsidR="007B5CD9" w:rsidRPr="007B5CD9">
              <w:t xml:space="preserve"> 839</w:t>
            </w:r>
            <w:r>
              <w:t>.</w:t>
            </w:r>
            <w:r w:rsidR="007B5CD9" w:rsidRPr="007B5CD9">
              <w:t>0</w:t>
            </w:r>
            <w:r>
              <w:t>0–</w:t>
            </w:r>
            <w:r w:rsidR="007B5CD9" w:rsidRPr="007B5CD9">
              <w:t>839</w:t>
            </w:r>
            <w:r>
              <w:t>.</w:t>
            </w:r>
            <w:r w:rsidR="007B5CD9" w:rsidRPr="007B5CD9">
              <w:t>5</w:t>
            </w:r>
            <w:r>
              <w:t xml:space="preserve">9, </w:t>
            </w:r>
            <w:r w:rsidR="007B5CD9" w:rsidRPr="007B5CD9">
              <w:t>E880.0–E888.9</w:t>
            </w:r>
          </w:p>
        </w:tc>
        <w:tc>
          <w:tcPr>
            <w:tcW w:w="1489" w:type="pct"/>
          </w:tcPr>
          <w:p w14:paraId="23B71584" w14:textId="77777777" w:rsidR="00886C0D" w:rsidRPr="00116DB9" w:rsidRDefault="00886C0D" w:rsidP="00DC125B"/>
        </w:tc>
      </w:tr>
      <w:tr w:rsidR="007C1819" w:rsidRPr="00116DB9" w14:paraId="10D6500F" w14:textId="77777777" w:rsidTr="007C1819">
        <w:tc>
          <w:tcPr>
            <w:tcW w:w="5000" w:type="pct"/>
            <w:gridSpan w:val="3"/>
          </w:tcPr>
          <w:p w14:paraId="793C13F3" w14:textId="5D5087C8" w:rsidR="007C1819" w:rsidRPr="00116DB9" w:rsidRDefault="007C1819" w:rsidP="0033527C">
            <w:r w:rsidRPr="002B4B0F">
              <w:rPr>
                <w:b/>
              </w:rPr>
              <w:t>Operative factors</w:t>
            </w:r>
          </w:p>
        </w:tc>
      </w:tr>
      <w:tr w:rsidR="0033527C" w:rsidRPr="00116DB9" w14:paraId="1105551C" w14:textId="77777777" w:rsidTr="004F2529">
        <w:tc>
          <w:tcPr>
            <w:tcW w:w="1656" w:type="pct"/>
          </w:tcPr>
          <w:p w14:paraId="08CA0FD1" w14:textId="75E53E29" w:rsidR="0033527C" w:rsidRPr="00116DB9" w:rsidRDefault="0033527C" w:rsidP="0033527C">
            <w:r w:rsidRPr="009B43ED">
              <w:t>Anterior surgical approach</w:t>
            </w:r>
          </w:p>
        </w:tc>
        <w:tc>
          <w:tcPr>
            <w:tcW w:w="1855" w:type="pct"/>
          </w:tcPr>
          <w:p w14:paraId="4ACD7986" w14:textId="77777777" w:rsidR="0033527C" w:rsidRPr="00116DB9" w:rsidRDefault="0033527C" w:rsidP="0033527C"/>
        </w:tc>
        <w:tc>
          <w:tcPr>
            <w:tcW w:w="1489" w:type="pct"/>
          </w:tcPr>
          <w:p w14:paraId="47BBF726" w14:textId="793A7FB2" w:rsidR="0033527C" w:rsidRPr="00116DB9" w:rsidRDefault="0033527C" w:rsidP="0033527C">
            <w:r>
              <w:t>81.</w:t>
            </w:r>
            <w:r w:rsidRPr="002E66D2">
              <w:t>02</w:t>
            </w:r>
            <w:r>
              <w:t>,</w:t>
            </w:r>
            <w:r w:rsidRPr="002E66D2">
              <w:t xml:space="preserve"> </w:t>
            </w:r>
            <w:r>
              <w:t>81.</w:t>
            </w:r>
            <w:r w:rsidRPr="002E66D2">
              <w:t>04</w:t>
            </w:r>
            <w:r>
              <w:t>,</w:t>
            </w:r>
            <w:r w:rsidRPr="002E66D2">
              <w:t xml:space="preserve"> </w:t>
            </w:r>
            <w:r>
              <w:t>81.</w:t>
            </w:r>
            <w:r w:rsidRPr="002E66D2">
              <w:t>06</w:t>
            </w:r>
            <w:r>
              <w:t>,</w:t>
            </w:r>
            <w:r w:rsidRPr="002E66D2">
              <w:t xml:space="preserve"> </w:t>
            </w:r>
            <w:r>
              <w:t>81.</w:t>
            </w:r>
            <w:r w:rsidRPr="002E66D2">
              <w:t>32</w:t>
            </w:r>
            <w:r>
              <w:t>,</w:t>
            </w:r>
            <w:r w:rsidRPr="002E66D2">
              <w:t xml:space="preserve"> </w:t>
            </w:r>
            <w:r>
              <w:t>81.</w:t>
            </w:r>
            <w:r w:rsidRPr="002E66D2">
              <w:t>34</w:t>
            </w:r>
            <w:r>
              <w:t>,</w:t>
            </w:r>
            <w:r w:rsidRPr="002E66D2">
              <w:t xml:space="preserve"> </w:t>
            </w:r>
            <w:r>
              <w:t>81.</w:t>
            </w:r>
            <w:r w:rsidRPr="002E66D2">
              <w:t>36</w:t>
            </w:r>
          </w:p>
        </w:tc>
      </w:tr>
      <w:tr w:rsidR="0033527C" w:rsidRPr="00116DB9" w14:paraId="4371BC9F" w14:textId="77777777" w:rsidTr="004F2529">
        <w:tc>
          <w:tcPr>
            <w:tcW w:w="1656" w:type="pct"/>
          </w:tcPr>
          <w:p w14:paraId="149EC0A8" w14:textId="768EB3C9" w:rsidR="0033527C" w:rsidRPr="00116DB9" w:rsidRDefault="0033527C" w:rsidP="0033527C">
            <w:r w:rsidRPr="009B43ED">
              <w:t>Posterior surgical approach</w:t>
            </w:r>
          </w:p>
        </w:tc>
        <w:tc>
          <w:tcPr>
            <w:tcW w:w="1855" w:type="pct"/>
          </w:tcPr>
          <w:p w14:paraId="2951AA53" w14:textId="77777777" w:rsidR="0033527C" w:rsidRPr="00116DB9" w:rsidRDefault="0033527C" w:rsidP="0033527C"/>
        </w:tc>
        <w:tc>
          <w:tcPr>
            <w:tcW w:w="1489" w:type="pct"/>
          </w:tcPr>
          <w:p w14:paraId="3CFFFBF5" w14:textId="70004465" w:rsidR="0033527C" w:rsidRPr="00116DB9" w:rsidRDefault="0033527C" w:rsidP="0033527C">
            <w:r>
              <w:t>81.</w:t>
            </w:r>
            <w:r w:rsidRPr="002E66D2">
              <w:t>01</w:t>
            </w:r>
            <w:r>
              <w:t>, 81.</w:t>
            </w:r>
            <w:r w:rsidRPr="002E66D2">
              <w:t>03</w:t>
            </w:r>
            <w:r>
              <w:t>,</w:t>
            </w:r>
            <w:r w:rsidRPr="002E66D2">
              <w:t xml:space="preserve"> </w:t>
            </w:r>
            <w:r>
              <w:t>81.</w:t>
            </w:r>
            <w:r w:rsidRPr="002E66D2">
              <w:t>05</w:t>
            </w:r>
            <w:r>
              <w:t>,</w:t>
            </w:r>
            <w:r w:rsidRPr="002E66D2">
              <w:t xml:space="preserve"> </w:t>
            </w:r>
            <w:r>
              <w:t>81.</w:t>
            </w:r>
            <w:r w:rsidRPr="002E66D2">
              <w:t>07</w:t>
            </w:r>
            <w:r>
              <w:t>,</w:t>
            </w:r>
            <w:r w:rsidRPr="002E66D2">
              <w:t xml:space="preserve"> </w:t>
            </w:r>
            <w:r>
              <w:t>81.</w:t>
            </w:r>
            <w:r w:rsidRPr="002E66D2">
              <w:t>08</w:t>
            </w:r>
            <w:r>
              <w:t>,</w:t>
            </w:r>
            <w:r w:rsidRPr="002E66D2">
              <w:t xml:space="preserve"> </w:t>
            </w:r>
            <w:r>
              <w:t>81.</w:t>
            </w:r>
            <w:r w:rsidRPr="002E66D2">
              <w:t>31</w:t>
            </w:r>
            <w:r>
              <w:t>, 81.</w:t>
            </w:r>
            <w:r w:rsidRPr="002E66D2">
              <w:t>33</w:t>
            </w:r>
            <w:r>
              <w:t>,</w:t>
            </w:r>
            <w:r w:rsidRPr="002E66D2">
              <w:t xml:space="preserve"> </w:t>
            </w:r>
            <w:r>
              <w:t>81.</w:t>
            </w:r>
            <w:r w:rsidRPr="002E66D2">
              <w:t>35</w:t>
            </w:r>
            <w:r>
              <w:t>,</w:t>
            </w:r>
            <w:r w:rsidRPr="002E66D2">
              <w:t xml:space="preserve"> </w:t>
            </w:r>
            <w:r>
              <w:t>81.</w:t>
            </w:r>
            <w:r w:rsidRPr="002E66D2">
              <w:t>37</w:t>
            </w:r>
            <w:r>
              <w:t>,</w:t>
            </w:r>
            <w:r w:rsidRPr="002E66D2">
              <w:t xml:space="preserve"> </w:t>
            </w:r>
            <w:r>
              <w:t>81.</w:t>
            </w:r>
            <w:r w:rsidRPr="002E66D2">
              <w:t xml:space="preserve">38 </w:t>
            </w:r>
          </w:p>
        </w:tc>
      </w:tr>
      <w:tr w:rsidR="0033527C" w:rsidRPr="00116DB9" w14:paraId="7E6368EA" w14:textId="77777777" w:rsidTr="004F2529">
        <w:tc>
          <w:tcPr>
            <w:tcW w:w="1656" w:type="pct"/>
          </w:tcPr>
          <w:p w14:paraId="7D5DF8B3" w14:textId="24E25B17" w:rsidR="0033527C" w:rsidRPr="00116DB9" w:rsidRDefault="0033527C" w:rsidP="0033527C">
            <w:r w:rsidRPr="009B43ED">
              <w:t xml:space="preserve">Cervical  spinal </w:t>
            </w:r>
            <w:proofErr w:type="spellStart"/>
            <w:r w:rsidRPr="009B43ED">
              <w:t>region</w:t>
            </w:r>
            <w:r w:rsidRPr="000D6D02">
              <w:rPr>
                <w:vertAlign w:val="superscript"/>
              </w:rPr>
              <w:t>a</w:t>
            </w:r>
            <w:proofErr w:type="spellEnd"/>
          </w:p>
        </w:tc>
        <w:tc>
          <w:tcPr>
            <w:tcW w:w="1855" w:type="pct"/>
          </w:tcPr>
          <w:p w14:paraId="191ADC2C" w14:textId="7214A45A" w:rsidR="0033527C" w:rsidRPr="00FE3084" w:rsidRDefault="0033527C" w:rsidP="0033527C">
            <w:pPr>
              <w:autoSpaceDE w:val="0"/>
              <w:autoSpaceDN w:val="0"/>
              <w:adjustRightInd w:val="0"/>
            </w:pPr>
            <w:r w:rsidRPr="00FE3084">
              <w:t>353.2, 721.0, 721.1, 722.0, 722.4, 722.71, 722.81, 722.91, 723.0, 739.1, 805.0x, 805.1x, 806.0x, 806.1x, 839.0x, 839.1x, 847.0</w:t>
            </w:r>
          </w:p>
        </w:tc>
        <w:tc>
          <w:tcPr>
            <w:tcW w:w="1489" w:type="pct"/>
          </w:tcPr>
          <w:p w14:paraId="367D4240" w14:textId="6B0C473D" w:rsidR="0033527C" w:rsidRPr="00116DB9" w:rsidRDefault="0033527C" w:rsidP="0033527C">
            <w:r>
              <w:t>81.</w:t>
            </w:r>
            <w:r w:rsidRPr="002E66D2">
              <w:t>01</w:t>
            </w:r>
            <w:r>
              <w:t>–81.</w:t>
            </w:r>
            <w:r w:rsidRPr="002E66D2">
              <w:t>03</w:t>
            </w:r>
            <w:r>
              <w:t>,</w:t>
            </w:r>
            <w:r w:rsidRPr="002E66D2">
              <w:t xml:space="preserve"> </w:t>
            </w:r>
            <w:r>
              <w:t>81.</w:t>
            </w:r>
            <w:r w:rsidRPr="002E66D2">
              <w:t>31</w:t>
            </w:r>
            <w:r>
              <w:t>–81.</w:t>
            </w:r>
            <w:r w:rsidRPr="002E66D2">
              <w:t>33</w:t>
            </w:r>
          </w:p>
        </w:tc>
      </w:tr>
      <w:tr w:rsidR="0033527C" w:rsidRPr="00116DB9" w14:paraId="140301AB" w14:textId="77777777" w:rsidTr="004F2529">
        <w:tc>
          <w:tcPr>
            <w:tcW w:w="1656" w:type="pct"/>
          </w:tcPr>
          <w:p w14:paraId="46BCC6C7" w14:textId="1ACD4F0F" w:rsidR="0033527C" w:rsidRPr="00116DB9" w:rsidRDefault="0033527C" w:rsidP="0033527C">
            <w:r w:rsidRPr="009B43ED">
              <w:t xml:space="preserve">Lumbar spinal </w:t>
            </w:r>
            <w:proofErr w:type="spellStart"/>
            <w:r w:rsidRPr="009B43ED">
              <w:t>region</w:t>
            </w:r>
            <w:r w:rsidRPr="000D6D02">
              <w:rPr>
                <w:vertAlign w:val="superscript"/>
              </w:rPr>
              <w:t>a</w:t>
            </w:r>
            <w:proofErr w:type="spellEnd"/>
          </w:p>
        </w:tc>
        <w:tc>
          <w:tcPr>
            <w:tcW w:w="1855" w:type="pct"/>
          </w:tcPr>
          <w:p w14:paraId="53229E2D" w14:textId="79A187F2" w:rsidR="0033527C" w:rsidRPr="00FE3084" w:rsidRDefault="0033527C" w:rsidP="00927461">
            <w:pPr>
              <w:autoSpaceDE w:val="0"/>
              <w:autoSpaceDN w:val="0"/>
              <w:adjustRightInd w:val="0"/>
            </w:pPr>
            <w:r w:rsidRPr="00FE3084">
              <w:t>344.1, 344.30–344.32, 353.1, 353.4, 355.0, 721.3, 721.42, 722.10, 722.52, 722.73, 722.83, 722.93, 724.02, 724.2, 724.3, 724.6, 739.3, 756.11, 805.4, 805.5, 806.4, 806.5, 839.20, 839.30, 846.</w:t>
            </w:r>
            <w:r w:rsidR="00927461">
              <w:t>x</w:t>
            </w:r>
            <w:r w:rsidRPr="00FE3084">
              <w:t>, 847.2</w:t>
            </w:r>
          </w:p>
        </w:tc>
        <w:tc>
          <w:tcPr>
            <w:tcW w:w="1489" w:type="pct"/>
          </w:tcPr>
          <w:p w14:paraId="721B1509" w14:textId="400CA80D" w:rsidR="0033527C" w:rsidRPr="00116DB9" w:rsidRDefault="0033527C" w:rsidP="0033527C">
            <w:r>
              <w:t>81.</w:t>
            </w:r>
            <w:r w:rsidRPr="002E66D2">
              <w:t>06</w:t>
            </w:r>
            <w:r>
              <w:t>–81.</w:t>
            </w:r>
            <w:r w:rsidRPr="002E66D2">
              <w:t>08</w:t>
            </w:r>
            <w:r>
              <w:t>,</w:t>
            </w:r>
            <w:r w:rsidRPr="002E66D2">
              <w:t xml:space="preserve"> </w:t>
            </w:r>
            <w:r>
              <w:t>81.</w:t>
            </w:r>
            <w:r w:rsidRPr="002E66D2">
              <w:t>36</w:t>
            </w:r>
            <w:r>
              <w:t>–81.</w:t>
            </w:r>
            <w:r w:rsidRPr="002E66D2">
              <w:t>38</w:t>
            </w:r>
          </w:p>
        </w:tc>
      </w:tr>
      <w:tr w:rsidR="0033527C" w:rsidRPr="00116DB9" w14:paraId="0CC68E1D" w14:textId="77777777" w:rsidTr="004F2529">
        <w:tc>
          <w:tcPr>
            <w:tcW w:w="1656" w:type="pct"/>
          </w:tcPr>
          <w:p w14:paraId="5263B94A" w14:textId="515EB3C9" w:rsidR="0033527C" w:rsidRPr="00116DB9" w:rsidRDefault="0033527C" w:rsidP="0033527C">
            <w:r w:rsidRPr="009B43ED">
              <w:t xml:space="preserve">Thoracic spinal </w:t>
            </w:r>
            <w:proofErr w:type="spellStart"/>
            <w:r w:rsidRPr="009B43ED">
              <w:t>region</w:t>
            </w:r>
            <w:r w:rsidRPr="000D6D02">
              <w:rPr>
                <w:vertAlign w:val="superscript"/>
              </w:rPr>
              <w:t>a</w:t>
            </w:r>
            <w:proofErr w:type="spellEnd"/>
          </w:p>
        </w:tc>
        <w:tc>
          <w:tcPr>
            <w:tcW w:w="1855" w:type="pct"/>
          </w:tcPr>
          <w:p w14:paraId="56C82040" w14:textId="557E9C90" w:rsidR="0033527C" w:rsidRPr="00FE3084" w:rsidRDefault="0033527C" w:rsidP="0027586D">
            <w:pPr>
              <w:autoSpaceDE w:val="0"/>
              <w:autoSpaceDN w:val="0"/>
              <w:adjustRightInd w:val="0"/>
            </w:pPr>
            <w:r w:rsidRPr="00FE3084">
              <w:t>353.3, 721.2, 721.41, 722.11, 722.51</w:t>
            </w:r>
            <w:r w:rsidRPr="00DE2610">
              <w:t>, 722.72, 722.82, 722.92</w:t>
            </w:r>
            <w:r w:rsidRPr="00FE3084">
              <w:t xml:space="preserve">, 724.01, 724.1, 739.2, 805.2, 805.3, 806.2x, 806.3x, 839.21, 839.31, 847.1 </w:t>
            </w:r>
          </w:p>
        </w:tc>
        <w:tc>
          <w:tcPr>
            <w:tcW w:w="1489" w:type="pct"/>
          </w:tcPr>
          <w:p w14:paraId="568A2552" w14:textId="6C959C6A" w:rsidR="0033527C" w:rsidRPr="00116DB9" w:rsidRDefault="0033527C" w:rsidP="0033527C">
            <w:r>
              <w:t>81.</w:t>
            </w:r>
            <w:r w:rsidRPr="002E66D2">
              <w:t>04</w:t>
            </w:r>
            <w:r>
              <w:t>,</w:t>
            </w:r>
            <w:r w:rsidRPr="002E66D2">
              <w:t xml:space="preserve"> </w:t>
            </w:r>
            <w:r>
              <w:t>81.</w:t>
            </w:r>
            <w:r w:rsidRPr="002E66D2">
              <w:t>05</w:t>
            </w:r>
            <w:r>
              <w:t>,</w:t>
            </w:r>
            <w:r w:rsidRPr="002E66D2">
              <w:t xml:space="preserve"> </w:t>
            </w:r>
            <w:r>
              <w:t>81.</w:t>
            </w:r>
            <w:r w:rsidRPr="002E66D2">
              <w:t>34</w:t>
            </w:r>
            <w:r>
              <w:t>,</w:t>
            </w:r>
            <w:r w:rsidRPr="002E66D2">
              <w:t xml:space="preserve"> </w:t>
            </w:r>
            <w:r>
              <w:t>81.</w:t>
            </w:r>
            <w:r w:rsidRPr="002E66D2">
              <w:t>35</w:t>
            </w:r>
          </w:p>
        </w:tc>
      </w:tr>
      <w:tr w:rsidR="0033527C" w:rsidRPr="00116DB9" w14:paraId="2C45BA6C" w14:textId="77777777" w:rsidTr="004F2529">
        <w:tc>
          <w:tcPr>
            <w:tcW w:w="1656" w:type="pct"/>
          </w:tcPr>
          <w:p w14:paraId="616A59F4" w14:textId="2F3E8FAA" w:rsidR="0033527C" w:rsidRPr="009B43ED" w:rsidRDefault="0033527C" w:rsidP="0033527C">
            <w:r>
              <w:t xml:space="preserve">1–2 spinal </w:t>
            </w:r>
            <w:proofErr w:type="spellStart"/>
            <w:r>
              <w:t>levels</w:t>
            </w:r>
            <w:r>
              <w:rPr>
                <w:vertAlign w:val="superscript"/>
              </w:rPr>
              <w:t>b</w:t>
            </w:r>
            <w:proofErr w:type="spellEnd"/>
          </w:p>
        </w:tc>
        <w:tc>
          <w:tcPr>
            <w:tcW w:w="1855" w:type="pct"/>
          </w:tcPr>
          <w:p w14:paraId="4809C2ED" w14:textId="77777777" w:rsidR="0033527C" w:rsidRPr="00116DB9" w:rsidRDefault="0033527C" w:rsidP="0033527C"/>
        </w:tc>
        <w:tc>
          <w:tcPr>
            <w:tcW w:w="1489" w:type="pct"/>
          </w:tcPr>
          <w:p w14:paraId="3987DD68" w14:textId="0E1A2E66" w:rsidR="0033527C" w:rsidRPr="009B43ED" w:rsidRDefault="0033527C" w:rsidP="0033527C">
            <w:r>
              <w:t>81.62</w:t>
            </w:r>
          </w:p>
        </w:tc>
      </w:tr>
      <w:tr w:rsidR="0033527C" w:rsidRPr="00116DB9" w14:paraId="3CFC325D" w14:textId="77777777" w:rsidTr="004F2529">
        <w:tc>
          <w:tcPr>
            <w:tcW w:w="1656" w:type="pct"/>
          </w:tcPr>
          <w:p w14:paraId="0A0D7A55" w14:textId="1D72B707" w:rsidR="0033527C" w:rsidRPr="009B43ED" w:rsidRDefault="0033527C" w:rsidP="0033527C">
            <w:r>
              <w:t xml:space="preserve">3–7 spinal </w:t>
            </w:r>
            <w:proofErr w:type="spellStart"/>
            <w:r>
              <w:t>levels</w:t>
            </w:r>
            <w:r>
              <w:rPr>
                <w:vertAlign w:val="superscript"/>
              </w:rPr>
              <w:t>b</w:t>
            </w:r>
            <w:proofErr w:type="spellEnd"/>
          </w:p>
        </w:tc>
        <w:tc>
          <w:tcPr>
            <w:tcW w:w="1855" w:type="pct"/>
          </w:tcPr>
          <w:p w14:paraId="421AD217" w14:textId="77777777" w:rsidR="0033527C" w:rsidRPr="00116DB9" w:rsidRDefault="0033527C" w:rsidP="0033527C"/>
        </w:tc>
        <w:tc>
          <w:tcPr>
            <w:tcW w:w="1489" w:type="pct"/>
          </w:tcPr>
          <w:p w14:paraId="19FA9393" w14:textId="54E45551" w:rsidR="0033527C" w:rsidRPr="009B43ED" w:rsidRDefault="0033527C" w:rsidP="0033527C">
            <w:r w:rsidRPr="009B43ED">
              <w:t>81.63</w:t>
            </w:r>
          </w:p>
        </w:tc>
      </w:tr>
      <w:tr w:rsidR="0033527C" w:rsidRPr="00116DB9" w14:paraId="52A69391" w14:textId="77777777" w:rsidTr="004F2529">
        <w:tc>
          <w:tcPr>
            <w:tcW w:w="1656" w:type="pct"/>
          </w:tcPr>
          <w:p w14:paraId="3224E9F6" w14:textId="56A9F318" w:rsidR="0033527C" w:rsidRPr="009B43ED" w:rsidRDefault="0033527C" w:rsidP="0033527C">
            <w:r>
              <w:rPr>
                <w:color w:val="000000"/>
              </w:rPr>
              <w:t xml:space="preserve">≥ </w:t>
            </w:r>
            <w:r w:rsidRPr="00F77343">
              <w:rPr>
                <w:color w:val="000000"/>
              </w:rPr>
              <w:t xml:space="preserve">8 </w:t>
            </w:r>
            <w:r>
              <w:rPr>
                <w:color w:val="000000"/>
              </w:rPr>
              <w:t xml:space="preserve">spinal </w:t>
            </w:r>
            <w:proofErr w:type="spellStart"/>
            <w:r w:rsidRPr="00F77343">
              <w:rPr>
                <w:color w:val="000000"/>
              </w:rPr>
              <w:t>levels</w:t>
            </w:r>
            <w:r>
              <w:rPr>
                <w:vertAlign w:val="superscript"/>
              </w:rPr>
              <w:t>b</w:t>
            </w:r>
            <w:proofErr w:type="spellEnd"/>
          </w:p>
        </w:tc>
        <w:tc>
          <w:tcPr>
            <w:tcW w:w="1855" w:type="pct"/>
          </w:tcPr>
          <w:p w14:paraId="4D30437B" w14:textId="77777777" w:rsidR="0033527C" w:rsidRPr="00116DB9" w:rsidRDefault="0033527C" w:rsidP="0033527C"/>
        </w:tc>
        <w:tc>
          <w:tcPr>
            <w:tcW w:w="1489" w:type="pct"/>
          </w:tcPr>
          <w:p w14:paraId="4F99999A" w14:textId="50DFC46C" w:rsidR="0033527C" w:rsidRPr="009B43ED" w:rsidRDefault="0033527C" w:rsidP="0033527C">
            <w:r w:rsidRPr="009B43ED">
              <w:t>81.64</w:t>
            </w:r>
          </w:p>
        </w:tc>
      </w:tr>
      <w:tr w:rsidR="0033527C" w:rsidRPr="00116DB9" w14:paraId="7B406672" w14:textId="77777777" w:rsidTr="004F2529">
        <w:tc>
          <w:tcPr>
            <w:tcW w:w="1656" w:type="pct"/>
          </w:tcPr>
          <w:p w14:paraId="5B780DB9" w14:textId="54045524" w:rsidR="0033527C" w:rsidRPr="009B43ED" w:rsidRDefault="0033527C" w:rsidP="0033527C">
            <w:r w:rsidRPr="009B43ED">
              <w:t>Bone morphogenetic protein</w:t>
            </w:r>
          </w:p>
        </w:tc>
        <w:tc>
          <w:tcPr>
            <w:tcW w:w="1855" w:type="pct"/>
          </w:tcPr>
          <w:p w14:paraId="27B34933" w14:textId="77777777" w:rsidR="0033527C" w:rsidRPr="00116DB9" w:rsidRDefault="0033527C" w:rsidP="0033527C"/>
        </w:tc>
        <w:tc>
          <w:tcPr>
            <w:tcW w:w="1489" w:type="pct"/>
          </w:tcPr>
          <w:p w14:paraId="240BFEF3" w14:textId="45433A97" w:rsidR="0033527C" w:rsidRPr="009B43ED" w:rsidRDefault="0033527C" w:rsidP="0033527C">
            <w:r w:rsidRPr="009B43ED">
              <w:t>84</w:t>
            </w:r>
            <w:r>
              <w:t>.</w:t>
            </w:r>
            <w:r w:rsidRPr="009B43ED">
              <w:t>52</w:t>
            </w:r>
          </w:p>
        </w:tc>
      </w:tr>
      <w:tr w:rsidR="0033527C" w:rsidRPr="00116DB9" w14:paraId="30373C0A" w14:textId="77777777" w:rsidTr="004F2529">
        <w:tc>
          <w:tcPr>
            <w:tcW w:w="1656" w:type="pct"/>
          </w:tcPr>
          <w:p w14:paraId="3846A16A" w14:textId="3F2B9E01" w:rsidR="0033527C" w:rsidRPr="00116DB9" w:rsidRDefault="0033527C" w:rsidP="0033527C">
            <w:r w:rsidRPr="009B43ED">
              <w:t>Dural tear</w:t>
            </w:r>
          </w:p>
        </w:tc>
        <w:tc>
          <w:tcPr>
            <w:tcW w:w="1855" w:type="pct"/>
          </w:tcPr>
          <w:p w14:paraId="08AB1FCD" w14:textId="07595C77" w:rsidR="0033527C" w:rsidRPr="00116DB9" w:rsidRDefault="0033527C" w:rsidP="0033527C">
            <w:r w:rsidRPr="009B43ED">
              <w:t>349</w:t>
            </w:r>
            <w:r>
              <w:t xml:space="preserve">.31, </w:t>
            </w:r>
            <w:r w:rsidRPr="009B43ED">
              <w:t>349</w:t>
            </w:r>
            <w:r>
              <w:t>.39</w:t>
            </w:r>
          </w:p>
        </w:tc>
        <w:tc>
          <w:tcPr>
            <w:tcW w:w="1489" w:type="pct"/>
          </w:tcPr>
          <w:p w14:paraId="27EFA91B" w14:textId="258329A2" w:rsidR="0033527C" w:rsidRPr="00116DB9" w:rsidRDefault="0033527C" w:rsidP="0033527C"/>
        </w:tc>
      </w:tr>
      <w:tr w:rsidR="0033527C" w:rsidRPr="00116DB9" w14:paraId="67BCFD57" w14:textId="77777777" w:rsidTr="004F2529">
        <w:tc>
          <w:tcPr>
            <w:tcW w:w="1656" w:type="pct"/>
          </w:tcPr>
          <w:p w14:paraId="52070D32" w14:textId="67545C7F" w:rsidR="0033527C" w:rsidRPr="00116DB9" w:rsidRDefault="0033527C" w:rsidP="0033527C">
            <w:proofErr w:type="spellStart"/>
            <w:r w:rsidRPr="009B43ED">
              <w:t>Hemorrhage</w:t>
            </w:r>
            <w:r>
              <w:rPr>
                <w:vertAlign w:val="superscript"/>
              </w:rPr>
              <w:t>c</w:t>
            </w:r>
            <w:proofErr w:type="spellEnd"/>
          </w:p>
        </w:tc>
        <w:tc>
          <w:tcPr>
            <w:tcW w:w="1855" w:type="pct"/>
          </w:tcPr>
          <w:p w14:paraId="73920E87" w14:textId="2A6D608F" w:rsidR="0033527C" w:rsidRPr="00116DB9" w:rsidRDefault="0033527C" w:rsidP="0033527C">
            <w:r w:rsidRPr="009B43ED">
              <w:t>998</w:t>
            </w:r>
            <w:r>
              <w:t>.11</w:t>
            </w:r>
          </w:p>
        </w:tc>
        <w:tc>
          <w:tcPr>
            <w:tcW w:w="1489" w:type="pct"/>
          </w:tcPr>
          <w:p w14:paraId="4544494E" w14:textId="411E216B" w:rsidR="0033527C" w:rsidRPr="00116DB9" w:rsidRDefault="0033527C" w:rsidP="0033527C">
            <w:r w:rsidRPr="002E66D2">
              <w:t>39.98</w:t>
            </w:r>
          </w:p>
        </w:tc>
      </w:tr>
      <w:tr w:rsidR="0033527C" w:rsidRPr="00116DB9" w14:paraId="0D0C48BF" w14:textId="77777777" w:rsidTr="004F2529">
        <w:tc>
          <w:tcPr>
            <w:tcW w:w="1656" w:type="pct"/>
          </w:tcPr>
          <w:p w14:paraId="6B6AC02F" w14:textId="3BF4ED0C" w:rsidR="0033527C" w:rsidRPr="009B43ED" w:rsidRDefault="0033527C" w:rsidP="0033527C">
            <w:r w:rsidRPr="009B43ED">
              <w:t>Hematoma/seroma</w:t>
            </w:r>
          </w:p>
        </w:tc>
        <w:tc>
          <w:tcPr>
            <w:tcW w:w="1855" w:type="pct"/>
          </w:tcPr>
          <w:p w14:paraId="795BB698" w14:textId="3E36C3C5" w:rsidR="0033527C" w:rsidRPr="009B43ED" w:rsidRDefault="0033527C" w:rsidP="0033527C">
            <w:r>
              <w:t>998.12, 998.13</w:t>
            </w:r>
          </w:p>
        </w:tc>
        <w:tc>
          <w:tcPr>
            <w:tcW w:w="1489" w:type="pct"/>
          </w:tcPr>
          <w:p w14:paraId="4E78D83C" w14:textId="7394BE5F" w:rsidR="0033527C" w:rsidRPr="00116DB9" w:rsidRDefault="0033527C" w:rsidP="0033527C"/>
        </w:tc>
      </w:tr>
      <w:tr w:rsidR="00BB5F0B" w:rsidRPr="00116DB9" w14:paraId="677E81D3" w14:textId="77777777" w:rsidTr="004F2529">
        <w:tc>
          <w:tcPr>
            <w:tcW w:w="1656" w:type="pct"/>
          </w:tcPr>
          <w:p w14:paraId="2B4F7DC9" w14:textId="1433A977" w:rsidR="00BB5F0B" w:rsidRPr="009B43ED" w:rsidRDefault="00BB5F0B" w:rsidP="00BB5F0B">
            <w:r w:rsidRPr="009B43ED">
              <w:t>Dehiscence/necrosis</w:t>
            </w:r>
          </w:p>
        </w:tc>
        <w:tc>
          <w:tcPr>
            <w:tcW w:w="1855" w:type="pct"/>
          </w:tcPr>
          <w:p w14:paraId="23995CEA" w14:textId="1CF8E3D1" w:rsidR="00BB5F0B" w:rsidRPr="009B43ED" w:rsidRDefault="00BB5F0B" w:rsidP="00BB5F0B">
            <w:r w:rsidRPr="009B43ED">
              <w:t>998</w:t>
            </w:r>
            <w:r>
              <w:t>.</w:t>
            </w:r>
            <w:r w:rsidRPr="009B43ED">
              <w:t>32</w:t>
            </w:r>
            <w:r>
              <w:t xml:space="preserve">, </w:t>
            </w:r>
            <w:r w:rsidRPr="009B43ED">
              <w:t>998</w:t>
            </w:r>
            <w:r>
              <w:t>.83</w:t>
            </w:r>
          </w:p>
        </w:tc>
        <w:tc>
          <w:tcPr>
            <w:tcW w:w="1489" w:type="pct"/>
          </w:tcPr>
          <w:p w14:paraId="4D8E4F21" w14:textId="51437562" w:rsidR="00BB5F0B" w:rsidRPr="00116DB9" w:rsidRDefault="00BB5F0B" w:rsidP="00BB5F0B"/>
        </w:tc>
      </w:tr>
    </w:tbl>
    <w:p w14:paraId="042439A2" w14:textId="77777777" w:rsidR="004D20EF" w:rsidRDefault="004D20EF">
      <w:pPr>
        <w:rPr>
          <w:vertAlign w:val="superscript"/>
        </w:rPr>
      </w:pPr>
    </w:p>
    <w:p w14:paraId="336C6DC5" w14:textId="31682A1C" w:rsidR="00720EDF" w:rsidRDefault="00720EDF">
      <w:proofErr w:type="gramStart"/>
      <w:r>
        <w:rPr>
          <w:vertAlign w:val="superscript"/>
        </w:rPr>
        <w:t>a</w:t>
      </w:r>
      <w:proofErr w:type="gramEnd"/>
      <w:r>
        <w:t xml:space="preserve"> Region of the spine was determined hierarchically using procedure codes when available. When nonspecific </w:t>
      </w:r>
      <w:r w:rsidR="00145E41">
        <w:t xml:space="preserve">spinal fusion </w:t>
      </w:r>
      <w:r>
        <w:t xml:space="preserve">procedure codes were used (i.e., </w:t>
      </w:r>
      <w:r w:rsidRPr="00720EDF">
        <w:t>81.00, 81.30, 81.39)</w:t>
      </w:r>
      <w:r>
        <w:t>, diagnosis codes were used to determine the spinal region.</w:t>
      </w:r>
    </w:p>
    <w:p w14:paraId="578B5EF7" w14:textId="67CF71AD" w:rsidR="00AA60FA" w:rsidRDefault="00720EDF">
      <w:proofErr w:type="gramStart"/>
      <w:r>
        <w:rPr>
          <w:vertAlign w:val="superscript"/>
        </w:rPr>
        <w:t>b</w:t>
      </w:r>
      <w:proofErr w:type="gramEnd"/>
      <w:r w:rsidR="000D6D02">
        <w:t xml:space="preserve"> If no code 81.62–81.64 was listed during the index admission, the number of codes for spinal fusion were summed to determine the number of spinal levels</w:t>
      </w:r>
      <w:r w:rsidR="00BB5F0B">
        <w:t xml:space="preserve"> during the index admission</w:t>
      </w:r>
      <w:r w:rsidR="000D6D02">
        <w:t>.</w:t>
      </w:r>
    </w:p>
    <w:p w14:paraId="7BE11816" w14:textId="57784C26" w:rsidR="00DE2610" w:rsidRPr="00DE2610" w:rsidRDefault="00DE2610">
      <w:proofErr w:type="gramStart"/>
      <w:r>
        <w:rPr>
          <w:vertAlign w:val="superscript"/>
        </w:rPr>
        <w:t>c</w:t>
      </w:r>
      <w:proofErr w:type="gramEnd"/>
      <w:r>
        <w:t xml:space="preserve"> Diagnosis and/or procedure code. </w:t>
      </w:r>
    </w:p>
    <w:sectPr w:rsidR="00DE2610" w:rsidRPr="00DE2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FA"/>
    <w:rsid w:val="00020211"/>
    <w:rsid w:val="00030987"/>
    <w:rsid w:val="00035946"/>
    <w:rsid w:val="0004022B"/>
    <w:rsid w:val="000548AE"/>
    <w:rsid w:val="00066F9E"/>
    <w:rsid w:val="000747C6"/>
    <w:rsid w:val="00085D39"/>
    <w:rsid w:val="000879A2"/>
    <w:rsid w:val="000C5007"/>
    <w:rsid w:val="000C6D85"/>
    <w:rsid w:val="000D6D02"/>
    <w:rsid w:val="000E132B"/>
    <w:rsid w:val="00106916"/>
    <w:rsid w:val="00112D87"/>
    <w:rsid w:val="00116DB9"/>
    <w:rsid w:val="001209E2"/>
    <w:rsid w:val="001258C0"/>
    <w:rsid w:val="001265CD"/>
    <w:rsid w:val="001325D6"/>
    <w:rsid w:val="00145E41"/>
    <w:rsid w:val="001503CE"/>
    <w:rsid w:val="0017020D"/>
    <w:rsid w:val="00183EF8"/>
    <w:rsid w:val="00193ED8"/>
    <w:rsid w:val="001D513F"/>
    <w:rsid w:val="001E7345"/>
    <w:rsid w:val="00202D78"/>
    <w:rsid w:val="00216C9A"/>
    <w:rsid w:val="00254DAF"/>
    <w:rsid w:val="00256365"/>
    <w:rsid w:val="0027586D"/>
    <w:rsid w:val="0028656E"/>
    <w:rsid w:val="00296D2B"/>
    <w:rsid w:val="002A0AD6"/>
    <w:rsid w:val="002B4B0F"/>
    <w:rsid w:val="002E66D2"/>
    <w:rsid w:val="002F62DC"/>
    <w:rsid w:val="0033527C"/>
    <w:rsid w:val="00340B95"/>
    <w:rsid w:val="00392356"/>
    <w:rsid w:val="00392661"/>
    <w:rsid w:val="003A476A"/>
    <w:rsid w:val="003B180F"/>
    <w:rsid w:val="003B1BB4"/>
    <w:rsid w:val="003D323E"/>
    <w:rsid w:val="00407F6D"/>
    <w:rsid w:val="00421556"/>
    <w:rsid w:val="00436275"/>
    <w:rsid w:val="0045748C"/>
    <w:rsid w:val="004723BE"/>
    <w:rsid w:val="00486FDC"/>
    <w:rsid w:val="004C3953"/>
    <w:rsid w:val="004D20EF"/>
    <w:rsid w:val="004F2529"/>
    <w:rsid w:val="004F6F64"/>
    <w:rsid w:val="00541BE9"/>
    <w:rsid w:val="00542522"/>
    <w:rsid w:val="0054798E"/>
    <w:rsid w:val="00555D49"/>
    <w:rsid w:val="00570F94"/>
    <w:rsid w:val="00586375"/>
    <w:rsid w:val="005B4718"/>
    <w:rsid w:val="005C22BC"/>
    <w:rsid w:val="005E503E"/>
    <w:rsid w:val="006200F3"/>
    <w:rsid w:val="00673180"/>
    <w:rsid w:val="006925DC"/>
    <w:rsid w:val="006A6D76"/>
    <w:rsid w:val="00720EDF"/>
    <w:rsid w:val="007258FC"/>
    <w:rsid w:val="00742843"/>
    <w:rsid w:val="00763C5C"/>
    <w:rsid w:val="00781158"/>
    <w:rsid w:val="007814DC"/>
    <w:rsid w:val="00783CCA"/>
    <w:rsid w:val="00793533"/>
    <w:rsid w:val="00796C8A"/>
    <w:rsid w:val="007A496D"/>
    <w:rsid w:val="007B5CD9"/>
    <w:rsid w:val="007C1819"/>
    <w:rsid w:val="007C1D3B"/>
    <w:rsid w:val="007C76ED"/>
    <w:rsid w:val="007D1450"/>
    <w:rsid w:val="007E542C"/>
    <w:rsid w:val="007F0AAB"/>
    <w:rsid w:val="008020A9"/>
    <w:rsid w:val="00804062"/>
    <w:rsid w:val="00827A91"/>
    <w:rsid w:val="008368D2"/>
    <w:rsid w:val="00837DBA"/>
    <w:rsid w:val="00883945"/>
    <w:rsid w:val="00886C0D"/>
    <w:rsid w:val="0089505C"/>
    <w:rsid w:val="008A1405"/>
    <w:rsid w:val="008B42C3"/>
    <w:rsid w:val="008C4389"/>
    <w:rsid w:val="008E15C5"/>
    <w:rsid w:val="008E700D"/>
    <w:rsid w:val="00917B40"/>
    <w:rsid w:val="009237C7"/>
    <w:rsid w:val="00927461"/>
    <w:rsid w:val="009327F2"/>
    <w:rsid w:val="00933162"/>
    <w:rsid w:val="0093396B"/>
    <w:rsid w:val="0093702B"/>
    <w:rsid w:val="00973245"/>
    <w:rsid w:val="00982950"/>
    <w:rsid w:val="009A1335"/>
    <w:rsid w:val="009A646B"/>
    <w:rsid w:val="009B05B1"/>
    <w:rsid w:val="009B15A4"/>
    <w:rsid w:val="009B43ED"/>
    <w:rsid w:val="009F40C2"/>
    <w:rsid w:val="00A12C05"/>
    <w:rsid w:val="00A429A0"/>
    <w:rsid w:val="00A4521D"/>
    <w:rsid w:val="00A62631"/>
    <w:rsid w:val="00A67436"/>
    <w:rsid w:val="00A778B6"/>
    <w:rsid w:val="00A81705"/>
    <w:rsid w:val="00AA60FA"/>
    <w:rsid w:val="00AB33A8"/>
    <w:rsid w:val="00AD499C"/>
    <w:rsid w:val="00AD56FA"/>
    <w:rsid w:val="00AD6557"/>
    <w:rsid w:val="00AE08D6"/>
    <w:rsid w:val="00B07648"/>
    <w:rsid w:val="00B07E56"/>
    <w:rsid w:val="00B305C1"/>
    <w:rsid w:val="00B35377"/>
    <w:rsid w:val="00B36323"/>
    <w:rsid w:val="00B618CA"/>
    <w:rsid w:val="00B6511E"/>
    <w:rsid w:val="00BB5F0B"/>
    <w:rsid w:val="00BC2088"/>
    <w:rsid w:val="00BF3153"/>
    <w:rsid w:val="00C1233A"/>
    <w:rsid w:val="00C16AA1"/>
    <w:rsid w:val="00C34FE6"/>
    <w:rsid w:val="00C71B67"/>
    <w:rsid w:val="00C85E7C"/>
    <w:rsid w:val="00CA0F95"/>
    <w:rsid w:val="00CA2F51"/>
    <w:rsid w:val="00CC421E"/>
    <w:rsid w:val="00CF3C7F"/>
    <w:rsid w:val="00CF58CD"/>
    <w:rsid w:val="00D00763"/>
    <w:rsid w:val="00D30720"/>
    <w:rsid w:val="00D340AE"/>
    <w:rsid w:val="00D72246"/>
    <w:rsid w:val="00D83E90"/>
    <w:rsid w:val="00DA0E36"/>
    <w:rsid w:val="00DB27E1"/>
    <w:rsid w:val="00DB6329"/>
    <w:rsid w:val="00DD5D8F"/>
    <w:rsid w:val="00DD61D8"/>
    <w:rsid w:val="00DE2610"/>
    <w:rsid w:val="00DF42E1"/>
    <w:rsid w:val="00E22A04"/>
    <w:rsid w:val="00E22A5E"/>
    <w:rsid w:val="00E80DAD"/>
    <w:rsid w:val="00F50EBF"/>
    <w:rsid w:val="00F66D04"/>
    <w:rsid w:val="00F776FC"/>
    <w:rsid w:val="00F91220"/>
    <w:rsid w:val="00F934E1"/>
    <w:rsid w:val="00FA2540"/>
    <w:rsid w:val="00FB0C10"/>
    <w:rsid w:val="00FD2955"/>
    <w:rsid w:val="00FE30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FF02"/>
  <w15:chartTrackingRefBased/>
  <w15:docId w15:val="{13E8D437-0081-48FD-A53F-8B4179AC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3245"/>
    <w:rPr>
      <w:sz w:val="16"/>
      <w:szCs w:val="16"/>
    </w:rPr>
  </w:style>
  <w:style w:type="paragraph" w:styleId="CommentText">
    <w:name w:val="annotation text"/>
    <w:basedOn w:val="Normal"/>
    <w:link w:val="CommentTextChar"/>
    <w:uiPriority w:val="99"/>
    <w:semiHidden/>
    <w:unhideWhenUsed/>
    <w:rsid w:val="00973245"/>
    <w:pPr>
      <w:spacing w:line="240" w:lineRule="auto"/>
    </w:pPr>
    <w:rPr>
      <w:sz w:val="20"/>
      <w:szCs w:val="20"/>
    </w:rPr>
  </w:style>
  <w:style w:type="character" w:customStyle="1" w:styleId="CommentTextChar">
    <w:name w:val="Comment Text Char"/>
    <w:basedOn w:val="DefaultParagraphFont"/>
    <w:link w:val="CommentText"/>
    <w:uiPriority w:val="99"/>
    <w:semiHidden/>
    <w:rsid w:val="00973245"/>
    <w:rPr>
      <w:sz w:val="20"/>
      <w:szCs w:val="20"/>
    </w:rPr>
  </w:style>
  <w:style w:type="paragraph" w:styleId="CommentSubject">
    <w:name w:val="annotation subject"/>
    <w:basedOn w:val="CommentText"/>
    <w:next w:val="CommentText"/>
    <w:link w:val="CommentSubjectChar"/>
    <w:uiPriority w:val="99"/>
    <w:semiHidden/>
    <w:unhideWhenUsed/>
    <w:rsid w:val="00973245"/>
    <w:rPr>
      <w:b/>
      <w:bCs/>
    </w:rPr>
  </w:style>
  <w:style w:type="character" w:customStyle="1" w:styleId="CommentSubjectChar">
    <w:name w:val="Comment Subject Char"/>
    <w:basedOn w:val="CommentTextChar"/>
    <w:link w:val="CommentSubject"/>
    <w:uiPriority w:val="99"/>
    <w:semiHidden/>
    <w:rsid w:val="00973245"/>
    <w:rPr>
      <w:b/>
      <w:bCs/>
      <w:sz w:val="20"/>
      <w:szCs w:val="20"/>
    </w:rPr>
  </w:style>
  <w:style w:type="paragraph" w:styleId="BalloonText">
    <w:name w:val="Balloon Text"/>
    <w:basedOn w:val="Normal"/>
    <w:link w:val="BalloonTextChar"/>
    <w:uiPriority w:val="99"/>
    <w:semiHidden/>
    <w:unhideWhenUsed/>
    <w:rsid w:val="00973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245"/>
    <w:rPr>
      <w:rFonts w:ascii="Segoe UI" w:hAnsi="Segoe UI" w:cs="Segoe UI"/>
      <w:sz w:val="18"/>
      <w:szCs w:val="18"/>
    </w:rPr>
  </w:style>
  <w:style w:type="paragraph" w:styleId="ListParagraph">
    <w:name w:val="List Paragraph"/>
    <w:basedOn w:val="Normal"/>
    <w:uiPriority w:val="34"/>
    <w:qFormat/>
    <w:rsid w:val="0004022B"/>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Nickel, Katelin</dc:creator>
  <cp:keywords/>
  <dc:description/>
  <cp:lastModifiedBy>Nickel, Katelin</cp:lastModifiedBy>
  <cp:revision>4</cp:revision>
  <cp:lastPrinted>2020-02-07T22:55:00Z</cp:lastPrinted>
  <dcterms:created xsi:type="dcterms:W3CDTF">2020-07-20T17:41:00Z</dcterms:created>
  <dcterms:modified xsi:type="dcterms:W3CDTF">2020-07-20T17:43:00Z</dcterms:modified>
</cp:coreProperties>
</file>