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B4E08" w14:textId="4B787F28" w:rsidR="00141E01" w:rsidRDefault="00501A65">
      <w:r>
        <w:rPr>
          <w:noProof/>
        </w:rPr>
        <w:drawing>
          <wp:inline distT="0" distB="0" distL="0" distR="0" wp14:anchorId="68B2F3E0" wp14:editId="3442CA1E">
            <wp:extent cx="5943600" cy="3215261"/>
            <wp:effectExtent l="0" t="0" r="0" b="444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8DFEDB5-A113-4BDE-B0B1-C5FEC1F2702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141E01" w:rsidSect="00501A6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A65"/>
    <w:rsid w:val="00141E01"/>
    <w:rsid w:val="00501A65"/>
    <w:rsid w:val="007B1516"/>
    <w:rsid w:val="007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F508C"/>
  <w15:chartTrackingRefBased/>
  <w15:docId w15:val="{F144F8FD-9C8E-43ED-8F40-7FA58084B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../embeddings/oleObject1.bin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1" i="0" u="none" strike="noStrike" kern="1200" cap="all" spc="150" baseline="0"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050" b="1" i="0" u="none" strike="noStrike" cap="all" baseline="0">
                <a:effectLst/>
              </a:rPr>
              <a:t>supplemental digital content 4</a:t>
            </a:r>
            <a:r>
              <a:rPr lang="en-US" sz="1050"/>
              <a:t>. Total number of</a:t>
            </a:r>
            <a:r>
              <a:rPr lang="en-US" sz="1050" baseline="0"/>
              <a:t> TA</a:t>
            </a:r>
            <a:r>
              <a:rPr lang="en-US" sz="1050"/>
              <a:t> assessmentS per month (Year 1</a:t>
            </a:r>
            <a:r>
              <a:rPr lang="en-US" sz="1050" baseline="0"/>
              <a:t> - </a:t>
            </a:r>
            <a:r>
              <a:rPr lang="en-US" sz="1050"/>
              <a:t>4) </a:t>
            </a:r>
          </a:p>
        </c:rich>
      </c:tx>
      <c:layout>
        <c:manualLayout>
          <c:xMode val="edge"/>
          <c:yMode val="edge"/>
          <c:x val="0.11781499327509434"/>
          <c:y val="1.8393623543838136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50" b="1" i="0" u="none" strike="noStrike" kern="1200" cap="all" spc="150" baseline="0"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'assess n by month'!$B$1</c:f>
              <c:strCache>
                <c:ptCount val="1"/>
                <c:pt idx="0">
                  <c:v>Total number of assessment per month (Year 1 - Year 4)</c:v>
                </c:pt>
              </c:strCache>
            </c:strRef>
          </c:tx>
          <c:spPr>
            <a:pattFill prst="narHorz">
              <a:fgClr>
                <a:schemeClr val="accent1"/>
              </a:fgClr>
              <a:bgClr>
                <a:schemeClr val="accent1">
                  <a:lumMod val="20000"/>
                  <a:lumOff val="80000"/>
                </a:schemeClr>
              </a:bgClr>
            </a:pattFill>
            <a:ln>
              <a:noFill/>
            </a:ln>
            <a:effectLst>
              <a:innerShdw blurRad="114300">
                <a:schemeClr val="accent1"/>
              </a:innerShdw>
            </a:effectLst>
          </c:spPr>
          <c:invertIfNegative val="0"/>
          <c:dLbls>
            <c:dLbl>
              <c:idx val="19"/>
              <c:tx>
                <c:rich>
                  <a:bodyPr/>
                  <a:lstStyle/>
                  <a:p>
                    <a:r>
                      <a:rPr lang="en-US"/>
                      <a:t>123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3DF-4323-BF5E-CFA34562D4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'assess n by month'!$A$2:$A$45</c:f>
              <c:strCache>
                <c:ptCount val="44"/>
                <c:pt idx="0">
                  <c:v>Feb-19</c:v>
                </c:pt>
                <c:pt idx="1">
                  <c:v>Mar-19</c:v>
                </c:pt>
                <c:pt idx="2">
                  <c:v>Apr-19</c:v>
                </c:pt>
                <c:pt idx="3">
                  <c:v>May-19</c:v>
                </c:pt>
                <c:pt idx="4">
                  <c:v>Jun-19</c:v>
                </c:pt>
                <c:pt idx="5">
                  <c:v>Jul-19</c:v>
                </c:pt>
                <c:pt idx="6">
                  <c:v>Aug-19</c:v>
                </c:pt>
                <c:pt idx="7">
                  <c:v>Sep-19</c:v>
                </c:pt>
                <c:pt idx="8">
                  <c:v>Oct-19</c:v>
                </c:pt>
                <c:pt idx="9">
                  <c:v>Nov-19</c:v>
                </c:pt>
                <c:pt idx="10">
                  <c:v>Dec-19</c:v>
                </c:pt>
                <c:pt idx="11">
                  <c:v>Jan-20</c:v>
                </c:pt>
                <c:pt idx="12">
                  <c:v>Feb-20</c:v>
                </c:pt>
                <c:pt idx="13">
                  <c:v>Mar-20</c:v>
                </c:pt>
                <c:pt idx="14">
                  <c:v>Apr-20</c:v>
                </c:pt>
                <c:pt idx="15">
                  <c:v>May-20</c:v>
                </c:pt>
                <c:pt idx="16">
                  <c:v>Jun-20</c:v>
                </c:pt>
                <c:pt idx="17">
                  <c:v>Jul-20</c:v>
                </c:pt>
                <c:pt idx="18">
                  <c:v>Aug-20</c:v>
                </c:pt>
                <c:pt idx="19">
                  <c:v>Sep-20</c:v>
                </c:pt>
                <c:pt idx="20">
                  <c:v>Oct-20</c:v>
                </c:pt>
                <c:pt idx="21">
                  <c:v>Nov-20</c:v>
                </c:pt>
                <c:pt idx="22">
                  <c:v>Dec-20</c:v>
                </c:pt>
                <c:pt idx="23">
                  <c:v>Jan-21</c:v>
                </c:pt>
                <c:pt idx="24">
                  <c:v>Feb-21</c:v>
                </c:pt>
                <c:pt idx="25">
                  <c:v>Mar-21</c:v>
                </c:pt>
                <c:pt idx="26">
                  <c:v>Apr-21</c:v>
                </c:pt>
                <c:pt idx="27">
                  <c:v>May-21</c:v>
                </c:pt>
                <c:pt idx="28">
                  <c:v>Jun-21</c:v>
                </c:pt>
                <c:pt idx="29">
                  <c:v>Jul-21</c:v>
                </c:pt>
                <c:pt idx="30">
                  <c:v>Aug-21</c:v>
                </c:pt>
                <c:pt idx="31">
                  <c:v>Sep-21</c:v>
                </c:pt>
                <c:pt idx="32">
                  <c:v>Oct-21</c:v>
                </c:pt>
                <c:pt idx="33">
                  <c:v>Nov-21</c:v>
                </c:pt>
                <c:pt idx="34">
                  <c:v>Dec-21</c:v>
                </c:pt>
                <c:pt idx="35">
                  <c:v>Jan-22</c:v>
                </c:pt>
                <c:pt idx="36">
                  <c:v>Feb-22</c:v>
                </c:pt>
                <c:pt idx="37">
                  <c:v>Mar-22</c:v>
                </c:pt>
                <c:pt idx="38">
                  <c:v>Apr-22</c:v>
                </c:pt>
                <c:pt idx="39">
                  <c:v>May-22</c:v>
                </c:pt>
                <c:pt idx="40">
                  <c:v>Jun-22</c:v>
                </c:pt>
                <c:pt idx="41">
                  <c:v>Jul-22</c:v>
                </c:pt>
                <c:pt idx="42">
                  <c:v>Aug-22</c:v>
                </c:pt>
                <c:pt idx="43">
                  <c:v>Sep-22</c:v>
                </c:pt>
              </c:strCache>
            </c:strRef>
          </c:cat>
          <c:val>
            <c:numRef>
              <c:f>'assess n by month'!$B$2:$B$45</c:f>
              <c:numCache>
                <c:formatCode>General</c:formatCode>
                <c:ptCount val="44"/>
                <c:pt idx="0">
                  <c:v>61</c:v>
                </c:pt>
                <c:pt idx="1">
                  <c:v>98</c:v>
                </c:pt>
                <c:pt idx="2">
                  <c:v>101</c:v>
                </c:pt>
                <c:pt idx="3">
                  <c:v>121</c:v>
                </c:pt>
                <c:pt idx="4">
                  <c:v>111</c:v>
                </c:pt>
                <c:pt idx="5">
                  <c:v>127</c:v>
                </c:pt>
                <c:pt idx="6">
                  <c:v>106</c:v>
                </c:pt>
                <c:pt idx="7">
                  <c:v>108</c:v>
                </c:pt>
                <c:pt idx="8">
                  <c:v>147</c:v>
                </c:pt>
                <c:pt idx="9">
                  <c:v>129</c:v>
                </c:pt>
                <c:pt idx="10">
                  <c:v>117</c:v>
                </c:pt>
                <c:pt idx="11">
                  <c:v>138</c:v>
                </c:pt>
                <c:pt idx="12">
                  <c:v>120</c:v>
                </c:pt>
                <c:pt idx="13">
                  <c:v>108</c:v>
                </c:pt>
                <c:pt idx="14">
                  <c:v>119</c:v>
                </c:pt>
                <c:pt idx="15">
                  <c:v>107</c:v>
                </c:pt>
                <c:pt idx="16">
                  <c:v>116</c:v>
                </c:pt>
                <c:pt idx="17">
                  <c:v>112</c:v>
                </c:pt>
                <c:pt idx="18">
                  <c:v>122</c:v>
                </c:pt>
                <c:pt idx="19">
                  <c:v>122</c:v>
                </c:pt>
                <c:pt idx="20">
                  <c:v>148</c:v>
                </c:pt>
                <c:pt idx="21">
                  <c:v>132</c:v>
                </c:pt>
                <c:pt idx="22">
                  <c:v>123</c:v>
                </c:pt>
                <c:pt idx="23">
                  <c:v>145</c:v>
                </c:pt>
                <c:pt idx="24">
                  <c:v>157</c:v>
                </c:pt>
                <c:pt idx="25">
                  <c:v>143</c:v>
                </c:pt>
                <c:pt idx="26">
                  <c:v>144</c:v>
                </c:pt>
                <c:pt idx="27">
                  <c:v>135</c:v>
                </c:pt>
                <c:pt idx="28">
                  <c:v>144</c:v>
                </c:pt>
                <c:pt idx="29">
                  <c:v>135</c:v>
                </c:pt>
                <c:pt idx="30">
                  <c:v>140</c:v>
                </c:pt>
                <c:pt idx="31">
                  <c:v>123</c:v>
                </c:pt>
                <c:pt idx="32">
                  <c:v>141</c:v>
                </c:pt>
                <c:pt idx="33">
                  <c:v>137</c:v>
                </c:pt>
                <c:pt idx="34">
                  <c:v>123</c:v>
                </c:pt>
                <c:pt idx="35">
                  <c:v>134</c:v>
                </c:pt>
                <c:pt idx="36">
                  <c:v>134</c:v>
                </c:pt>
                <c:pt idx="37">
                  <c:v>150</c:v>
                </c:pt>
                <c:pt idx="38">
                  <c:v>141</c:v>
                </c:pt>
                <c:pt idx="39">
                  <c:v>158</c:v>
                </c:pt>
                <c:pt idx="40">
                  <c:v>149</c:v>
                </c:pt>
                <c:pt idx="41">
                  <c:v>144</c:v>
                </c:pt>
                <c:pt idx="42">
                  <c:v>110</c:v>
                </c:pt>
                <c:pt idx="43">
                  <c:v>144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DF-4323-BF5E-CFA34562D41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64"/>
        <c:overlap val="-22"/>
        <c:axId val="1813591343"/>
        <c:axId val="1813594255"/>
      </c:barChart>
      <c:catAx>
        <c:axId val="181359134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9050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3594255"/>
        <c:crosses val="autoZero"/>
        <c:auto val="1"/>
        <c:lblAlgn val="ctr"/>
        <c:lblOffset val="100"/>
        <c:noMultiLvlLbl val="0"/>
      </c:catAx>
      <c:valAx>
        <c:axId val="1813594255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813591343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3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9050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>
      <cs:styleClr val="auto"/>
    </cs:effectRef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pattFill prst="narHorz">
        <a:fgClr>
          <a:schemeClr val="phClr"/>
        </a:fgClr>
        <a:bgClr>
          <a:schemeClr val="phClr">
            <a:lumMod val="20000"/>
            <a:lumOff val="80000"/>
          </a:schemeClr>
        </a:bgClr>
      </a:pattFill>
      <a:effectLst>
        <a:innerShdw blurRad="114300">
          <a:schemeClr val="phClr"/>
        </a:inn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tx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800" b="1" kern="1200" cap="all" spc="15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Bahman Tabaei</dc:creator>
  <cp:keywords/>
  <dc:description/>
  <cp:lastModifiedBy>Bahman Tabaei</cp:lastModifiedBy>
  <cp:revision>1</cp:revision>
  <dcterms:created xsi:type="dcterms:W3CDTF">2023-12-20T21:02:00Z</dcterms:created>
  <dcterms:modified xsi:type="dcterms:W3CDTF">2023-12-20T21:03:00Z</dcterms:modified>
</cp:coreProperties>
</file>