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0F728" w14:textId="77777777" w:rsidR="003A02B0" w:rsidRDefault="003A02B0" w:rsidP="003A0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Supplemental Digital Content 1: Characteristics of selected New York City neighborhoods (n=24) 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6057"/>
        <w:gridCol w:w="1096"/>
        <w:gridCol w:w="2197"/>
      </w:tblGrid>
      <w:tr w:rsidR="003A02B0" w:rsidRPr="001322EF" w14:paraId="4EA39C83" w14:textId="77777777" w:rsidTr="000608E7">
        <w:trPr>
          <w:trHeight w:val="1068"/>
        </w:trPr>
        <w:tc>
          <w:tcPr>
            <w:tcW w:w="3239" w:type="pct"/>
            <w:noWrap/>
            <w:hideMark/>
          </w:tcPr>
          <w:p w14:paraId="1726849D" w14:textId="77777777" w:rsidR="003A02B0" w:rsidRPr="00DF0BB1" w:rsidRDefault="003A02B0" w:rsidP="000608E7">
            <w:pPr>
              <w:rPr>
                <w:rFonts w:ascii="Times New Roman" w:hAnsi="Times New Roman" w:cs="Times New Roman"/>
              </w:rPr>
            </w:pPr>
            <w:r w:rsidRPr="00DF0BB1">
              <w:rPr>
                <w:rFonts w:ascii="Times New Roman" w:hAnsi="Times New Roman" w:cs="Times New Roman"/>
              </w:rPr>
              <w:t>Neighborhood characteristics</w:t>
            </w:r>
          </w:p>
        </w:tc>
        <w:tc>
          <w:tcPr>
            <w:tcW w:w="586" w:type="pct"/>
            <w:noWrap/>
            <w:hideMark/>
          </w:tcPr>
          <w:p w14:paraId="3BBA2EA9" w14:textId="77777777" w:rsidR="003A02B0" w:rsidRPr="009D4F07" w:rsidRDefault="003A02B0" w:rsidP="000608E7">
            <w:pPr>
              <w:rPr>
                <w:rFonts w:ascii="Times New Roman" w:hAnsi="Times New Roman" w:cs="Times New Roman"/>
              </w:rPr>
            </w:pPr>
            <w:r w:rsidRPr="009D4F07">
              <w:rPr>
                <w:rFonts w:ascii="Times New Roman" w:hAnsi="Times New Roman" w:cs="Times New Roman"/>
              </w:rPr>
              <w:t> Overall</w:t>
            </w:r>
          </w:p>
        </w:tc>
        <w:tc>
          <w:tcPr>
            <w:tcW w:w="1175" w:type="pct"/>
            <w:hideMark/>
          </w:tcPr>
          <w:p w14:paraId="709CE900" w14:textId="77777777" w:rsidR="003A02B0" w:rsidRPr="00DF0BB1" w:rsidRDefault="003A02B0" w:rsidP="000608E7">
            <w:pPr>
              <w:rPr>
                <w:rFonts w:ascii="Times New Roman" w:hAnsi="Times New Roman" w:cs="Times New Roman"/>
              </w:rPr>
            </w:pPr>
            <w:r w:rsidRPr="00DF0BB1">
              <w:rPr>
                <w:rFonts w:ascii="Times New Roman" w:hAnsi="Times New Roman" w:cs="Times New Roman"/>
              </w:rPr>
              <w:t>Range across neighborhoods</w:t>
            </w:r>
          </w:p>
        </w:tc>
      </w:tr>
      <w:tr w:rsidR="003A02B0" w:rsidRPr="001322EF" w14:paraId="4E56934A" w14:textId="77777777" w:rsidTr="000608E7">
        <w:trPr>
          <w:trHeight w:val="498"/>
        </w:trPr>
        <w:tc>
          <w:tcPr>
            <w:tcW w:w="3239" w:type="pct"/>
            <w:noWrap/>
            <w:hideMark/>
          </w:tcPr>
          <w:p w14:paraId="75B81CA3" w14:textId="77777777" w:rsidR="003A02B0" w:rsidRPr="00DF0BB1" w:rsidRDefault="003A02B0" w:rsidP="000608E7">
            <w:pPr>
              <w:rPr>
                <w:rFonts w:ascii="Times New Roman" w:hAnsi="Times New Roman" w:cs="Times New Roman"/>
              </w:rPr>
            </w:pPr>
            <w:r w:rsidRPr="00DF0BB1">
              <w:rPr>
                <w:rFonts w:ascii="Times New Roman" w:hAnsi="Times New Roman" w:cs="Times New Roman"/>
              </w:rPr>
              <w:t>Adult population age 18+ years (N)</w:t>
            </w:r>
          </w:p>
        </w:tc>
        <w:tc>
          <w:tcPr>
            <w:tcW w:w="586" w:type="pct"/>
            <w:noWrap/>
            <w:hideMark/>
          </w:tcPr>
          <w:p w14:paraId="332F8B42" w14:textId="77777777" w:rsidR="003A02B0" w:rsidRPr="00DF0BB1" w:rsidRDefault="003A02B0" w:rsidP="000608E7">
            <w:pPr>
              <w:rPr>
                <w:rFonts w:ascii="Times New Roman" w:hAnsi="Times New Roman" w:cs="Times New Roman"/>
              </w:rPr>
            </w:pPr>
            <w:r w:rsidRPr="00DF0BB1">
              <w:rPr>
                <w:rFonts w:ascii="Times New Roman" w:hAnsi="Times New Roman" w:cs="Times New Roman"/>
              </w:rPr>
              <w:t>3,914,000</w:t>
            </w:r>
          </w:p>
        </w:tc>
        <w:tc>
          <w:tcPr>
            <w:tcW w:w="1175" w:type="pct"/>
            <w:noWrap/>
            <w:hideMark/>
          </w:tcPr>
          <w:p w14:paraId="41FE2823" w14:textId="77777777" w:rsidR="003A02B0" w:rsidRPr="00DF0BB1" w:rsidRDefault="003A02B0" w:rsidP="000608E7">
            <w:pPr>
              <w:rPr>
                <w:rFonts w:ascii="Times New Roman" w:hAnsi="Times New Roman" w:cs="Times New Roman"/>
              </w:rPr>
            </w:pPr>
            <w:r w:rsidRPr="00DF0BB1">
              <w:rPr>
                <w:rFonts w:ascii="Times New Roman" w:hAnsi="Times New Roman" w:cs="Times New Roman"/>
              </w:rPr>
              <w:t>50,000-380,000</w:t>
            </w:r>
          </w:p>
        </w:tc>
      </w:tr>
      <w:tr w:rsidR="003A02B0" w:rsidRPr="001322EF" w14:paraId="03319C52" w14:textId="77777777" w:rsidTr="000608E7">
        <w:trPr>
          <w:trHeight w:val="170"/>
        </w:trPr>
        <w:tc>
          <w:tcPr>
            <w:tcW w:w="3239" w:type="pct"/>
            <w:noWrap/>
            <w:hideMark/>
          </w:tcPr>
          <w:p w14:paraId="6A5D7025" w14:textId="77777777" w:rsidR="003A02B0" w:rsidRPr="00DF0BB1" w:rsidRDefault="003A02B0" w:rsidP="000608E7">
            <w:pPr>
              <w:rPr>
                <w:rFonts w:ascii="Times New Roman" w:hAnsi="Times New Roman" w:cs="Times New Roman"/>
              </w:rPr>
            </w:pPr>
            <w:r w:rsidRPr="00DF0BB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1DA43BB9" w14:textId="77777777" w:rsidR="003A02B0" w:rsidRPr="00DF0BB1" w:rsidRDefault="003A02B0" w:rsidP="000608E7">
            <w:pPr>
              <w:rPr>
                <w:rFonts w:ascii="Times New Roman" w:hAnsi="Times New Roman" w:cs="Times New Roman"/>
              </w:rPr>
            </w:pPr>
            <w:r w:rsidRPr="00DF0BB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5" w:type="pct"/>
            <w:noWrap/>
            <w:hideMark/>
          </w:tcPr>
          <w:p w14:paraId="4093DA7C" w14:textId="77777777" w:rsidR="003A02B0" w:rsidRPr="00DF0BB1" w:rsidRDefault="003A02B0" w:rsidP="000608E7">
            <w:pPr>
              <w:rPr>
                <w:rFonts w:ascii="Times New Roman" w:hAnsi="Times New Roman" w:cs="Times New Roman"/>
              </w:rPr>
            </w:pPr>
            <w:r w:rsidRPr="00DF0BB1">
              <w:rPr>
                <w:rFonts w:ascii="Times New Roman" w:hAnsi="Times New Roman" w:cs="Times New Roman"/>
              </w:rPr>
              <w:t> </w:t>
            </w:r>
          </w:p>
        </w:tc>
      </w:tr>
      <w:tr w:rsidR="003A02B0" w:rsidRPr="001322EF" w14:paraId="789323CF" w14:textId="77777777" w:rsidTr="000608E7">
        <w:trPr>
          <w:trHeight w:val="498"/>
        </w:trPr>
        <w:tc>
          <w:tcPr>
            <w:tcW w:w="3239" w:type="pct"/>
            <w:noWrap/>
            <w:hideMark/>
          </w:tcPr>
          <w:p w14:paraId="21469E07" w14:textId="77777777" w:rsidR="003A02B0" w:rsidRPr="00DF0BB1" w:rsidRDefault="003A02B0" w:rsidP="000608E7">
            <w:pPr>
              <w:rPr>
                <w:rFonts w:ascii="Times New Roman" w:hAnsi="Times New Roman" w:cs="Times New Roman"/>
              </w:rPr>
            </w:pPr>
            <w:r w:rsidRPr="00DF0BB1">
              <w:rPr>
                <w:rFonts w:ascii="Times New Roman" w:hAnsi="Times New Roman" w:cs="Times New Roman"/>
              </w:rPr>
              <w:t xml:space="preserve">Adult population with </w:t>
            </w:r>
            <w:r>
              <w:rPr>
                <w:rFonts w:ascii="Times New Roman" w:hAnsi="Times New Roman" w:cs="Times New Roman"/>
              </w:rPr>
              <w:t>hypertension</w:t>
            </w:r>
            <w:r w:rsidRPr="00DF0BB1">
              <w:rPr>
                <w:rFonts w:ascii="Times New Roman" w:hAnsi="Times New Roman" w:cs="Times New Roman"/>
              </w:rPr>
              <w:t xml:space="preserve"> (N)</w:t>
            </w:r>
          </w:p>
        </w:tc>
        <w:tc>
          <w:tcPr>
            <w:tcW w:w="586" w:type="pct"/>
            <w:noWrap/>
            <w:hideMark/>
          </w:tcPr>
          <w:p w14:paraId="2D293AC7" w14:textId="77777777" w:rsidR="003A02B0" w:rsidRPr="00DF0BB1" w:rsidRDefault="003A02B0" w:rsidP="000608E7">
            <w:pPr>
              <w:rPr>
                <w:rFonts w:ascii="Times New Roman" w:hAnsi="Times New Roman" w:cs="Times New Roman"/>
              </w:rPr>
            </w:pPr>
            <w:r w:rsidRPr="00DF0BB1">
              <w:rPr>
                <w:rFonts w:ascii="Times New Roman" w:hAnsi="Times New Roman" w:cs="Times New Roman"/>
              </w:rPr>
              <w:t>1,282,000</w:t>
            </w:r>
          </w:p>
        </w:tc>
        <w:tc>
          <w:tcPr>
            <w:tcW w:w="1175" w:type="pct"/>
            <w:noWrap/>
            <w:hideMark/>
          </w:tcPr>
          <w:p w14:paraId="21C0B2AC" w14:textId="77777777" w:rsidR="003A02B0" w:rsidRPr="00DF0BB1" w:rsidRDefault="003A02B0" w:rsidP="000608E7">
            <w:pPr>
              <w:rPr>
                <w:rFonts w:ascii="Times New Roman" w:hAnsi="Times New Roman" w:cs="Times New Roman"/>
              </w:rPr>
            </w:pPr>
            <w:r w:rsidRPr="00DF0BB1">
              <w:rPr>
                <w:rFonts w:ascii="Times New Roman" w:hAnsi="Times New Roman" w:cs="Times New Roman"/>
              </w:rPr>
              <w:t>8,000-83,000</w:t>
            </w:r>
          </w:p>
        </w:tc>
      </w:tr>
      <w:tr w:rsidR="003A02B0" w:rsidRPr="001322EF" w14:paraId="406AF5CC" w14:textId="77777777" w:rsidTr="000608E7">
        <w:trPr>
          <w:trHeight w:val="498"/>
        </w:trPr>
        <w:tc>
          <w:tcPr>
            <w:tcW w:w="3239" w:type="pct"/>
            <w:noWrap/>
            <w:hideMark/>
          </w:tcPr>
          <w:p w14:paraId="3FD1A64C" w14:textId="77777777" w:rsidR="003A02B0" w:rsidRPr="00DF0BB1" w:rsidRDefault="003A02B0" w:rsidP="000608E7">
            <w:pPr>
              <w:rPr>
                <w:rFonts w:ascii="Times New Roman" w:hAnsi="Times New Roman" w:cs="Times New Roman"/>
              </w:rPr>
            </w:pPr>
            <w:r w:rsidRPr="00DF0BB1">
              <w:rPr>
                <w:rFonts w:ascii="Times New Roman" w:hAnsi="Times New Roman" w:cs="Times New Roman"/>
              </w:rPr>
              <w:t>Adult population with</w:t>
            </w:r>
            <w:r>
              <w:rPr>
                <w:rFonts w:ascii="Times New Roman" w:hAnsi="Times New Roman" w:cs="Times New Roman"/>
              </w:rPr>
              <w:t xml:space="preserve"> hypertension</w:t>
            </w:r>
            <w:r w:rsidRPr="00DF0BB1"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586" w:type="pct"/>
            <w:noWrap/>
            <w:hideMark/>
          </w:tcPr>
          <w:p w14:paraId="68E5933D" w14:textId="77777777" w:rsidR="003A02B0" w:rsidRPr="00DF0BB1" w:rsidRDefault="003A02B0" w:rsidP="000608E7">
            <w:pPr>
              <w:rPr>
                <w:rFonts w:ascii="Times New Roman" w:hAnsi="Times New Roman" w:cs="Times New Roman"/>
              </w:rPr>
            </w:pPr>
            <w:r w:rsidRPr="00DF0BB1">
              <w:rPr>
                <w:rFonts w:ascii="Times New Roman" w:hAnsi="Times New Roman" w:cs="Times New Roman"/>
              </w:rPr>
              <w:t>32.8%</w:t>
            </w:r>
          </w:p>
        </w:tc>
        <w:tc>
          <w:tcPr>
            <w:tcW w:w="1175" w:type="pct"/>
            <w:noWrap/>
            <w:hideMark/>
          </w:tcPr>
          <w:p w14:paraId="4A4E7F00" w14:textId="77777777" w:rsidR="003A02B0" w:rsidRPr="00DF0BB1" w:rsidRDefault="003A02B0" w:rsidP="000608E7">
            <w:pPr>
              <w:rPr>
                <w:rFonts w:ascii="Times New Roman" w:hAnsi="Times New Roman" w:cs="Times New Roman"/>
              </w:rPr>
            </w:pPr>
            <w:r w:rsidRPr="00DF0BB1">
              <w:rPr>
                <w:rFonts w:ascii="Times New Roman" w:hAnsi="Times New Roman" w:cs="Times New Roman"/>
              </w:rPr>
              <w:t>16.0%-45.9%</w:t>
            </w:r>
          </w:p>
        </w:tc>
      </w:tr>
      <w:tr w:rsidR="003A02B0" w:rsidRPr="001322EF" w14:paraId="02B8268B" w14:textId="77777777" w:rsidTr="000608E7">
        <w:trPr>
          <w:trHeight w:val="58"/>
        </w:trPr>
        <w:tc>
          <w:tcPr>
            <w:tcW w:w="3239" w:type="pct"/>
            <w:noWrap/>
            <w:hideMark/>
          </w:tcPr>
          <w:p w14:paraId="626461EF" w14:textId="77777777" w:rsidR="003A02B0" w:rsidRPr="00DF0BB1" w:rsidRDefault="003A02B0" w:rsidP="000608E7">
            <w:pPr>
              <w:rPr>
                <w:rFonts w:ascii="Times New Roman" w:hAnsi="Times New Roman" w:cs="Times New Roman"/>
              </w:rPr>
            </w:pPr>
            <w:r w:rsidRPr="00DF0BB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400DEAF6" w14:textId="77777777" w:rsidR="003A02B0" w:rsidRPr="00DF0BB1" w:rsidRDefault="003A02B0" w:rsidP="000608E7">
            <w:pPr>
              <w:rPr>
                <w:rFonts w:ascii="Times New Roman" w:hAnsi="Times New Roman" w:cs="Times New Roman"/>
              </w:rPr>
            </w:pPr>
            <w:r w:rsidRPr="00DF0BB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5" w:type="pct"/>
            <w:noWrap/>
            <w:hideMark/>
          </w:tcPr>
          <w:p w14:paraId="70FBB0BD" w14:textId="77777777" w:rsidR="003A02B0" w:rsidRPr="00DF0BB1" w:rsidRDefault="003A02B0" w:rsidP="000608E7">
            <w:pPr>
              <w:rPr>
                <w:rFonts w:ascii="Times New Roman" w:hAnsi="Times New Roman" w:cs="Times New Roman"/>
              </w:rPr>
            </w:pPr>
            <w:r w:rsidRPr="00DF0BB1">
              <w:rPr>
                <w:rFonts w:ascii="Times New Roman" w:hAnsi="Times New Roman" w:cs="Times New Roman"/>
              </w:rPr>
              <w:t> </w:t>
            </w:r>
          </w:p>
        </w:tc>
      </w:tr>
      <w:tr w:rsidR="003A02B0" w:rsidRPr="001322EF" w14:paraId="3B0D7704" w14:textId="77777777" w:rsidTr="000608E7">
        <w:trPr>
          <w:trHeight w:val="498"/>
        </w:trPr>
        <w:tc>
          <w:tcPr>
            <w:tcW w:w="3239" w:type="pct"/>
            <w:noWrap/>
            <w:hideMark/>
          </w:tcPr>
          <w:p w14:paraId="6DAB5AEA" w14:textId="77777777" w:rsidR="003A02B0" w:rsidRPr="00DF0BB1" w:rsidRDefault="003A02B0" w:rsidP="000608E7">
            <w:pPr>
              <w:rPr>
                <w:rFonts w:ascii="Times New Roman" w:hAnsi="Times New Roman" w:cs="Times New Roman"/>
              </w:rPr>
            </w:pPr>
            <w:r w:rsidRPr="00DF0BB1">
              <w:rPr>
                <w:rFonts w:ascii="Times New Roman" w:hAnsi="Times New Roman" w:cs="Times New Roman"/>
              </w:rPr>
              <w:t>Adult population with diabetes (N)</w:t>
            </w:r>
          </w:p>
        </w:tc>
        <w:tc>
          <w:tcPr>
            <w:tcW w:w="586" w:type="pct"/>
            <w:noWrap/>
            <w:hideMark/>
          </w:tcPr>
          <w:p w14:paraId="61CBBA98" w14:textId="77777777" w:rsidR="003A02B0" w:rsidRPr="00DF0BB1" w:rsidRDefault="003A02B0" w:rsidP="000608E7">
            <w:pPr>
              <w:rPr>
                <w:rFonts w:ascii="Times New Roman" w:hAnsi="Times New Roman" w:cs="Times New Roman"/>
              </w:rPr>
            </w:pPr>
            <w:r w:rsidRPr="00DF0BB1">
              <w:rPr>
                <w:rFonts w:ascii="Times New Roman" w:hAnsi="Times New Roman" w:cs="Times New Roman"/>
              </w:rPr>
              <w:t>496,000</w:t>
            </w:r>
          </w:p>
        </w:tc>
        <w:tc>
          <w:tcPr>
            <w:tcW w:w="1175" w:type="pct"/>
            <w:noWrap/>
            <w:hideMark/>
          </w:tcPr>
          <w:p w14:paraId="5FC2463D" w14:textId="77777777" w:rsidR="003A02B0" w:rsidRPr="00DF0BB1" w:rsidRDefault="003A02B0" w:rsidP="000608E7">
            <w:pPr>
              <w:rPr>
                <w:rFonts w:ascii="Times New Roman" w:hAnsi="Times New Roman" w:cs="Times New Roman"/>
              </w:rPr>
            </w:pPr>
            <w:r w:rsidRPr="00DF0BB1">
              <w:rPr>
                <w:rFonts w:ascii="Times New Roman" w:hAnsi="Times New Roman" w:cs="Times New Roman"/>
              </w:rPr>
              <w:t>3,000-46,000</w:t>
            </w:r>
          </w:p>
        </w:tc>
      </w:tr>
      <w:tr w:rsidR="003A02B0" w:rsidRPr="001322EF" w14:paraId="0B1925F2" w14:textId="77777777" w:rsidTr="000608E7">
        <w:trPr>
          <w:trHeight w:val="498"/>
        </w:trPr>
        <w:tc>
          <w:tcPr>
            <w:tcW w:w="3239" w:type="pct"/>
            <w:noWrap/>
            <w:hideMark/>
          </w:tcPr>
          <w:p w14:paraId="0E9B9AAA" w14:textId="77777777" w:rsidR="003A02B0" w:rsidRPr="00DF0BB1" w:rsidRDefault="003A02B0" w:rsidP="000608E7">
            <w:pPr>
              <w:rPr>
                <w:rFonts w:ascii="Times New Roman" w:hAnsi="Times New Roman" w:cs="Times New Roman"/>
              </w:rPr>
            </w:pPr>
            <w:r w:rsidRPr="00DF0BB1">
              <w:rPr>
                <w:rFonts w:ascii="Times New Roman" w:hAnsi="Times New Roman" w:cs="Times New Roman"/>
              </w:rPr>
              <w:t>Adult population with diabetes (%)</w:t>
            </w:r>
          </w:p>
        </w:tc>
        <w:tc>
          <w:tcPr>
            <w:tcW w:w="586" w:type="pct"/>
            <w:noWrap/>
            <w:hideMark/>
          </w:tcPr>
          <w:p w14:paraId="028926CE" w14:textId="77777777" w:rsidR="003A02B0" w:rsidRPr="00DF0BB1" w:rsidRDefault="003A02B0" w:rsidP="000608E7">
            <w:pPr>
              <w:rPr>
                <w:rFonts w:ascii="Times New Roman" w:hAnsi="Times New Roman" w:cs="Times New Roman"/>
              </w:rPr>
            </w:pPr>
            <w:r w:rsidRPr="00DF0BB1">
              <w:rPr>
                <w:rFonts w:ascii="Times New Roman" w:hAnsi="Times New Roman" w:cs="Times New Roman"/>
              </w:rPr>
              <w:t>12.6%</w:t>
            </w:r>
          </w:p>
        </w:tc>
        <w:tc>
          <w:tcPr>
            <w:tcW w:w="1175" w:type="pct"/>
            <w:noWrap/>
            <w:hideMark/>
          </w:tcPr>
          <w:p w14:paraId="62A26568" w14:textId="77777777" w:rsidR="003A02B0" w:rsidRPr="00DF0BB1" w:rsidRDefault="003A02B0" w:rsidP="000608E7">
            <w:pPr>
              <w:rPr>
                <w:rFonts w:ascii="Times New Roman" w:hAnsi="Times New Roman" w:cs="Times New Roman"/>
              </w:rPr>
            </w:pPr>
            <w:r w:rsidRPr="00DF0BB1">
              <w:rPr>
                <w:rFonts w:ascii="Times New Roman" w:hAnsi="Times New Roman" w:cs="Times New Roman"/>
              </w:rPr>
              <w:t>5.3%-21.9%</w:t>
            </w:r>
          </w:p>
        </w:tc>
      </w:tr>
      <w:tr w:rsidR="003A02B0" w:rsidRPr="001322EF" w14:paraId="6277D2F4" w14:textId="77777777" w:rsidTr="000608E7">
        <w:trPr>
          <w:trHeight w:val="179"/>
        </w:trPr>
        <w:tc>
          <w:tcPr>
            <w:tcW w:w="3239" w:type="pct"/>
            <w:noWrap/>
            <w:hideMark/>
          </w:tcPr>
          <w:p w14:paraId="5ED17341" w14:textId="77777777" w:rsidR="003A02B0" w:rsidRPr="00DF0BB1" w:rsidRDefault="003A02B0" w:rsidP="000608E7">
            <w:pPr>
              <w:rPr>
                <w:rFonts w:ascii="Times New Roman" w:hAnsi="Times New Roman" w:cs="Times New Roman"/>
              </w:rPr>
            </w:pPr>
            <w:r w:rsidRPr="00DF0BB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243F6340" w14:textId="77777777" w:rsidR="003A02B0" w:rsidRPr="00DF0BB1" w:rsidRDefault="003A02B0" w:rsidP="000608E7">
            <w:pPr>
              <w:rPr>
                <w:rFonts w:ascii="Times New Roman" w:hAnsi="Times New Roman" w:cs="Times New Roman"/>
              </w:rPr>
            </w:pPr>
            <w:r w:rsidRPr="00DF0BB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5" w:type="pct"/>
            <w:noWrap/>
            <w:hideMark/>
          </w:tcPr>
          <w:p w14:paraId="2ECF5189" w14:textId="77777777" w:rsidR="003A02B0" w:rsidRPr="00DF0BB1" w:rsidRDefault="003A02B0" w:rsidP="000608E7">
            <w:pPr>
              <w:rPr>
                <w:rFonts w:ascii="Times New Roman" w:hAnsi="Times New Roman" w:cs="Times New Roman"/>
              </w:rPr>
            </w:pPr>
            <w:r w:rsidRPr="00DF0BB1">
              <w:rPr>
                <w:rFonts w:ascii="Times New Roman" w:hAnsi="Times New Roman" w:cs="Times New Roman"/>
              </w:rPr>
              <w:t> </w:t>
            </w:r>
          </w:p>
        </w:tc>
      </w:tr>
      <w:tr w:rsidR="003A02B0" w:rsidRPr="001322EF" w14:paraId="7A358B75" w14:textId="77777777" w:rsidTr="000608E7">
        <w:trPr>
          <w:trHeight w:val="498"/>
        </w:trPr>
        <w:tc>
          <w:tcPr>
            <w:tcW w:w="3239" w:type="pct"/>
            <w:noWrap/>
            <w:hideMark/>
          </w:tcPr>
          <w:p w14:paraId="29E4C0D8" w14:textId="77777777" w:rsidR="003A02B0" w:rsidRPr="00DF0BB1" w:rsidRDefault="003A02B0" w:rsidP="0006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Age-adjusted h</w:t>
            </w:r>
            <w:r w:rsidRPr="00DF0BB1">
              <w:rPr>
                <w:rFonts w:ascii="Times New Roman" w:hAnsi="Times New Roman" w:cs="Times New Roman"/>
              </w:rPr>
              <w:t xml:space="preserve">eart disease </w:t>
            </w:r>
            <w:r>
              <w:rPr>
                <w:rFonts w:ascii="Times New Roman" w:hAnsi="Times New Roman" w:cs="Times New Roman"/>
              </w:rPr>
              <w:t xml:space="preserve">death </w:t>
            </w:r>
            <w:r w:rsidRPr="00DF0BB1">
              <w:rPr>
                <w:rFonts w:ascii="Times New Roman" w:hAnsi="Times New Roman" w:cs="Times New Roman"/>
              </w:rPr>
              <w:t xml:space="preserve">rate </w:t>
            </w:r>
            <w:r>
              <w:rPr>
                <w:rFonts w:ascii="Times New Roman" w:hAnsi="Times New Roman" w:cs="Times New Roman"/>
              </w:rPr>
              <w:t>(</w:t>
            </w:r>
            <w:r w:rsidRPr="00DF0BB1">
              <w:rPr>
                <w:rFonts w:ascii="Times New Roman" w:hAnsi="Times New Roman" w:cs="Times New Roman"/>
              </w:rPr>
              <w:t>per 100,000 population)</w:t>
            </w:r>
          </w:p>
        </w:tc>
        <w:tc>
          <w:tcPr>
            <w:tcW w:w="586" w:type="pct"/>
            <w:noWrap/>
            <w:hideMark/>
          </w:tcPr>
          <w:p w14:paraId="47C6EF04" w14:textId="77777777" w:rsidR="003A02B0" w:rsidRPr="00DF0BB1" w:rsidRDefault="003A02B0" w:rsidP="000608E7">
            <w:pPr>
              <w:rPr>
                <w:rFonts w:ascii="Times New Roman" w:hAnsi="Times New Roman" w:cs="Times New Roman"/>
              </w:rPr>
            </w:pPr>
            <w:r w:rsidRPr="00DF0BB1">
              <w:rPr>
                <w:rFonts w:ascii="Times New Roman" w:hAnsi="Times New Roman" w:cs="Times New Roman"/>
              </w:rPr>
              <w:t>58.8</w:t>
            </w:r>
          </w:p>
        </w:tc>
        <w:tc>
          <w:tcPr>
            <w:tcW w:w="1175" w:type="pct"/>
            <w:noWrap/>
            <w:hideMark/>
          </w:tcPr>
          <w:p w14:paraId="35CC5069" w14:textId="77777777" w:rsidR="003A02B0" w:rsidRPr="00DF0BB1" w:rsidRDefault="003A02B0" w:rsidP="000608E7">
            <w:pPr>
              <w:rPr>
                <w:rFonts w:ascii="Times New Roman" w:hAnsi="Times New Roman" w:cs="Times New Roman"/>
              </w:rPr>
            </w:pPr>
            <w:r w:rsidRPr="00DF0BB1">
              <w:rPr>
                <w:rFonts w:ascii="Times New Roman" w:hAnsi="Times New Roman" w:cs="Times New Roman"/>
              </w:rPr>
              <w:t>28.9-106.4</w:t>
            </w:r>
          </w:p>
        </w:tc>
      </w:tr>
      <w:tr w:rsidR="003A02B0" w:rsidRPr="001322EF" w14:paraId="2F0244AE" w14:textId="77777777" w:rsidTr="000608E7">
        <w:trPr>
          <w:trHeight w:val="498"/>
        </w:trPr>
        <w:tc>
          <w:tcPr>
            <w:tcW w:w="3239" w:type="pct"/>
            <w:noWrap/>
            <w:hideMark/>
          </w:tcPr>
          <w:p w14:paraId="7333F3FF" w14:textId="77777777" w:rsidR="003A02B0" w:rsidRPr="00DF0BB1" w:rsidRDefault="003A02B0" w:rsidP="0006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DF0BB1">
              <w:rPr>
                <w:rFonts w:ascii="Times New Roman" w:hAnsi="Times New Roman" w:cs="Times New Roman"/>
              </w:rPr>
              <w:t xml:space="preserve">ge-adjusted </w:t>
            </w:r>
            <w:r>
              <w:rPr>
                <w:rFonts w:ascii="Times New Roman" w:hAnsi="Times New Roman" w:cs="Times New Roman"/>
              </w:rPr>
              <w:t xml:space="preserve">stroke death </w:t>
            </w:r>
            <w:r w:rsidRPr="00DF0BB1">
              <w:rPr>
                <w:rFonts w:ascii="Times New Roman" w:hAnsi="Times New Roman" w:cs="Times New Roman"/>
              </w:rPr>
              <w:t>rate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DF0BB1">
              <w:rPr>
                <w:rFonts w:ascii="Times New Roman" w:hAnsi="Times New Roman" w:cs="Times New Roman"/>
              </w:rPr>
              <w:t>per 100,000 population)</w:t>
            </w:r>
          </w:p>
        </w:tc>
        <w:tc>
          <w:tcPr>
            <w:tcW w:w="586" w:type="pct"/>
            <w:noWrap/>
            <w:hideMark/>
          </w:tcPr>
          <w:p w14:paraId="2B247E71" w14:textId="77777777" w:rsidR="003A02B0" w:rsidRPr="00DF0BB1" w:rsidRDefault="003A02B0" w:rsidP="000608E7">
            <w:pPr>
              <w:rPr>
                <w:rFonts w:ascii="Times New Roman" w:hAnsi="Times New Roman" w:cs="Times New Roman"/>
              </w:rPr>
            </w:pPr>
            <w:r w:rsidRPr="00DF0BB1">
              <w:rPr>
                <w:rFonts w:ascii="Times New Roman" w:hAnsi="Times New Roman" w:cs="Times New Roman"/>
              </w:rPr>
              <w:t>7.7</w:t>
            </w:r>
          </w:p>
        </w:tc>
        <w:tc>
          <w:tcPr>
            <w:tcW w:w="1175" w:type="pct"/>
            <w:noWrap/>
            <w:hideMark/>
          </w:tcPr>
          <w:p w14:paraId="321371D2" w14:textId="77777777" w:rsidR="003A02B0" w:rsidRPr="00DF0BB1" w:rsidRDefault="003A02B0" w:rsidP="000608E7">
            <w:pPr>
              <w:rPr>
                <w:rFonts w:ascii="Times New Roman" w:hAnsi="Times New Roman" w:cs="Times New Roman"/>
              </w:rPr>
            </w:pPr>
            <w:r w:rsidRPr="00DF0BB1">
              <w:rPr>
                <w:rFonts w:ascii="Times New Roman" w:hAnsi="Times New Roman" w:cs="Times New Roman"/>
              </w:rPr>
              <w:t>3.7-11.8</w:t>
            </w:r>
          </w:p>
        </w:tc>
      </w:tr>
      <w:tr w:rsidR="003A02B0" w:rsidRPr="001322EF" w14:paraId="5E614662" w14:textId="77777777" w:rsidTr="000608E7">
        <w:trPr>
          <w:trHeight w:val="179"/>
        </w:trPr>
        <w:tc>
          <w:tcPr>
            <w:tcW w:w="3239" w:type="pct"/>
            <w:noWrap/>
            <w:hideMark/>
          </w:tcPr>
          <w:p w14:paraId="05119451" w14:textId="77777777" w:rsidR="003A02B0" w:rsidRPr="00DF0BB1" w:rsidRDefault="003A02B0" w:rsidP="000608E7">
            <w:pPr>
              <w:rPr>
                <w:rFonts w:ascii="Times New Roman" w:hAnsi="Times New Roman" w:cs="Times New Roman"/>
              </w:rPr>
            </w:pPr>
            <w:r w:rsidRPr="00DF0BB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0E739762" w14:textId="77777777" w:rsidR="003A02B0" w:rsidRPr="00DF0BB1" w:rsidRDefault="003A02B0" w:rsidP="000608E7">
            <w:pPr>
              <w:rPr>
                <w:rFonts w:ascii="Times New Roman" w:hAnsi="Times New Roman" w:cs="Times New Roman"/>
              </w:rPr>
            </w:pPr>
            <w:r w:rsidRPr="00DF0BB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5" w:type="pct"/>
            <w:noWrap/>
            <w:hideMark/>
          </w:tcPr>
          <w:p w14:paraId="038347AC" w14:textId="77777777" w:rsidR="003A02B0" w:rsidRPr="00DF0BB1" w:rsidRDefault="003A02B0" w:rsidP="000608E7">
            <w:pPr>
              <w:rPr>
                <w:rFonts w:ascii="Times New Roman" w:hAnsi="Times New Roman" w:cs="Times New Roman"/>
              </w:rPr>
            </w:pPr>
            <w:r w:rsidRPr="00DF0BB1">
              <w:rPr>
                <w:rFonts w:ascii="Times New Roman" w:hAnsi="Times New Roman" w:cs="Times New Roman"/>
              </w:rPr>
              <w:t> </w:t>
            </w:r>
          </w:p>
        </w:tc>
      </w:tr>
      <w:tr w:rsidR="003A02B0" w:rsidRPr="001322EF" w14:paraId="782C918B" w14:textId="77777777" w:rsidTr="000608E7">
        <w:trPr>
          <w:trHeight w:val="498"/>
        </w:trPr>
        <w:tc>
          <w:tcPr>
            <w:tcW w:w="3239" w:type="pct"/>
            <w:noWrap/>
            <w:hideMark/>
          </w:tcPr>
          <w:p w14:paraId="54D60095" w14:textId="77777777" w:rsidR="003A02B0" w:rsidRPr="00DF0BB1" w:rsidRDefault="003A02B0" w:rsidP="000608E7">
            <w:pPr>
              <w:rPr>
                <w:rFonts w:ascii="Times New Roman" w:hAnsi="Times New Roman" w:cs="Times New Roman"/>
              </w:rPr>
            </w:pPr>
            <w:r w:rsidRPr="00DF0BB1">
              <w:rPr>
                <w:rFonts w:ascii="Times New Roman" w:hAnsi="Times New Roman" w:cs="Times New Roman"/>
              </w:rPr>
              <w:t xml:space="preserve">Neighborhood level poverty </w:t>
            </w:r>
          </w:p>
        </w:tc>
        <w:tc>
          <w:tcPr>
            <w:tcW w:w="586" w:type="pct"/>
            <w:noWrap/>
            <w:hideMark/>
          </w:tcPr>
          <w:p w14:paraId="30E12BF2" w14:textId="77777777" w:rsidR="003A02B0" w:rsidRPr="00DF0BB1" w:rsidRDefault="003A02B0" w:rsidP="000608E7">
            <w:pPr>
              <w:rPr>
                <w:rFonts w:ascii="Times New Roman" w:hAnsi="Times New Roman" w:cs="Times New Roman"/>
              </w:rPr>
            </w:pPr>
            <w:r w:rsidRPr="00DF0BB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Number</w:t>
            </w:r>
          </w:p>
        </w:tc>
        <w:tc>
          <w:tcPr>
            <w:tcW w:w="1175" w:type="pct"/>
            <w:noWrap/>
            <w:hideMark/>
          </w:tcPr>
          <w:p w14:paraId="495FB842" w14:textId="77777777" w:rsidR="003A02B0" w:rsidRPr="00DF0BB1" w:rsidRDefault="003A02B0" w:rsidP="000608E7">
            <w:pPr>
              <w:rPr>
                <w:rFonts w:ascii="Times New Roman" w:hAnsi="Times New Roman" w:cs="Times New Roman"/>
              </w:rPr>
            </w:pPr>
            <w:r w:rsidRPr="00DF0BB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Percent</w:t>
            </w:r>
          </w:p>
        </w:tc>
      </w:tr>
      <w:tr w:rsidR="003A02B0" w:rsidRPr="001322EF" w14:paraId="5C182B2F" w14:textId="77777777" w:rsidTr="000608E7">
        <w:trPr>
          <w:trHeight w:val="498"/>
        </w:trPr>
        <w:tc>
          <w:tcPr>
            <w:tcW w:w="3239" w:type="pct"/>
            <w:noWrap/>
            <w:hideMark/>
          </w:tcPr>
          <w:p w14:paraId="60D86BF8" w14:textId="77777777" w:rsidR="003A02B0" w:rsidRPr="00DF0BB1" w:rsidRDefault="003A02B0" w:rsidP="000608E7">
            <w:pPr>
              <w:rPr>
                <w:rFonts w:ascii="Times New Roman" w:hAnsi="Times New Roman" w:cs="Times New Roman"/>
              </w:rPr>
            </w:pPr>
            <w:r w:rsidRPr="00DF0BB1">
              <w:rPr>
                <w:rFonts w:ascii="Times New Roman" w:hAnsi="Times New Roman" w:cs="Times New Roman"/>
              </w:rPr>
              <w:t>Low (&lt;10% live below FPL)</w:t>
            </w:r>
          </w:p>
        </w:tc>
        <w:tc>
          <w:tcPr>
            <w:tcW w:w="586" w:type="pct"/>
            <w:noWrap/>
            <w:hideMark/>
          </w:tcPr>
          <w:p w14:paraId="69B2E747" w14:textId="77777777" w:rsidR="003A02B0" w:rsidRPr="00DF0BB1" w:rsidRDefault="003A02B0" w:rsidP="000608E7">
            <w:pPr>
              <w:rPr>
                <w:rFonts w:ascii="Times New Roman" w:hAnsi="Times New Roman" w:cs="Times New Roman"/>
              </w:rPr>
            </w:pPr>
            <w:r w:rsidRPr="00DF0B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5" w:type="pct"/>
            <w:noWrap/>
            <w:hideMark/>
          </w:tcPr>
          <w:p w14:paraId="0F5F7500" w14:textId="77777777" w:rsidR="003A02B0" w:rsidRPr="00DF0BB1" w:rsidRDefault="003A02B0" w:rsidP="000608E7">
            <w:pPr>
              <w:rPr>
                <w:rFonts w:ascii="Times New Roman" w:hAnsi="Times New Roman" w:cs="Times New Roman"/>
              </w:rPr>
            </w:pPr>
            <w:r w:rsidRPr="00DF0BB1">
              <w:rPr>
                <w:rFonts w:ascii="Times New Roman" w:hAnsi="Times New Roman" w:cs="Times New Roman"/>
              </w:rPr>
              <w:t>4.2%</w:t>
            </w:r>
          </w:p>
        </w:tc>
      </w:tr>
      <w:tr w:rsidR="003A02B0" w:rsidRPr="001322EF" w14:paraId="138BEA8C" w14:textId="77777777" w:rsidTr="000608E7">
        <w:trPr>
          <w:trHeight w:val="498"/>
        </w:trPr>
        <w:tc>
          <w:tcPr>
            <w:tcW w:w="3239" w:type="pct"/>
            <w:noWrap/>
            <w:hideMark/>
          </w:tcPr>
          <w:p w14:paraId="263D8E08" w14:textId="77777777" w:rsidR="003A02B0" w:rsidRPr="00DF0BB1" w:rsidRDefault="003A02B0" w:rsidP="000608E7">
            <w:pPr>
              <w:rPr>
                <w:rFonts w:ascii="Times New Roman" w:hAnsi="Times New Roman" w:cs="Times New Roman"/>
              </w:rPr>
            </w:pPr>
            <w:r w:rsidRPr="00DF0BB1">
              <w:rPr>
                <w:rFonts w:ascii="Times New Roman" w:hAnsi="Times New Roman" w:cs="Times New Roman"/>
              </w:rPr>
              <w:t>Medium (10-&lt;20% live below FPL)</w:t>
            </w:r>
          </w:p>
        </w:tc>
        <w:tc>
          <w:tcPr>
            <w:tcW w:w="586" w:type="pct"/>
            <w:noWrap/>
            <w:hideMark/>
          </w:tcPr>
          <w:p w14:paraId="227E8839" w14:textId="77777777" w:rsidR="003A02B0" w:rsidRPr="00DF0BB1" w:rsidRDefault="003A02B0" w:rsidP="000608E7">
            <w:pPr>
              <w:rPr>
                <w:rFonts w:ascii="Times New Roman" w:hAnsi="Times New Roman" w:cs="Times New Roman"/>
              </w:rPr>
            </w:pPr>
            <w:r w:rsidRPr="00DF0BB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75" w:type="pct"/>
            <w:noWrap/>
            <w:hideMark/>
          </w:tcPr>
          <w:p w14:paraId="6B3CB8D6" w14:textId="77777777" w:rsidR="003A02B0" w:rsidRPr="00DF0BB1" w:rsidRDefault="003A02B0" w:rsidP="000608E7">
            <w:pPr>
              <w:rPr>
                <w:rFonts w:ascii="Times New Roman" w:hAnsi="Times New Roman" w:cs="Times New Roman"/>
              </w:rPr>
            </w:pPr>
            <w:r w:rsidRPr="00DF0BB1">
              <w:rPr>
                <w:rFonts w:ascii="Times New Roman" w:hAnsi="Times New Roman" w:cs="Times New Roman"/>
              </w:rPr>
              <w:t>41.7%</w:t>
            </w:r>
          </w:p>
        </w:tc>
      </w:tr>
      <w:tr w:rsidR="003A02B0" w:rsidRPr="001322EF" w14:paraId="0047762B" w14:textId="77777777" w:rsidTr="000608E7">
        <w:trPr>
          <w:trHeight w:val="498"/>
        </w:trPr>
        <w:tc>
          <w:tcPr>
            <w:tcW w:w="3239" w:type="pct"/>
            <w:noWrap/>
            <w:hideMark/>
          </w:tcPr>
          <w:p w14:paraId="79B1B99F" w14:textId="77777777" w:rsidR="003A02B0" w:rsidRPr="00DF0BB1" w:rsidRDefault="003A02B0" w:rsidP="000608E7">
            <w:pPr>
              <w:rPr>
                <w:rFonts w:ascii="Times New Roman" w:hAnsi="Times New Roman" w:cs="Times New Roman"/>
              </w:rPr>
            </w:pPr>
            <w:r w:rsidRPr="00DF0BB1">
              <w:rPr>
                <w:rFonts w:ascii="Times New Roman" w:hAnsi="Times New Roman" w:cs="Times New Roman"/>
              </w:rPr>
              <w:t>High (20-&lt;30% live below FPL)</w:t>
            </w:r>
          </w:p>
        </w:tc>
        <w:tc>
          <w:tcPr>
            <w:tcW w:w="586" w:type="pct"/>
            <w:noWrap/>
            <w:hideMark/>
          </w:tcPr>
          <w:p w14:paraId="322B14E1" w14:textId="77777777" w:rsidR="003A02B0" w:rsidRPr="00DF0BB1" w:rsidRDefault="003A02B0" w:rsidP="000608E7">
            <w:pPr>
              <w:rPr>
                <w:rFonts w:ascii="Times New Roman" w:hAnsi="Times New Roman" w:cs="Times New Roman"/>
              </w:rPr>
            </w:pPr>
            <w:r w:rsidRPr="00DF0B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75" w:type="pct"/>
            <w:noWrap/>
            <w:hideMark/>
          </w:tcPr>
          <w:p w14:paraId="39CCC8FD" w14:textId="77777777" w:rsidR="003A02B0" w:rsidRPr="00DF0BB1" w:rsidRDefault="003A02B0" w:rsidP="000608E7">
            <w:pPr>
              <w:rPr>
                <w:rFonts w:ascii="Times New Roman" w:hAnsi="Times New Roman" w:cs="Times New Roman"/>
              </w:rPr>
            </w:pPr>
            <w:r w:rsidRPr="00DF0BB1">
              <w:rPr>
                <w:rFonts w:ascii="Times New Roman" w:hAnsi="Times New Roman" w:cs="Times New Roman"/>
              </w:rPr>
              <w:t>20.8%</w:t>
            </w:r>
          </w:p>
        </w:tc>
      </w:tr>
      <w:tr w:rsidR="003A02B0" w:rsidRPr="001322EF" w14:paraId="0A7A5DE9" w14:textId="77777777" w:rsidTr="000608E7">
        <w:trPr>
          <w:trHeight w:val="498"/>
        </w:trPr>
        <w:tc>
          <w:tcPr>
            <w:tcW w:w="3239" w:type="pct"/>
            <w:noWrap/>
            <w:hideMark/>
          </w:tcPr>
          <w:p w14:paraId="508D0472" w14:textId="77777777" w:rsidR="003A02B0" w:rsidRPr="00DF0BB1" w:rsidRDefault="003A02B0" w:rsidP="000608E7">
            <w:pPr>
              <w:rPr>
                <w:rFonts w:ascii="Times New Roman" w:hAnsi="Times New Roman" w:cs="Times New Roman"/>
              </w:rPr>
            </w:pPr>
            <w:r w:rsidRPr="00DF0BB1">
              <w:rPr>
                <w:rFonts w:ascii="Times New Roman" w:hAnsi="Times New Roman" w:cs="Times New Roman"/>
              </w:rPr>
              <w:t>Very high (&gt;=30% live below FPL)</w:t>
            </w:r>
          </w:p>
        </w:tc>
        <w:tc>
          <w:tcPr>
            <w:tcW w:w="586" w:type="pct"/>
            <w:noWrap/>
            <w:hideMark/>
          </w:tcPr>
          <w:p w14:paraId="4CF0656D" w14:textId="77777777" w:rsidR="003A02B0" w:rsidRPr="00DF0BB1" w:rsidRDefault="003A02B0" w:rsidP="000608E7">
            <w:pPr>
              <w:rPr>
                <w:rFonts w:ascii="Times New Roman" w:hAnsi="Times New Roman" w:cs="Times New Roman"/>
              </w:rPr>
            </w:pPr>
            <w:r w:rsidRPr="00DF0BB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75" w:type="pct"/>
            <w:noWrap/>
            <w:hideMark/>
          </w:tcPr>
          <w:p w14:paraId="3D6FF0EC" w14:textId="77777777" w:rsidR="003A02B0" w:rsidRPr="00DF0BB1" w:rsidRDefault="003A02B0" w:rsidP="000608E7">
            <w:pPr>
              <w:rPr>
                <w:rFonts w:ascii="Times New Roman" w:hAnsi="Times New Roman" w:cs="Times New Roman"/>
              </w:rPr>
            </w:pPr>
            <w:r w:rsidRPr="00DF0BB1">
              <w:rPr>
                <w:rFonts w:ascii="Times New Roman" w:hAnsi="Times New Roman" w:cs="Times New Roman"/>
              </w:rPr>
              <w:t>33.3%</w:t>
            </w:r>
          </w:p>
        </w:tc>
      </w:tr>
    </w:tbl>
    <w:p w14:paraId="137174C3" w14:textId="77777777" w:rsidR="003A02B0" w:rsidRDefault="003A02B0" w:rsidP="003A02B0">
      <w:pPr>
        <w:spacing w:after="0" w:line="240" w:lineRule="auto"/>
        <w:rPr>
          <w:rStyle w:val="cf01"/>
          <w:rFonts w:ascii="Times New Roman" w:hAnsi="Times New Roman" w:cs="Times New Roman"/>
          <w:sz w:val="20"/>
          <w:szCs w:val="20"/>
        </w:rPr>
      </w:pPr>
    </w:p>
    <w:p w14:paraId="02990A66" w14:textId="77777777" w:rsidR="003A02B0" w:rsidRPr="009D0C36" w:rsidRDefault="003A02B0" w:rsidP="003A02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cf01"/>
          <w:rFonts w:ascii="Times New Roman" w:hAnsi="Times New Roman" w:cs="Times New Roman"/>
          <w:sz w:val="20"/>
          <w:szCs w:val="20"/>
        </w:rPr>
        <w:t xml:space="preserve">Data is number, proportion, mean and range across the neighborhoods.  </w:t>
      </w:r>
      <w:r w:rsidRPr="0053657C">
        <w:rPr>
          <w:rStyle w:val="cf01"/>
          <w:rFonts w:ascii="Times New Roman" w:hAnsi="Times New Roman" w:cs="Times New Roman"/>
          <w:sz w:val="20"/>
          <w:szCs w:val="20"/>
        </w:rPr>
        <w:t>Data was compared across all</w:t>
      </w:r>
      <w:r>
        <w:rPr>
          <w:rStyle w:val="cf01"/>
          <w:rFonts w:ascii="Times New Roman" w:hAnsi="Times New Roman" w:cs="Times New Roman"/>
          <w:sz w:val="20"/>
          <w:szCs w:val="20"/>
        </w:rPr>
        <w:t xml:space="preserve"> 42</w:t>
      </w:r>
      <w:r w:rsidRPr="0053657C">
        <w:rPr>
          <w:rStyle w:val="cf01"/>
          <w:rFonts w:ascii="Times New Roman" w:hAnsi="Times New Roman" w:cs="Times New Roman"/>
          <w:sz w:val="20"/>
          <w:szCs w:val="20"/>
        </w:rPr>
        <w:t xml:space="preserve"> New York City neighborhoods to identify the </w:t>
      </w:r>
      <w:r>
        <w:rPr>
          <w:rStyle w:val="cf01"/>
          <w:rFonts w:ascii="Times New Roman" w:hAnsi="Times New Roman" w:cs="Times New Roman"/>
          <w:sz w:val="20"/>
          <w:szCs w:val="20"/>
        </w:rPr>
        <w:t xml:space="preserve">24 selected </w:t>
      </w:r>
      <w:r w:rsidRPr="0053657C">
        <w:rPr>
          <w:rStyle w:val="cf01"/>
          <w:rFonts w:ascii="Times New Roman" w:hAnsi="Times New Roman" w:cs="Times New Roman"/>
          <w:sz w:val="20"/>
          <w:szCs w:val="20"/>
        </w:rPr>
        <w:t xml:space="preserve">neighborhoods with the poorest outcomes, including data sources: NYC Community Health Survey [New York City Department of Health and Mental Hygiene. </w:t>
      </w:r>
      <w:proofErr w:type="spellStart"/>
      <w:r w:rsidRPr="0053657C">
        <w:rPr>
          <w:rStyle w:val="cf01"/>
          <w:rFonts w:ascii="Times New Roman" w:hAnsi="Times New Roman" w:cs="Times New Roman"/>
          <w:sz w:val="20"/>
          <w:szCs w:val="20"/>
        </w:rPr>
        <w:t>EpiQuery</w:t>
      </w:r>
      <w:proofErr w:type="spellEnd"/>
      <w:r w:rsidRPr="0053657C">
        <w:rPr>
          <w:rStyle w:val="cf01"/>
          <w:rFonts w:ascii="Times New Roman" w:hAnsi="Times New Roman" w:cs="Times New Roman"/>
          <w:sz w:val="20"/>
          <w:szCs w:val="20"/>
        </w:rPr>
        <w:t xml:space="preserve"> - Community Health Survey 2017. [5/12/2018]. </w:t>
      </w:r>
      <w:hyperlink r:id="rId4" w:history="1">
        <w:r w:rsidRPr="0053657C">
          <w:rPr>
            <w:rStyle w:val="cf01"/>
            <w:rFonts w:ascii="Times New Roman" w:hAnsi="Times New Roman" w:cs="Times New Roman"/>
            <w:color w:val="0000FF"/>
            <w:sz w:val="20"/>
            <w:szCs w:val="20"/>
            <w:u w:val="single"/>
          </w:rPr>
          <w:t>https://nyc.gov/health/epiquery</w:t>
        </w:r>
      </w:hyperlink>
      <w:r w:rsidRPr="0053657C">
        <w:rPr>
          <w:rStyle w:val="cf01"/>
          <w:rFonts w:ascii="Times New Roman" w:hAnsi="Times New Roman" w:cs="Times New Roman"/>
          <w:sz w:val="20"/>
          <w:szCs w:val="20"/>
        </w:rPr>
        <w:t>]</w:t>
      </w:r>
      <w:r>
        <w:rPr>
          <w:rStyle w:val="cf01"/>
          <w:rFonts w:ascii="Times New Roman" w:hAnsi="Times New Roman" w:cs="Times New Roman"/>
          <w:sz w:val="20"/>
          <w:szCs w:val="20"/>
        </w:rPr>
        <w:t xml:space="preserve">; </w:t>
      </w:r>
      <w:r w:rsidRPr="0053657C">
        <w:rPr>
          <w:rStyle w:val="cf01"/>
          <w:rFonts w:ascii="Times New Roman" w:hAnsi="Times New Roman" w:cs="Times New Roman"/>
          <w:sz w:val="20"/>
          <w:szCs w:val="20"/>
        </w:rPr>
        <w:t>and NYC Bureau of Vital Statistics [</w:t>
      </w:r>
      <w:proofErr w:type="spellStart"/>
      <w:r w:rsidRPr="0053657C">
        <w:rPr>
          <w:rStyle w:val="cf01"/>
          <w:rFonts w:ascii="Times New Roman" w:hAnsi="Times New Roman" w:cs="Times New Roman"/>
          <w:sz w:val="20"/>
          <w:szCs w:val="20"/>
        </w:rPr>
        <w:t>Gresia</w:t>
      </w:r>
      <w:proofErr w:type="spellEnd"/>
      <w:r w:rsidRPr="0053657C">
        <w:rPr>
          <w:rStyle w:val="cf01"/>
          <w:rFonts w:ascii="Times New Roman" w:hAnsi="Times New Roman" w:cs="Times New Roman"/>
          <w:sz w:val="20"/>
          <w:szCs w:val="20"/>
        </w:rPr>
        <w:t xml:space="preserve"> V, Wright M, Li W, Jasek J, Sun Y, Di </w:t>
      </w:r>
      <w:proofErr w:type="spellStart"/>
      <w:r w:rsidRPr="0053657C">
        <w:rPr>
          <w:rStyle w:val="cf01"/>
          <w:rFonts w:ascii="Times New Roman" w:hAnsi="Times New Roman" w:cs="Times New Roman"/>
          <w:sz w:val="20"/>
          <w:szCs w:val="20"/>
        </w:rPr>
        <w:t>Lonardo</w:t>
      </w:r>
      <w:proofErr w:type="spellEnd"/>
      <w:r w:rsidRPr="0053657C">
        <w:rPr>
          <w:rStyle w:val="cf01"/>
          <w:rFonts w:ascii="Times New Roman" w:hAnsi="Times New Roman" w:cs="Times New Roman"/>
          <w:sz w:val="20"/>
          <w:szCs w:val="20"/>
        </w:rPr>
        <w:t xml:space="preserve"> S, Chamany S. Premature Heart Disease and Stroke Deaths in New York City. New York City Department of Health and Mental Hygiene: Epi Data Brief (95); November 2017]. </w:t>
      </w:r>
      <w:r w:rsidRPr="009D0C36">
        <w:rPr>
          <w:rFonts w:ascii="Times New Roman" w:hAnsi="Times New Roman" w:cs="Times New Roman"/>
          <w:sz w:val="20"/>
          <w:szCs w:val="20"/>
        </w:rPr>
        <w:t>Neighborhood poverty (based on ZIP code) is defined as the percentage of the population living below the Federal Poverty Line (FPL) based on the American Community Survey 2011- 2015. Neighborhoods are categorized into four groups as follows: “Low poverty” neighborhoods are those with &lt;10% of the population living below the FPL; “Medium poverty” neighborhoods have 10-&lt;20% of the population below FPL; “High Poverty” neighborhoods have 20-&lt;30% of the population living below the FPL; “Very high poverty” neighborhoods have ≥30% of the population living below the FPL</w:t>
      </w:r>
      <w:r>
        <w:rPr>
          <w:rFonts w:ascii="Times New Roman" w:hAnsi="Times New Roman" w:cs="Times New Roman"/>
          <w:sz w:val="20"/>
          <w:szCs w:val="20"/>
        </w:rPr>
        <w:t xml:space="preserve">; premature death: death age &lt;65 years; </w:t>
      </w:r>
      <w:r>
        <w:rPr>
          <w:rFonts w:ascii="Times New Roman" w:eastAsia="Times New Roman" w:hAnsi="Times New Roman" w:cs="Times New Roman"/>
          <w:sz w:val="20"/>
          <w:szCs w:val="20"/>
        </w:rPr>
        <w:t>HTN: hypertension.</w:t>
      </w:r>
    </w:p>
    <w:p w14:paraId="4430AF50" w14:textId="77777777" w:rsidR="003A02B0" w:rsidRDefault="003A02B0" w:rsidP="003A0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39FC32" w14:textId="77777777" w:rsidR="00141E01" w:rsidRDefault="00141E01"/>
    <w:sectPr w:rsidR="00141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2B0"/>
    <w:rsid w:val="00141E01"/>
    <w:rsid w:val="003A02B0"/>
    <w:rsid w:val="007B1516"/>
    <w:rsid w:val="007E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9A8EE"/>
  <w15:chartTrackingRefBased/>
  <w15:docId w15:val="{10324C38-14E8-4F74-8C1C-0ACC4F52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2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f01">
    <w:name w:val="cf01"/>
    <w:basedOn w:val="DefaultParagraphFont"/>
    <w:rsid w:val="003A02B0"/>
    <w:rPr>
      <w:rFonts w:ascii="Segoe UI" w:hAnsi="Segoe UI" w:cs="Segoe UI" w:hint="default"/>
      <w:sz w:val="18"/>
      <w:szCs w:val="18"/>
    </w:rPr>
  </w:style>
  <w:style w:type="table" w:styleId="TableGridLight">
    <w:name w:val="Grid Table Light"/>
    <w:basedOn w:val="TableNormal"/>
    <w:uiPriority w:val="40"/>
    <w:rsid w:val="003A02B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yc.gov/health/epiqu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Bahman Tabaei</dc:creator>
  <cp:keywords/>
  <dc:description/>
  <cp:lastModifiedBy>Bahman Tabaei</cp:lastModifiedBy>
  <cp:revision>1</cp:revision>
  <dcterms:created xsi:type="dcterms:W3CDTF">2023-12-20T20:59:00Z</dcterms:created>
  <dcterms:modified xsi:type="dcterms:W3CDTF">2023-12-20T21:00:00Z</dcterms:modified>
</cp:coreProperties>
</file>