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8471F" w14:textId="5A1B6161" w:rsidR="00105108" w:rsidRPr="00DE0A84" w:rsidRDefault="00421B2F" w:rsidP="008E7D25">
      <w:pPr>
        <w:rPr>
          <w:rFonts w:ascii="Helvetica" w:hAnsi="Helvetica" w:cs="Arial"/>
          <w:b/>
        </w:rPr>
      </w:pPr>
      <w:r w:rsidRPr="00DE0A84">
        <w:rPr>
          <w:rFonts w:ascii="Helvetica" w:hAnsi="Helvetica" w:cs="Arial"/>
          <w:b/>
        </w:rPr>
        <w:t>SUPPORTING INFORMATION</w:t>
      </w:r>
    </w:p>
    <w:p w14:paraId="4A0F78C8" w14:textId="77777777" w:rsidR="00105108" w:rsidRPr="00DE0A84" w:rsidRDefault="00105108" w:rsidP="008E7D25">
      <w:pPr>
        <w:rPr>
          <w:rFonts w:ascii="Helvetica" w:hAnsi="Helvetica" w:cs="Arial"/>
          <w:b/>
        </w:rPr>
      </w:pPr>
    </w:p>
    <w:p w14:paraId="5EC4898F" w14:textId="2A9A4154" w:rsidR="008E7D25" w:rsidRPr="00DE0A84" w:rsidRDefault="008E7D25" w:rsidP="008E7D25">
      <w:pPr>
        <w:rPr>
          <w:rFonts w:ascii="Helvetica" w:hAnsi="Helvetica" w:cs="Arial"/>
          <w:b/>
        </w:rPr>
      </w:pPr>
      <w:r w:rsidRPr="00DE0A84">
        <w:rPr>
          <w:rFonts w:ascii="Helvetica" w:hAnsi="Helvetica" w:cs="Arial"/>
          <w:b/>
        </w:rPr>
        <w:t xml:space="preserve">Risk factors for </w:t>
      </w:r>
      <w:r w:rsidR="00421B2F" w:rsidRPr="00DE0A84">
        <w:rPr>
          <w:rFonts w:ascii="Helvetica" w:hAnsi="Helvetica" w:cs="Arial"/>
          <w:b/>
        </w:rPr>
        <w:t>meticillin</w:t>
      </w:r>
      <w:r w:rsidRPr="00DE0A84">
        <w:rPr>
          <w:rFonts w:ascii="Helvetica" w:hAnsi="Helvetica" w:cs="Arial"/>
          <w:b/>
        </w:rPr>
        <w:t xml:space="preserve">-resistant </w:t>
      </w:r>
      <w:r w:rsidRPr="00DE0A84">
        <w:rPr>
          <w:rFonts w:ascii="Helvetica" w:hAnsi="Helvetica" w:cs="Arial"/>
          <w:b/>
          <w:i/>
        </w:rPr>
        <w:t>Staphylococcus aureus</w:t>
      </w:r>
      <w:r w:rsidRPr="00DE0A84">
        <w:rPr>
          <w:rFonts w:ascii="Helvetica" w:hAnsi="Helvetica" w:cs="Arial"/>
          <w:b/>
        </w:rPr>
        <w:t xml:space="preserve"> (MRSA) carriage in MRSA-exposed household pets</w:t>
      </w:r>
    </w:p>
    <w:p w14:paraId="4291EA9D" w14:textId="1219F5C3" w:rsidR="009445D8" w:rsidRPr="00DE0A84" w:rsidRDefault="009445D8">
      <w:pPr>
        <w:rPr>
          <w:rFonts w:ascii="Helvetica" w:hAnsi="Helvetica"/>
        </w:rPr>
      </w:pPr>
    </w:p>
    <w:p w14:paraId="08F5EED1" w14:textId="2E4970E7" w:rsidR="008E7D25" w:rsidRPr="00DE0A84" w:rsidRDefault="008E7D25">
      <w:pPr>
        <w:rPr>
          <w:rFonts w:ascii="Helvetica" w:hAnsi="Helvetica"/>
        </w:rPr>
      </w:pPr>
    </w:p>
    <w:p w14:paraId="527D11A7" w14:textId="77777777" w:rsidR="00CD396A" w:rsidRPr="00DE0A84" w:rsidRDefault="00CD396A">
      <w:pPr>
        <w:rPr>
          <w:rFonts w:ascii="Helvetica" w:hAnsi="Helvetica"/>
        </w:rPr>
      </w:pPr>
    </w:p>
    <w:p w14:paraId="3A3F7328" w14:textId="3DE86144" w:rsidR="001A20F3" w:rsidRPr="00DE0A84" w:rsidRDefault="0056022B" w:rsidP="00471F71">
      <w:pPr>
        <w:spacing w:line="360" w:lineRule="auto"/>
        <w:rPr>
          <w:rFonts w:ascii="Helvetica" w:hAnsi="Helvetica"/>
        </w:rPr>
      </w:pPr>
      <w:r w:rsidRPr="00DE0A84">
        <w:rPr>
          <w:rFonts w:ascii="Helvetica" w:hAnsi="Helvetica" w:cs="Arial"/>
        </w:rPr>
        <w:t xml:space="preserve">Meticillin-resistant </w:t>
      </w:r>
      <w:r w:rsidRPr="00DE0A84">
        <w:rPr>
          <w:rFonts w:ascii="Helvetica" w:hAnsi="Helvetica" w:cs="Arial"/>
          <w:i/>
          <w:iCs/>
        </w:rPr>
        <w:t xml:space="preserve">Staphylococcus aureus </w:t>
      </w:r>
      <w:r w:rsidRPr="00DE0A84">
        <w:rPr>
          <w:rFonts w:ascii="Helvetica" w:hAnsi="Helvetica" w:cs="Arial"/>
        </w:rPr>
        <w:t>(MRSA), a drug-resistant Gram-positive bacterium, causes clinical disease in humans and animals.</w:t>
      </w:r>
      <w:r w:rsidRPr="00DE0A84">
        <w:rPr>
          <w:rFonts w:ascii="Helvetica" w:hAnsi="Helvetica" w:cs="Arial"/>
        </w:rPr>
        <w:fldChar w:fldCharType="begin" w:fldLock="1"/>
      </w:r>
      <w:r w:rsidRPr="00DE0A84">
        <w:rPr>
          <w:rFonts w:ascii="Helvetica" w:hAnsi="Helvetica" w:cs="Arial"/>
        </w:rPr>
        <w:instrText>ADDIN CSL_CITATION {"citationItems":[{"id":"ITEM-1","itemData":{"DOI":"10.1016/j.ijmm.2009.11.002 [doi]","ISBN":"1618-0607","PMID":"20005777","abstract":"The emergence of methicillin-resistant Staphylococcus aureus (MRSA) in animals such as horses, pet animals and productive livestock has raised questions of a probable human origin and in more general of host specificity of S. aureus. Particular clonal lineages are obviously specific for humans (e.g. ST15, ST25, ST45) and other for ruminants (e.g. ST151). MRSA associated with veterinary nosocomial infections (e.g. ST8 and ST254 in horses, ST22 in small animals) very likely have their origin in health care facilities. MRSA ST398 which became first known from widespread colonization in industrially raised pigs seems to have a limited host specificity and is able to colonize and to cause infections in various hosts. Mechanisms of host adaptation and their genomic background are poorly understood so far.","author":[{"dropping-particle":"","family":"Cuny","given":"C","non-dropping-particle":"","parse-names":false,"suffix":""},{"dropping-particle":"","family":"Friedrich","given":"A","non-dropping-particle":"","parse-names":false,"suffix":""},{"dropping-particle":"","family":"Kozytska","given":"S","non-dropping-particle":"","parse-names":false,"suffix":""},{"dropping-particle":"","family":"Layer","given":"F","non-dropping-particle":"","parse-names":false,"suffix":""},{"dropping-particle":"","family":"Nubel","given":"U","non-dropping-particle":"","parse-names":false,"suffix":""},{"dropping-particle":"","family":"Ohlsen","given":"K","non-dropping-particle":"","parse-names":false,"suffix":""},{"dropping-particle":"","family":"Strommenger","given":"B","non-dropping-particle":"","parse-names":false,"suffix":""},{"dropping-particle":"","family":"Walther","given":"B","non-dropping-particle":"","parse-names":false,"suffix":""},{"dropping-particle":"","family":"Wieler","given":"L","non-dropping-particle":"","parse-names":false,"suffix":""},{"dropping-particle":"","family":"Witte","given":"W","non-dropping-particle":"","parse-names":false,"suffix":""}],"container-title":"International journal of medical microbiology : IJMM","id":"ITEM-1","issue":"2-3","issued":{"date-parts":[["2010","2"]]},"note":"CI: Copyright 2009; JID: 100898849; RF: 118; 2009/12/16 [aheadofprint]; ppublish","page":"109-117","title":"Emergence of methicillin-resistant Staphylococcus aureus (MRSA) in different animal species","type":"article-journal","volume":"300"},"uris":["http://www.mendeley.com/documents/?uuid=61175f66-6a6c-446d-b402-59ac8b4b050f"]},{"id":"ITEM-2","itemData":{"DOI":"10.1016/j.vetmic.2009.01.039 [doi]","ISBN":"1873-2542","PMID":"19246166","abstract":"Staphylococci are important opportunistic pathogens in most animal species. Among the most relevant species are the coagulase positive species Staphylococcus aureus and Staphylococcus pseudintermedius. Methicillin resistance has emerged as an important problem in both of these organisms, with significant concerns about animal and public health. The relative importance of these staphylococci on different animal species varies, as do the concerns about zoonotic transmission, yet it is clear that both present a challenge to veterinary medicine.","author":[{"dropping-particle":"","family":"Weese","given":"J S","non-dropping-particle":"","parse-names":false,"suffix":""},{"dropping-particle":"","family":"Duijkeren","given":"E","non-dropping-particle":"van","parse-names":false,"suffix":""}],"container-title":"Veterinary microbiology","id":"ITEM-2","issue":"3-4","issued":{"date-parts":[["2010","1"]]},"note":"CI: Copyright 2009; JID: 7705469; RF: 126; 2008/11/06 [received]; 2009/01/09 [revised]; 2009/01/27 [accepted]; 2009/02/05 [aheadofprint]; ppublish","page":"418-429","title":"Methicillin-resistant Staphylococcus aureus and Staphylococcus pseudintermedius in veterinary medicine","type":"article-journal","volume":"140"},"uris":["http://www.mendeley.com/documents/?uuid=e42867dd-79a4-4aed-a2f2-d58e43ef3bd7"]}],"mendeley":{"formattedCitation":"&lt;sup&gt;1,2&lt;/sup&gt;","plainTextFormattedCitation":"1,2","previouslyFormattedCitation":"&lt;sup&gt;1,2&lt;/sup&gt;"},"properties":{"noteIndex":0},"schema":"https://github.com/citation-style-language/schema/raw/master/csl-citation.json"}</w:instrText>
      </w:r>
      <w:r w:rsidRPr="00DE0A84">
        <w:rPr>
          <w:rFonts w:ascii="Helvetica" w:hAnsi="Helvetica" w:cs="Arial"/>
        </w:rPr>
        <w:fldChar w:fldCharType="separate"/>
      </w:r>
      <w:r w:rsidRPr="00DE0A84">
        <w:rPr>
          <w:rFonts w:ascii="Helvetica" w:hAnsi="Helvetica" w:cs="Arial"/>
          <w:noProof/>
          <w:vertAlign w:val="superscript"/>
        </w:rPr>
        <w:t>1,2</w:t>
      </w:r>
      <w:r w:rsidRPr="00DE0A84">
        <w:rPr>
          <w:rFonts w:ascii="Helvetica" w:hAnsi="Helvetica" w:cs="Arial"/>
        </w:rPr>
        <w:fldChar w:fldCharType="end"/>
      </w:r>
      <w:r w:rsidRPr="00DE0A84">
        <w:rPr>
          <w:rFonts w:ascii="Helvetica" w:hAnsi="Helvetica" w:cs="Arial"/>
        </w:rPr>
        <w:t xml:space="preserve"> In the early 2010s, the MRSA strain USA300 </w:t>
      </w:r>
      <w:r w:rsidR="00105108" w:rsidRPr="00DE0A84">
        <w:rPr>
          <w:rFonts w:ascii="Helvetica" w:hAnsi="Helvetica" w:cs="Arial"/>
        </w:rPr>
        <w:t>[</w:t>
      </w:r>
      <w:r w:rsidRPr="00DE0A84">
        <w:rPr>
          <w:rFonts w:ascii="Helvetica" w:hAnsi="Helvetica" w:cs="Arial"/>
        </w:rPr>
        <w:t>typically staphylococcal protein A (</w:t>
      </w:r>
      <w:r w:rsidRPr="00DE0A84">
        <w:rPr>
          <w:rFonts w:ascii="Helvetica" w:hAnsi="Helvetica" w:cs="Arial"/>
          <w:i/>
          <w:iCs/>
        </w:rPr>
        <w:t>spa</w:t>
      </w:r>
      <w:r w:rsidRPr="00DE0A84">
        <w:rPr>
          <w:rFonts w:ascii="Helvetica" w:hAnsi="Helvetica" w:cs="Arial"/>
        </w:rPr>
        <w:t>-) type t008</w:t>
      </w:r>
      <w:r w:rsidR="00105108" w:rsidRPr="00DE0A84">
        <w:rPr>
          <w:rFonts w:ascii="Helvetica" w:hAnsi="Helvetica" w:cs="Arial"/>
        </w:rPr>
        <w:t>]</w:t>
      </w:r>
      <w:r w:rsidRPr="00DE0A84">
        <w:rPr>
          <w:rFonts w:ascii="Helvetica" w:hAnsi="Helvetica" w:cs="Arial"/>
        </w:rPr>
        <w:t xml:space="preserve"> was the major cause of human community-associated MRSA (CA-MRSA) infections in the USA.</w:t>
      </w:r>
      <w:r w:rsidRPr="00DE0A84">
        <w:rPr>
          <w:rFonts w:ascii="Helvetica" w:hAnsi="Helvetica" w:cs="Arial"/>
        </w:rPr>
        <w:fldChar w:fldCharType="begin" w:fldLock="1"/>
      </w:r>
      <w:r w:rsidRPr="00DE0A84">
        <w:rPr>
          <w:rFonts w:ascii="Helvetica" w:hAnsi="Helvetica" w:cs="Arial"/>
        </w:rPr>
        <w:instrText>ADDIN CSL_CITATION {"citationItems":[{"id":"ITEM-1","itemData":{"author":[{"dropping-particle":"","family":"Carrel","given":"M","non-dropping-particle":"","parse-names":false,"suffix":""},{"dropping-particle":"","family":"Perencevich","given":"E N","non-dropping-particle":"","parse-names":false,"suffix":""},{"dropping-particle":"","family":"David","given":"M Z","non-dropping-particle":"","parse-names":false,"suffix":""}],"container-title":"Emerging Infectious Diseases","id":"ITEM-1","issue":"11","issued":{"date-parts":[["2015"]]},"title":"USA300 Methicillin-Resistant Staphlococcus aureus, United States, 2000-2013","type":"article-journal","volume":"21"},"uris":["http://www.mendeley.com/documents/?uuid=cf392cdc-2f29-4b98-8830-82821677ad7b"]}],"mendeley":{"formattedCitation":"&lt;sup&gt;3&lt;/sup&gt;","plainTextFormattedCitation":"3","previouslyFormattedCitation":"&lt;sup&gt;3&lt;/sup&gt;"},"properties":{"noteIndex":0},"schema":"https://github.com/citation-style-language/schema/raw/master/csl-citation.json"}</w:instrText>
      </w:r>
      <w:r w:rsidRPr="00DE0A84">
        <w:rPr>
          <w:rFonts w:ascii="Helvetica" w:hAnsi="Helvetica" w:cs="Arial"/>
        </w:rPr>
        <w:fldChar w:fldCharType="separate"/>
      </w:r>
      <w:r w:rsidRPr="00DE0A84">
        <w:rPr>
          <w:rFonts w:ascii="Helvetica" w:hAnsi="Helvetica" w:cs="Arial"/>
          <w:noProof/>
          <w:vertAlign w:val="superscript"/>
        </w:rPr>
        <w:t>3</w:t>
      </w:r>
      <w:r w:rsidRPr="00DE0A84">
        <w:rPr>
          <w:rFonts w:ascii="Helvetica" w:hAnsi="Helvetica" w:cs="Arial"/>
        </w:rPr>
        <w:fldChar w:fldCharType="end"/>
      </w:r>
    </w:p>
    <w:p w14:paraId="1DCD1069" w14:textId="54BADEA5" w:rsidR="001A20F3" w:rsidRPr="00DE0A84" w:rsidRDefault="001A20F3">
      <w:pPr>
        <w:rPr>
          <w:rFonts w:ascii="Helvetica" w:hAnsi="Helvetica"/>
        </w:rPr>
      </w:pPr>
    </w:p>
    <w:p w14:paraId="1FFC54AF" w14:textId="77777777" w:rsidR="00CD396A" w:rsidRPr="00DE0A84" w:rsidRDefault="00CD396A">
      <w:pPr>
        <w:rPr>
          <w:rFonts w:ascii="Helvetica" w:hAnsi="Helvetica"/>
        </w:rPr>
      </w:pPr>
    </w:p>
    <w:p w14:paraId="6FF7CC7C" w14:textId="123CE91E" w:rsidR="00C86398" w:rsidRPr="00DE0A84" w:rsidRDefault="00105108" w:rsidP="001A20F3">
      <w:pPr>
        <w:spacing w:afterLines="120" w:after="288" w:line="360" w:lineRule="auto"/>
        <w:rPr>
          <w:rFonts w:ascii="Helvetica" w:hAnsi="Helvetica"/>
          <w:b/>
          <w:bCs/>
        </w:rPr>
      </w:pPr>
      <w:r w:rsidRPr="00DE0A84">
        <w:rPr>
          <w:rFonts w:ascii="Helvetica" w:hAnsi="Helvetica"/>
          <w:b/>
          <w:bCs/>
        </w:rPr>
        <w:t>METHODS S1</w:t>
      </w:r>
    </w:p>
    <w:p w14:paraId="30640C48" w14:textId="77777777" w:rsidR="001D46AE" w:rsidRPr="00DE0A84" w:rsidRDefault="001D46AE" w:rsidP="001D46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120" w:after="288" w:line="360" w:lineRule="auto"/>
        <w:rPr>
          <w:rFonts w:ascii="Helvetica" w:hAnsi="Helvetica" w:cs="Arial"/>
          <w:b/>
        </w:rPr>
      </w:pPr>
      <w:r w:rsidRPr="00DE0A84">
        <w:rPr>
          <w:rFonts w:ascii="Helvetica" w:hAnsi="Helvetica" w:cs="Arial"/>
          <w:b/>
        </w:rPr>
        <w:t>Human and animal subject protections</w:t>
      </w:r>
    </w:p>
    <w:p w14:paraId="1DF242F1" w14:textId="7AC8ED0F" w:rsidR="001D46AE" w:rsidRPr="00DE0A84" w:rsidRDefault="001D46AE" w:rsidP="001D46AE">
      <w:pPr>
        <w:pStyle w:val="Default"/>
        <w:spacing w:afterLines="120" w:after="288" w:line="360" w:lineRule="auto"/>
        <w:rPr>
          <w:rFonts w:ascii="Helvetica" w:hAnsi="Helvetica"/>
          <w:color w:val="auto"/>
        </w:rPr>
      </w:pPr>
      <w:r w:rsidRPr="00DE0A84">
        <w:rPr>
          <w:rFonts w:ascii="Helvetica" w:hAnsi="Helvetica"/>
          <w:color w:val="auto"/>
        </w:rPr>
        <w:t>Participants and pets were enrolled in the primary study or nested sub-study detailed here as described</w:t>
      </w:r>
      <w:r w:rsidR="00CA5013" w:rsidRPr="00DE0A84">
        <w:rPr>
          <w:rFonts w:ascii="Helvetica" w:hAnsi="Helvetica"/>
          <w:color w:val="auto"/>
        </w:rPr>
        <w:t xml:space="preserve"> previously</w:t>
      </w:r>
      <w:r w:rsidRPr="00DE0A84">
        <w:rPr>
          <w:rFonts w:ascii="Helvetica" w:hAnsi="Helvetica"/>
          <w:color w:val="auto"/>
        </w:rPr>
        <w:t>.</w:t>
      </w:r>
      <w:r w:rsidRPr="00DE0A84">
        <w:rPr>
          <w:rFonts w:ascii="Helvetica" w:hAnsi="Helvetica"/>
          <w:color w:val="auto"/>
        </w:rPr>
        <w:fldChar w:fldCharType="begin" w:fldLock="1"/>
      </w:r>
      <w:r w:rsidR="005968F9" w:rsidRPr="00DE0A84">
        <w:rPr>
          <w:rFonts w:ascii="Helvetica" w:hAnsi="Helvetica"/>
          <w:color w:val="auto"/>
        </w:rPr>
        <w:instrText>ADDIN CSL_CITATION {"citationItems":[{"id":"ITEM-1","itemData":{"DOI":"10.1017/ice.2016.138","ISSN":"0899-823X","abstract":"&lt;div class=\"abstract\" data-abstract-type=\"normal\"&gt;\n                &lt;sec secType='general' id='abs1'&gt;\n                   &lt;span class=\"bold\"&gt;OBJECTIVE&lt;/span&gt;\n                   &lt;p&gt;To determine the impact of total household decolonization with intranasal mupirocin and chlorhexidine gluconate body wash on recurrent methicillin-resistant &lt;span class='italic'&gt;Staphylococcus aureus&lt;/span&gt; (MRSA) infection among subjects with MRSA skin and soft-tissue infection.&lt;/p&gt;\n                &lt;/sec&gt;\n                &lt;sec secType='general' id='abs2'&gt;\n                   &lt;span class=\"bold\"&gt;DESIGN&lt;/span&gt;\n                   &lt;p&gt;Three-arm nonmasked randomized controlled trial.&lt;/p&gt;\n                &lt;/sec&gt;\n                &lt;sec secType='general' id='abs3'&gt;\n                   &lt;span class=\"bold\"&gt;SETTING&lt;/span&gt;\n                   &lt;p&gt;Five academic medical centers in Southeastern Pennsylvania.&lt;/p&gt;\n                &lt;/sec&gt;\n                &lt;sec secType='general' id='abs4'&gt;\n                   &lt;span class=\"bold\"&gt;PARTICIPANTS&lt;/span&gt;\n                   &lt;p&gt;Adults and children presenting to ambulatory care settings with community-onset MRSA skin and soft-tissue infection (ie, index cases) and their household members.&lt;/p&gt;\n                &lt;/sec&gt;\n                &lt;sec secType='general' id='abs5'&gt;\n                   &lt;span class=\"bold\"&gt;INTERVENTION&lt;/span&gt;\n                   &lt;p&gt;Enrolled households were randomized to 1 of 3 intervention groups: (1) education on routine hygiene measures, (2) education plus decolonization without reminders (intranasal mupirocin ointment twice daily for 7 days and chlorhexidine gluconate on the first and last day), or (3) education plus decolonization with reminders, where subjects received daily telephone call or text message reminders.&lt;/p&gt;\n                &lt;/sec&gt;\n                &lt;sec secType='general' id='abs6'&gt;\n                   &lt;span class=\"bold\"&gt;MAIN OUTCOME MEASURES&lt;/span&gt;\n                   &lt;p&gt;Owing to small numbers of recurrent infections, this analysis focused on time to clearance of colonization in the index case.&lt;/p&gt;\n                &lt;/sec&gt;\n                &lt;sec secType='results' id='abs7'&gt;\n                   &lt;span class=\"bold\"&gt;RESULTS&lt;/span&gt;\n                   &lt;p&gt;Of 223 households, 73 were randomized to education-only, 76 to decolonization without reminders, 74 to decolonization with reminders. There was no significant difference in time to clearance of colonization between the education-only and decolonization groups (log-rank &lt;span class='italic'&gt;P&lt;/span&gt;=.768). I…","author":[{"dropping-particle":"","family":"Cluzet","given":"Valerie C.","non-dropping-particle":"","parse-names":false,"suffix":""},{"dropping-particle":"","family":"Gerber","given":"Jeffrey S.","non-dropping-particle":"","parse-names":false,"suffix":""},{"dropping-particle":"","family":"Metlay","given":"Joshua P.","non-dropping-particle":"","parse-names":false,"suffix":""},{"dropping-particle":"","family":"Nachamkin","given":"Irving","non-dropping-particle":"","parse-names":false,"suffix":""},{"dropping-particle":"","family":"Zaoutis","given":"Theoklis E.","non-dropping-particle":"","parse-names":false,"suffix":""},{"dropping-particle":"","family":"Davis","given":"Meghan F.","non-dropping-particle":"","parse-names":false,"suffix":""},{"dropping-particle":"","family":"Julian","given":"Kathleen G.","non-dropping-particle":"","parse-names":false,"suffix":""},{"dropping-particle":"","family":"Linkin","given":"Darren R.","non-dropping-particle":"","parse-names":false,"suffix":""},{"dropping-particle":"","family":"Coffin","given":"Susan E.","non-dropping-particle":"","parse-names":false,"suffix":""},{"dropping-particle":"","family":"Margolis","given":"David J.","non-dropping-particle":"","parse-names":false,"suffix":""},{"dropping-particle":"","family":"Hollander","given":"Judd E.","non-dropping-particle":"","parse-names":false,"suffix":""},{"dropping-particle":"","family":"Bilker","given":"Warren B.","non-dropping-particle":"","parse-names":false,"suffix":""},{"dropping-particle":"","family":"Han","given":"Xiaoyan","non-dropping-particle":"","parse-names":false,"suffix":""},{"dropping-particle":"","family":"Mistry","given":"Rakesh D.","non-dropping-particle":"","parse-names":false,"suffix":""},{"dropping-particle":"","family":"Gavin","given":"Laurence J.","non-dropping-particle":"","parse-names":false,"suffix":""},{"dropping-particle":"","family":"Tolomeo","given":"Pam","non-dropping-particle":"","parse-names":false,"suffix":""},{"dropping-particle":"","family":"Wise","given":"Jacqueleen A.","non-dropping-particle":"","parse-names":false,"suffix":""},{"dropping-particle":"","family":"Wheeler","given":"Mary K.","non-dropping-particle":"","parse-names":false,"suffix":""},{"dropping-particle":"","family":"Hu","given":"Baofeng","non-dropping-particle":"","parse-names":false,"suffix":""},{"dropping-particle":"","family":"Fishman","given":"Neil O.","non-dropping-particle":"","parse-names":false,"suffix":""},{"dropping-particle":"","family":"Royer","given":"David","non-dropping-particle":"","parse-names":false,"suffix":""},{"dropping-particle":"","family":"Lautenbach","given":"Ebbing","non-dropping-particle":"","parse-names":false,"suffix":""},{"dropping-particle":"","family":"Program","given":"for the CDC Prevention Epicenters","non-dropping-particle":"","parse-names":false,"suffix":""}],"container-title":"Infection Control &amp; Hospital Epidemiology","id":"ITEM-1","issue":"10","issued":{"date-parts":[["2016","10","28"]]},"page":"1226-1233","publisher":"Cambridge University Press","title":"The Effect of Total Household Decolonization on Clearance of Colonization With Methicillin-Resistant &lt;i&gt;Staphylococcus aureus&lt;/i&gt;","type":"article-journal","volume":"37"},"uris":["http://www.mendeley.com/documents/?uuid=1fb07ab1-c504-37e4-bc65-63e8d1e60691"]},{"id":"ITEM-2","itemData":{"author":[{"dropping-particle":"","family":"Iverson","given":"S A","non-dropping-particle":"","parse-names":false,"suffix":""},{"dropping-particle":"","family":"Brazil","given":"A B","non-dropping-particle":"","parse-names":false,"suffix":""},{"dropping-particle":"","family":"Ferguson","given":"J M","non-dropping-particle":"","parse-names":false,"suffix":""},{"dropping-particle":"","family":"Nelson","given":"K","non-dropping-particle":"","parse-names":false,"suffix":""},{"dropping-particle":"","family":"Lautenbach","given":"E","non-dropping-particle":"","parse-names":false,"suffix":""},{"dropping-particle":"","family":"Rankin","given":"S C","non-dropping-particle":"","parse-names":false,"suffix":""},{"dropping-particle":"","family":"Morris","given":"D O","non-dropping-particle":"","parse-names":false,"suffix":""},{"dropping-particle":"","family":"Davis","given":"M F","non-dropping-particle":"","parse-names":false,"suffix":""}],"container-title":"Veterinary Microbiology","id":"ITEM-2","issue":"1-2","issued":{"date-parts":[["2015"]]},"page":"202-208","title":"Anatomical patterns of colonization of pets with staphylococcal species in homes of people with methicillin-resistant Staphylococcus aureus (MRSA) skin or soft tissue infection (SSTI)","type":"article-journal","volume":"176"},"uris":["http://www.mendeley.com/documents/?uuid=a6a4e3f6-1f5a-453f-abba-722c43af6433"]}],"mendeley":{"formattedCitation":"&lt;sup&gt;4,5&lt;/sup&gt;","plainTextFormattedCitation":"4,5","previouslyFormattedCitation":"&lt;sup&gt;4,5&lt;/sup&gt;"},"properties":{"noteIndex":0},"schema":"https://github.com/citation-style-language/schema/raw/master/csl-citation.json"}</w:instrText>
      </w:r>
      <w:r w:rsidRPr="00DE0A84">
        <w:rPr>
          <w:rFonts w:ascii="Helvetica" w:hAnsi="Helvetica"/>
          <w:color w:val="auto"/>
        </w:rPr>
        <w:fldChar w:fldCharType="separate"/>
      </w:r>
      <w:r w:rsidR="007B5891" w:rsidRPr="00DE0A84">
        <w:rPr>
          <w:rFonts w:ascii="Helvetica" w:hAnsi="Helvetica"/>
          <w:noProof/>
          <w:color w:val="auto"/>
          <w:vertAlign w:val="superscript"/>
        </w:rPr>
        <w:t>4,5</w:t>
      </w:r>
      <w:r w:rsidRPr="00DE0A84">
        <w:rPr>
          <w:rFonts w:ascii="Helvetica" w:hAnsi="Helvetica"/>
          <w:color w:val="auto"/>
        </w:rPr>
        <w:fldChar w:fldCharType="end"/>
      </w:r>
      <w:r w:rsidRPr="00DE0A84">
        <w:rPr>
          <w:rFonts w:ascii="Helvetica" w:hAnsi="Helvetica"/>
          <w:color w:val="auto"/>
        </w:rPr>
        <w:t xml:space="preserve"> This secondary data analysis was reviewed and approved by the</w:t>
      </w:r>
      <w:r w:rsidR="00E82B44" w:rsidRPr="00DE0A84">
        <w:rPr>
          <w:rFonts w:ascii="Helvetica" w:hAnsi="Helvetica"/>
          <w:color w:val="auto"/>
        </w:rPr>
        <w:t xml:space="preserve"> Johns Hopkins School of Public Health</w:t>
      </w:r>
      <w:r w:rsidRPr="00DE0A84">
        <w:rPr>
          <w:rFonts w:ascii="Helvetica" w:hAnsi="Helvetica"/>
          <w:color w:val="auto"/>
        </w:rPr>
        <w:t xml:space="preserve"> Institutional Review Board (IRB00006259). </w:t>
      </w:r>
    </w:p>
    <w:p w14:paraId="6D92B62F" w14:textId="0FAF205B" w:rsidR="001D46AE" w:rsidRPr="00DE0A84" w:rsidRDefault="001D46AE" w:rsidP="001A20F3">
      <w:pPr>
        <w:spacing w:afterLines="120" w:after="288" w:line="360" w:lineRule="auto"/>
        <w:rPr>
          <w:rFonts w:ascii="Helvetica" w:hAnsi="Helvetica"/>
          <w:b/>
          <w:bCs/>
        </w:rPr>
      </w:pPr>
      <w:r w:rsidRPr="00DE0A84">
        <w:rPr>
          <w:rFonts w:ascii="Helvetica" w:hAnsi="Helvetica"/>
          <w:b/>
          <w:bCs/>
        </w:rPr>
        <w:t>Household recruitment and questionnaire administration</w:t>
      </w:r>
    </w:p>
    <w:p w14:paraId="08FD3C3D" w14:textId="093B4579" w:rsidR="001D46AE" w:rsidRPr="00DE0A84" w:rsidRDefault="001D46AE" w:rsidP="001A20F3">
      <w:pPr>
        <w:spacing w:afterLines="120" w:after="288" w:line="360" w:lineRule="auto"/>
        <w:rPr>
          <w:rFonts w:ascii="Helvetica" w:hAnsi="Helvetica" w:cs="Arial"/>
        </w:rPr>
      </w:pPr>
      <w:r w:rsidRPr="00DE0A84">
        <w:rPr>
          <w:rFonts w:ascii="Helvetica" w:hAnsi="Helvetica" w:cs="Arial"/>
        </w:rPr>
        <w:t xml:space="preserve">PETS was a sub-study of a </w:t>
      </w:r>
      <w:r w:rsidR="00CA5013" w:rsidRPr="00DE0A84">
        <w:rPr>
          <w:rFonts w:ascii="Helvetica" w:hAnsi="Helvetica" w:cs="Arial"/>
        </w:rPr>
        <w:t xml:space="preserve">randomised </w:t>
      </w:r>
      <w:r w:rsidRPr="00DE0A84">
        <w:rPr>
          <w:rFonts w:ascii="Helvetica" w:hAnsi="Helvetica" w:cs="Arial"/>
        </w:rPr>
        <w:t xml:space="preserve">controlled trial (RCT; </w:t>
      </w:r>
      <w:r w:rsidR="00E82B44" w:rsidRPr="00DE0A84">
        <w:rPr>
          <w:rFonts w:ascii="Helvetica" w:hAnsi="Helvetica" w:cs="Arial"/>
        </w:rPr>
        <w:t>Epidemiology and Transmission of MRSA in the Community</w:t>
      </w:r>
      <w:r w:rsidRPr="00DE0A84">
        <w:rPr>
          <w:rFonts w:ascii="Helvetica" w:hAnsi="Helvetica" w:cs="Arial"/>
        </w:rPr>
        <w:t xml:space="preserve">, NCT00966446) which evaluated the effectiveness of MRSA decontamination through sampling household members for MRSA at bi-weekly home visits for six months. </w:t>
      </w:r>
    </w:p>
    <w:p w14:paraId="40FBB394" w14:textId="41E4F186" w:rsidR="001D46AE" w:rsidRPr="00DE0A84" w:rsidRDefault="001D46AE" w:rsidP="001D46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120" w:after="288" w:line="360" w:lineRule="auto"/>
        <w:rPr>
          <w:rFonts w:ascii="Helvetica" w:hAnsi="Helvetica" w:cs="Arial"/>
        </w:rPr>
      </w:pPr>
      <w:r w:rsidRPr="00DE0A84">
        <w:rPr>
          <w:rFonts w:ascii="Helvetica" w:hAnsi="Helvetica" w:cs="Arial"/>
        </w:rPr>
        <w:t xml:space="preserve">Verbal questionnaires about medications, pet-related characteristics, and environmental factors were conducted at each PETS visit using an </w:t>
      </w:r>
      <w:r w:rsidRPr="00DE0A84">
        <w:rPr>
          <w:rFonts w:ascii="Helvetica" w:hAnsi="Helvetica" w:cs="Arial"/>
          <w:smallCaps/>
        </w:rPr>
        <w:t>iFormBuilder</w:t>
      </w:r>
      <w:r w:rsidRPr="00DE0A84">
        <w:rPr>
          <w:rFonts w:ascii="Helvetica" w:hAnsi="Helvetica" w:cs="Arial"/>
        </w:rPr>
        <w:t xml:space="preserve"> (iFormBuilder</w:t>
      </w:r>
      <w:r w:rsidR="00CA5013" w:rsidRPr="00DE0A84">
        <w:rPr>
          <w:rFonts w:ascii="Helvetica" w:hAnsi="Helvetica" w:cs="Arial"/>
        </w:rPr>
        <w:t xml:space="preserve">; </w:t>
      </w:r>
      <w:r w:rsidRPr="00DE0A84">
        <w:rPr>
          <w:rFonts w:ascii="Helvetica" w:hAnsi="Helvetica" w:cs="Arial"/>
        </w:rPr>
        <w:t>Herndon, VA</w:t>
      </w:r>
      <w:r w:rsidR="00CA5013" w:rsidRPr="00DE0A84">
        <w:rPr>
          <w:rFonts w:ascii="Helvetica" w:hAnsi="Helvetica" w:cs="Arial"/>
        </w:rPr>
        <w:t>, USA</w:t>
      </w:r>
      <w:r w:rsidRPr="00DE0A84">
        <w:rPr>
          <w:rFonts w:ascii="Helvetica" w:hAnsi="Helvetica" w:cs="Arial"/>
        </w:rPr>
        <w:t>) survey application for iPad (Apple, Cupertino, CA</w:t>
      </w:r>
      <w:r w:rsidR="00CA5013" w:rsidRPr="00DE0A84">
        <w:rPr>
          <w:rFonts w:ascii="Helvetica" w:hAnsi="Helvetica" w:cs="Arial"/>
        </w:rPr>
        <w:t>, USA</w:t>
      </w:r>
      <w:r w:rsidRPr="00DE0A84">
        <w:rPr>
          <w:rFonts w:ascii="Helvetica" w:hAnsi="Helvetica" w:cs="Arial"/>
        </w:rPr>
        <w:t xml:space="preserve">). </w:t>
      </w:r>
    </w:p>
    <w:p w14:paraId="661EA70E" w14:textId="43FCC29E" w:rsidR="001D46AE" w:rsidRPr="00DE0A84" w:rsidRDefault="001D46AE" w:rsidP="001D46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120" w:after="288" w:line="360" w:lineRule="auto"/>
        <w:rPr>
          <w:rFonts w:ascii="Helvetica" w:hAnsi="Helvetica" w:cs="Arial"/>
        </w:rPr>
      </w:pPr>
      <w:r w:rsidRPr="00DE0A84">
        <w:rPr>
          <w:rFonts w:ascii="Helvetica" w:hAnsi="Helvetica" w:cs="Arial"/>
        </w:rPr>
        <w:t xml:space="preserve">Human participants provided written informed consent for their participation in the study. Pet sampling was approved by the </w:t>
      </w:r>
      <w:r w:rsidR="00E82B44" w:rsidRPr="00DE0A84">
        <w:rPr>
          <w:rFonts w:ascii="Helvetica" w:hAnsi="Helvetica" w:cs="Arial"/>
        </w:rPr>
        <w:t>Johns Hopkins School of Public Health</w:t>
      </w:r>
      <w:r w:rsidRPr="00DE0A84">
        <w:rPr>
          <w:rFonts w:ascii="Helvetica" w:hAnsi="Helvetica" w:cs="Arial"/>
        </w:rPr>
        <w:t xml:space="preserve"> Animal Care and Use Committee (ACUC), and pet owners provided written informed consent. </w:t>
      </w:r>
      <w:r w:rsidRPr="00DE0A84">
        <w:rPr>
          <w:rFonts w:ascii="Helvetica" w:hAnsi="Helvetica" w:cs="Arial"/>
        </w:rPr>
        <w:lastRenderedPageBreak/>
        <w:t xml:space="preserve">Human index patients diagnosed around one month previously with CA-MRSA SSTI, their cohabitating family members, and their domestic animals were enrolled. </w:t>
      </w:r>
    </w:p>
    <w:p w14:paraId="76AA4467" w14:textId="77777777" w:rsidR="00CF4B6D" w:rsidRPr="00DE0A84" w:rsidRDefault="00CF4B6D" w:rsidP="00CF4B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120" w:after="288" w:line="360" w:lineRule="auto"/>
        <w:rPr>
          <w:rFonts w:ascii="Helvetica" w:hAnsi="Helvetica" w:cs="Arial"/>
          <w:b/>
        </w:rPr>
      </w:pPr>
      <w:r w:rsidRPr="00DE0A84">
        <w:rPr>
          <w:rFonts w:ascii="Helvetica" w:hAnsi="Helvetica" w:cs="Arial"/>
          <w:b/>
        </w:rPr>
        <w:t>Pet sampling</w:t>
      </w:r>
    </w:p>
    <w:p w14:paraId="7D0F18E7" w14:textId="7D47D1C6" w:rsidR="00CF4B6D" w:rsidRPr="00DE0A84" w:rsidRDefault="00CF4B6D" w:rsidP="00CF4B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120" w:after="288" w:line="360" w:lineRule="auto"/>
        <w:rPr>
          <w:rFonts w:ascii="Helvetica" w:hAnsi="Helvetica" w:cs="Arial"/>
        </w:rPr>
      </w:pPr>
      <w:r w:rsidRPr="00DE0A84">
        <w:rPr>
          <w:rFonts w:ascii="Helvetica" w:hAnsi="Helvetica" w:cs="Arial"/>
        </w:rPr>
        <w:t xml:space="preserve">One hundred </w:t>
      </w:r>
      <w:r w:rsidR="00CA5013" w:rsidRPr="00DE0A84">
        <w:rPr>
          <w:rFonts w:ascii="Helvetica" w:hAnsi="Helvetica" w:cs="Arial"/>
        </w:rPr>
        <w:t xml:space="preserve">and </w:t>
      </w:r>
      <w:r w:rsidRPr="00DE0A84">
        <w:rPr>
          <w:rFonts w:ascii="Helvetica" w:hAnsi="Helvetica" w:cs="Arial"/>
        </w:rPr>
        <w:t xml:space="preserve">eighty-four pets were enrolled, of which 179 (97.3%) were sampled at baseline for bacterial culture. See </w:t>
      </w:r>
      <w:r w:rsidRPr="00DE0A84">
        <w:rPr>
          <w:rFonts w:ascii="Helvetica" w:hAnsi="Helvetica" w:cs="Arial"/>
          <w:bCs/>
        </w:rPr>
        <w:t>Table S1</w:t>
      </w:r>
      <w:r w:rsidRPr="00DE0A84">
        <w:rPr>
          <w:rFonts w:ascii="Helvetica" w:hAnsi="Helvetica" w:cs="Arial"/>
        </w:rPr>
        <w:t xml:space="preserve"> for animal population description. </w:t>
      </w:r>
      <w:r w:rsidR="002F3CAC" w:rsidRPr="00DE0A84">
        <w:rPr>
          <w:rFonts w:ascii="Helvetica" w:hAnsi="Helvetica" w:cs="Arial"/>
        </w:rPr>
        <w:t>Four individual (nonpooled) swabs were taken from each pet as described</w:t>
      </w:r>
      <w:r w:rsidR="00CA5013" w:rsidRPr="00DE0A84">
        <w:rPr>
          <w:rFonts w:ascii="Helvetica" w:hAnsi="Helvetica" w:cs="Arial"/>
        </w:rPr>
        <w:t xml:space="preserve"> previously</w:t>
      </w:r>
      <w:r w:rsidR="002F3CAC" w:rsidRPr="00DE0A84">
        <w:rPr>
          <w:rFonts w:ascii="Helvetica" w:hAnsi="Helvetica" w:cs="Arial"/>
        </w:rPr>
        <w:t>.</w:t>
      </w:r>
      <w:r w:rsidR="002F3CAC" w:rsidRPr="00DE0A84">
        <w:rPr>
          <w:rFonts w:ascii="Helvetica" w:hAnsi="Helvetica" w:cs="Arial"/>
        </w:rPr>
        <w:fldChar w:fldCharType="begin" w:fldLock="1"/>
      </w:r>
      <w:r w:rsidR="00EA1562" w:rsidRPr="00DE0A84">
        <w:rPr>
          <w:rFonts w:ascii="Helvetica" w:hAnsi="Helvetica" w:cs="Arial"/>
        </w:rPr>
        <w:instrText>ADDIN CSL_CITATION {"citationItems":[{"id":"ITEM-1","itemData":{"author":[{"dropping-particle":"","family":"Iverson","given":"S A","non-dropping-particle":"","parse-names":false,"suffix":""},{"dropping-particle":"","family":"Brazil","given":"A B","non-dropping-particle":"","parse-names":false,"suffix":""},{"dropping-particle":"","family":"Ferguson","given":"J M","non-dropping-particle":"","parse-names":false,"suffix":""},{"dropping-particle":"","family":"Nelson","given":"K","non-dropping-particle":"","parse-names":false,"suffix":""},{"dropping-particle":"","family":"Lautenbach","given":"E","non-dropping-particle":"","parse-names":false,"suffix":""},{"dropping-particle":"","family":"Rankin","given":"S C","non-dropping-particle":"","parse-names":false,"suffix":""},{"dropping-particle":"","family":"Morris","given":"D O","non-dropping-particle":"","parse-names":false,"suffix":""},{"dropping-particle":"","family":"Davis","given":"M F","non-dropping-particle":"","parse-names":false,"suffix":""}],"container-title":"Veterinary Microbiology","id":"ITEM-1","issue":"1-2","issued":{"date-parts":[["2015"]]},"page":"202-208","title":"Anatomical patterns of colonization of pets with staphylococcal species in homes of people with methicillin-resistant Staphylococcus aureus (MRSA) skin or soft tissue infection (SSTI)","type":"article-journal","volume":"176"},"uris":["http://www.mendeley.com/documents/?uuid=a6a4e3f6-1f5a-453f-abba-722c43af6433"]}],"mendeley":{"formattedCitation":"&lt;sup&gt;5&lt;/sup&gt;","plainTextFormattedCitation":"5","previouslyFormattedCitation":"&lt;sup&gt;5&lt;/sup&gt;"},"properties":{"noteIndex":0},"schema":"https://github.com/citation-style-language/schema/raw/master/csl-citation.json"}</w:instrText>
      </w:r>
      <w:r w:rsidR="002F3CAC" w:rsidRPr="00DE0A84">
        <w:rPr>
          <w:rFonts w:ascii="Helvetica" w:hAnsi="Helvetica" w:cs="Arial"/>
        </w:rPr>
        <w:fldChar w:fldCharType="separate"/>
      </w:r>
      <w:r w:rsidR="005968F9" w:rsidRPr="00DE0A84">
        <w:rPr>
          <w:rFonts w:ascii="Helvetica" w:hAnsi="Helvetica" w:cs="Arial"/>
          <w:noProof/>
          <w:vertAlign w:val="superscript"/>
        </w:rPr>
        <w:t>5</w:t>
      </w:r>
      <w:r w:rsidR="002F3CAC" w:rsidRPr="00DE0A84">
        <w:rPr>
          <w:rFonts w:ascii="Helvetica" w:hAnsi="Helvetica" w:cs="Arial"/>
        </w:rPr>
        <w:fldChar w:fldCharType="end"/>
      </w:r>
    </w:p>
    <w:p w14:paraId="47D66835" w14:textId="47479AEE" w:rsidR="00623D92" w:rsidRPr="00DE0A84" w:rsidRDefault="00623D92" w:rsidP="00CF4B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120" w:after="288" w:line="360" w:lineRule="auto"/>
        <w:rPr>
          <w:rFonts w:ascii="Helvetica" w:hAnsi="Helvetica" w:cs="Arial"/>
        </w:rPr>
      </w:pPr>
      <w:r w:rsidRPr="00DE0A84">
        <w:rPr>
          <w:rFonts w:ascii="Helvetica" w:hAnsi="Helvetica" w:cs="Arial"/>
        </w:rPr>
        <w:t>At each household visit, all pets were sampled using dry culture swabs with transport media (BBL Culture Swabs, BD</w:t>
      </w:r>
      <w:r w:rsidR="00CA5013" w:rsidRPr="00DE0A84">
        <w:rPr>
          <w:rFonts w:ascii="Helvetica" w:hAnsi="Helvetica" w:cs="Arial"/>
        </w:rPr>
        <w:t xml:space="preserve">; </w:t>
      </w:r>
      <w:r w:rsidRPr="00DE0A84">
        <w:rPr>
          <w:rFonts w:ascii="Helvetica" w:hAnsi="Helvetica" w:cs="Arial"/>
        </w:rPr>
        <w:t>Franklin Lakes, NJ, USA). Pet samples were taken at the nares or nasal planum, the tongue, gingiva or hard palate, and inguinal and perineal regions.</w:t>
      </w:r>
    </w:p>
    <w:p w14:paraId="6215271C" w14:textId="3AE90705" w:rsidR="00857C18" w:rsidRPr="00DE0A84" w:rsidRDefault="00857C18" w:rsidP="00CF4B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120" w:after="288" w:line="360" w:lineRule="auto"/>
        <w:rPr>
          <w:rFonts w:ascii="Helvetica" w:hAnsi="Helvetica" w:cs="Arial"/>
          <w:b/>
          <w:bCs/>
        </w:rPr>
      </w:pPr>
      <w:r w:rsidRPr="00DE0A84">
        <w:rPr>
          <w:rFonts w:ascii="Helvetica" w:hAnsi="Helvetica" w:cs="Arial"/>
          <w:b/>
          <w:bCs/>
        </w:rPr>
        <w:t>Environmental sampling</w:t>
      </w:r>
    </w:p>
    <w:p w14:paraId="6F71A864" w14:textId="6A14AFD0" w:rsidR="00857C18" w:rsidRPr="00DE0A84" w:rsidRDefault="00CE3F56" w:rsidP="00CF4B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120" w:after="288" w:line="360" w:lineRule="auto"/>
        <w:rPr>
          <w:rFonts w:ascii="Helvetica" w:hAnsi="Helvetica" w:cs="Arial"/>
        </w:rPr>
      </w:pPr>
      <w:r w:rsidRPr="00DE0A84">
        <w:rPr>
          <w:rFonts w:ascii="Helvetica" w:hAnsi="Helvetica" w:cs="Arial"/>
        </w:rPr>
        <w:t>Sites of e</w:t>
      </w:r>
      <w:r w:rsidR="00857C18" w:rsidRPr="00DE0A84">
        <w:rPr>
          <w:rFonts w:ascii="Helvetica" w:hAnsi="Helvetica" w:cs="Arial"/>
        </w:rPr>
        <w:t xml:space="preserve">nvironmental surface </w:t>
      </w:r>
      <w:r w:rsidRPr="00DE0A84">
        <w:rPr>
          <w:rFonts w:ascii="Helvetica" w:hAnsi="Helvetica" w:cs="Arial"/>
        </w:rPr>
        <w:t xml:space="preserve">dust </w:t>
      </w:r>
      <w:r w:rsidR="00857C18" w:rsidRPr="00DE0A84">
        <w:rPr>
          <w:rFonts w:ascii="Helvetica" w:hAnsi="Helvetica" w:cs="Arial"/>
        </w:rPr>
        <w:t xml:space="preserve">sampling included: (1) the top of the refrigerator, (2) the handle of the refrigerator, (3) the top of the television, (4) the television remote, (5) a kitchen towel, (6) the bathroom faucet handle, (7) the index patient’s pillow, (8) the dusty surface of the headboard of the bed, and (9) any pet bedding, crates or cages. </w:t>
      </w:r>
    </w:p>
    <w:p w14:paraId="6499DC1F" w14:textId="77777777" w:rsidR="00CF4B6D" w:rsidRPr="00DE0A84" w:rsidRDefault="00CF4B6D" w:rsidP="00CF4B6D">
      <w:pPr>
        <w:widowControl w:val="0"/>
        <w:autoSpaceDE w:val="0"/>
        <w:autoSpaceDN w:val="0"/>
        <w:adjustRightInd w:val="0"/>
        <w:spacing w:afterLines="120" w:after="288" w:line="360" w:lineRule="auto"/>
        <w:rPr>
          <w:rFonts w:ascii="Helvetica" w:hAnsi="Helvetica" w:cs="Arial"/>
        </w:rPr>
      </w:pPr>
      <w:r w:rsidRPr="00DE0A84">
        <w:rPr>
          <w:rFonts w:ascii="Helvetica" w:hAnsi="Helvetica" w:cs="Arial"/>
          <w:b/>
        </w:rPr>
        <w:t>Human index case and family member sampling</w:t>
      </w:r>
    </w:p>
    <w:p w14:paraId="7D9E736A" w14:textId="529E31A7" w:rsidR="00CF4B6D" w:rsidRPr="00DE0A84" w:rsidRDefault="00CF4B6D" w:rsidP="00CF4B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120" w:after="288" w:line="360" w:lineRule="auto"/>
        <w:rPr>
          <w:rFonts w:ascii="Helvetica" w:hAnsi="Helvetica" w:cs="Arial"/>
        </w:rPr>
      </w:pPr>
      <w:r w:rsidRPr="00DE0A84">
        <w:rPr>
          <w:rFonts w:ascii="Helvetica" w:hAnsi="Helvetica" w:cs="Arial"/>
        </w:rPr>
        <w:t>Eswabs (Copan Diagnostics</w:t>
      </w:r>
      <w:r w:rsidR="00CA5013" w:rsidRPr="00DE0A84">
        <w:rPr>
          <w:rFonts w:ascii="Helvetica" w:hAnsi="Helvetica" w:cs="Arial"/>
        </w:rPr>
        <w:t xml:space="preserve">; </w:t>
      </w:r>
      <w:r w:rsidRPr="00DE0A84">
        <w:rPr>
          <w:rFonts w:ascii="Helvetica" w:hAnsi="Helvetica" w:cs="Arial"/>
        </w:rPr>
        <w:t>Murrieta, CA, USA) were used to sample from up to three sites</w:t>
      </w:r>
      <w:r w:rsidR="00CA5013" w:rsidRPr="00DE0A84">
        <w:rPr>
          <w:rFonts w:ascii="Helvetica" w:hAnsi="Helvetica" w:cs="Arial"/>
        </w:rPr>
        <w:t> – </w:t>
      </w:r>
      <w:r w:rsidRPr="00DE0A84">
        <w:rPr>
          <w:rFonts w:ascii="Helvetica" w:hAnsi="Helvetica" w:cs="Arial"/>
        </w:rPr>
        <w:t>nares, axillae/groin, and the healed lesion site (index patients only</w:t>
      </w:r>
      <w:r w:rsidR="00CA5013" w:rsidRPr="00DE0A84">
        <w:rPr>
          <w:rFonts w:ascii="Helvetica" w:hAnsi="Helvetica" w:cs="Arial"/>
        </w:rPr>
        <w:t>) – </w:t>
      </w:r>
      <w:r w:rsidRPr="00DE0A84">
        <w:rPr>
          <w:rFonts w:ascii="Helvetica" w:hAnsi="Helvetica" w:cs="Arial"/>
        </w:rPr>
        <w:t>to test for human carriage of MRSA by culture as described</w:t>
      </w:r>
      <w:r w:rsidR="00CA5013" w:rsidRPr="00DE0A84">
        <w:rPr>
          <w:rFonts w:ascii="Helvetica" w:hAnsi="Helvetica" w:cs="Arial"/>
        </w:rPr>
        <w:t xml:space="preserve"> previously</w:t>
      </w:r>
      <w:r w:rsidRPr="00DE0A84">
        <w:rPr>
          <w:rFonts w:ascii="Helvetica" w:hAnsi="Helvetica" w:cs="Arial"/>
        </w:rPr>
        <w:t>.</w:t>
      </w:r>
      <w:r w:rsidRPr="00DE0A84">
        <w:rPr>
          <w:rFonts w:ascii="Helvetica" w:hAnsi="Helvetica" w:cs="Arial"/>
        </w:rPr>
        <w:fldChar w:fldCharType="begin" w:fldLock="1"/>
      </w:r>
      <w:r w:rsidR="005968F9" w:rsidRPr="00DE0A84">
        <w:rPr>
          <w:rFonts w:ascii="Helvetica" w:hAnsi="Helvetica" w:cs="Arial"/>
        </w:rPr>
        <w:instrText>ADDIN CSL_CITATION {"citationItems":[{"id":"ITEM-1","itemData":{"DOI":"10.1017/ice.2016.138","ISSN":"0899-823X","abstract":"&lt;div class=\"abstract\" data-abstract-type=\"normal\"&gt;\n                &lt;sec secType='general' id='abs1'&gt;\n                   &lt;span class=\"bold\"&gt;OBJECTIVE&lt;/span&gt;\n                   &lt;p&gt;To determine the impact of total household decolonization with intranasal mupirocin and chlorhexidine gluconate body wash on recurrent methicillin-resistant &lt;span class='italic'&gt;Staphylococcus aureus&lt;/span&gt; (MRSA) infection among subjects with MRSA skin and soft-tissue infection.&lt;/p&gt;\n                &lt;/sec&gt;\n                &lt;sec secType='general' id='abs2'&gt;\n                   &lt;span class=\"bold\"&gt;DESIGN&lt;/span&gt;\n                   &lt;p&gt;Three-arm nonmasked randomized controlled trial.&lt;/p&gt;\n                &lt;/sec&gt;\n                &lt;sec secType='general' id='abs3'&gt;\n                   &lt;span class=\"bold\"&gt;SETTING&lt;/span&gt;\n                   &lt;p&gt;Five academic medical centers in Southeastern Pennsylvania.&lt;/p&gt;\n                &lt;/sec&gt;\n                &lt;sec secType='general' id='abs4'&gt;\n                   &lt;span class=\"bold\"&gt;PARTICIPANTS&lt;/span&gt;\n                   &lt;p&gt;Adults and children presenting to ambulatory care settings with community-onset MRSA skin and soft-tissue infection (ie, index cases) and their household members.&lt;/p&gt;\n                &lt;/sec&gt;\n                &lt;sec secType='general' id='abs5'&gt;\n                   &lt;span class=\"bold\"&gt;INTERVENTION&lt;/span&gt;\n                   &lt;p&gt;Enrolled households were randomized to 1 of 3 intervention groups: (1) education on routine hygiene measures, (2) education plus decolonization without reminders (intranasal mupirocin ointment twice daily for 7 days and chlorhexidine gluconate on the first and last day), or (3) education plus decolonization with reminders, where subjects received daily telephone call or text message reminders.&lt;/p&gt;\n                &lt;/sec&gt;\n                &lt;sec secType='general' id='abs6'&gt;\n                   &lt;span class=\"bold\"&gt;MAIN OUTCOME MEASURES&lt;/span&gt;\n                   &lt;p&gt;Owing to small numbers of recurrent infections, this analysis focused on time to clearance of colonization in the index case.&lt;/p&gt;\n                &lt;/sec&gt;\n                &lt;sec secType='results' id='abs7'&gt;\n                   &lt;span class=\"bold\"&gt;RESULTS&lt;/span&gt;\n                   &lt;p&gt;Of 223 households, 73 were randomized to education-only, 76 to decolonization without reminders, 74 to decolonization with reminders. There was no significant difference in time to clearance of colonization between the education-only and decolonization groups (log-rank &lt;span class='italic'&gt;P&lt;/span&gt;=.768). I…","author":[{"dropping-particle":"","family":"Cluzet","given":"Valerie C.","non-dropping-particle":"","parse-names":false,"suffix":""},{"dropping-particle":"","family":"Gerber","given":"Jeffrey S.","non-dropping-particle":"","parse-names":false,"suffix":""},{"dropping-particle":"","family":"Metlay","given":"Joshua P.","non-dropping-particle":"","parse-names":false,"suffix":""},{"dropping-particle":"","family":"Nachamkin","given":"Irving","non-dropping-particle":"","parse-names":false,"suffix":""},{"dropping-particle":"","family":"Zaoutis","given":"Theoklis E.","non-dropping-particle":"","parse-names":false,"suffix":""},{"dropping-particle":"","family":"Davis","given":"Meghan F.","non-dropping-particle":"","parse-names":false,"suffix":""},{"dropping-particle":"","family":"Julian","given":"Kathleen G.","non-dropping-particle":"","parse-names":false,"suffix":""},{"dropping-particle":"","family":"Linkin","given":"Darren R.","non-dropping-particle":"","parse-names":false,"suffix":""},{"dropping-particle":"","family":"Coffin","given":"Susan E.","non-dropping-particle":"","parse-names":false,"suffix":""},{"dropping-particle":"","family":"Margolis","given":"David J.","non-dropping-particle":"","parse-names":false,"suffix":""},{"dropping-particle":"","family":"Hollander","given":"Judd E.","non-dropping-particle":"","parse-names":false,"suffix":""},{"dropping-particle":"","family":"Bilker","given":"Warren B.","non-dropping-particle":"","parse-names":false,"suffix":""},{"dropping-particle":"","family":"Han","given":"Xiaoyan","non-dropping-particle":"","parse-names":false,"suffix":""},{"dropping-particle":"","family":"Mistry","given":"Rakesh D.","non-dropping-particle":"","parse-names":false,"suffix":""},{"dropping-particle":"","family":"Gavin","given":"Laurence J.","non-dropping-particle":"","parse-names":false,"suffix":""},{"dropping-particle":"","family":"Tolomeo","given":"Pam","non-dropping-particle":"","parse-names":false,"suffix":""},{"dropping-particle":"","family":"Wise","given":"Jacqueleen A.","non-dropping-particle":"","parse-names":false,"suffix":""},{"dropping-particle":"","family":"Wheeler","given":"Mary K.","non-dropping-particle":"","parse-names":false,"suffix":""},{"dropping-particle":"","family":"Hu","given":"Baofeng","non-dropping-particle":"","parse-names":false,"suffix":""},{"dropping-particle":"","family":"Fishman","given":"Neil O.","non-dropping-particle":"","parse-names":false,"suffix":""},{"dropping-particle":"","family":"Royer","given":"David","non-dropping-particle":"","parse-names":false,"suffix":""},{"dropping-particle":"","family":"Lautenbach","given":"Ebbing","non-dropping-particle":"","parse-names":false,"suffix":""},{"dropping-particle":"","family":"Program","given":"for the CDC Prevention Epicenters","non-dropping-particle":"","parse-names":false,"suffix":""}],"container-title":"Infection Control &amp; Hospital Epidemiology","id":"ITEM-1","issue":"10","issued":{"date-parts":[["2016","10","28"]]},"page":"1226-1233","publisher":"Cambridge University Press","title":"The Effect of Total Household Decolonization on Clearance of Colonization With Methicillin-Resistant &lt;i&gt;Staphylococcus aureus&lt;/i&gt;","type":"article-journal","volume":"37"},"uris":["http://www.mendeley.com/documents/?uuid=1fb07ab1-c504-37e4-bc65-63e8d1e60691"]},{"id":"ITEM-2","itemData":{"DOI":"10.1128/JCM.00132-16","ISSN":"1098660X","abstract":"Two screening methods to detect staphylococcal colonization in humans were compared. Direct plating to CHROMagar (BD Diagnostics) was compared to a broth preenrichment followed by plating to Baird-Parker agar. The broth-enrichment method was comparable to CHROMagar for methicillin-resistant Staphylococcus aureas (MRSA) detection, but the enrichment method was optimum for recovery of coagulase-positive Staphylococcus spp.","author":[{"dropping-particle":"","family":"Davis","given":"Meghan F.","non-dropping-particle":"","parse-names":false,"suffix":""},{"dropping-particle":"","family":"Hu","given":"Baofeng","non-dropping-particle":"","parse-names":false,"suffix":""},{"dropping-particle":"","family":"Carroll","given":"Karen C.","non-dropping-particle":"","parse-names":false,"suffix":""},{"dropping-particle":"","family":"Bilker","given":"Warren B.","non-dropping-particle":"","parse-names":false,"suffix":""},{"dropping-particle":"","family":"Tolomeo","given":"Pam","non-dropping-particle":"","parse-names":false,"suffix":""},{"dropping-particle":"","family":"Cluzet","given":"Valerie C.","non-dropping-particle":"","parse-names":false,"suffix":""},{"dropping-particle":"","family":"Baron","given":"Patrick","non-dropping-particle":"","parse-names":false,"suffix":""},{"dropping-particle":"","family":"Ferguson","given":"Jacqueline M.","non-dropping-particle":"","parse-names":false,"suffix":""},{"dropping-particle":"","family":"Morris","given":"Daniel O.","non-dropping-particle":"","parse-names":false,"suffix":""},{"dropping-particle":"","family":"Rankin","given":"Shelley C.","non-dropping-particle":"","parse-names":false,"suffix":""},{"dropping-particle":"","family":"Lautenbach","given":"Ebbing","non-dropping-particle":"","parse-names":false,"suffix":""},{"dropping-particle":"","family":"Nachamkin","given":"Irving","non-dropping-particle":"","parse-names":false,"suffix":""}],"container-title":"Journal of Clinical Microbiology","id":"ITEM-2","issue":"7","issued":{"date-parts":[["2016"]]},"page":"1907-1911","title":"Comparison of culture-based methods for identification of colonization with methicillin-resistant and methicillin-susceptible staphylococcus aureus in the context of cocolonization","type":"article-journal","volume":"54"},"uris":["http://www.mendeley.com/documents/?uuid=7d2a6f4b-8ff5-408d-bb4f-c3e3c69f5325"]}],"mendeley":{"formattedCitation":"&lt;sup&gt;4,6&lt;/sup&gt;","plainTextFormattedCitation":"4,6","previouslyFormattedCitation":"&lt;sup&gt;4,6&lt;/sup&gt;"},"properties":{"noteIndex":0},"schema":"https://github.com/citation-style-language/schema/raw/master/csl-citation.json"}</w:instrText>
      </w:r>
      <w:r w:rsidRPr="00DE0A84">
        <w:rPr>
          <w:rFonts w:ascii="Helvetica" w:hAnsi="Helvetica" w:cs="Arial"/>
        </w:rPr>
        <w:fldChar w:fldCharType="separate"/>
      </w:r>
      <w:r w:rsidR="007B5891" w:rsidRPr="00DE0A84">
        <w:rPr>
          <w:rFonts w:ascii="Helvetica" w:hAnsi="Helvetica" w:cs="Arial"/>
          <w:noProof/>
          <w:vertAlign w:val="superscript"/>
        </w:rPr>
        <w:t>4,6</w:t>
      </w:r>
      <w:r w:rsidRPr="00DE0A84">
        <w:rPr>
          <w:rFonts w:ascii="Helvetica" w:hAnsi="Helvetica" w:cs="Arial"/>
        </w:rPr>
        <w:fldChar w:fldCharType="end"/>
      </w:r>
    </w:p>
    <w:p w14:paraId="42BEA7C3" w14:textId="77777777" w:rsidR="00CF4B6D" w:rsidRPr="00DE0A84" w:rsidRDefault="00CF4B6D" w:rsidP="00CF4B6D">
      <w:pPr>
        <w:spacing w:afterLines="120" w:after="288" w:line="360" w:lineRule="auto"/>
        <w:rPr>
          <w:rFonts w:ascii="Helvetica" w:hAnsi="Helvetica" w:cs="Arial"/>
          <w:b/>
        </w:rPr>
      </w:pPr>
      <w:r w:rsidRPr="00DE0A84">
        <w:rPr>
          <w:rFonts w:ascii="Helvetica" w:hAnsi="Helvetica" w:cs="Arial"/>
          <w:b/>
        </w:rPr>
        <w:t>Bacterial culture and enrichment</w:t>
      </w:r>
    </w:p>
    <w:p w14:paraId="2736C03A" w14:textId="507B2F44" w:rsidR="00CF4B6D" w:rsidRPr="00DE0A84" w:rsidRDefault="00CF4B6D" w:rsidP="00CF4B6D">
      <w:pPr>
        <w:spacing w:afterLines="120" w:after="288" w:line="360" w:lineRule="auto"/>
        <w:rPr>
          <w:rFonts w:ascii="Helvetica" w:hAnsi="Helvetica" w:cs="Arial"/>
        </w:rPr>
      </w:pPr>
      <w:r w:rsidRPr="00DE0A84">
        <w:rPr>
          <w:rFonts w:ascii="Helvetica" w:hAnsi="Helvetica" w:cs="Arial"/>
        </w:rPr>
        <w:t>Human, pet and environmental bacterial samples were processed and identified using a previously described protocol including parallel arms for nonselective and meticillin-resistance-selective culture.</w:t>
      </w:r>
      <w:r w:rsidRPr="00DE0A84">
        <w:rPr>
          <w:rFonts w:ascii="Helvetica" w:hAnsi="Helvetica" w:cs="Arial"/>
        </w:rPr>
        <w:fldChar w:fldCharType="begin" w:fldLock="1"/>
      </w:r>
      <w:r w:rsidR="005968F9" w:rsidRPr="00DE0A84">
        <w:rPr>
          <w:rFonts w:ascii="Helvetica" w:hAnsi="Helvetica" w:cs="Arial"/>
        </w:rPr>
        <w:instrText>ADDIN CSL_CITATION {"citationItems":[{"id":"ITEM-1","itemData":{"DOI":"10.1128/JCM.00132-16","ISSN":"1098660X","abstract":"Two screening methods to detect staphylococcal colonization in humans were compared. Direct plating to CHROMagar (BD Diagnostics) was compared to a broth preenrichment followed by plating to Baird-Parker agar. The broth-enrichment method was comparable to CHROMagar for methicillin-resistant Staphylococcus aureas (MRSA) detection, but the enrichment method was optimum for recovery of coagulase-positive Staphylococcus spp.","author":[{"dropping-particle":"","family":"Davis","given":"Meghan F.","non-dropping-particle":"","parse-names":false,"suffix":""},{"dropping-particle":"","family":"Hu","given":"Baofeng","non-dropping-particle":"","parse-names":false,"suffix":""},{"dropping-particle":"","family":"Carroll","given":"Karen C.","non-dropping-particle":"","parse-names":false,"suffix":""},{"dropping-particle":"","family":"Bilker","given":"Warren B.","non-dropping-particle":"","parse-names":false,"suffix":""},{"dropping-particle":"","family":"Tolomeo","given":"Pam","non-dropping-particle":"","parse-names":false,"suffix":""},{"dropping-particle":"","family":"Cluzet","given":"Valerie C.","non-dropping-particle":"","parse-names":false,"suffix":""},{"dropping-particle":"","family":"Baron","given":"Patrick","non-dropping-particle":"","parse-names":false,"suffix":""},{"dropping-particle":"","family":"Ferguson","given":"Jacqueline M.","non-dropping-particle":"","parse-names":false,"suffix":""},{"dropping-particle":"","family":"Morris","given":"Daniel O.","non-dropping-particle":"","parse-names":false,"suffix":""},{"dropping-particle":"","family":"Rankin","given":"Shelley C.","non-dropping-particle":"","parse-names":false,"suffix":""},{"dropping-particle":"","family":"Lautenbach","given":"Ebbing","non-dropping-particle":"","parse-names":false,"suffix":""},{"dropping-particle":"","family":"Nachamkin","given":"Irving","non-dropping-particle":"","parse-names":false,"suffix":""}],"container-title":"Journal of Clinical Microbiology","id":"ITEM-1","issue":"7","issued":{"date-parts":[["2016"]]},"page":"1907-1911","title":"Comparison of culture-based methods for identification of colonization with methicillin-resistant and methicillin-susceptible staphylococcus aureus in the context of cocolonization","type":"article-journal","volume":"54"},"uris":["http://www.mendeley.com/documents/?uuid=7d2a6f4b-8ff5-408d-bb4f-c3e3c69f5325"]},{"id":"ITEM-2","itemData":{"DOI":"10.1128/AEM.01369-17","ISSN":"10985336","PMID":"28939607","abstract":"Patients with community-onset (CO) methicillin-resistant Staphylococcus aureus (MRSA) infections contribute to MRSA contamination of the home environment and may be reexposed to MRSA strains from this reservoir. This study evaluates One Health risk factors, which focus on the relationship between humans, animals, and the environment, for the increased prevalence of multiple antimicrobial-resistant MRSA isolates in the home environment. During a trial of patients with CO-MRSA infection, MRSA was isolated from the household environment at the baseline and 3 months later, following randomization of patients and household members to mupirocin-based decolonization therapy or an education control group. Up to two environmental MRSA isolates collected at each visit were tested. MRSA isolates were identified in 68% (65/ 95) of homes at the baseline (n = 104 isolates) and 51% (33/65) of homes 3 months later (n = 56 isolates). The rates of multidrug resistance (MDR) were 61% among isolates collected at the baseline and 55% among isolates collected at the visit 3 months later. At the baseline, 100% (14/14) of MRSA isolates from rural homes were MDR. While antimicrobial use by humans or pets was associated with an increased risk for the isolation of MDR MRSA from the environment, clindamycin use was not associated with an increased risk for the isolation of MDR MRSA. Incident low-level mupirocin-resistant MRSA strains were isolated at 3 months from 2 (5%) of 39 homes that were randomized to mupirocin treatment but none of the control homes. Among patients recently treated for a CO-MRSA infection, MRSA and MDR MRSA were common contaminants in the home environment. This study contributes to evidence that occupant use of antimicrobial drugs, except for clindamycin, is associated with MDR MRSA in the home environmental reservoir. (This study has been registered at ClinicalTrials.gov under registration no. NCT00966446).","author":[{"dropping-particle":"","family":"Shahbazian","given":"J H","non-dropping-particle":"","parse-names":false,"suffix":""},{"dropping-particle":"","family":"Hahn","given":"P D","non-dropping-particle":"","parse-names":false,"suffix":""},{"dropping-particle":"","family":"Ludwig","given":"S","non-dropping-particle":"","parse-names":false,"suffix":""},{"dropping-particle":"","family":"Ferguson","given":"J","non-dropping-particle":"","parse-names":false,"suffix":""},{"dropping-particle":"","family":"Baron","given":"P","non-dropping-particle":"","parse-names":false,"suffix":""},{"dropping-particle":"","family":"Christ","given":"A","non-dropping-particle":"","parse-names":false,"suffix":""},{"dropping-particle":"","family":"Spicer","given":"K","non-dropping-particle":"","parse-names":false,"suffix":""},{"dropping-particle":"","family":"Tolomeo","given":"P","non-dropping-particle":"","parse-names":false,"suffix":""},{"dropping-particle":"","family":"Torrie","given":"A M","non-dropping-particle":"","parse-names":false,"suffix":""},{"dropping-particle":"","family":"Bilker","given":"W B","non-dropping-particle":"","parse-names":false,"suffix":""},{"dropping-particle":"","family":"Cluzet","given":"V C","non-dropping-particle":"","parse-names":false,"suffix":""},{"dropping-particle":"","family":"Hu","given":"B","non-dropping-particle":"","parse-names":false,"suffix":""},{"dropping-particle":"","family":"Julian","given":"K","non-dropping-particle":"","parse-names":false,"suffix":""},{"dropping-particle":"","family":"Nachamkin","given":"I","non-dropping-particle":"","parse-names":false,"suffix":""},{"dropping-particle":"","family":"Rankin","given":"S C","non-dropping-particle":"","parse-names":false,"suffix":""},{"dropping-particle":"","family":"Morris","given":"D O","non-dropping-particle":"","parse-names":false,"suffix":""},{"dropping-particle":"","family":"Lautenbach","given":"E","non-dropping-particle":"","parse-names":false,"suffix":""},{"dropping-particle":"","family":"Davis","given":"M F","non-dropping-particle":"","parse-names":false,"suffix":""}],"container-title":"Applied and Environmental Microbiology","editor":[{"dropping-particle":"","family":"Dozois","given":"Charles M.","non-dropping-particle":"","parse-names":false,"suffix":""}],"id":"ITEM-2","issue":"22","issued":{"date-parts":[["2017","11","15"]]},"page":"e01369-17","title":"Multidrug and mupirocin resistance in environmental methicillin-resistant Staphylococcus aureus (MRSA) isolates from homes of people diagnosed with community-onset MRSA infection","type":"article-journal","volume":"83"},"uris":["http://www.mendeley.com/documents/?uuid=f0821c6d-f532-329d-bb0b-67d4a5e8222e"]}],"mendeley":{"formattedCitation":"&lt;sup&gt;6,7&lt;/sup&gt;","plainTextFormattedCitation":"6,7","previouslyFormattedCitation":"&lt;sup&gt;6,7&lt;/sup&gt;"},"properties":{"noteIndex":0},"schema":"https://github.com/citation-style-language/schema/raw/master/csl-citation.json"}</w:instrText>
      </w:r>
      <w:r w:rsidRPr="00DE0A84">
        <w:rPr>
          <w:rFonts w:ascii="Helvetica" w:hAnsi="Helvetica" w:cs="Arial"/>
        </w:rPr>
        <w:fldChar w:fldCharType="separate"/>
      </w:r>
      <w:r w:rsidR="007B5891" w:rsidRPr="00DE0A84">
        <w:rPr>
          <w:rFonts w:ascii="Helvetica" w:hAnsi="Helvetica" w:cs="Arial"/>
          <w:noProof/>
          <w:vertAlign w:val="superscript"/>
        </w:rPr>
        <w:t>6,7</w:t>
      </w:r>
      <w:r w:rsidRPr="00DE0A84">
        <w:rPr>
          <w:rFonts w:ascii="Helvetica" w:hAnsi="Helvetica" w:cs="Arial"/>
        </w:rPr>
        <w:fldChar w:fldCharType="end"/>
      </w:r>
      <w:r w:rsidRPr="00DE0A84">
        <w:rPr>
          <w:rFonts w:ascii="Helvetica" w:hAnsi="Helvetica" w:cs="Arial"/>
        </w:rPr>
        <w:t xml:space="preserve"> MRSA positivity was determined by positive CHROMagar staphylococcal culture and susceptibility testing as described</w:t>
      </w:r>
      <w:r w:rsidR="00CA5013" w:rsidRPr="00DE0A84">
        <w:rPr>
          <w:rFonts w:ascii="Helvetica" w:hAnsi="Helvetica" w:cs="Arial"/>
        </w:rPr>
        <w:t xml:space="preserve"> previously</w:t>
      </w:r>
      <w:r w:rsidRPr="00DE0A84">
        <w:rPr>
          <w:rFonts w:ascii="Helvetica" w:hAnsi="Helvetica" w:cs="Arial"/>
        </w:rPr>
        <w:t>.</w:t>
      </w:r>
      <w:r w:rsidRPr="00DE0A84">
        <w:rPr>
          <w:rFonts w:ascii="Helvetica" w:hAnsi="Helvetica" w:cs="Arial"/>
        </w:rPr>
        <w:fldChar w:fldCharType="begin" w:fldLock="1"/>
      </w:r>
      <w:r w:rsidR="005968F9" w:rsidRPr="00DE0A84">
        <w:rPr>
          <w:rFonts w:ascii="Helvetica" w:hAnsi="Helvetica" w:cs="Arial"/>
        </w:rPr>
        <w:instrText>ADDIN CSL_CITATION {"citationItems":[{"id":"ITEM-1","itemData":{"DOI":"10.1017/ice.2016.138","ISSN":"0899-823X","abstract":"&lt;div class=\"abstract\" data-abstract-type=\"normal\"&gt;\n                &lt;sec secType='general' id='abs1'&gt;\n                   &lt;span class=\"bold\"&gt;OBJECTIVE&lt;/span&gt;\n                   &lt;p&gt;To determine the impact of total household decolonization with intranasal mupirocin and chlorhexidine gluconate body wash on recurrent methicillin-resistant &lt;span class='italic'&gt;Staphylococcus aureus&lt;/span&gt; (MRSA) infection among subjects with MRSA skin and soft-tissue infection.&lt;/p&gt;\n                &lt;/sec&gt;\n                &lt;sec secType='general' id='abs2'&gt;\n                   &lt;span class=\"bold\"&gt;DESIGN&lt;/span&gt;\n                   &lt;p&gt;Three-arm nonmasked randomized controlled trial.&lt;/p&gt;\n                &lt;/sec&gt;\n                &lt;sec secType='general' id='abs3'&gt;\n                   &lt;span class=\"bold\"&gt;SETTING&lt;/span&gt;\n                   &lt;p&gt;Five academic medical centers in Southeastern Pennsylvania.&lt;/p&gt;\n                &lt;/sec&gt;\n                &lt;sec secType='general' id='abs4'&gt;\n                   &lt;span class=\"bold\"&gt;PARTICIPANTS&lt;/span&gt;\n                   &lt;p&gt;Adults and children presenting to ambulatory care settings with community-onset MRSA skin and soft-tissue infection (ie, index cases) and their household members.&lt;/p&gt;\n                &lt;/sec&gt;\n                &lt;sec secType='general' id='abs5'&gt;\n                   &lt;span class=\"bold\"&gt;INTERVENTION&lt;/span&gt;\n                   &lt;p&gt;Enrolled households were randomized to 1 of 3 intervention groups: (1) education on routine hygiene measures, (2) education plus decolonization without reminders (intranasal mupirocin ointment twice daily for 7 days and chlorhexidine gluconate on the first and last day), or (3) education plus decolonization with reminders, where subjects received daily telephone call or text message reminders.&lt;/p&gt;\n                &lt;/sec&gt;\n                &lt;sec secType='general' id='abs6'&gt;\n                   &lt;span class=\"bold\"&gt;MAIN OUTCOME MEASURES&lt;/span&gt;\n                   &lt;p&gt;Owing to small numbers of recurrent infections, this analysis focused on time to clearance of colonization in the index case.&lt;/p&gt;\n                &lt;/sec&gt;\n                &lt;sec secType='results' id='abs7'&gt;\n                   &lt;span class=\"bold\"&gt;RESULTS&lt;/span&gt;\n                   &lt;p&gt;Of 223 households, 73 were randomized to education-only, 76 to decolonization without reminders, 74 to decolonization with reminders. There was no significant difference in time to clearance of colonization between the education-only and decolonization groups (log-rank &lt;span class='italic'&gt;P&lt;/span&gt;=.768). I…","author":[{"dropping-particle":"","family":"Cluzet","given":"Valerie C.","non-dropping-particle":"","parse-names":false,"suffix":""},{"dropping-particle":"","family":"Gerber","given":"Jeffrey S.","non-dropping-particle":"","parse-names":false,"suffix":""},{"dropping-particle":"","family":"Metlay","given":"Joshua P.","non-dropping-particle":"","parse-names":false,"suffix":""},{"dropping-particle":"","family":"Nachamkin","given":"Irving","non-dropping-particle":"","parse-names":false,"suffix":""},{"dropping-particle":"","family":"Zaoutis","given":"Theoklis E.","non-dropping-particle":"","parse-names":false,"suffix":""},{"dropping-particle":"","family":"Davis","given":"Meghan F.","non-dropping-particle":"","parse-names":false,"suffix":""},{"dropping-particle":"","family":"Julian","given":"Kathleen G.","non-dropping-particle":"","parse-names":false,"suffix":""},{"dropping-particle":"","family":"Linkin","given":"Darren R.","non-dropping-particle":"","parse-names":false,"suffix":""},{"dropping-particle":"","family":"Coffin","given":"Susan E.","non-dropping-particle":"","parse-names":false,"suffix":""},{"dropping-particle":"","family":"Margolis","given":"David J.","non-dropping-particle":"","parse-names":false,"suffix":""},{"dropping-particle":"","family":"Hollander","given":"Judd E.","non-dropping-particle":"","parse-names":false,"suffix":""},{"dropping-particle":"","family":"Bilker","given":"Warren B.","non-dropping-particle":"","parse-names":false,"suffix":""},{"dropping-particle":"","family":"Han","given":"Xiaoyan","non-dropping-particle":"","parse-names":false,"suffix":""},{"dropping-particle":"","family":"Mistry","given":"Rakesh D.","non-dropping-particle":"","parse-names":false,"suffix":""},{"dropping-particle":"","family":"Gavin","given":"Laurence J.","non-dropping-particle":"","parse-names":false,"suffix":""},{"dropping-particle":"","family":"Tolomeo","given":"Pam","non-dropping-particle":"","parse-names":false,"suffix":""},{"dropping-particle":"","family":"Wise","given":"Jacqueleen A.","non-dropping-particle":"","parse-names":false,"suffix":""},{"dropping-particle":"","family":"Wheeler","given":"Mary K.","non-dropping-particle":"","parse-names":false,"suffix":""},{"dropping-particle":"","family":"Hu","given":"Baofeng","non-dropping-particle":"","parse-names":false,"suffix":""},{"dropping-particle":"","family":"Fishman","given":"Neil O.","non-dropping-particle":"","parse-names":false,"suffix":""},{"dropping-particle":"","family":"Royer","given":"David","non-dropping-particle":"","parse-names":false,"suffix":""},{"dropping-particle":"","family":"Lautenbach","given":"Ebbing","non-dropping-particle":"","parse-names":false,"suffix":""},{"dropping-particle":"","family":"Program","given":"for the CDC Prevention Epicenters","non-dropping-particle":"","parse-names":false,"suffix":""}],"container-title":"Infection Control &amp; Hospital Epidemiology","id":"ITEM-1","issue":"10","issued":{"date-parts":[["2016","10","28"]]},"page":"1226-1233","publisher":"Cambridge University Press","title":"The Effect of Total Household Decolonization on Clearance of Colonization With Methicillin-Resistant &lt;i&gt;Staphylococcus aureus&lt;/i&gt;","type":"article-journal","volume":"37"},"uris":["http://www.mendeley.com/documents/?uuid=1fb07ab1-c504-37e4-bc65-63e8d1e60691"]}],"mendeley":{"formattedCitation":"&lt;sup&gt;4&lt;/sup&gt;","plainTextFormattedCitation":"4","previouslyFormattedCitation":"&lt;sup&gt;4&lt;/sup&gt;"},"properties":{"noteIndex":0},"schema":"https://github.com/citation-style-language/schema/raw/master/csl-citation.json"}</w:instrText>
      </w:r>
      <w:r w:rsidRPr="00DE0A84">
        <w:rPr>
          <w:rFonts w:ascii="Helvetica" w:hAnsi="Helvetica" w:cs="Arial"/>
        </w:rPr>
        <w:fldChar w:fldCharType="separate"/>
      </w:r>
      <w:r w:rsidR="007B5891" w:rsidRPr="00DE0A84">
        <w:rPr>
          <w:rFonts w:ascii="Helvetica" w:hAnsi="Helvetica" w:cs="Arial"/>
          <w:noProof/>
          <w:vertAlign w:val="superscript"/>
        </w:rPr>
        <w:t>4</w:t>
      </w:r>
      <w:r w:rsidRPr="00DE0A84">
        <w:rPr>
          <w:rFonts w:ascii="Helvetica" w:hAnsi="Helvetica" w:cs="Arial"/>
        </w:rPr>
        <w:fldChar w:fldCharType="end"/>
      </w:r>
    </w:p>
    <w:p w14:paraId="20447ED6" w14:textId="76D2CAFB" w:rsidR="00510B94" w:rsidRPr="00DE0A84" w:rsidRDefault="00510B94" w:rsidP="00510B94">
      <w:pPr>
        <w:spacing w:afterLines="120" w:after="288" w:line="360" w:lineRule="auto"/>
        <w:rPr>
          <w:rFonts w:ascii="Helvetica" w:hAnsi="Helvetica" w:cs="Arial"/>
        </w:rPr>
      </w:pPr>
      <w:r w:rsidRPr="00DE0A84">
        <w:rPr>
          <w:rFonts w:ascii="Helvetica" w:hAnsi="Helvetica" w:cs="Arial"/>
        </w:rPr>
        <w:lastRenderedPageBreak/>
        <w:t>One bacterial isolate sampled from each animal per visit was selected by one member of the study team (</w:t>
      </w:r>
      <w:r w:rsidR="00E82B44" w:rsidRPr="00DE0A84">
        <w:rPr>
          <w:rFonts w:ascii="Helvetica" w:hAnsi="Helvetica" w:cs="Arial"/>
        </w:rPr>
        <w:t>MFD</w:t>
      </w:r>
      <w:r w:rsidRPr="00DE0A84">
        <w:rPr>
          <w:rFonts w:ascii="Helvetica" w:hAnsi="Helvetica" w:cs="Arial"/>
        </w:rPr>
        <w:t>) for subculture and speciation by PCR as described</w:t>
      </w:r>
      <w:r w:rsidR="00CA5013" w:rsidRPr="00DE0A84">
        <w:rPr>
          <w:rFonts w:ascii="Helvetica" w:hAnsi="Helvetica" w:cs="Arial"/>
        </w:rPr>
        <w:t xml:space="preserve"> previously</w:t>
      </w:r>
      <w:r w:rsidRPr="00DE0A84">
        <w:rPr>
          <w:rFonts w:ascii="Helvetica" w:hAnsi="Helvetica" w:cs="Arial"/>
        </w:rPr>
        <w:t>.</w:t>
      </w:r>
      <w:r w:rsidRPr="00DE0A84">
        <w:rPr>
          <w:rFonts w:ascii="Helvetica" w:hAnsi="Helvetica" w:cs="Arial"/>
        </w:rPr>
        <w:fldChar w:fldCharType="begin" w:fldLock="1"/>
      </w:r>
      <w:r w:rsidRPr="00DE0A84">
        <w:rPr>
          <w:rFonts w:ascii="Helvetica" w:hAnsi="Helvetica" w:cs="Arial"/>
        </w:rPr>
        <w:instrText>ADDIN CSL_CITATION {"citationItems":[{"id":"ITEM-1","itemData":{"author":[{"dropping-particle":"","family":"Sasaki","given":"T","non-dropping-particle":"","parse-names":false,"suffix":""},{"dropping-particle":"","family":"Tsubakishita","given":"S","non-dropping-particle":"","parse-names":false,"suffix":""},{"dropping-particle":"","family":"Tanaka","given":"Y","non-dropping-particle":"","parse-names":false,"suffix":""},{"dropping-particle":"","family":"Sakusabe","given":"A","non-dropping-particle":"","parse-names":false,"suffix":""},{"dropping-particle":"","family":"Ohtsuka","given":"M","non-dropping-particle":"","parse-names":false,"suffix":""},{"dropping-particle":"","family":"Hirotaki","given":"S","non-dropping-particle":"","parse-names":false,"suffix":""},{"dropping-particle":"","family":"Kawakami","given":"T","non-dropping-particle":"","parse-names":false,"suffix":""},{"dropping-particle":"","family":"Fukata","given":"T","non-dropping-particle":"","parse-names":false,"suffix":""},{"dropping-particle":"","family":"Hiramatsu","given":"K","non-dropping-particle":"","parse-names":false,"suffix":""}],"container-title":"J Clin Microbiol","id":"ITEM-1","issued":{"date-parts":[["2010"]]},"page":"765-769","title":"Multiplex-PCR method for species identification of coagulase-positive staphylococci","type":"article-journal","volume":"48"},"uris":["http://www.mendeley.com/documents/?uuid=12814422-f17e-4e72-8123-b06a13d34ca4"]}],"mendeley":{"formattedCitation":"&lt;sup&gt;8&lt;/sup&gt;","plainTextFormattedCitation":"8","previouslyFormattedCitation":"&lt;sup&gt;8&lt;/sup&gt;"},"properties":{"noteIndex":0},"schema":"https://github.com/citation-style-language/schema/raw/master/csl-citation.json"}</w:instrText>
      </w:r>
      <w:r w:rsidRPr="00DE0A84">
        <w:rPr>
          <w:rFonts w:ascii="Helvetica" w:hAnsi="Helvetica" w:cs="Arial"/>
        </w:rPr>
        <w:fldChar w:fldCharType="separate"/>
      </w:r>
      <w:r w:rsidRPr="00DE0A84">
        <w:rPr>
          <w:rFonts w:ascii="Helvetica" w:hAnsi="Helvetica" w:cs="Arial"/>
          <w:noProof/>
          <w:vertAlign w:val="superscript"/>
        </w:rPr>
        <w:t>8</w:t>
      </w:r>
      <w:r w:rsidRPr="00DE0A84">
        <w:rPr>
          <w:rFonts w:ascii="Helvetica" w:hAnsi="Helvetica" w:cs="Arial"/>
        </w:rPr>
        <w:fldChar w:fldCharType="end"/>
      </w:r>
      <w:r w:rsidRPr="00DE0A84">
        <w:rPr>
          <w:rFonts w:ascii="Helvetica" w:hAnsi="Helvetica" w:cs="Arial"/>
        </w:rPr>
        <w:t xml:space="preserve"> </w:t>
      </w:r>
    </w:p>
    <w:p w14:paraId="7314CAAA" w14:textId="77777777" w:rsidR="00CF4B6D" w:rsidRPr="00DE0A84" w:rsidRDefault="00CF4B6D" w:rsidP="00CF4B6D">
      <w:pPr>
        <w:widowControl w:val="0"/>
        <w:autoSpaceDE w:val="0"/>
        <w:autoSpaceDN w:val="0"/>
        <w:adjustRightInd w:val="0"/>
        <w:spacing w:afterLines="120" w:after="288" w:line="360" w:lineRule="auto"/>
        <w:rPr>
          <w:rFonts w:ascii="Helvetica" w:hAnsi="Helvetica" w:cs="Arial"/>
          <w:b/>
        </w:rPr>
      </w:pPr>
      <w:r w:rsidRPr="00DE0A84">
        <w:rPr>
          <w:rFonts w:ascii="Helvetica" w:hAnsi="Helvetica" w:cs="Arial"/>
          <w:b/>
        </w:rPr>
        <w:t>Risk factors of interest</w:t>
      </w:r>
    </w:p>
    <w:p w14:paraId="7FAFCF98" w14:textId="13701372" w:rsidR="00CF4B6D" w:rsidRPr="00DE0A84" w:rsidRDefault="00CF4B6D" w:rsidP="00CF4B6D">
      <w:pPr>
        <w:spacing w:afterLines="120" w:after="288" w:line="360" w:lineRule="auto"/>
        <w:rPr>
          <w:rFonts w:ascii="Helvetica" w:hAnsi="Helvetica"/>
        </w:rPr>
      </w:pPr>
      <w:r w:rsidRPr="00DE0A84">
        <w:rPr>
          <w:rFonts w:ascii="Helvetica" w:hAnsi="Helvetica" w:cs="Arial"/>
        </w:rPr>
        <w:t>Relationships between pet carriage of MRSA and potential household, human and animal risk factors at the baseline visit were explored. Using a One-Health approach as defined in the Checklist for One Health Epidemiological Reporting of Evidence (COHERE) guidelines,</w:t>
      </w:r>
      <w:r w:rsidRPr="00DE0A84">
        <w:rPr>
          <w:rFonts w:ascii="Helvetica" w:hAnsi="Helvetica" w:cs="Arial"/>
        </w:rPr>
        <w:fldChar w:fldCharType="begin" w:fldLock="1"/>
      </w:r>
      <w:r w:rsidR="005B2CAE" w:rsidRPr="00DE0A84">
        <w:rPr>
          <w:rFonts w:ascii="Helvetica" w:hAnsi="Helvetica" w:cs="Arial"/>
        </w:rPr>
        <w:instrText>ADDIN CSL_CITATION {"citationItems":[{"id":"ITEM-1","itemData":{"DOI":"10.1016/j.onehlt.2017.07.001","ISBN":"2352-7714","ISSN":"23527714","PMID":"28825424","abstract":"One Health is defined as the intersection and integration of knowledge regarding humans, animals, and the environment, yet as the One Health scientific literature expands, there is considerable heterogeneity of approach and quality of reporting in One Health studies. In addition, many researchers who publish such studies do not include or integrate data from all three domains of human, animal, and environmental health. This points to a critical need to unify guidelines for One Health studies. This report details the Checklist for One Health Epidemiological Reporting of Evidence (COHERE) to guide the design and publication format of future One Health studies. COHERE was developed by a core writing team and international expert review group that represents multiple disciplines, including human medicine, veterinary medicine, public health, allied professionals, clinical laboratory science, epidemiology, the social sciences, ecohealth and environmental health. The twin aims of the COHERE standards are to 1) improve the quality of reporting of observational or interventional epidemiological studies that collect and integrate data from humans, animals and/or vectors, and their environments; and 2) promote the concept that One Health studies should integrate knowledge from these three domains. The 19 standards in the COHERE checklist address descriptions of human populations, animal populations, environmental assessment, spatial and temporal relationships of data from the three domains, integration of analyses and interpretation, and inclusion of expertise in the research team from disciplines related to human health, animal health, and environmental health.","author":[{"dropping-particle":"","family":"Davis","given":"Meghan F.","non-dropping-particle":"","parse-names":false,"suffix":""},{"dropping-particle":"","family":"Rankin","given":"Shelley C.","non-dropping-particle":"","parse-names":false,"suffix":""},{"dropping-particle":"","family":"Schurer","given":"Janna M.","non-dropping-particle":"","parse-names":false,"suffix":""},{"dropping-particle":"","family":"Cole","given":"Stephen","non-dropping-particle":"","parse-names":false,"suffix":""},{"dropping-particle":"","family":"Conti","given":"Lisa","non-dropping-particle":"","parse-names":false,"suffix":""},{"dropping-particle":"","family":"Rabinowitz","given":"Peter","non-dropping-particle":"","parse-names":false,"suffix":""},{"dropping-particle":"","family":"Gray","given":"Gregory","non-dropping-particle":"","parse-names":false,"suffix":""},{"dropping-particle":"","family":"Kahn","given":"Laura","non-dropping-particle":"","parse-names":false,"suffix":""},{"dropping-particle":"","family":"Machalaba","given":"Catharine","non-dropping-particle":"","parse-names":false,"suffix":""},{"dropping-particle":"","family":"Mazet","given":"Jonna","non-dropping-particle":"","parse-names":false,"suffix":""},{"dropping-particle":"","family":"Pappaioanou","given":"Marguerite","non-dropping-particle":"","parse-names":false,"suffix":""},{"dropping-particle":"","family":"Sargeant","given":"Jan","non-dropping-particle":"","parse-names":false,"suffix":""},{"dropping-particle":"","family":"Thompson","given":"Andrew","non-dropping-particle":"","parse-names":false,"suffix":""},{"dropping-particle":"","family":"Weese","given":"Scott","non-dropping-particle":"","parse-names":false,"suffix":""},{"dropping-particle":"","family":"Zinnstag","given":"Jakob","non-dropping-particle":"","parse-names":false,"suffix":""}],"container-title":"One Health","id":"ITEM-1","issue":"June","issued":{"date-parts":[["2017"]]},"page":"14-21","publisher":"Elsevier","title":"Checklist for One Health Epidemiological Reporting of Evidence (COHERE)","type":"article-journal","volume":"4"},"uris":["http://www.mendeley.com/documents/?uuid=f391ee25-06c9-4692-8f2f-f84741820086"]}],"mendeley":{"formattedCitation":"&lt;sup&gt;9&lt;/sup&gt;","plainTextFormattedCitation":"9","previouslyFormattedCitation":"&lt;sup&gt;13&lt;/sup&gt;"},"properties":{"noteIndex":0},"schema":"https://github.com/citation-style-language/schema/raw/master/csl-citation.json"}</w:instrText>
      </w:r>
      <w:r w:rsidRPr="00DE0A84">
        <w:rPr>
          <w:rFonts w:ascii="Helvetica" w:hAnsi="Helvetica" w:cs="Arial"/>
        </w:rPr>
        <w:fldChar w:fldCharType="separate"/>
      </w:r>
      <w:r w:rsidR="005B2CAE" w:rsidRPr="00DE0A84">
        <w:rPr>
          <w:rFonts w:ascii="Helvetica" w:hAnsi="Helvetica" w:cs="Arial"/>
          <w:noProof/>
          <w:vertAlign w:val="superscript"/>
        </w:rPr>
        <w:t>9</w:t>
      </w:r>
      <w:r w:rsidRPr="00DE0A84">
        <w:rPr>
          <w:rFonts w:ascii="Helvetica" w:hAnsi="Helvetica" w:cs="Arial"/>
        </w:rPr>
        <w:fldChar w:fldCharType="end"/>
      </w:r>
      <w:r w:rsidRPr="00DE0A84">
        <w:rPr>
          <w:rFonts w:ascii="Helvetica" w:hAnsi="Helvetica" w:cs="Arial"/>
        </w:rPr>
        <w:t xml:space="preserve"> previously known factors for human MRSA carriage were considered first. Age, sex and species of pet were determined </w:t>
      </w:r>
      <w:r w:rsidRPr="00DE0A84">
        <w:rPr>
          <w:rFonts w:ascii="Helvetica" w:hAnsi="Helvetica" w:cs="Arial"/>
          <w:i/>
          <w:iCs/>
        </w:rPr>
        <w:t>a priori</w:t>
      </w:r>
      <w:r w:rsidRPr="00DE0A84">
        <w:rPr>
          <w:rFonts w:ascii="Helvetica" w:hAnsi="Helvetica" w:cs="Arial"/>
        </w:rPr>
        <w:t xml:space="preserve"> to be variables of interest. Due to low MRSA prevalence in pet reptiles, birds and fish in this study, </w:t>
      </w:r>
      <w:r w:rsidR="00CA5013" w:rsidRPr="00DE0A84">
        <w:rPr>
          <w:rFonts w:ascii="Helvetica" w:hAnsi="Helvetica" w:cs="Arial"/>
        </w:rPr>
        <w:t xml:space="preserve">pet species </w:t>
      </w:r>
      <w:r w:rsidRPr="00DE0A84">
        <w:rPr>
          <w:rFonts w:ascii="Helvetica" w:hAnsi="Helvetica" w:cs="Arial"/>
        </w:rPr>
        <w:t xml:space="preserve">analysis was limited to dogs </w:t>
      </w:r>
      <w:r w:rsidR="00CA5013" w:rsidRPr="00DE0A84">
        <w:rPr>
          <w:rFonts w:ascii="Helvetica" w:hAnsi="Helvetica" w:cs="Arial"/>
        </w:rPr>
        <w:t xml:space="preserve">versus </w:t>
      </w:r>
      <w:r w:rsidRPr="00DE0A84">
        <w:rPr>
          <w:rFonts w:ascii="Helvetica" w:hAnsi="Helvetica" w:cs="Arial"/>
        </w:rPr>
        <w:t xml:space="preserve">cats. </w:t>
      </w:r>
      <w:r w:rsidR="00366B43" w:rsidRPr="00DE0A84">
        <w:rPr>
          <w:rFonts w:ascii="Helvetica" w:hAnsi="Helvetica" w:cs="Arial"/>
        </w:rPr>
        <w:t>Based on distribution of the data, dog breed was split into Labrador/Lab</w:t>
      </w:r>
      <w:r w:rsidR="00CA5013" w:rsidRPr="00DE0A84">
        <w:rPr>
          <w:rFonts w:ascii="Helvetica" w:hAnsi="Helvetica" w:cs="Arial"/>
        </w:rPr>
        <w:t>rador</w:t>
      </w:r>
      <w:r w:rsidR="00366B43" w:rsidRPr="00DE0A84">
        <w:rPr>
          <w:rFonts w:ascii="Helvetica" w:hAnsi="Helvetica" w:cs="Arial"/>
        </w:rPr>
        <w:t xml:space="preserve"> mixes and non-Labradors, as well as small v</w:t>
      </w:r>
      <w:r w:rsidR="00CA5013" w:rsidRPr="00DE0A84">
        <w:rPr>
          <w:rFonts w:ascii="Helvetica" w:hAnsi="Helvetica" w:cs="Arial"/>
        </w:rPr>
        <w:t>ersu</w:t>
      </w:r>
      <w:r w:rsidR="00366B43" w:rsidRPr="00DE0A84">
        <w:rPr>
          <w:rFonts w:ascii="Helvetica" w:hAnsi="Helvetica" w:cs="Arial"/>
        </w:rPr>
        <w:t xml:space="preserve">s large breeds. </w:t>
      </w:r>
      <w:r w:rsidR="00CA5013" w:rsidRPr="00DE0A84">
        <w:rPr>
          <w:rFonts w:ascii="Helvetica" w:hAnsi="Helvetica" w:cs="Arial"/>
        </w:rPr>
        <w:t>Likewise w</w:t>
      </w:r>
      <w:r w:rsidR="00366B43" w:rsidRPr="00DE0A84">
        <w:rPr>
          <w:rFonts w:ascii="Helvetica" w:hAnsi="Helvetica" w:cs="Arial"/>
        </w:rPr>
        <w:t>e divided cat breed into domestic short</w:t>
      </w:r>
      <w:r w:rsidR="00CA5013" w:rsidRPr="00DE0A84">
        <w:rPr>
          <w:rFonts w:ascii="Helvetica" w:hAnsi="Helvetica" w:cs="Arial"/>
        </w:rPr>
        <w:t xml:space="preserve"> </w:t>
      </w:r>
      <w:r w:rsidR="00366B43" w:rsidRPr="00DE0A84">
        <w:rPr>
          <w:rFonts w:ascii="Helvetica" w:hAnsi="Helvetica" w:cs="Arial"/>
        </w:rPr>
        <w:t>hair</w:t>
      </w:r>
      <w:r w:rsidR="00CA5013" w:rsidRPr="00DE0A84">
        <w:rPr>
          <w:rFonts w:ascii="Helvetica" w:hAnsi="Helvetica" w:cs="Arial"/>
        </w:rPr>
        <w:t xml:space="preserve"> (DSH)</w:t>
      </w:r>
      <w:r w:rsidR="00366B43" w:rsidRPr="00DE0A84">
        <w:rPr>
          <w:rFonts w:ascii="Helvetica" w:hAnsi="Helvetica" w:cs="Arial"/>
        </w:rPr>
        <w:t xml:space="preserve"> and non-</w:t>
      </w:r>
      <w:r w:rsidR="00CA5013" w:rsidRPr="00DE0A84">
        <w:rPr>
          <w:rFonts w:ascii="Helvetica" w:hAnsi="Helvetica" w:cs="Arial"/>
        </w:rPr>
        <w:t>DSH</w:t>
      </w:r>
      <w:r w:rsidR="00366B43" w:rsidRPr="00DE0A84">
        <w:rPr>
          <w:rFonts w:ascii="Helvetica" w:hAnsi="Helvetica" w:cs="Arial"/>
        </w:rPr>
        <w:t xml:space="preserve"> breeds.</w:t>
      </w:r>
      <w:r w:rsidR="00366B43" w:rsidRPr="00DE0A84">
        <w:rPr>
          <w:rFonts w:ascii="Helvetica" w:hAnsi="Helvetica"/>
        </w:rPr>
        <w:t xml:space="preserve"> </w:t>
      </w:r>
      <w:r w:rsidRPr="00DE0A84">
        <w:rPr>
          <w:rFonts w:ascii="Helvetica" w:hAnsi="Helvetica" w:cs="Arial"/>
        </w:rPr>
        <w:t xml:space="preserve">Age was calculated to the closest month and </w:t>
      </w:r>
      <w:r w:rsidR="00CA5013" w:rsidRPr="00DE0A84">
        <w:rPr>
          <w:rFonts w:ascii="Helvetica" w:hAnsi="Helvetica" w:cs="Arial"/>
        </w:rPr>
        <w:t xml:space="preserve">dichotomised </w:t>
      </w:r>
      <w:r w:rsidRPr="00DE0A84">
        <w:rPr>
          <w:rFonts w:ascii="Helvetica" w:hAnsi="Helvetica" w:cs="Arial"/>
        </w:rPr>
        <w:t>above and below the median value of 24 months. Sex was coded as male or female, without regard to neuter status.</w:t>
      </w:r>
    </w:p>
    <w:p w14:paraId="16BBF388" w14:textId="3996471E" w:rsidR="00CF4B6D" w:rsidRPr="00DE0A84" w:rsidRDefault="00CF4B6D" w:rsidP="00CF4B6D">
      <w:pPr>
        <w:spacing w:afterLines="120" w:after="288" w:line="360" w:lineRule="auto"/>
        <w:rPr>
          <w:rFonts w:ascii="Helvetica" w:hAnsi="Helvetica" w:cs="Arial"/>
        </w:rPr>
      </w:pPr>
      <w:r w:rsidRPr="00DE0A84">
        <w:rPr>
          <w:rFonts w:ascii="Helvetica" w:hAnsi="Helvetica" w:cs="Arial"/>
        </w:rPr>
        <w:t>Biologically plausible mechanisms for pet MRSA carriage included household environmental MRSA contamination, pet bed MRSA contamination (including pet bedding and crates/cages), pet antimicrobial use, veterinary hospital contact, presence of fleas on the pet (visual observation of the pets only), kennel exposure and human</w:t>
      </w:r>
      <w:r w:rsidR="00CA5013" w:rsidRPr="00DE0A84">
        <w:rPr>
          <w:rFonts w:ascii="Helvetica" w:hAnsi="Helvetica" w:cs="Arial"/>
        </w:rPr>
        <w:t>–</w:t>
      </w:r>
      <w:r w:rsidRPr="00DE0A84">
        <w:rPr>
          <w:rFonts w:ascii="Helvetica" w:hAnsi="Helvetica" w:cs="Arial"/>
        </w:rPr>
        <w:t>animal contact. Household income quartile, rural v</w:t>
      </w:r>
      <w:r w:rsidR="00CA5013" w:rsidRPr="00DE0A84">
        <w:rPr>
          <w:rFonts w:ascii="Helvetica" w:hAnsi="Helvetica" w:cs="Arial"/>
        </w:rPr>
        <w:t>ersu</w:t>
      </w:r>
      <w:r w:rsidRPr="00DE0A84">
        <w:rPr>
          <w:rFonts w:ascii="Helvetica" w:hAnsi="Helvetica" w:cs="Arial"/>
        </w:rPr>
        <w:t>s nonrural (</w:t>
      </w:r>
      <w:r w:rsidRPr="00DE0A84">
        <w:rPr>
          <w:rFonts w:ascii="Helvetica" w:hAnsi="Helvetica" w:cs="Arial"/>
          <w:iCs/>
        </w:rPr>
        <w:t>i.e.</w:t>
      </w:r>
      <w:r w:rsidRPr="00DE0A84">
        <w:rPr>
          <w:rFonts w:ascii="Helvetica" w:hAnsi="Helvetica" w:cs="Arial"/>
        </w:rPr>
        <w:t xml:space="preserve"> urban and periurban) environments and meteorological season were evaluated as possible risk factors. Standard home environmental questions based on prior studies of household environmental persistence of MRSA</w:t>
      </w:r>
      <w:r w:rsidRPr="00DE0A84">
        <w:rPr>
          <w:rFonts w:ascii="Helvetica" w:hAnsi="Helvetica" w:cs="Arial"/>
        </w:rPr>
        <w:fldChar w:fldCharType="begin" w:fldLock="1"/>
      </w:r>
      <w:r w:rsidR="005B2CAE" w:rsidRPr="00DE0A84">
        <w:rPr>
          <w:rFonts w:ascii="Helvetica" w:hAnsi="Helvetica" w:cs="Arial"/>
        </w:rPr>
        <w:instrText>ADDIN CSL_CITATION {"citationItems":[{"id":"ITEM-1","itemData":{"author":[{"dropping-particle":"","family":"Davis","given":"M F","non-dropping-particle":"","parse-names":false,"suffix":""},{"dropping-particle":"","family":"Baron","given":"P","non-dropping-particle":"","parse-names":false,"suffix":""},{"dropping-particle":"","family":"Price","given":"L B","non-dropping-particle":"","parse-names":false,"suffix":""},{"dropping-particle":"","family":"Williams","given":"D L","non-dropping-particle":"","parse-names":false,"suffix":""},{"dropping-particle":"","family":"Jeyaseelan","given":"S","non-dropping-particle":"","parse-names":false,"suffix":""},{"dropping-particle":"","family":"Hambleton","given":"I R","non-dropping-particle":"","parse-names":false,"suffix":""},{"dropping-particle":"","family":"Diette","given":"G B","non-dropping-particle":"","parse-names":false,"suffix":""},{"dropping-particle":"","family":"Breysse","given":"P N","non-dropping-particle":"","parse-names":false,"suffix":""},{"dropping-particle":"","family":"McCormack","given":"M C","non-dropping-particle":"","parse-names":false,"suffix":""}],"container-title":"Appl. Environ. Microbiol.","id":"ITEM-1","issued":{"date-parts":[["2012"]]},"page":"2474-2476","title":"Dry collection and culture methods for recovery of methicillin-resistant Staphylococcus aureus strains from indoor home environments.","type":"article-journal","volume":"78"},"uris":["http://www.mendeley.com/documents/?uuid=caa3bd28-cadd-4e7e-bbf5-960f8b2e388d"]}],"mendeley":{"formattedCitation":"&lt;sup&gt;10&lt;/sup&gt;","plainTextFormattedCitation":"10","previouslyFormattedCitation":"&lt;sup&gt;14&lt;/sup&gt;"},"properties":{"noteIndex":0},"schema":"https://github.com/citation-style-language/schema/raw/master/csl-citation.json"}</w:instrText>
      </w:r>
      <w:r w:rsidRPr="00DE0A84">
        <w:rPr>
          <w:rFonts w:ascii="Helvetica" w:hAnsi="Helvetica" w:cs="Arial"/>
        </w:rPr>
        <w:fldChar w:fldCharType="separate"/>
      </w:r>
      <w:r w:rsidR="005B2CAE" w:rsidRPr="00DE0A84">
        <w:rPr>
          <w:rFonts w:ascii="Helvetica" w:hAnsi="Helvetica" w:cs="Arial"/>
          <w:noProof/>
          <w:vertAlign w:val="superscript"/>
        </w:rPr>
        <w:t>10</w:t>
      </w:r>
      <w:r w:rsidRPr="00DE0A84">
        <w:rPr>
          <w:rFonts w:ascii="Helvetica" w:hAnsi="Helvetica" w:cs="Arial"/>
        </w:rPr>
        <w:fldChar w:fldCharType="end"/>
      </w:r>
      <w:r w:rsidRPr="00DE0A84">
        <w:rPr>
          <w:rFonts w:ascii="Helvetica" w:hAnsi="Helvetica" w:cs="Arial"/>
        </w:rPr>
        <w:t xml:space="preserve"> were included, and any observed or reported presence of pests (</w:t>
      </w:r>
      <w:r w:rsidRPr="00DE0A84">
        <w:rPr>
          <w:rFonts w:ascii="Helvetica" w:hAnsi="Helvetica" w:cs="Arial"/>
          <w:iCs/>
        </w:rPr>
        <w:t>i.e.</w:t>
      </w:r>
      <w:r w:rsidRPr="00DE0A84">
        <w:rPr>
          <w:rFonts w:ascii="Helvetica" w:hAnsi="Helvetica" w:cs="Arial"/>
        </w:rPr>
        <w:t xml:space="preserve"> cockroaches, mice) or visible mo</w:t>
      </w:r>
      <w:r w:rsidR="00CA5013" w:rsidRPr="00DE0A84">
        <w:rPr>
          <w:rFonts w:ascii="Helvetica" w:hAnsi="Helvetica" w:cs="Arial"/>
        </w:rPr>
        <w:t>u</w:t>
      </w:r>
      <w:r w:rsidRPr="00DE0A84">
        <w:rPr>
          <w:rFonts w:ascii="Helvetica" w:hAnsi="Helvetica" w:cs="Arial"/>
        </w:rPr>
        <w:t>ld/mildew in the home was recorded.</w:t>
      </w:r>
    </w:p>
    <w:p w14:paraId="437A5EE1" w14:textId="1C225F6E" w:rsidR="00CF4B6D" w:rsidRPr="00DE0A84" w:rsidRDefault="00CF4B6D" w:rsidP="00CF4B6D">
      <w:pPr>
        <w:spacing w:afterLines="120" w:after="288" w:line="360" w:lineRule="auto"/>
        <w:rPr>
          <w:rFonts w:ascii="Helvetica" w:hAnsi="Helvetica" w:cs="Arial"/>
        </w:rPr>
      </w:pPr>
      <w:r w:rsidRPr="00DE0A84">
        <w:rPr>
          <w:rFonts w:ascii="Helvetica" w:hAnsi="Helvetica" w:cs="Arial"/>
        </w:rPr>
        <w:t xml:space="preserve">Veterinary hospital visit was defined as veterinary contact for any reason over the past year. Pet antibiotic use was defined as treatment of the pet with a systemic (oral or injectable) antimicrobial within the past 12 months. No pets received antibiotics that did </w:t>
      </w:r>
      <w:r w:rsidRPr="00DE0A84">
        <w:rPr>
          <w:rFonts w:ascii="Helvetica" w:hAnsi="Helvetica" w:cs="Arial"/>
        </w:rPr>
        <w:lastRenderedPageBreak/>
        <w:t xml:space="preserve">not also have exposure to a veterinary clinic setting (Table S2); 100% of pets treated with antimicrobials in the past year also had veterinary clinic exposure in the past year, </w:t>
      </w:r>
      <w:r w:rsidR="00CA5013" w:rsidRPr="00DE0A84">
        <w:rPr>
          <w:rFonts w:ascii="Helvetica" w:hAnsi="Helvetica" w:cs="Arial"/>
        </w:rPr>
        <w:t xml:space="preserve">as a result of its </w:t>
      </w:r>
      <w:r w:rsidRPr="00DE0A84">
        <w:rPr>
          <w:rFonts w:ascii="Helvetica" w:hAnsi="Helvetica" w:cs="Arial"/>
        </w:rPr>
        <w:t>requirement for a veterinary prescription. Because of this dependency, pet antimicrobial use was combined with veterinary clinic exposure (vet visit) and the combined variable was defined as pets receiving antibiotics within the past 12 months. A sensitivity analysis including veterinary clinic visit in the multivariable model instead of pet antimicrobial use was performed.</w:t>
      </w:r>
    </w:p>
    <w:p w14:paraId="5C52722F" w14:textId="30AD8DA0" w:rsidR="00366B43" w:rsidRPr="00DE0A84" w:rsidRDefault="00366B43" w:rsidP="00CF4B6D">
      <w:pPr>
        <w:spacing w:afterLines="120" w:after="288" w:line="360" w:lineRule="auto"/>
        <w:rPr>
          <w:rFonts w:ascii="Helvetica" w:hAnsi="Helvetica" w:cs="Arial"/>
        </w:rPr>
      </w:pPr>
      <w:r w:rsidRPr="00DE0A84">
        <w:rPr>
          <w:rFonts w:ascii="Helvetica" w:hAnsi="Helvetica" w:cs="Arial"/>
        </w:rPr>
        <w:t xml:space="preserve">Of 63 cats and 71 dogs sampled at baseline, </w:t>
      </w:r>
      <w:r w:rsidR="00CA5013" w:rsidRPr="00DE0A84">
        <w:rPr>
          <w:rFonts w:ascii="Helvetica" w:hAnsi="Helvetica" w:cs="Arial"/>
        </w:rPr>
        <w:t xml:space="preserve">10 </w:t>
      </w:r>
      <w:r w:rsidRPr="00DE0A84">
        <w:rPr>
          <w:rFonts w:ascii="Helvetica" w:hAnsi="Helvetica" w:cs="Arial"/>
        </w:rPr>
        <w:t>(7.5%) pets (</w:t>
      </w:r>
      <w:r w:rsidR="00CA5013" w:rsidRPr="00DE0A84">
        <w:rPr>
          <w:rFonts w:ascii="Helvetica" w:hAnsi="Helvetica" w:cs="Arial"/>
        </w:rPr>
        <w:t xml:space="preserve">five </w:t>
      </w:r>
      <w:r w:rsidRPr="00DE0A84">
        <w:rPr>
          <w:rFonts w:ascii="Helvetica" w:hAnsi="Helvetica" w:cs="Arial"/>
        </w:rPr>
        <w:t>dogs</w:t>
      </w:r>
      <w:r w:rsidR="00CA5013" w:rsidRPr="00DE0A84">
        <w:rPr>
          <w:rFonts w:ascii="Helvetica" w:hAnsi="Helvetica" w:cs="Arial"/>
        </w:rPr>
        <w:t>,</w:t>
      </w:r>
      <w:r w:rsidRPr="00DE0A84">
        <w:rPr>
          <w:rFonts w:ascii="Helvetica" w:hAnsi="Helvetica" w:cs="Arial"/>
        </w:rPr>
        <w:t xml:space="preserve"> </w:t>
      </w:r>
      <w:r w:rsidR="00CA5013" w:rsidRPr="00DE0A84">
        <w:rPr>
          <w:rFonts w:ascii="Helvetica" w:hAnsi="Helvetica" w:cs="Arial"/>
        </w:rPr>
        <w:t>five</w:t>
      </w:r>
      <w:r w:rsidRPr="00DE0A84">
        <w:rPr>
          <w:rFonts w:ascii="Helvetica" w:hAnsi="Helvetica" w:cs="Arial"/>
        </w:rPr>
        <w:t xml:space="preserve"> cats) received antibiotics within the past year. These antibiotics included cephalosporins (cephalexin or cefpodoxime, </w:t>
      </w:r>
      <w:r w:rsidR="00CA5013" w:rsidRPr="00DE0A84">
        <w:rPr>
          <w:rFonts w:ascii="Helvetica" w:hAnsi="Helvetica" w:cs="Arial"/>
        </w:rPr>
        <w:t xml:space="preserve">three </w:t>
      </w:r>
      <w:r w:rsidRPr="00DE0A84">
        <w:rPr>
          <w:rFonts w:ascii="Helvetica" w:hAnsi="Helvetica" w:cs="Arial"/>
        </w:rPr>
        <w:t>dogs), amoxicillin and azithromycin (</w:t>
      </w:r>
      <w:r w:rsidR="00CA5013" w:rsidRPr="00DE0A84">
        <w:rPr>
          <w:rFonts w:ascii="Helvetica" w:hAnsi="Helvetica" w:cs="Arial"/>
        </w:rPr>
        <w:t xml:space="preserve">one </w:t>
      </w:r>
      <w:r w:rsidRPr="00DE0A84">
        <w:rPr>
          <w:rFonts w:ascii="Helvetica" w:hAnsi="Helvetica" w:cs="Arial"/>
        </w:rPr>
        <w:t>cat), amoxicillin-clavulanic acid (</w:t>
      </w:r>
      <w:r w:rsidR="00CA5013" w:rsidRPr="00DE0A84">
        <w:rPr>
          <w:rFonts w:ascii="Helvetica" w:hAnsi="Helvetica" w:cs="Arial"/>
        </w:rPr>
        <w:t xml:space="preserve">three </w:t>
      </w:r>
      <w:r w:rsidRPr="00DE0A84">
        <w:rPr>
          <w:rFonts w:ascii="Helvetica" w:hAnsi="Helvetica" w:cs="Arial"/>
        </w:rPr>
        <w:t>cats</w:t>
      </w:r>
      <w:r w:rsidR="00CA5013" w:rsidRPr="00DE0A84">
        <w:rPr>
          <w:rFonts w:ascii="Helvetica" w:hAnsi="Helvetica" w:cs="Arial"/>
        </w:rPr>
        <w:t>,</w:t>
      </w:r>
      <w:r w:rsidRPr="00DE0A84">
        <w:rPr>
          <w:rFonts w:ascii="Helvetica" w:hAnsi="Helvetica" w:cs="Arial"/>
        </w:rPr>
        <w:t xml:space="preserve"> </w:t>
      </w:r>
      <w:r w:rsidR="00CA5013" w:rsidRPr="00DE0A84">
        <w:rPr>
          <w:rFonts w:ascii="Helvetica" w:hAnsi="Helvetica" w:cs="Arial"/>
        </w:rPr>
        <w:t xml:space="preserve">one </w:t>
      </w:r>
      <w:r w:rsidRPr="00DE0A84">
        <w:rPr>
          <w:rFonts w:ascii="Helvetica" w:hAnsi="Helvetica" w:cs="Arial"/>
        </w:rPr>
        <w:t>dog), clindamycin (</w:t>
      </w:r>
      <w:r w:rsidR="00CA5013" w:rsidRPr="00DE0A84">
        <w:rPr>
          <w:rFonts w:ascii="Helvetica" w:hAnsi="Helvetica" w:cs="Arial"/>
        </w:rPr>
        <w:t xml:space="preserve">one </w:t>
      </w:r>
      <w:r w:rsidRPr="00DE0A84">
        <w:rPr>
          <w:rFonts w:ascii="Helvetica" w:hAnsi="Helvetica" w:cs="Arial"/>
        </w:rPr>
        <w:t>cat), and one dog was treated with an unknown antibiotic type. At the three</w:t>
      </w:r>
      <w:r w:rsidR="00CA5013" w:rsidRPr="00DE0A84">
        <w:rPr>
          <w:rFonts w:ascii="Helvetica" w:hAnsi="Helvetica" w:cs="Arial"/>
        </w:rPr>
        <w:t xml:space="preserve"> </w:t>
      </w:r>
      <w:r w:rsidRPr="00DE0A84">
        <w:rPr>
          <w:rFonts w:ascii="Helvetica" w:hAnsi="Helvetica" w:cs="Arial"/>
        </w:rPr>
        <w:t xml:space="preserve">month visit, five additional dogs had been treated with antibiotics: </w:t>
      </w:r>
      <w:r w:rsidR="00CA5013" w:rsidRPr="00DE0A84">
        <w:rPr>
          <w:rFonts w:ascii="Helvetica" w:hAnsi="Helvetica" w:cs="Arial"/>
        </w:rPr>
        <w:t xml:space="preserve">two </w:t>
      </w:r>
      <w:r w:rsidRPr="00DE0A84">
        <w:rPr>
          <w:rFonts w:ascii="Helvetica" w:hAnsi="Helvetica" w:cs="Arial"/>
        </w:rPr>
        <w:t xml:space="preserve">were treated with cephalexin, </w:t>
      </w:r>
      <w:r w:rsidR="00CA5013" w:rsidRPr="00DE0A84">
        <w:rPr>
          <w:rFonts w:ascii="Helvetica" w:hAnsi="Helvetica" w:cs="Arial"/>
        </w:rPr>
        <w:t xml:space="preserve">two </w:t>
      </w:r>
      <w:r w:rsidRPr="00DE0A84">
        <w:rPr>
          <w:rFonts w:ascii="Helvetica" w:hAnsi="Helvetica" w:cs="Arial"/>
        </w:rPr>
        <w:t xml:space="preserve">with clindamycin and </w:t>
      </w:r>
      <w:r w:rsidR="00CA5013" w:rsidRPr="00DE0A84">
        <w:rPr>
          <w:rFonts w:ascii="Helvetica" w:hAnsi="Helvetica" w:cs="Arial"/>
        </w:rPr>
        <w:t xml:space="preserve">one </w:t>
      </w:r>
      <w:r w:rsidRPr="00DE0A84">
        <w:rPr>
          <w:rFonts w:ascii="Helvetica" w:hAnsi="Helvetica" w:cs="Arial"/>
        </w:rPr>
        <w:t xml:space="preserve">with doxycycline in the past three months. </w:t>
      </w:r>
    </w:p>
    <w:p w14:paraId="4896B99A" w14:textId="6B729EE6" w:rsidR="00CF4B6D" w:rsidRPr="00DE0A84" w:rsidRDefault="00CF4B6D" w:rsidP="00CF4B6D">
      <w:pPr>
        <w:spacing w:afterLines="120" w:after="288" w:line="360" w:lineRule="auto"/>
        <w:rPr>
          <w:rFonts w:ascii="Helvetica" w:hAnsi="Helvetica" w:cs="Arial"/>
        </w:rPr>
      </w:pPr>
      <w:r w:rsidRPr="00DE0A84">
        <w:rPr>
          <w:rFonts w:ascii="Helvetica" w:hAnsi="Helvetica" w:cs="Arial"/>
        </w:rPr>
        <w:t>Pet kennel exposure was defined as experience at a dog kennel or boarding facility (without distinction of vet hospital boarding or elsewhere) within the past 12 months. Presence or absence of household pests or mo</w:t>
      </w:r>
      <w:r w:rsidR="00CA5013" w:rsidRPr="00DE0A84">
        <w:rPr>
          <w:rFonts w:ascii="Helvetica" w:hAnsi="Helvetica" w:cs="Arial"/>
        </w:rPr>
        <w:t>u</w:t>
      </w:r>
      <w:r w:rsidRPr="00DE0A84">
        <w:rPr>
          <w:rFonts w:ascii="Helvetica" w:hAnsi="Helvetica" w:cs="Arial"/>
        </w:rPr>
        <w:t xml:space="preserve">ld was determined by survey reporting and home inspection. Season (meteorological) was defined as winter, spring, summer or </w:t>
      </w:r>
      <w:r w:rsidR="00CA5013" w:rsidRPr="00DE0A84">
        <w:rPr>
          <w:rFonts w:ascii="Helvetica" w:hAnsi="Helvetica" w:cs="Arial"/>
        </w:rPr>
        <w:t>autumn</w:t>
      </w:r>
      <w:r w:rsidRPr="00DE0A84">
        <w:rPr>
          <w:rFonts w:ascii="Helvetica" w:hAnsi="Helvetica" w:cs="Arial"/>
        </w:rPr>
        <w:t xml:space="preserve">, with season end date cut-offs of </w:t>
      </w:r>
      <w:r w:rsidR="00CA5013" w:rsidRPr="00DE0A84">
        <w:rPr>
          <w:rFonts w:ascii="Helvetica" w:hAnsi="Helvetica" w:cs="Arial"/>
        </w:rPr>
        <w:t>20</w:t>
      </w:r>
      <w:r w:rsidRPr="00DE0A84">
        <w:rPr>
          <w:rFonts w:ascii="Helvetica" w:hAnsi="Helvetica" w:cs="Arial"/>
        </w:rPr>
        <w:t xml:space="preserve">March, </w:t>
      </w:r>
      <w:r w:rsidR="00CA5013" w:rsidRPr="00DE0A84">
        <w:rPr>
          <w:rFonts w:ascii="Helvetica" w:hAnsi="Helvetica" w:cs="Arial"/>
        </w:rPr>
        <w:t>21</w:t>
      </w:r>
      <w:r w:rsidRPr="00DE0A84">
        <w:rPr>
          <w:rFonts w:ascii="Helvetica" w:hAnsi="Helvetica" w:cs="Arial"/>
        </w:rPr>
        <w:t xml:space="preserve">June, </w:t>
      </w:r>
      <w:r w:rsidR="00CA5013" w:rsidRPr="00DE0A84">
        <w:rPr>
          <w:rFonts w:ascii="Helvetica" w:hAnsi="Helvetica" w:cs="Arial"/>
        </w:rPr>
        <w:t>22</w:t>
      </w:r>
      <w:r w:rsidRPr="00DE0A84">
        <w:rPr>
          <w:rFonts w:ascii="Helvetica" w:hAnsi="Helvetica" w:cs="Arial"/>
        </w:rPr>
        <w:t xml:space="preserve">September, and </w:t>
      </w:r>
      <w:r w:rsidR="00CA5013" w:rsidRPr="00DE0A84">
        <w:rPr>
          <w:rFonts w:ascii="Helvetica" w:hAnsi="Helvetica" w:cs="Arial"/>
        </w:rPr>
        <w:t>21</w:t>
      </w:r>
      <w:r w:rsidRPr="00DE0A84">
        <w:rPr>
          <w:rFonts w:ascii="Helvetica" w:hAnsi="Helvetica" w:cs="Arial"/>
        </w:rPr>
        <w:t>December. A previously developed scale defining human</w:t>
      </w:r>
      <w:r w:rsidR="00CA5013" w:rsidRPr="00DE0A84">
        <w:rPr>
          <w:rFonts w:ascii="Helvetica" w:hAnsi="Helvetica" w:cs="Arial"/>
        </w:rPr>
        <w:t>–</w:t>
      </w:r>
      <w:r w:rsidRPr="00DE0A84">
        <w:rPr>
          <w:rFonts w:ascii="Helvetica" w:hAnsi="Helvetica" w:cs="Arial"/>
        </w:rPr>
        <w:t>animal contact within the home was extrapolated from human MRSA transmission research, with score points assigned for provision of care (feeding, bathing, medicating, grooming, exercising), close sleeping quarters (on the same bed), letting animals lick the human participant’s hands or face, and housing pets indoors, with a maximum point total of nine.</w:t>
      </w:r>
      <w:r w:rsidRPr="00DE0A84">
        <w:rPr>
          <w:rFonts w:ascii="Helvetica" w:hAnsi="Helvetica" w:cs="Arial"/>
        </w:rPr>
        <w:fldChar w:fldCharType="begin" w:fldLock="1"/>
      </w:r>
      <w:r w:rsidR="005B2CAE" w:rsidRPr="00DE0A84">
        <w:rPr>
          <w:rFonts w:ascii="Helvetica" w:hAnsi="Helvetica" w:cs="Arial"/>
        </w:rPr>
        <w:instrText>ADDIN CSL_CITATION {"citationItems":[{"id":"ITEM-1","itemData":{"DOI":"10.1111/j.1863-2378.2011.01448.x","ISBN":"1863-2378","ISSN":"18631959","PMID":"22233337","abstract":"Colonization by methicillin-resistant Staphylococcus aureus (MRSA) may be persistent in people and is horizontally transmissible. The scientific literature suggests that domestic pets may also participate in cross-transmission of MRSA within households. The objectives of this study were to evaluate the prevalence of and risk factors for MRSA carriage by pets residing in households with an MRSA-infected person. From 66 households in which an MRSA-infected patient resided, we screened 47 dogs and 52 cats using a swab protocol. Isolates from pets and humans were genotyped using two techniques and compared for concordance. Human participants completed a 22-question survey of demographic and epidemiologic data relevant to staphylococcal transmission. Eleven of 99 pets (11.5%) representing 9 (13.6%) of households were MRSA-positive, but in only six of these households were the human and animal-source strains genetically concordant. Human infection by strain USA 100 was significantly associated with pet carriage [OR = 11.4 (95% CI 1.7, 76.9); P = 0.013]. Yet, for each day of delay in sampling the pet after the person's MRSA diagnosis, the odds of isolating any type of MRSA from the pet decreased by 13.9% [(95% CI 2.6, 23.8); P = 0.017)]. It may be concluded that pets can harbour pandemic strains of MRSA while residing in a household with an infected person. However, the source of MRSA to the pet cannot always be attributed to the human patient. Moreover, the rapid attrition of the odds of obtaining a positive culture from pets over time suggests that MRSA carriage may be fleeting.","author":[{"dropping-particle":"","family":"Morris","given":"D. O.","non-dropping-particle":"","parse-names":false,"suffix":""},{"dropping-particle":"","family":"Lautenbach","given":"E.","non-dropping-particle":"","parse-names":false,"suffix":""},{"dropping-particle":"","family":"Zaoutis","given":"T.","non-dropping-particle":"","parse-names":false,"suffix":""},{"dropping-particle":"","family":"Leckerman","given":"K.","non-dropping-particle":"","parse-names":false,"suffix":""},{"dropping-particle":"","family":"Edelstein","given":"P. H.","non-dropping-particle":"","parse-names":false,"suffix":""},{"dropping-particle":"","family":"Rankin","given":"S. C.","non-dropping-particle":"","parse-names":false,"suffix":""}],"container-title":"Zoonoses and Public Health","id":"ITEM-1","issue":"4","issued":{"date-parts":[["2012"]]},"page":"286-293","title":"Potential for Pet Animals to Harbour Methicillin-Resistant Staphylococcus aureus When Residing with Human MRSA Patients","type":"article-journal","volume":"59"},"uris":["http://www.mendeley.com/documents/?uuid=df99bfcf-c70f-45e1-afb1-70aec7e9f62a"]}],"mendeley":{"formattedCitation":"&lt;sup&gt;11&lt;/sup&gt;","plainTextFormattedCitation":"11","previouslyFormattedCitation":"&lt;sup&gt;15&lt;/sup&gt;"},"properties":{"noteIndex":0},"schema":"https://github.com/citation-style-language/schema/raw/master/csl-citation.json"}</w:instrText>
      </w:r>
      <w:r w:rsidRPr="00DE0A84">
        <w:rPr>
          <w:rFonts w:ascii="Helvetica" w:hAnsi="Helvetica" w:cs="Arial"/>
        </w:rPr>
        <w:fldChar w:fldCharType="separate"/>
      </w:r>
      <w:r w:rsidR="005B2CAE" w:rsidRPr="00DE0A84">
        <w:rPr>
          <w:rFonts w:ascii="Helvetica" w:hAnsi="Helvetica" w:cs="Arial"/>
          <w:noProof/>
          <w:vertAlign w:val="superscript"/>
        </w:rPr>
        <w:t>11</w:t>
      </w:r>
      <w:r w:rsidRPr="00DE0A84">
        <w:rPr>
          <w:rFonts w:ascii="Helvetica" w:hAnsi="Helvetica" w:cs="Arial"/>
        </w:rPr>
        <w:fldChar w:fldCharType="end"/>
      </w:r>
      <w:r w:rsidRPr="00DE0A84">
        <w:rPr>
          <w:rFonts w:ascii="Helvetica" w:hAnsi="Helvetica" w:cs="Arial"/>
        </w:rPr>
        <w:t xml:space="preserve"> Based on the distribution of data in this study (median survey response score of two), human</w:t>
      </w:r>
      <w:r w:rsidR="00CA5013" w:rsidRPr="00DE0A84">
        <w:rPr>
          <w:rFonts w:ascii="Helvetica" w:hAnsi="Helvetica" w:cs="Arial"/>
        </w:rPr>
        <w:t>–</w:t>
      </w:r>
      <w:r w:rsidRPr="00DE0A84">
        <w:rPr>
          <w:rFonts w:ascii="Helvetica" w:hAnsi="Helvetica" w:cs="Arial"/>
        </w:rPr>
        <w:t xml:space="preserve">animal contact scores of two or above were </w:t>
      </w:r>
      <w:r w:rsidR="00CA5013" w:rsidRPr="00DE0A84">
        <w:rPr>
          <w:rFonts w:ascii="Helvetica" w:hAnsi="Helvetica" w:cs="Arial"/>
        </w:rPr>
        <w:t xml:space="preserve">characterised </w:t>
      </w:r>
      <w:r w:rsidRPr="00DE0A84">
        <w:rPr>
          <w:rFonts w:ascii="Helvetica" w:hAnsi="Helvetica" w:cs="Arial"/>
        </w:rPr>
        <w:t>as “close human contact”, and scores less than two were label</w:t>
      </w:r>
      <w:r w:rsidR="00CA5013" w:rsidRPr="00DE0A84">
        <w:rPr>
          <w:rFonts w:ascii="Helvetica" w:hAnsi="Helvetica" w:cs="Arial"/>
        </w:rPr>
        <w:t>l</w:t>
      </w:r>
      <w:r w:rsidRPr="00DE0A84">
        <w:rPr>
          <w:rFonts w:ascii="Helvetica" w:hAnsi="Helvetica" w:cs="Arial"/>
        </w:rPr>
        <w:t xml:space="preserve">ed “casual human contact.” </w:t>
      </w:r>
    </w:p>
    <w:p w14:paraId="303E6448" w14:textId="3A113F73" w:rsidR="00CF4B6D" w:rsidRPr="00DE0A84" w:rsidRDefault="00105108" w:rsidP="00CF4B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120" w:after="288" w:line="360" w:lineRule="auto"/>
        <w:rPr>
          <w:rFonts w:ascii="Helvetica" w:hAnsi="Helvetica" w:cs="Arial"/>
        </w:rPr>
      </w:pPr>
      <w:r w:rsidRPr="00DE0A84">
        <w:rPr>
          <w:rFonts w:ascii="Helvetica" w:hAnsi="Helvetica" w:cs="Arial"/>
          <w:b/>
          <w:bCs/>
        </w:rPr>
        <w:t>S</w:t>
      </w:r>
      <w:r w:rsidR="00366B43" w:rsidRPr="00DE0A84">
        <w:rPr>
          <w:rFonts w:ascii="Helvetica" w:hAnsi="Helvetica" w:cs="Arial"/>
          <w:b/>
          <w:bCs/>
        </w:rPr>
        <w:t>tatistical methods</w:t>
      </w:r>
    </w:p>
    <w:p w14:paraId="70610E11" w14:textId="77777777" w:rsidR="00366B43" w:rsidRPr="00DE0A84" w:rsidRDefault="00366B43" w:rsidP="00366B43">
      <w:pPr>
        <w:spacing w:afterLines="120" w:after="288" w:line="360" w:lineRule="auto"/>
        <w:rPr>
          <w:rFonts w:ascii="Helvetica" w:hAnsi="Helvetica" w:cs="Arial"/>
        </w:rPr>
      </w:pPr>
      <w:r w:rsidRPr="00DE0A84">
        <w:rPr>
          <w:rFonts w:ascii="Helvetica" w:hAnsi="Helvetica" w:cs="Arial"/>
        </w:rPr>
        <w:lastRenderedPageBreak/>
        <w:t xml:space="preserve">Variables were explored and aggregated if needed. Survey-weighting for unadjusted and adjusted logistic regressions accounted for clustering of pets within their respective households. Those variables showing unadjusted associations with MRSA detection with </w:t>
      </w:r>
      <w:r w:rsidRPr="00DE0A84">
        <w:rPr>
          <w:rFonts w:ascii="Helvetica" w:hAnsi="Helvetica" w:cs="Arial"/>
          <w:i/>
        </w:rPr>
        <w:t>p</w:t>
      </w:r>
      <w:r w:rsidRPr="00DE0A84">
        <w:rPr>
          <w:rFonts w:ascii="Helvetica" w:hAnsi="Helvetica" w:cs="Arial"/>
        </w:rPr>
        <w:t>-values &lt;0.20 were further explored in adjusted logistic regression models. Species-stratified analysis was conducted to explore the potential for effect modification by species; limitations of sample size restricted this exploratory analysis to unadjusted logistic regression models only.</w:t>
      </w:r>
    </w:p>
    <w:p w14:paraId="5665884D" w14:textId="2746D6CA" w:rsidR="00366B43" w:rsidRPr="00DE0A84" w:rsidRDefault="00366B43" w:rsidP="00366B43">
      <w:pPr>
        <w:spacing w:afterLines="120" w:after="288" w:line="360" w:lineRule="auto"/>
        <w:rPr>
          <w:rFonts w:ascii="Helvetica" w:hAnsi="Helvetica" w:cs="Arial"/>
          <w:shd w:val="clear" w:color="auto" w:fill="FFFFFF"/>
        </w:rPr>
      </w:pPr>
      <w:r w:rsidRPr="00DE0A84">
        <w:rPr>
          <w:rFonts w:ascii="Helvetica" w:hAnsi="Helvetica" w:cs="Arial"/>
        </w:rPr>
        <w:t xml:space="preserve">Variables with strong </w:t>
      </w:r>
      <w:r w:rsidRPr="00DE0A84">
        <w:rPr>
          <w:rFonts w:ascii="Helvetica" w:hAnsi="Helvetica" w:cs="Arial"/>
          <w:i/>
          <w:iCs/>
        </w:rPr>
        <w:t>a priori</w:t>
      </w:r>
      <w:r w:rsidRPr="00DE0A84">
        <w:rPr>
          <w:rFonts w:ascii="Helvetica" w:hAnsi="Helvetica" w:cs="Arial"/>
        </w:rPr>
        <w:t xml:space="preserve"> evidence of epidemiological significance were retained in the final multiple logistic regression model of risk factors for pet carriage of MRSA at baseline. Forward and backward stepwise variable selection (with a retention </w:t>
      </w:r>
      <w:r w:rsidRPr="00DE0A84">
        <w:rPr>
          <w:rFonts w:ascii="Helvetica" w:hAnsi="Helvetica" w:cs="Arial"/>
          <w:shd w:val="clear" w:color="auto" w:fill="FFFFFF"/>
        </w:rPr>
        <w:sym w:font="Symbol" w:char="F061"/>
      </w:r>
      <w:r w:rsidRPr="00DE0A84">
        <w:rPr>
          <w:rFonts w:ascii="Helvetica" w:hAnsi="Helvetica" w:cs="Arial"/>
          <w:shd w:val="clear" w:color="auto" w:fill="FFFFFF"/>
        </w:rPr>
        <w:t xml:space="preserve"> level of 0.05)</w:t>
      </w:r>
      <w:r w:rsidRPr="00DE0A84">
        <w:rPr>
          <w:rFonts w:ascii="Helvetica" w:hAnsi="Helvetica" w:cs="Arial"/>
        </w:rPr>
        <w:t xml:space="preserve"> and likelihood ratio tests were conducted to determine best model fit. </w:t>
      </w:r>
      <w:r w:rsidRPr="00DE0A84">
        <w:rPr>
          <w:rFonts w:ascii="Helvetica" w:hAnsi="Helvetica" w:cs="Arial"/>
          <w:shd w:val="clear" w:color="auto" w:fill="FFFFFF"/>
        </w:rPr>
        <w:t xml:space="preserve">Only one variable remained significant at </w:t>
      </w:r>
      <w:r w:rsidRPr="00DE0A84">
        <w:rPr>
          <w:rFonts w:ascii="Helvetica" w:hAnsi="Helvetica" w:cs="Arial"/>
          <w:shd w:val="clear" w:color="auto" w:fill="FFFFFF"/>
        </w:rPr>
        <w:sym w:font="Symbol" w:char="F061"/>
      </w:r>
      <w:r w:rsidR="00CA5013" w:rsidRPr="00DE0A84">
        <w:rPr>
          <w:rFonts w:ascii="Helvetica" w:hAnsi="Helvetica" w:cs="Arial"/>
          <w:shd w:val="clear" w:color="auto" w:fill="FFFFFF"/>
        </w:rPr>
        <w:t> = </w:t>
      </w:r>
      <w:r w:rsidRPr="00DE0A84">
        <w:rPr>
          <w:rFonts w:ascii="Helvetica" w:hAnsi="Helvetica" w:cs="Arial"/>
          <w:shd w:val="clear" w:color="auto" w:fill="FFFFFF"/>
        </w:rPr>
        <w:t xml:space="preserve">0.05 after using the Benjamini and Hochberg false discovery rate (FDR) ranking to consider the impact of multiple comparisons; </w:t>
      </w:r>
      <w:r w:rsidRPr="00DE0A84">
        <w:rPr>
          <w:rFonts w:ascii="Helvetica" w:hAnsi="Helvetica" w:cs="Arial"/>
          <w:i/>
          <w:shd w:val="clear" w:color="auto" w:fill="FFFFFF"/>
        </w:rPr>
        <w:t>p</w:t>
      </w:r>
      <w:r w:rsidRPr="00DE0A84">
        <w:rPr>
          <w:rFonts w:ascii="Helvetica" w:hAnsi="Helvetica" w:cs="Arial"/>
          <w:shd w:val="clear" w:color="auto" w:fill="FFFFFF"/>
        </w:rPr>
        <w:t xml:space="preserve">-values presented are not FDR-adjusted. </w:t>
      </w:r>
    </w:p>
    <w:p w14:paraId="0F5FFC5C" w14:textId="77777777" w:rsidR="00366B43" w:rsidRPr="00DE0A84" w:rsidRDefault="00366B43" w:rsidP="00CF4B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120" w:after="288" w:line="360" w:lineRule="auto"/>
        <w:rPr>
          <w:rFonts w:ascii="Helvetica" w:hAnsi="Helvetica" w:cs="Arial"/>
        </w:rPr>
      </w:pPr>
    </w:p>
    <w:p w14:paraId="17D21BAB" w14:textId="6F1BA469" w:rsidR="00111968" w:rsidRPr="00DE0A84" w:rsidRDefault="00105108" w:rsidP="001A20F3">
      <w:pPr>
        <w:spacing w:afterLines="120" w:after="288" w:line="360" w:lineRule="auto"/>
        <w:rPr>
          <w:rFonts w:ascii="Helvetica" w:hAnsi="Helvetica"/>
          <w:b/>
          <w:bCs/>
        </w:rPr>
      </w:pPr>
      <w:r w:rsidRPr="00DE0A84">
        <w:rPr>
          <w:rFonts w:ascii="Helvetica" w:hAnsi="Helvetica"/>
          <w:b/>
          <w:bCs/>
        </w:rPr>
        <w:t>RESULTS S1</w:t>
      </w:r>
    </w:p>
    <w:p w14:paraId="11C702E3" w14:textId="2FCD6741" w:rsidR="0076221F" w:rsidRPr="00DE0A84" w:rsidRDefault="00105108" w:rsidP="001A20F3">
      <w:pPr>
        <w:spacing w:afterLines="120" w:after="288" w:line="360" w:lineRule="auto"/>
        <w:rPr>
          <w:rFonts w:ascii="Helvetica" w:hAnsi="Helvetica" w:cs="Arial"/>
          <w:b/>
          <w:bCs/>
        </w:rPr>
      </w:pPr>
      <w:r w:rsidRPr="00DE0A84">
        <w:rPr>
          <w:rFonts w:ascii="Helvetica" w:hAnsi="Helvetica" w:cs="Arial"/>
          <w:b/>
        </w:rPr>
        <w:t>B</w:t>
      </w:r>
      <w:r w:rsidR="0056022B" w:rsidRPr="00DE0A84">
        <w:rPr>
          <w:rFonts w:ascii="Helvetica" w:hAnsi="Helvetica" w:cs="Arial"/>
          <w:b/>
        </w:rPr>
        <w:t>aseline analysis</w:t>
      </w:r>
    </w:p>
    <w:p w14:paraId="54BF816F" w14:textId="1BD2CB2C" w:rsidR="004468D0" w:rsidRPr="00DE0A84" w:rsidRDefault="00CA5013" w:rsidP="004468D0">
      <w:pPr>
        <w:spacing w:afterLines="120" w:after="288" w:line="360" w:lineRule="auto"/>
        <w:rPr>
          <w:rFonts w:ascii="Helvetica" w:hAnsi="Helvetica" w:cs="Arial"/>
        </w:rPr>
      </w:pPr>
      <w:r w:rsidRPr="00DE0A84">
        <w:rPr>
          <w:rFonts w:ascii="Helvetica" w:hAnsi="Helvetica" w:cs="Arial"/>
        </w:rPr>
        <w:t xml:space="preserve">Because </w:t>
      </w:r>
      <w:r w:rsidR="003D4CC7" w:rsidRPr="00DE0A84">
        <w:rPr>
          <w:rFonts w:ascii="Helvetica" w:hAnsi="Helvetica" w:cs="Arial"/>
        </w:rPr>
        <w:t xml:space="preserve">no pets carrying MRSA were unexposed to household environmental MRSA, this variable could not be included in </w:t>
      </w:r>
      <w:r w:rsidR="00E03195" w:rsidRPr="00DE0A84">
        <w:rPr>
          <w:rFonts w:ascii="Helvetica" w:hAnsi="Helvetica" w:cs="Arial"/>
        </w:rPr>
        <w:t xml:space="preserve">multivariate </w:t>
      </w:r>
      <w:r w:rsidR="003D4CC7" w:rsidRPr="00DE0A84">
        <w:rPr>
          <w:rFonts w:ascii="Helvetica" w:hAnsi="Helvetica" w:cs="Arial"/>
        </w:rPr>
        <w:t xml:space="preserve">models. </w:t>
      </w:r>
      <w:r w:rsidR="004468D0" w:rsidRPr="00DE0A84">
        <w:rPr>
          <w:rFonts w:ascii="Helvetica" w:hAnsi="Helvetica" w:cs="Arial"/>
        </w:rPr>
        <w:t>A number of factors were of marginal significance (</w:t>
      </w:r>
      <w:r w:rsidR="004468D0" w:rsidRPr="00DE0A84">
        <w:rPr>
          <w:rFonts w:ascii="Helvetica" w:hAnsi="Helvetica" w:cs="Arial"/>
          <w:i/>
        </w:rPr>
        <w:t>p</w:t>
      </w:r>
      <w:r w:rsidRPr="00DE0A84">
        <w:rPr>
          <w:rFonts w:ascii="Helvetica" w:hAnsi="Helvetica" w:cs="Arial"/>
        </w:rPr>
        <w:t> </w:t>
      </w:r>
      <w:r w:rsidR="004468D0" w:rsidRPr="00DE0A84">
        <w:rPr>
          <w:rFonts w:ascii="Helvetica" w:hAnsi="Helvetica" w:cs="Arial"/>
        </w:rPr>
        <w:t>&gt;</w:t>
      </w:r>
      <w:r w:rsidRPr="00DE0A84">
        <w:rPr>
          <w:rFonts w:ascii="Helvetica" w:hAnsi="Helvetica" w:cs="Arial"/>
        </w:rPr>
        <w:t> </w:t>
      </w:r>
      <w:r w:rsidR="004468D0" w:rsidRPr="00DE0A84">
        <w:rPr>
          <w:rFonts w:ascii="Helvetica" w:hAnsi="Helvetica" w:cs="Arial"/>
        </w:rPr>
        <w:t xml:space="preserve">0.05 </w:t>
      </w:r>
      <w:r w:rsidR="00421B2F" w:rsidRPr="00DE0A84">
        <w:rPr>
          <w:rFonts w:ascii="Helvetica" w:hAnsi="Helvetica" w:cs="Arial"/>
        </w:rPr>
        <w:t xml:space="preserve">and </w:t>
      </w:r>
      <w:r w:rsidR="004468D0" w:rsidRPr="00DE0A84">
        <w:rPr>
          <w:rFonts w:ascii="Helvetica" w:hAnsi="Helvetica" w:cs="Arial"/>
          <w:i/>
        </w:rPr>
        <w:t>p</w:t>
      </w:r>
      <w:r w:rsidRPr="00DE0A84">
        <w:rPr>
          <w:rFonts w:ascii="Helvetica" w:hAnsi="Helvetica" w:cs="Arial"/>
        </w:rPr>
        <w:t> </w:t>
      </w:r>
      <w:r w:rsidR="004468D0" w:rsidRPr="00DE0A84">
        <w:rPr>
          <w:rFonts w:ascii="Helvetica" w:hAnsi="Helvetica" w:cs="Arial"/>
        </w:rPr>
        <w:t>&lt;</w:t>
      </w:r>
      <w:r w:rsidRPr="00DE0A84">
        <w:rPr>
          <w:rFonts w:ascii="Helvetica" w:hAnsi="Helvetica" w:cs="Arial"/>
        </w:rPr>
        <w:t> </w:t>
      </w:r>
      <w:r w:rsidR="004468D0" w:rsidRPr="00DE0A84">
        <w:rPr>
          <w:rFonts w:ascii="Helvetica" w:hAnsi="Helvetica" w:cs="Arial"/>
        </w:rPr>
        <w:t>0.20) in unadjusted analysis at baseline and were considered for multivariate evaluation. These included flea infestation at household examination, neutered status and exposure to a boarding kennel within the past year (</w:t>
      </w:r>
      <w:r w:rsidR="004468D0" w:rsidRPr="00DE0A84">
        <w:rPr>
          <w:rFonts w:ascii="Helvetica" w:hAnsi="Helvetica" w:cs="Arial"/>
          <w:bCs/>
        </w:rPr>
        <w:t>Table 1b</w:t>
      </w:r>
      <w:r w:rsidR="004468D0" w:rsidRPr="00DE0A84">
        <w:rPr>
          <w:rFonts w:ascii="Helvetica" w:hAnsi="Helvetica" w:cs="Arial"/>
        </w:rPr>
        <w:t xml:space="preserve">). </w:t>
      </w:r>
      <w:r w:rsidR="004468D0" w:rsidRPr="00DE0A84">
        <w:rPr>
          <w:rFonts w:ascii="Helvetica" w:hAnsi="Helvetica" w:cs="Arial"/>
          <w:shd w:val="clear" w:color="auto" w:fill="FFFFFF"/>
        </w:rPr>
        <w:t>False discovery rate analysis suggested that only pet bed MRSA contamination would remain significant after consideration of multiple comparisons.</w:t>
      </w:r>
      <w:r w:rsidR="004D46B9" w:rsidRPr="00DE0A84">
        <w:rPr>
          <w:rFonts w:ascii="Helvetica" w:hAnsi="Helvetica" w:cs="Arial"/>
          <w:shd w:val="clear" w:color="auto" w:fill="FFFFFF"/>
        </w:rPr>
        <w:t xml:space="preserve"> </w:t>
      </w:r>
      <w:r w:rsidR="004D46B9" w:rsidRPr="00DE0A84">
        <w:rPr>
          <w:rFonts w:ascii="Helvetica" w:hAnsi="Helvetica" w:cs="Arial"/>
        </w:rPr>
        <w:t>After adjusting for all other variables, pet neuter status and kennel exposure were no longer significant (</w:t>
      </w:r>
      <w:r w:rsidR="004D46B9" w:rsidRPr="00DE0A84">
        <w:rPr>
          <w:rFonts w:ascii="Helvetica" w:hAnsi="Helvetica" w:cs="Arial"/>
          <w:i/>
        </w:rPr>
        <w:t>p</w:t>
      </w:r>
      <w:r w:rsidR="00E03195" w:rsidRPr="00DE0A84">
        <w:rPr>
          <w:rFonts w:ascii="Helvetica" w:hAnsi="Helvetica" w:cs="Arial"/>
        </w:rPr>
        <w:t> </w:t>
      </w:r>
      <w:r w:rsidR="004D46B9" w:rsidRPr="00DE0A84">
        <w:rPr>
          <w:rFonts w:ascii="Helvetica" w:hAnsi="Helvetica" w:cs="Arial"/>
        </w:rPr>
        <w:t>=</w:t>
      </w:r>
      <w:r w:rsidR="00E03195" w:rsidRPr="00DE0A84">
        <w:rPr>
          <w:rFonts w:ascii="Helvetica" w:hAnsi="Helvetica" w:cs="Arial"/>
        </w:rPr>
        <w:t> </w:t>
      </w:r>
      <w:r w:rsidR="004D46B9" w:rsidRPr="00DE0A84">
        <w:rPr>
          <w:rFonts w:ascii="Helvetica" w:hAnsi="Helvetica" w:cs="Arial"/>
        </w:rPr>
        <w:t xml:space="preserve">0.729 and </w:t>
      </w:r>
      <w:r w:rsidR="004D46B9" w:rsidRPr="00DE0A84">
        <w:rPr>
          <w:rFonts w:ascii="Helvetica" w:hAnsi="Helvetica" w:cs="Arial"/>
          <w:i/>
        </w:rPr>
        <w:t>p</w:t>
      </w:r>
      <w:r w:rsidR="00E03195" w:rsidRPr="00DE0A84">
        <w:rPr>
          <w:rFonts w:ascii="Helvetica" w:hAnsi="Helvetica" w:cs="Arial"/>
        </w:rPr>
        <w:t> </w:t>
      </w:r>
      <w:r w:rsidR="004D46B9" w:rsidRPr="00DE0A84">
        <w:rPr>
          <w:rFonts w:ascii="Helvetica" w:hAnsi="Helvetica" w:cs="Arial"/>
        </w:rPr>
        <w:t>=</w:t>
      </w:r>
      <w:r w:rsidR="00E03195" w:rsidRPr="00DE0A84">
        <w:rPr>
          <w:rFonts w:ascii="Helvetica" w:hAnsi="Helvetica" w:cs="Arial"/>
        </w:rPr>
        <w:t> </w:t>
      </w:r>
      <w:r w:rsidR="004D46B9" w:rsidRPr="00DE0A84">
        <w:rPr>
          <w:rFonts w:ascii="Helvetica" w:hAnsi="Helvetica" w:cs="Arial"/>
        </w:rPr>
        <w:t>0.354, respectively).</w:t>
      </w:r>
    </w:p>
    <w:p w14:paraId="61FABFF3" w14:textId="3E93625C" w:rsidR="004468D0" w:rsidRPr="00DE0A84" w:rsidRDefault="004468D0" w:rsidP="0076221F">
      <w:pPr>
        <w:spacing w:afterLines="120" w:after="288" w:line="360" w:lineRule="auto"/>
        <w:rPr>
          <w:rFonts w:ascii="Helvetica" w:hAnsi="Helvetica" w:cs="Arial"/>
        </w:rPr>
      </w:pPr>
      <w:r w:rsidRPr="00DE0A84">
        <w:rPr>
          <w:rFonts w:ascii="Helvetica" w:hAnsi="Helvetica" w:cs="Arial"/>
        </w:rPr>
        <w:lastRenderedPageBreak/>
        <w:t>On sensitivity analysis for an adjusted model including veterinary clinic visits instead of pet antibiotic use, the associations between MRSA isolation from pet bedding and fleas on pet exam were unchanged, and an association between vet clinic visit association and pet MRSA carriage was not significant (</w:t>
      </w:r>
      <w:r w:rsidRPr="00DE0A84">
        <w:rPr>
          <w:rFonts w:ascii="Helvetica" w:hAnsi="Helvetica" w:cs="Arial"/>
          <w:i/>
        </w:rPr>
        <w:t>p</w:t>
      </w:r>
      <w:r w:rsidR="00E03195" w:rsidRPr="00DE0A84">
        <w:rPr>
          <w:rFonts w:ascii="Helvetica" w:hAnsi="Helvetica" w:cs="Arial"/>
        </w:rPr>
        <w:t> </w:t>
      </w:r>
      <w:r w:rsidRPr="00DE0A84">
        <w:rPr>
          <w:rFonts w:ascii="Helvetica" w:hAnsi="Helvetica" w:cs="Arial"/>
        </w:rPr>
        <w:t>=</w:t>
      </w:r>
      <w:r w:rsidR="00E03195" w:rsidRPr="00DE0A84">
        <w:rPr>
          <w:rFonts w:ascii="Helvetica" w:hAnsi="Helvetica" w:cs="Arial"/>
        </w:rPr>
        <w:t> </w:t>
      </w:r>
      <w:r w:rsidRPr="00DE0A84">
        <w:rPr>
          <w:rFonts w:ascii="Helvetica" w:hAnsi="Helvetica" w:cs="Arial"/>
        </w:rPr>
        <w:t>0.118).</w:t>
      </w:r>
    </w:p>
    <w:p w14:paraId="165EA1F6" w14:textId="3DF91324" w:rsidR="004468D0" w:rsidRPr="00DE0A84" w:rsidRDefault="004468D0" w:rsidP="004468D0">
      <w:pPr>
        <w:spacing w:afterLines="120" w:after="288" w:line="360" w:lineRule="auto"/>
        <w:rPr>
          <w:rFonts w:ascii="Helvetica" w:hAnsi="Helvetica" w:cs="Arial"/>
        </w:rPr>
      </w:pPr>
      <w:r w:rsidRPr="00DE0A84">
        <w:rPr>
          <w:rFonts w:ascii="Helvetica" w:hAnsi="Helvetica" w:cs="Arial"/>
        </w:rPr>
        <w:t>Stepwise forward and backward logistic regression selection resulted in retention of pet antimicrobial use, presence of fleas on the pet and pet bed isolation of MRSA in a multiple logistic regression model. Inclusion of the human</w:t>
      </w:r>
      <w:r w:rsidR="00E03195" w:rsidRPr="00DE0A84">
        <w:rPr>
          <w:rFonts w:ascii="Helvetica" w:hAnsi="Helvetica" w:cs="Arial"/>
        </w:rPr>
        <w:t>–</w:t>
      </w:r>
      <w:r w:rsidRPr="00DE0A84">
        <w:rPr>
          <w:rFonts w:ascii="Helvetica" w:hAnsi="Helvetica" w:cs="Arial"/>
        </w:rPr>
        <w:t xml:space="preserve">animal contact variable did not improve model fit. </w:t>
      </w:r>
    </w:p>
    <w:p w14:paraId="600634F4" w14:textId="2A7D67BF" w:rsidR="004468D0" w:rsidRPr="00DE0A84" w:rsidRDefault="004468D0" w:rsidP="00421B2F">
      <w:pPr>
        <w:spacing w:afterLines="120" w:after="288" w:line="360" w:lineRule="auto"/>
        <w:rPr>
          <w:rFonts w:ascii="Helvetica" w:hAnsi="Helvetica" w:cs="Arial"/>
        </w:rPr>
      </w:pPr>
      <w:r w:rsidRPr="00DE0A84">
        <w:rPr>
          <w:rFonts w:ascii="Helvetica" w:hAnsi="Helvetica" w:cs="Arial"/>
        </w:rPr>
        <w:t>Within a subset unadjusted analysis of dogs only, the odds of Labrador or Lab</w:t>
      </w:r>
      <w:r w:rsidR="00E03195" w:rsidRPr="00DE0A84">
        <w:rPr>
          <w:rFonts w:ascii="Helvetica" w:hAnsi="Helvetica" w:cs="Arial"/>
        </w:rPr>
        <w:t>rador</w:t>
      </w:r>
      <w:r w:rsidRPr="00DE0A84">
        <w:rPr>
          <w:rFonts w:ascii="Helvetica" w:hAnsi="Helvetica" w:cs="Arial"/>
        </w:rPr>
        <w:t>-mix breeds to have detectable MRSA was 15</w:t>
      </w:r>
      <w:r w:rsidR="00E03195" w:rsidRPr="00DE0A84">
        <w:rPr>
          <w:rFonts w:ascii="Helvetica" w:hAnsi="Helvetica" w:cs="Arial"/>
        </w:rPr>
        <w:t>-fold</w:t>
      </w:r>
      <w:r w:rsidRPr="00DE0A84">
        <w:rPr>
          <w:rFonts w:ascii="Helvetica" w:hAnsi="Helvetica" w:cs="Arial"/>
        </w:rPr>
        <w:t xml:space="preserve"> higher than other dog breeds (OR</w:t>
      </w:r>
      <w:r w:rsidR="00E03195" w:rsidRPr="00DE0A84">
        <w:rPr>
          <w:rFonts w:ascii="Helvetica" w:hAnsi="Helvetica" w:cs="Arial"/>
        </w:rPr>
        <w:t> </w:t>
      </w:r>
      <w:r w:rsidRPr="00DE0A84">
        <w:rPr>
          <w:rFonts w:ascii="Helvetica" w:hAnsi="Helvetica" w:cs="Arial"/>
        </w:rPr>
        <w:t>=</w:t>
      </w:r>
      <w:r w:rsidR="00E03195" w:rsidRPr="00DE0A84">
        <w:rPr>
          <w:rFonts w:ascii="Helvetica" w:hAnsi="Helvetica" w:cs="Arial"/>
        </w:rPr>
        <w:t> </w:t>
      </w:r>
      <w:r w:rsidRPr="00DE0A84">
        <w:rPr>
          <w:rFonts w:ascii="Helvetica" w:hAnsi="Helvetica" w:cs="Arial"/>
        </w:rPr>
        <w:t xml:space="preserve">15.0; 95% CI 2.26, 99.68; </w:t>
      </w:r>
      <w:r w:rsidRPr="00DE0A84">
        <w:rPr>
          <w:rFonts w:ascii="Helvetica" w:hAnsi="Helvetica" w:cs="Arial"/>
          <w:i/>
        </w:rPr>
        <w:t>p</w:t>
      </w:r>
      <w:r w:rsidR="00E03195" w:rsidRPr="00DE0A84">
        <w:rPr>
          <w:rFonts w:ascii="Helvetica" w:hAnsi="Helvetica" w:cs="Arial"/>
        </w:rPr>
        <w:t> </w:t>
      </w:r>
      <w:r w:rsidRPr="00DE0A84">
        <w:rPr>
          <w:rFonts w:ascii="Helvetica" w:hAnsi="Helvetica" w:cs="Arial"/>
        </w:rPr>
        <w:t>=</w:t>
      </w:r>
      <w:r w:rsidR="00E03195" w:rsidRPr="00DE0A84">
        <w:rPr>
          <w:rFonts w:ascii="Helvetica" w:hAnsi="Helvetica" w:cs="Arial"/>
        </w:rPr>
        <w:t> </w:t>
      </w:r>
      <w:r w:rsidRPr="00DE0A84">
        <w:rPr>
          <w:rFonts w:ascii="Helvetica" w:hAnsi="Helvetica" w:cs="Arial"/>
        </w:rPr>
        <w:t>0.006</w:t>
      </w:r>
      <w:r w:rsidR="00E03195" w:rsidRPr="00DE0A84">
        <w:rPr>
          <w:rFonts w:ascii="Helvetica" w:hAnsi="Helvetica" w:cs="Arial"/>
        </w:rPr>
        <w:t xml:space="preserve">; </w:t>
      </w:r>
      <w:r w:rsidRPr="00DE0A84">
        <w:rPr>
          <w:rFonts w:ascii="Helvetica" w:hAnsi="Helvetica" w:cs="Arial"/>
        </w:rPr>
        <w:t xml:space="preserve">Table 1). </w:t>
      </w:r>
      <w:r w:rsidR="00E03195" w:rsidRPr="00DE0A84">
        <w:rPr>
          <w:rFonts w:ascii="Helvetica" w:hAnsi="Helvetica" w:cs="Arial"/>
        </w:rPr>
        <w:t>As a consequence of the</w:t>
      </w:r>
      <w:r w:rsidRPr="00DE0A84">
        <w:rPr>
          <w:rFonts w:ascii="Helvetica" w:hAnsi="Helvetica" w:cs="Arial"/>
        </w:rPr>
        <w:t xml:space="preserve"> limited within-stratum sample size and the attendant power constraints, these results should be interpreted with caution. Nonetheless, the average human</w:t>
      </w:r>
      <w:r w:rsidR="00E03195" w:rsidRPr="00DE0A84">
        <w:rPr>
          <w:rFonts w:ascii="Helvetica" w:hAnsi="Helvetica" w:cs="Arial"/>
        </w:rPr>
        <w:t>–</w:t>
      </w:r>
      <w:r w:rsidRPr="00DE0A84">
        <w:rPr>
          <w:rFonts w:ascii="Helvetica" w:hAnsi="Helvetica" w:cs="Arial"/>
        </w:rPr>
        <w:t>pet closeness score of Labradors was 1.7, while the average human</w:t>
      </w:r>
      <w:r w:rsidR="00E03195" w:rsidRPr="00DE0A84">
        <w:rPr>
          <w:rFonts w:ascii="Helvetica" w:hAnsi="Helvetica" w:cs="Arial"/>
        </w:rPr>
        <w:t>–</w:t>
      </w:r>
      <w:r w:rsidRPr="00DE0A84">
        <w:rPr>
          <w:rFonts w:ascii="Helvetica" w:hAnsi="Helvetica" w:cs="Arial"/>
        </w:rPr>
        <w:t>pet closeness score of non-Labradors was 2.0, and no other measured variables were identified that changed the measure of association between Lab</w:t>
      </w:r>
      <w:r w:rsidR="00E03195" w:rsidRPr="00DE0A84">
        <w:rPr>
          <w:rFonts w:ascii="Helvetica" w:hAnsi="Helvetica" w:cs="Arial"/>
        </w:rPr>
        <w:t>rador</w:t>
      </w:r>
      <w:r w:rsidRPr="00DE0A84">
        <w:rPr>
          <w:rFonts w:ascii="Helvetica" w:hAnsi="Helvetica" w:cs="Arial"/>
        </w:rPr>
        <w:t xml:space="preserve"> breed and MRSA. Variables regarding pet owner </w:t>
      </w:r>
      <w:r w:rsidR="00E03195" w:rsidRPr="00DE0A84">
        <w:rPr>
          <w:rFonts w:ascii="Helvetica" w:hAnsi="Helvetica" w:cs="Arial"/>
        </w:rPr>
        <w:t xml:space="preserve">ethnicity </w:t>
      </w:r>
      <w:r w:rsidRPr="00DE0A84">
        <w:rPr>
          <w:rFonts w:ascii="Helvetica" w:hAnsi="Helvetica" w:cs="Arial"/>
        </w:rPr>
        <w:t xml:space="preserve">and household income were highly collinear in this population. Dog breed was not found to be collinear with owner’s </w:t>
      </w:r>
      <w:r w:rsidR="00E03195" w:rsidRPr="00DE0A84">
        <w:rPr>
          <w:rFonts w:ascii="Helvetica" w:hAnsi="Helvetica" w:cs="Arial"/>
        </w:rPr>
        <w:t>ethnicity</w:t>
      </w:r>
      <w:r w:rsidRPr="00DE0A84">
        <w:rPr>
          <w:rFonts w:ascii="Helvetica" w:hAnsi="Helvetica" w:cs="Arial"/>
        </w:rPr>
        <w:t>, household income or community location (rural v</w:t>
      </w:r>
      <w:r w:rsidR="00E03195" w:rsidRPr="00DE0A84">
        <w:rPr>
          <w:rFonts w:ascii="Helvetica" w:hAnsi="Helvetica" w:cs="Arial"/>
        </w:rPr>
        <w:t>ersu</w:t>
      </w:r>
      <w:r w:rsidRPr="00DE0A84">
        <w:rPr>
          <w:rFonts w:ascii="Helvetica" w:hAnsi="Helvetica" w:cs="Arial"/>
        </w:rPr>
        <w:t>s nonrural).</w:t>
      </w:r>
    </w:p>
    <w:p w14:paraId="4B9209E8" w14:textId="77777777" w:rsidR="0076221F" w:rsidRPr="00DE0A84" w:rsidRDefault="0076221F">
      <w:pPr>
        <w:rPr>
          <w:rFonts w:ascii="Helvetica" w:hAnsi="Helvetica"/>
        </w:rPr>
      </w:pPr>
    </w:p>
    <w:p w14:paraId="255B2FA7" w14:textId="554B0F0C" w:rsidR="005F4773" w:rsidRPr="00DE0A84" w:rsidRDefault="00105108" w:rsidP="005F4773">
      <w:pPr>
        <w:spacing w:afterLines="120" w:after="288" w:line="360" w:lineRule="auto"/>
        <w:rPr>
          <w:rFonts w:ascii="Helvetica" w:hAnsi="Helvetica" w:cs="Arial"/>
          <w:b/>
          <w:bCs/>
        </w:rPr>
      </w:pPr>
      <w:r w:rsidRPr="00DE0A84">
        <w:rPr>
          <w:rFonts w:ascii="Helvetica" w:hAnsi="Helvetica" w:cs="Arial"/>
          <w:b/>
          <w:bCs/>
        </w:rPr>
        <w:t>R</w:t>
      </w:r>
      <w:r w:rsidR="008D5856" w:rsidRPr="00DE0A84">
        <w:rPr>
          <w:rFonts w:ascii="Helvetica" w:hAnsi="Helvetica" w:cs="Arial"/>
          <w:b/>
          <w:bCs/>
        </w:rPr>
        <w:t xml:space="preserve">isk </w:t>
      </w:r>
      <w:r w:rsidR="001B4B34" w:rsidRPr="00DE0A84">
        <w:rPr>
          <w:rFonts w:ascii="Helvetica" w:hAnsi="Helvetica" w:cs="Arial"/>
          <w:b/>
          <w:bCs/>
        </w:rPr>
        <w:t>f</w:t>
      </w:r>
      <w:r w:rsidR="008D5856" w:rsidRPr="00DE0A84">
        <w:rPr>
          <w:rFonts w:ascii="Helvetica" w:hAnsi="Helvetica" w:cs="Arial"/>
          <w:b/>
          <w:bCs/>
        </w:rPr>
        <w:t>actor</w:t>
      </w:r>
      <w:r w:rsidR="00EE069B" w:rsidRPr="00DE0A84">
        <w:rPr>
          <w:rFonts w:ascii="Helvetica" w:hAnsi="Helvetica" w:cs="Arial"/>
          <w:b/>
          <w:bCs/>
        </w:rPr>
        <w:t xml:space="preserve"> </w:t>
      </w:r>
      <w:r w:rsidR="001B4B34" w:rsidRPr="00DE0A84">
        <w:rPr>
          <w:rFonts w:ascii="Helvetica" w:hAnsi="Helvetica" w:cs="Arial"/>
          <w:b/>
          <w:bCs/>
        </w:rPr>
        <w:t>a</w:t>
      </w:r>
      <w:r w:rsidR="00E45360" w:rsidRPr="00DE0A84">
        <w:rPr>
          <w:rFonts w:ascii="Helvetica" w:hAnsi="Helvetica" w:cs="Arial"/>
          <w:b/>
          <w:bCs/>
        </w:rPr>
        <w:t xml:space="preserve">nalysis at </w:t>
      </w:r>
      <w:r w:rsidRPr="00DE0A84">
        <w:rPr>
          <w:rFonts w:ascii="Helvetica" w:hAnsi="Helvetica" w:cs="Arial"/>
          <w:b/>
          <w:bCs/>
        </w:rPr>
        <w:t>three</w:t>
      </w:r>
      <w:r w:rsidR="00E45360" w:rsidRPr="00DE0A84">
        <w:rPr>
          <w:rFonts w:ascii="Helvetica" w:hAnsi="Helvetica" w:cs="Arial"/>
          <w:b/>
          <w:bCs/>
        </w:rPr>
        <w:t xml:space="preserve"> </w:t>
      </w:r>
      <w:r w:rsidR="00EE069B" w:rsidRPr="00DE0A84">
        <w:rPr>
          <w:rFonts w:ascii="Helvetica" w:hAnsi="Helvetica" w:cs="Arial"/>
          <w:b/>
          <w:bCs/>
        </w:rPr>
        <w:t>month</w:t>
      </w:r>
      <w:r w:rsidR="00E45360" w:rsidRPr="00DE0A84">
        <w:rPr>
          <w:rFonts w:ascii="Helvetica" w:hAnsi="Helvetica" w:cs="Arial"/>
          <w:b/>
          <w:bCs/>
        </w:rPr>
        <w:t>s</w:t>
      </w:r>
      <w:r w:rsidR="00471F71" w:rsidRPr="00DE0A84">
        <w:rPr>
          <w:rFonts w:ascii="Helvetica" w:hAnsi="Helvetica" w:cs="Arial"/>
          <w:b/>
          <w:bCs/>
        </w:rPr>
        <w:t xml:space="preserve"> and longitudinal implications</w:t>
      </w:r>
    </w:p>
    <w:p w14:paraId="120F7250" w14:textId="40DF8723" w:rsidR="006445BB" w:rsidRPr="00DE0A84" w:rsidRDefault="005F4773" w:rsidP="00471F71">
      <w:pPr>
        <w:spacing w:afterLines="120" w:after="288" w:line="360" w:lineRule="auto"/>
        <w:rPr>
          <w:rFonts w:ascii="Helvetica" w:hAnsi="Helvetica" w:cs="Arial"/>
          <w:b/>
          <w:bCs/>
        </w:rPr>
      </w:pPr>
      <w:r w:rsidRPr="00DE0A84">
        <w:rPr>
          <w:rFonts w:ascii="Helvetica" w:hAnsi="Helvetica" w:cs="Arial"/>
        </w:rPr>
        <w:t>At the three</w:t>
      </w:r>
      <w:r w:rsidR="00E03195" w:rsidRPr="00DE0A84">
        <w:rPr>
          <w:rFonts w:ascii="Helvetica" w:hAnsi="Helvetica" w:cs="Arial"/>
        </w:rPr>
        <w:t xml:space="preserve"> </w:t>
      </w:r>
      <w:r w:rsidRPr="00DE0A84">
        <w:rPr>
          <w:rFonts w:ascii="Helvetica" w:hAnsi="Helvetica" w:cs="Arial"/>
        </w:rPr>
        <w:t xml:space="preserve">month visit for this pet population (after the </w:t>
      </w:r>
      <w:r w:rsidR="0041724B" w:rsidRPr="00DE0A84">
        <w:rPr>
          <w:rFonts w:ascii="Helvetica" w:hAnsi="Helvetica" w:cs="Arial"/>
        </w:rPr>
        <w:t>RCT</w:t>
      </w:r>
      <w:r w:rsidRPr="00DE0A84">
        <w:rPr>
          <w:rFonts w:ascii="Helvetica" w:hAnsi="Helvetica" w:cs="Arial"/>
        </w:rPr>
        <w:t xml:space="preserve"> trial conducted a </w:t>
      </w:r>
      <w:r w:rsidR="00E03195" w:rsidRPr="00DE0A84">
        <w:rPr>
          <w:rFonts w:ascii="Helvetica" w:hAnsi="Helvetica" w:cs="Arial"/>
        </w:rPr>
        <w:t xml:space="preserve">randomisation </w:t>
      </w:r>
      <w:r w:rsidRPr="00DE0A84">
        <w:rPr>
          <w:rFonts w:ascii="Helvetica" w:hAnsi="Helvetica" w:cs="Arial"/>
        </w:rPr>
        <w:t>protocol for human treatment with one</w:t>
      </w:r>
      <w:r w:rsidR="00E03195" w:rsidRPr="00DE0A84">
        <w:rPr>
          <w:rFonts w:ascii="Helvetica" w:hAnsi="Helvetica" w:cs="Arial"/>
        </w:rPr>
        <w:t xml:space="preserve"> </w:t>
      </w:r>
      <w:r w:rsidRPr="00DE0A84">
        <w:rPr>
          <w:rFonts w:ascii="Helvetica" w:hAnsi="Helvetica" w:cs="Arial"/>
        </w:rPr>
        <w:t xml:space="preserve">week nasal mupirocin and two chlorhexidine-based body washes), MRSA carriage was detected in </w:t>
      </w:r>
      <w:r w:rsidR="00E03195" w:rsidRPr="00DE0A84">
        <w:rPr>
          <w:rFonts w:ascii="Helvetica" w:hAnsi="Helvetica" w:cs="Arial"/>
        </w:rPr>
        <w:t xml:space="preserve">seven </w:t>
      </w:r>
      <w:r w:rsidRPr="00DE0A84">
        <w:rPr>
          <w:rFonts w:ascii="Helvetica" w:hAnsi="Helvetica" w:cs="Arial"/>
        </w:rPr>
        <w:t xml:space="preserve">of 86 dogs and cats, and only one of the </w:t>
      </w:r>
      <w:r w:rsidR="00E03195" w:rsidRPr="00DE0A84">
        <w:rPr>
          <w:rFonts w:ascii="Helvetica" w:hAnsi="Helvetica" w:cs="Arial"/>
        </w:rPr>
        <w:t xml:space="preserve">seven </w:t>
      </w:r>
      <w:r w:rsidRPr="00DE0A84">
        <w:rPr>
          <w:rFonts w:ascii="Helvetica" w:hAnsi="Helvetica" w:cs="Arial"/>
        </w:rPr>
        <w:t>MRSA-positive pets lived in a MRSA-negative environment based on swab samples</w:t>
      </w:r>
      <w:r w:rsidR="002437FB" w:rsidRPr="00DE0A84">
        <w:rPr>
          <w:rFonts w:ascii="Helvetica" w:hAnsi="Helvetica" w:cs="Arial"/>
        </w:rPr>
        <w:t xml:space="preserve"> (</w:t>
      </w:r>
      <w:r w:rsidR="00E03195" w:rsidRPr="00DE0A84">
        <w:rPr>
          <w:rFonts w:ascii="Helvetica" w:hAnsi="Helvetica" w:cs="Arial"/>
        </w:rPr>
        <w:t>tables S</w:t>
      </w:r>
      <w:r w:rsidR="00E537C7" w:rsidRPr="00DE0A84">
        <w:rPr>
          <w:rFonts w:ascii="Helvetica" w:hAnsi="Helvetica" w:cs="Arial"/>
        </w:rPr>
        <w:t xml:space="preserve">3 and </w:t>
      </w:r>
      <w:r w:rsidR="00E03195" w:rsidRPr="00DE0A84">
        <w:rPr>
          <w:rFonts w:ascii="Helvetica" w:hAnsi="Helvetica" w:cs="Arial"/>
        </w:rPr>
        <w:t>S</w:t>
      </w:r>
      <w:r w:rsidR="00E537C7" w:rsidRPr="00DE0A84">
        <w:rPr>
          <w:rFonts w:ascii="Helvetica" w:hAnsi="Helvetica" w:cs="Arial"/>
        </w:rPr>
        <w:t>4</w:t>
      </w:r>
      <w:r w:rsidR="002437FB" w:rsidRPr="00DE0A84">
        <w:rPr>
          <w:rFonts w:ascii="Helvetica" w:hAnsi="Helvetica" w:cs="Arial"/>
        </w:rPr>
        <w:t>)</w:t>
      </w:r>
      <w:r w:rsidRPr="00DE0A84">
        <w:rPr>
          <w:rFonts w:ascii="Helvetica" w:hAnsi="Helvetica" w:cs="Arial"/>
        </w:rPr>
        <w:t>.</w:t>
      </w:r>
      <w:r w:rsidR="00E537C7" w:rsidRPr="00DE0A84">
        <w:rPr>
          <w:rFonts w:ascii="Helvetica" w:hAnsi="Helvetica" w:cs="Arial"/>
        </w:rPr>
        <w:t xml:space="preserve"> </w:t>
      </w:r>
    </w:p>
    <w:p w14:paraId="75A10F39" w14:textId="04FBB327" w:rsidR="006445BB" w:rsidRPr="00DE0A84" w:rsidRDefault="006445BB" w:rsidP="006445BB">
      <w:pPr>
        <w:autoSpaceDE w:val="0"/>
        <w:autoSpaceDN w:val="0"/>
        <w:adjustRightInd w:val="0"/>
        <w:spacing w:afterLines="120" w:after="288" w:line="360" w:lineRule="auto"/>
        <w:rPr>
          <w:rFonts w:ascii="Helvetica" w:hAnsi="Helvetica" w:cs="Arial"/>
        </w:rPr>
      </w:pPr>
      <w:r w:rsidRPr="00DE0A84">
        <w:rPr>
          <w:rFonts w:ascii="Helvetica" w:hAnsi="Helvetica" w:cs="Arial"/>
        </w:rPr>
        <w:t>Of 74 pets tested both at baseline and three months,</w:t>
      </w:r>
      <w:r w:rsidR="00985482" w:rsidRPr="00DE0A84">
        <w:rPr>
          <w:rFonts w:ascii="Helvetica" w:hAnsi="Helvetica" w:cs="Arial"/>
        </w:rPr>
        <w:t xml:space="preserve"> 13 (17.6%) were </w:t>
      </w:r>
      <w:r w:rsidR="00E03195" w:rsidRPr="00DE0A84">
        <w:rPr>
          <w:rFonts w:ascii="Helvetica" w:hAnsi="Helvetica" w:cs="Arial"/>
        </w:rPr>
        <w:t>MRSA-</w:t>
      </w:r>
      <w:r w:rsidR="00985482" w:rsidRPr="00DE0A84">
        <w:rPr>
          <w:rFonts w:ascii="Helvetica" w:hAnsi="Helvetica" w:cs="Arial"/>
        </w:rPr>
        <w:t>positive at either or both time points</w:t>
      </w:r>
      <w:r w:rsidR="00035056" w:rsidRPr="00DE0A84">
        <w:rPr>
          <w:rFonts w:ascii="Helvetica" w:hAnsi="Helvetica" w:cs="Arial"/>
        </w:rPr>
        <w:t xml:space="preserve">. Of the nine longitudinally-sampled pets that were </w:t>
      </w:r>
      <w:r w:rsidR="00E03195" w:rsidRPr="00DE0A84">
        <w:rPr>
          <w:rFonts w:ascii="Helvetica" w:hAnsi="Helvetica" w:cs="Arial"/>
        </w:rPr>
        <w:t>MRSA-</w:t>
      </w:r>
      <w:r w:rsidR="00035056" w:rsidRPr="00DE0A84">
        <w:rPr>
          <w:rFonts w:ascii="Helvetica" w:hAnsi="Helvetica" w:cs="Arial"/>
        </w:rPr>
        <w:lastRenderedPageBreak/>
        <w:t>positive at the first visit,</w:t>
      </w:r>
      <w:r w:rsidR="00985482" w:rsidRPr="00DE0A84">
        <w:rPr>
          <w:rFonts w:ascii="Helvetica" w:hAnsi="Helvetica" w:cs="Arial"/>
        </w:rPr>
        <w:t xml:space="preserve"> five (</w:t>
      </w:r>
      <w:r w:rsidR="00035056" w:rsidRPr="00DE0A84">
        <w:rPr>
          <w:rFonts w:ascii="Helvetica" w:hAnsi="Helvetica" w:cs="Arial"/>
        </w:rPr>
        <w:t>55</w:t>
      </w:r>
      <w:r w:rsidR="00985482" w:rsidRPr="00DE0A84">
        <w:rPr>
          <w:rFonts w:ascii="Helvetica" w:hAnsi="Helvetica" w:cs="Arial"/>
        </w:rPr>
        <w:t>.5%) pets clear</w:t>
      </w:r>
      <w:r w:rsidR="005B4473" w:rsidRPr="00DE0A84">
        <w:rPr>
          <w:rFonts w:ascii="Helvetica" w:hAnsi="Helvetica" w:cs="Arial"/>
        </w:rPr>
        <w:t>ed</w:t>
      </w:r>
      <w:r w:rsidR="00985482" w:rsidRPr="00DE0A84">
        <w:rPr>
          <w:rFonts w:ascii="Helvetica" w:hAnsi="Helvetica" w:cs="Arial"/>
        </w:rPr>
        <w:t xml:space="preserve"> MRSA carriage during this time</w:t>
      </w:r>
      <w:r w:rsidR="005B4473" w:rsidRPr="00DE0A84">
        <w:rPr>
          <w:rFonts w:ascii="Helvetica" w:hAnsi="Helvetica" w:cs="Arial"/>
        </w:rPr>
        <w:t xml:space="preserve"> and f</w:t>
      </w:r>
      <w:r w:rsidR="001E7821" w:rsidRPr="00DE0A84">
        <w:rPr>
          <w:rFonts w:ascii="Helvetica" w:hAnsi="Helvetica" w:cs="Arial"/>
        </w:rPr>
        <w:t>our (</w:t>
      </w:r>
      <w:r w:rsidR="00035056" w:rsidRPr="00DE0A84">
        <w:rPr>
          <w:rFonts w:ascii="Helvetica" w:hAnsi="Helvetica" w:cs="Arial"/>
        </w:rPr>
        <w:t>44.4</w:t>
      </w:r>
      <w:r w:rsidR="001E7821" w:rsidRPr="00DE0A84">
        <w:rPr>
          <w:rFonts w:ascii="Helvetica" w:hAnsi="Helvetica" w:cs="Arial"/>
        </w:rPr>
        <w:t>%) pets had persistent carriage</w:t>
      </w:r>
      <w:r w:rsidR="005B4473" w:rsidRPr="00DE0A84">
        <w:rPr>
          <w:rFonts w:ascii="Helvetica" w:hAnsi="Helvetica" w:cs="Arial"/>
        </w:rPr>
        <w:t>. Four (5.4%) pets</w:t>
      </w:r>
      <w:r w:rsidRPr="00DE0A84">
        <w:rPr>
          <w:rFonts w:ascii="Helvetica" w:hAnsi="Helvetica" w:cs="Arial"/>
        </w:rPr>
        <w:t xml:space="preserve"> had incident MRSA carriage (i.e. MRSA not present at baseline </w:t>
      </w:r>
      <w:r w:rsidR="00421B2F" w:rsidRPr="00DE0A84">
        <w:rPr>
          <w:rFonts w:ascii="Helvetica" w:hAnsi="Helvetica" w:cs="Arial"/>
        </w:rPr>
        <w:t>and</w:t>
      </w:r>
      <w:r w:rsidRPr="00DE0A84">
        <w:rPr>
          <w:rFonts w:ascii="Helvetica" w:hAnsi="Helvetica" w:cs="Arial"/>
        </w:rPr>
        <w:t xml:space="preserve"> then isolated at three</w:t>
      </w:r>
      <w:r w:rsidR="00E03195" w:rsidRPr="00DE0A84">
        <w:rPr>
          <w:rFonts w:ascii="Helvetica" w:hAnsi="Helvetica" w:cs="Arial"/>
        </w:rPr>
        <w:t xml:space="preserve"> </w:t>
      </w:r>
      <w:r w:rsidRPr="00DE0A84">
        <w:rPr>
          <w:rFonts w:ascii="Helvetica" w:hAnsi="Helvetica" w:cs="Arial"/>
        </w:rPr>
        <w:t xml:space="preserve">month sampling). All pets with persistent carriage carried the same MRSA </w:t>
      </w:r>
      <w:r w:rsidRPr="00DE0A84">
        <w:rPr>
          <w:rFonts w:ascii="Helvetica" w:hAnsi="Helvetica" w:cs="Arial"/>
          <w:i/>
          <w:iCs/>
        </w:rPr>
        <w:t>spa</w:t>
      </w:r>
      <w:r w:rsidRPr="00DE0A84">
        <w:rPr>
          <w:rFonts w:ascii="Helvetica" w:hAnsi="Helvetica" w:cs="Arial"/>
        </w:rPr>
        <w:t xml:space="preserve">-type on both visits. Longitudinal comparisons of </w:t>
      </w:r>
      <w:r w:rsidRPr="00DE0A84">
        <w:rPr>
          <w:rFonts w:ascii="Helvetica" w:hAnsi="Helvetica" w:cs="Arial"/>
          <w:i/>
          <w:iCs/>
        </w:rPr>
        <w:t>spa</w:t>
      </w:r>
      <w:r w:rsidRPr="00DE0A84">
        <w:rPr>
          <w:rFonts w:ascii="Helvetica" w:hAnsi="Helvetica" w:cs="Arial"/>
        </w:rPr>
        <w:t xml:space="preserve">-types recovered from animal isolates at baseline and three months are provided in </w:t>
      </w:r>
      <w:r w:rsidRPr="00DE0A84">
        <w:rPr>
          <w:rFonts w:ascii="Helvetica" w:hAnsi="Helvetica" w:cs="Arial"/>
          <w:bCs/>
        </w:rPr>
        <w:t>Table S5</w:t>
      </w:r>
      <w:r w:rsidRPr="00DE0A84">
        <w:rPr>
          <w:rFonts w:ascii="Helvetica" w:hAnsi="Helvetica" w:cs="Arial"/>
        </w:rPr>
        <w:t xml:space="preserve">. See </w:t>
      </w:r>
      <w:commentRangeStart w:id="0"/>
      <w:r w:rsidRPr="00DE0A84">
        <w:rPr>
          <w:rFonts w:ascii="Helvetica" w:hAnsi="Helvetica" w:cs="Arial"/>
          <w:bCs/>
        </w:rPr>
        <w:t>Results</w:t>
      </w:r>
      <w:r w:rsidR="00E03195" w:rsidRPr="00DE0A84">
        <w:rPr>
          <w:rFonts w:ascii="Helvetica" w:hAnsi="Helvetica" w:cs="Arial"/>
          <w:bCs/>
        </w:rPr>
        <w:t xml:space="preserve"> S1</w:t>
      </w:r>
      <w:commentRangeEnd w:id="0"/>
      <w:r w:rsidR="00E03195" w:rsidRPr="00DE0A84">
        <w:rPr>
          <w:rStyle w:val="CommentReference"/>
        </w:rPr>
        <w:commentReference w:id="0"/>
      </w:r>
      <w:r w:rsidRPr="00DE0A84">
        <w:rPr>
          <w:rFonts w:ascii="Helvetica" w:hAnsi="Helvetica" w:cs="Arial"/>
        </w:rPr>
        <w:t xml:space="preserve"> and </w:t>
      </w:r>
      <w:r w:rsidRPr="00DE0A84">
        <w:rPr>
          <w:rFonts w:ascii="Helvetica" w:hAnsi="Helvetica" w:cs="Arial"/>
          <w:bCs/>
        </w:rPr>
        <w:t>Table S4</w:t>
      </w:r>
      <w:r w:rsidRPr="00DE0A84">
        <w:rPr>
          <w:rFonts w:ascii="Helvetica" w:hAnsi="Helvetica" w:cs="Arial"/>
        </w:rPr>
        <w:t xml:space="preserve"> for final risk factor model variable analysis at three months. </w:t>
      </w:r>
    </w:p>
    <w:p w14:paraId="2D3BC343" w14:textId="77777777" w:rsidR="005515F9" w:rsidRPr="00DE0A84" w:rsidRDefault="005515F9" w:rsidP="005F4773">
      <w:pPr>
        <w:spacing w:afterLines="120" w:after="288" w:line="360" w:lineRule="auto"/>
        <w:rPr>
          <w:rFonts w:ascii="Helvetica" w:hAnsi="Helvetica" w:cs="Arial"/>
          <w:b/>
          <w:bCs/>
        </w:rPr>
      </w:pPr>
    </w:p>
    <w:p w14:paraId="234DD565" w14:textId="544FE0CB" w:rsidR="001A20F3" w:rsidRPr="00DE0A84" w:rsidRDefault="00105108" w:rsidP="005F4773">
      <w:pPr>
        <w:spacing w:afterLines="120" w:after="288" w:line="360" w:lineRule="auto"/>
        <w:rPr>
          <w:rFonts w:ascii="Helvetica" w:hAnsi="Helvetica" w:cs="Arial"/>
          <w:b/>
          <w:bCs/>
        </w:rPr>
      </w:pPr>
      <w:r w:rsidRPr="00DE0A84">
        <w:rPr>
          <w:rFonts w:ascii="Helvetica" w:hAnsi="Helvetica" w:cs="Arial"/>
          <w:b/>
          <w:bCs/>
        </w:rPr>
        <w:t>DISCUSSION S1</w:t>
      </w:r>
    </w:p>
    <w:p w14:paraId="1A33A847" w14:textId="47149C89" w:rsidR="00522C49" w:rsidRPr="00DE0A84" w:rsidRDefault="005811A9" w:rsidP="001871BA">
      <w:pPr>
        <w:spacing w:line="360" w:lineRule="auto"/>
        <w:rPr>
          <w:rFonts w:ascii="Helvetica" w:hAnsi="Helvetica" w:cs="Arial"/>
        </w:rPr>
      </w:pPr>
      <w:r w:rsidRPr="00DE0A84">
        <w:rPr>
          <w:rFonts w:ascii="Helvetica" w:hAnsi="Helvetica" w:cs="Arial"/>
        </w:rPr>
        <w:t xml:space="preserve">Use of antimicrobials in pets was 100% collinear with veterinary hospital exposure, making these two variables indistinguishable. However, </w:t>
      </w:r>
      <w:r w:rsidR="00487C8B" w:rsidRPr="00DE0A84">
        <w:rPr>
          <w:rFonts w:ascii="Helvetica" w:hAnsi="Helvetica" w:cs="Arial"/>
        </w:rPr>
        <w:t xml:space="preserve">because </w:t>
      </w:r>
      <w:r w:rsidRPr="00DE0A84">
        <w:rPr>
          <w:rFonts w:ascii="Helvetica" w:hAnsi="Helvetica" w:cs="Arial"/>
        </w:rPr>
        <w:t xml:space="preserve">all enrolled pets were exposed to a CA-MRSA-positive human index patient and a community-associated </w:t>
      </w:r>
      <w:r w:rsidRPr="00DE0A84">
        <w:rPr>
          <w:rFonts w:ascii="Helvetica" w:hAnsi="Helvetica" w:cs="Arial"/>
          <w:i/>
          <w:iCs/>
        </w:rPr>
        <w:t>spa</w:t>
      </w:r>
      <w:r w:rsidRPr="00DE0A84">
        <w:rPr>
          <w:rFonts w:ascii="Helvetica" w:hAnsi="Helvetica" w:cs="Arial"/>
        </w:rPr>
        <w:t xml:space="preserve">-type was shared between them in most cases, it is more likely that MRSA transmission occurred in the home. </w:t>
      </w:r>
    </w:p>
    <w:p w14:paraId="7A0F4956" w14:textId="77777777" w:rsidR="00522C49" w:rsidRPr="00DE0A84" w:rsidRDefault="00522C49" w:rsidP="001871BA">
      <w:pPr>
        <w:spacing w:line="360" w:lineRule="auto"/>
        <w:rPr>
          <w:rFonts w:ascii="Helvetica" w:hAnsi="Helvetica" w:cs="Arial"/>
        </w:rPr>
      </w:pPr>
    </w:p>
    <w:p w14:paraId="17FB90C0" w14:textId="021A0109" w:rsidR="005811A9" w:rsidRPr="00DE0A84" w:rsidRDefault="001871BA" w:rsidP="00522C49">
      <w:pPr>
        <w:spacing w:line="360" w:lineRule="auto"/>
        <w:rPr>
          <w:rFonts w:ascii="Times New Roman" w:eastAsia="Times New Roman" w:hAnsi="Times New Roman" w:cs="Times New Roman"/>
        </w:rPr>
      </w:pPr>
      <w:r w:rsidRPr="00DE0A84">
        <w:rPr>
          <w:rFonts w:ascii="Arial" w:eastAsia="Times New Roman" w:hAnsi="Arial" w:cs="Arial"/>
          <w:shd w:val="clear" w:color="auto" w:fill="FFFFFF"/>
        </w:rPr>
        <w:t xml:space="preserve">Notably, our group previously has identified that rates of multidrug resistance were higher </w:t>
      </w:r>
      <w:r w:rsidR="00964D55" w:rsidRPr="00DE0A84">
        <w:rPr>
          <w:rFonts w:ascii="Arial" w:eastAsia="Times New Roman" w:hAnsi="Arial" w:cs="Arial"/>
          <w:shd w:val="clear" w:color="auto" w:fill="FFFFFF"/>
        </w:rPr>
        <w:t xml:space="preserve">among </w:t>
      </w:r>
      <w:r w:rsidRPr="00DE0A84">
        <w:rPr>
          <w:rFonts w:ascii="Arial" w:eastAsia="Times New Roman" w:hAnsi="Arial" w:cs="Arial"/>
          <w:i/>
          <w:iCs/>
          <w:shd w:val="clear" w:color="auto" w:fill="FFFFFF"/>
        </w:rPr>
        <w:t xml:space="preserve">S. </w:t>
      </w:r>
      <w:r w:rsidR="00964D55" w:rsidRPr="00DE0A84">
        <w:rPr>
          <w:rFonts w:ascii="Arial" w:eastAsia="Times New Roman" w:hAnsi="Arial" w:cs="Arial"/>
          <w:i/>
          <w:iCs/>
          <w:shd w:val="clear" w:color="auto" w:fill="FFFFFF"/>
        </w:rPr>
        <w:t>aureus</w:t>
      </w:r>
      <w:r w:rsidR="00964D55" w:rsidRPr="00DE0A84">
        <w:rPr>
          <w:rFonts w:ascii="Arial" w:eastAsia="Times New Roman" w:hAnsi="Arial" w:cs="Arial"/>
          <w:shd w:val="clear" w:color="auto" w:fill="FFFFFF"/>
        </w:rPr>
        <w:t xml:space="preserve"> than </w:t>
      </w:r>
      <w:r w:rsidRPr="00DE0A84">
        <w:rPr>
          <w:rFonts w:ascii="Arial" w:eastAsia="Times New Roman" w:hAnsi="Arial" w:cs="Arial"/>
          <w:i/>
          <w:iCs/>
          <w:shd w:val="clear" w:color="auto" w:fill="FFFFFF"/>
        </w:rPr>
        <w:t>S</w:t>
      </w:r>
      <w:r w:rsidR="00964D55" w:rsidRPr="00DE0A84">
        <w:rPr>
          <w:rFonts w:ascii="Arial" w:eastAsia="Times New Roman" w:hAnsi="Arial" w:cs="Arial"/>
          <w:i/>
          <w:iCs/>
          <w:shd w:val="clear" w:color="auto" w:fill="FFFFFF"/>
        </w:rPr>
        <w:t>. pseudintermedius</w:t>
      </w:r>
      <w:r w:rsidR="00964D55" w:rsidRPr="00DE0A84">
        <w:rPr>
          <w:rFonts w:ascii="Arial" w:eastAsia="Times New Roman" w:hAnsi="Arial" w:cs="Arial"/>
          <w:shd w:val="clear" w:color="auto" w:fill="FFFFFF"/>
        </w:rPr>
        <w:t xml:space="preserve"> </w:t>
      </w:r>
      <w:r w:rsidRPr="00DE0A84">
        <w:rPr>
          <w:rFonts w:ascii="Arial" w:eastAsia="Times New Roman" w:hAnsi="Arial" w:cs="Arial"/>
          <w:shd w:val="clear" w:color="auto" w:fill="FFFFFF"/>
        </w:rPr>
        <w:t>or other staphyloccal strains recovered from pets in this study</w:t>
      </w:r>
      <w:r w:rsidR="00F86811" w:rsidRPr="00DE0A84">
        <w:rPr>
          <w:rFonts w:ascii="Arial" w:eastAsia="Times New Roman" w:hAnsi="Arial" w:cs="Arial"/>
          <w:shd w:val="clear" w:color="auto" w:fill="FFFFFF"/>
        </w:rPr>
        <w:t>,</w:t>
      </w:r>
      <w:r w:rsidR="005968F9" w:rsidRPr="00DE0A84">
        <w:rPr>
          <w:rFonts w:ascii="Arial" w:eastAsia="Times New Roman" w:hAnsi="Arial" w:cs="Arial"/>
          <w:shd w:val="clear" w:color="auto" w:fill="FFFFFF"/>
        </w:rPr>
        <w:fldChar w:fldCharType="begin" w:fldLock="1"/>
      </w:r>
      <w:r w:rsidR="005B2CAE" w:rsidRPr="00DE0A84">
        <w:rPr>
          <w:rFonts w:ascii="Arial" w:eastAsia="Times New Roman" w:hAnsi="Arial" w:cs="Arial"/>
          <w:shd w:val="clear" w:color="auto" w:fill="FFFFFF"/>
        </w:rPr>
        <w:instrText>ADDIN CSL_CITATION {"citationItems":[{"id":"ITEM-1","itemData":{"author":[{"dropping-particle":"","family":"Ferradas, C; Cotter, C; Shahbazian, JH; Iverson, SA; Baron, P; Misic, AM; Brazil, AM; Rankin, SC; Nachamkin, I; Ferguson, JM; Peng, RD; Bilker, WB; Lautenbach, E; Morris, DO; Lescano, AG; Davis","given":"MF","non-dropping-particle":"","parse-names":false,"suffix":""}],"container-title":"Zoonoses and Public Health","id":"ITEM-1","issued":{"date-parts":[["2022"]]},"title":"Risk factors for antimicrobial resistance among Staphylococcus isolated from pets living with a patient diagnosed with methicillin-resistant Staphylococcus aureus infection","type":"article-journal"},"uris":["http://www.mendeley.com/documents/?uuid=0c2c2d5b-442c-4a66-ad97-4f82a64ebb61"]}],"mendeley":{"formattedCitation":"&lt;sup&gt;12&lt;/sup&gt;","plainTextFormattedCitation":"12","previouslyFormattedCitation":"&lt;sup&gt;16&lt;/sup&gt;"},"properties":{"noteIndex":0},"schema":"https://github.com/citation-style-language/schema/raw/master/csl-citation.json"}</w:instrText>
      </w:r>
      <w:r w:rsidR="005968F9" w:rsidRPr="00DE0A84">
        <w:rPr>
          <w:rFonts w:ascii="Arial" w:eastAsia="Times New Roman" w:hAnsi="Arial" w:cs="Arial"/>
          <w:shd w:val="clear" w:color="auto" w:fill="FFFFFF"/>
        </w:rPr>
        <w:fldChar w:fldCharType="separate"/>
      </w:r>
      <w:r w:rsidR="005B2CAE" w:rsidRPr="00DE0A84">
        <w:rPr>
          <w:rFonts w:ascii="Arial" w:eastAsia="Times New Roman" w:hAnsi="Arial" w:cs="Arial"/>
          <w:noProof/>
          <w:shd w:val="clear" w:color="auto" w:fill="FFFFFF"/>
          <w:vertAlign w:val="superscript"/>
        </w:rPr>
        <w:t>12</w:t>
      </w:r>
      <w:r w:rsidR="005968F9" w:rsidRPr="00DE0A84">
        <w:rPr>
          <w:rFonts w:ascii="Arial" w:eastAsia="Times New Roman" w:hAnsi="Arial" w:cs="Arial"/>
          <w:shd w:val="clear" w:color="auto" w:fill="FFFFFF"/>
        </w:rPr>
        <w:fldChar w:fldCharType="end"/>
      </w:r>
      <w:r w:rsidR="005968F9" w:rsidRPr="00DE0A84">
        <w:rPr>
          <w:rFonts w:ascii="Arial" w:eastAsia="Times New Roman" w:hAnsi="Arial" w:cs="Arial"/>
          <w:shd w:val="clear" w:color="auto" w:fill="FFFFFF"/>
        </w:rPr>
        <w:t xml:space="preserve"> </w:t>
      </w:r>
      <w:r w:rsidRPr="00DE0A84">
        <w:rPr>
          <w:rFonts w:ascii="Arial" w:eastAsia="Times New Roman" w:hAnsi="Arial" w:cs="Arial"/>
          <w:shd w:val="clear" w:color="auto" w:fill="FFFFFF"/>
        </w:rPr>
        <w:t>which has clinical implications for treatment in the event of animal disease, such as the surgical site infection identified between baseline and follow-up visits in a single dog in this study</w:t>
      </w:r>
      <w:r w:rsidR="00F86811" w:rsidRPr="00DE0A84">
        <w:rPr>
          <w:rFonts w:ascii="Arial" w:eastAsia="Times New Roman" w:hAnsi="Arial" w:cs="Arial"/>
          <w:shd w:val="clear" w:color="auto" w:fill="FFFFFF"/>
        </w:rPr>
        <w:t>.</w:t>
      </w:r>
      <w:r w:rsidR="00F86811" w:rsidRPr="00DE0A84">
        <w:rPr>
          <w:rFonts w:ascii="Arial" w:eastAsia="Times New Roman" w:hAnsi="Arial" w:cs="Arial"/>
          <w:shd w:val="clear" w:color="auto" w:fill="FFFFFF"/>
        </w:rPr>
        <w:fldChar w:fldCharType="begin" w:fldLock="1"/>
      </w:r>
      <w:r w:rsidR="005B2CAE" w:rsidRPr="00DE0A84">
        <w:rPr>
          <w:rFonts w:ascii="Arial" w:eastAsia="Times New Roman" w:hAnsi="Arial" w:cs="Arial"/>
          <w:shd w:val="clear" w:color="auto" w:fill="FFFFFF"/>
        </w:rPr>
        <w:instrText>ADDIN CSL_CITATION {"citationItems":[{"id":"ITEM-1","itemData":{"author":[{"dropping-particle":"","family":"Davis","given":"Meghan F","non-dropping-particle":"","parse-names":false,"suffix":""},{"dropping-particle":"","family":"Misic","given":"Ana M","non-dropping-particle":"","parse-names":false,"suffix":""},{"dropping-particle":"","family":"Morris","given":"Daniel O","non-dropping-particle":"","parse-names":false,"suffix":""},{"dropping-particle":"","family":"Moss","given":"John T","non-dropping-particle":"","parse-names":false,"suffix":""},{"dropping-particle":"","family":"Tolomeo","given":"Pam","non-dropping-particle":"","parse-names":false,"suffix":""},{"dropping-particle":"","family":"Beiting","given":"Daniel P","non-dropping-particle":"","parse-names":false,"suffix":""},{"dropping-particle":"","family":"Nachamkin","given":"Irving","non-dropping-particle":"","parse-names":false,"suffix":""},{"dropping-particle":"","family":"Lautenbach","given":"Ebbing","non-dropping-particle":"","parse-names":false,"suffix":""},{"dropping-particle":"","family":"Rankin","given":"Shelley C","non-dropping-particle":"","parse-names":false,"suffix":""}],"container-title":"Veterinary Microbiology","id":"ITEM-1","issue":"3-4","issued":{"date-parts":[["2015","11"]]},"page":"304-307","title":"Genome sequencing reveals strain dynamics of methicillin-resistant Staphylococcus aureus in the same household in the context of clinical disease in a person and a dog.","type":"article-journal","volume":"180"},"uris":["http://www.mendeley.com/documents/?uuid=aacc097b-0410-4e78-bd4b-a212db7b87f0"]}],"mendeley":{"formattedCitation":"&lt;sup&gt;13&lt;/sup&gt;","plainTextFormattedCitation":"13","previouslyFormattedCitation":"&lt;sup&gt;17&lt;/sup&gt;"},"properties":{"noteIndex":0},"schema":"https://github.com/citation-style-language/schema/raw/master/csl-citation.json"}</w:instrText>
      </w:r>
      <w:r w:rsidR="00F86811" w:rsidRPr="00DE0A84">
        <w:rPr>
          <w:rFonts w:ascii="Arial" w:eastAsia="Times New Roman" w:hAnsi="Arial" w:cs="Arial"/>
          <w:shd w:val="clear" w:color="auto" w:fill="FFFFFF"/>
        </w:rPr>
        <w:fldChar w:fldCharType="separate"/>
      </w:r>
      <w:r w:rsidR="005B2CAE" w:rsidRPr="00DE0A84">
        <w:rPr>
          <w:rFonts w:ascii="Arial" w:eastAsia="Times New Roman" w:hAnsi="Arial" w:cs="Arial"/>
          <w:noProof/>
          <w:shd w:val="clear" w:color="auto" w:fill="FFFFFF"/>
          <w:vertAlign w:val="superscript"/>
        </w:rPr>
        <w:t>13</w:t>
      </w:r>
      <w:r w:rsidR="00F86811" w:rsidRPr="00DE0A84">
        <w:rPr>
          <w:rFonts w:ascii="Arial" w:eastAsia="Times New Roman" w:hAnsi="Arial" w:cs="Arial"/>
          <w:shd w:val="clear" w:color="auto" w:fill="FFFFFF"/>
        </w:rPr>
        <w:fldChar w:fldCharType="end"/>
      </w:r>
      <w:r w:rsidRPr="00DE0A84">
        <w:rPr>
          <w:rFonts w:ascii="Arial" w:eastAsia="Times New Roman" w:hAnsi="Arial" w:cs="Arial"/>
          <w:shd w:val="clear" w:color="auto" w:fill="FFFFFF"/>
        </w:rPr>
        <w:t xml:space="preserve"> </w:t>
      </w:r>
    </w:p>
    <w:p w14:paraId="6407C2E3" w14:textId="77777777" w:rsidR="00522C49" w:rsidRPr="00DE0A84" w:rsidRDefault="00522C49" w:rsidP="00522C49">
      <w:pPr>
        <w:spacing w:line="360" w:lineRule="auto"/>
        <w:rPr>
          <w:rFonts w:ascii="Times New Roman" w:eastAsia="Times New Roman" w:hAnsi="Times New Roman" w:cs="Times New Roman"/>
        </w:rPr>
      </w:pPr>
    </w:p>
    <w:p w14:paraId="0A77260E" w14:textId="7EA52762" w:rsidR="005811A9" w:rsidRPr="00DE0A84" w:rsidRDefault="005811A9" w:rsidP="005811A9">
      <w:pPr>
        <w:pStyle w:val="m8528626393460002240msolistparagraph"/>
        <w:spacing w:before="0" w:beforeAutospacing="0" w:afterLines="120" w:after="288" w:afterAutospacing="0" w:line="360" w:lineRule="auto"/>
        <w:rPr>
          <w:rFonts w:ascii="Helvetica" w:hAnsi="Helvetica" w:cs="Arial"/>
        </w:rPr>
      </w:pPr>
      <w:r w:rsidRPr="00DE0A84">
        <w:rPr>
          <w:rFonts w:ascii="Helvetica" w:hAnsi="Helvetica" w:cs="Arial"/>
        </w:rPr>
        <w:t xml:space="preserve">The presence of fleas on exam appeared to be associated with higher risk of MRSA carriage in our pet population. Flea bites may cause skin lesions vulnerable to infection; fleas </w:t>
      </w:r>
      <w:r w:rsidR="00964D55" w:rsidRPr="00DE0A84">
        <w:rPr>
          <w:rFonts w:ascii="Helvetica" w:hAnsi="Helvetica" w:cs="Arial"/>
        </w:rPr>
        <w:t xml:space="preserve">also </w:t>
      </w:r>
      <w:r w:rsidRPr="00DE0A84">
        <w:rPr>
          <w:rFonts w:ascii="Helvetica" w:hAnsi="Helvetica" w:cs="Arial"/>
        </w:rPr>
        <w:t xml:space="preserve">could perhaps serve as a mechanical vector carrying MRSA between humans and animals; or the presence of fleas could be associated with other measured or unmeasured variables. Flea allergy dermatitis (FAD) is a common precursor to skin disruption, excoriation and increased </w:t>
      </w:r>
      <w:r w:rsidR="00964D55" w:rsidRPr="00DE0A84">
        <w:rPr>
          <w:rFonts w:ascii="Helvetica" w:hAnsi="Helvetica" w:cs="Arial"/>
        </w:rPr>
        <w:t>immunoglobulin (</w:t>
      </w:r>
      <w:r w:rsidRPr="00DE0A84">
        <w:rPr>
          <w:rFonts w:ascii="Helvetica" w:hAnsi="Helvetica" w:cs="Arial"/>
        </w:rPr>
        <w:t>Ig</w:t>
      </w:r>
      <w:r w:rsidR="00964D55" w:rsidRPr="00DE0A84">
        <w:rPr>
          <w:rFonts w:ascii="Helvetica" w:hAnsi="Helvetica" w:cs="Arial"/>
        </w:rPr>
        <w:t>)</w:t>
      </w:r>
      <w:r w:rsidRPr="00DE0A84">
        <w:rPr>
          <w:rFonts w:ascii="Helvetica" w:hAnsi="Helvetica" w:cs="Arial"/>
        </w:rPr>
        <w:t>E titr</w:t>
      </w:r>
      <w:r w:rsidR="00964D55" w:rsidRPr="00DE0A84">
        <w:rPr>
          <w:rFonts w:ascii="Helvetica" w:hAnsi="Helvetica" w:cs="Arial"/>
        </w:rPr>
        <w:t>e</w:t>
      </w:r>
      <w:r w:rsidRPr="00DE0A84">
        <w:rPr>
          <w:rFonts w:ascii="Helvetica" w:hAnsi="Helvetica" w:cs="Arial"/>
        </w:rPr>
        <w:t>s in pets.</w:t>
      </w:r>
      <w:r w:rsidRPr="00DE0A84">
        <w:rPr>
          <w:rFonts w:ascii="Helvetica" w:hAnsi="Helvetica" w:cs="Arial"/>
        </w:rPr>
        <w:fldChar w:fldCharType="begin" w:fldLock="1"/>
      </w:r>
      <w:r w:rsidR="005B2CAE" w:rsidRPr="00DE0A84">
        <w:rPr>
          <w:rFonts w:ascii="Helvetica" w:hAnsi="Helvetica" w:cs="Arial"/>
        </w:rPr>
        <w:instrText>ADDIN CSL_CITATION {"citationItems":[{"id":"ITEM-1","itemData":{"DOI":"10.1016/j.vetimm.2004.02.006","ISSN":"01652427","PMID":"15135984","abstract":"In this study, we investigated the development of clinical disease and immune responses in the development of an experimental model of flea allergy dermatitis. Dogs were randomly divided into four treatment groups and were infested with fleas on two different feeding schedules (continuous and episodic). Group 1 consisted of four non-exposed dogs (negative controls) and Group 2 consisted of six dogs exposed to fleas continually. Groups 3 and 4 consisted of 14 dogs each that were exposed to fleas on an episodic schedule (two consecutive days every other week for 12 weeks). Group 4 also received intraperitoneal injections of a low dose of lectin (ricin) with immunomodulatory properties. The purpose of Group 4 was to investigate the effects of ricin on enhancing the development of clinical signs, flea antigen-specific IgE levels and altering the number of CD4+ and CD8+ T cell subsets in peripheral blood. Clinical signs developed in all flea exposed dogs, however, the dermatology lesion scores were less and shorter in duration for continuously exposed dogs compared to episodic exposed dogs, independent of ricin treatment. Lesion development was concentrated in the flea triangle and consisted principally of erythema, followed by alopecia, excoriation, papules, and crusts. CD4+ and CD8+ lymphocyte subsets or IgE levels were not altered by ricin treatment. Flea antigen-specific IgE values were highest in dogs exposed to fleas on a continuous basis compared to those episodically exposed. A greater percentage of clinical responder dogs with negative flea-specific IgE titers or negative intradermal test (IDT) were present in the episodic exposure groups than in the continuous exposure group. IgE titers corresponded slightly better with clinical responders than the IDT. The agreement between the IgE titers and IDT was good (weighted K = 0.67). Histopathology of skin samples were consistent with a Type I hypersensitivity. In conclusion, we were able to develop a model of flea allergy dermatitis by experimentally exposing dogs to fleas on an episodic and continuous feeding schedule. In this study, continuously exposed dogs did not develop immunotolerance, and ricin did not enhance the development of FAD.","author":[{"dropping-particle":"","family":"Wilkerson","given":"Melinda J","non-dropping-particle":"","parse-names":false,"suffix":""},{"dropping-particle":"","family":"Bagladi-Swanson","given":"Mary","non-dropping-particle":"","parse-names":false,"suffix":""},{"dropping-particle":"","family":"Wheeler","given":"David W","non-dropping-particle":"","parse-names":false,"suffix":""},{"dropping-particle":"","family":"Floyd-Hawkins","given":"Kim","non-dropping-particle":"","parse-names":false,"suffix":""},{"dropping-particle":"","family":"Craig","given":"Carol","non-dropping-particle":"","parse-names":false,"suffix":""},{"dropping-particle":"","family":"Lee","given":"Kenneth W","non-dropping-particle":"","parse-names":false,"suffix":""},{"dropping-particle":"","family":"Dryden","given":"Michael","non-dropping-particle":"","parse-names":false,"suffix":""}],"container-title":"Veterinary Immunology and Immunopathology","id":"ITEM-1","issue":"3-4","issued":{"date-parts":[["2004","6"]]},"page":"179-192","title":"The immunopathogenesis of flea allergy dermatitis in dogs, an experimental study","type":"article-journal","volume":"99"},"uris":["http://www.mendeley.com/documents/?uuid=7fef0c23-97d1-383c-8a1d-27b6acffe343"]},{"id":"ITEM-2","itemData":{"DOI":"10.1111/j.1365-3164.2012.01092.x","ISSN":"09594493","author":[{"dropping-particle":"","family":"Bruet","given":"Vincent","non-dropping-particle":"","parse-names":false,"suffix":""},{"dropping-particle":"","family":"Bourdeau","given":"Patrick J.","non-dropping-particle":"","parse-names":false,"suffix":""},{"dropping-particle":"","family":"Roussel","given":"Anne","non-dropping-particle":"","parse-names":false,"suffix":""},{"dropping-particle":"","family":"Imparato","given":"Latitia","non-dropping-particle":"","parse-names":false,"suffix":""},{"dropping-particle":"","family":"Desfontis","given":"Jean-Claude","non-dropping-particle":"","parse-names":false,"suffix":""}],"container-title":"Veterinary Dermatology","id":"ITEM-2","issue":"6","issued":{"date-parts":[["2012","12"]]},"page":"487-e93","title":"Characterization of pruritus in canine atopic dermatitis, flea bite hypersensitivity and flea infestation and its role in diagnosis","type":"article-journal","volume":"23"},"uris":["http://www.mendeley.com/documents/?uuid=9a54aaf5-7f40-3fb8-8f2d-43b6fe5e23e8"]}],"mendeley":{"formattedCitation":"&lt;sup&gt;14,15&lt;/sup&gt;","plainTextFormattedCitation":"14,15","previouslyFormattedCitation":"&lt;sup&gt;18,19&lt;/sup&gt;"},"properties":{"noteIndex":0},"schema":"https://github.com/citation-style-language/schema/raw/master/csl-citation.json"}</w:instrText>
      </w:r>
      <w:r w:rsidRPr="00DE0A84">
        <w:rPr>
          <w:rFonts w:ascii="Helvetica" w:hAnsi="Helvetica" w:cs="Arial"/>
        </w:rPr>
        <w:fldChar w:fldCharType="separate"/>
      </w:r>
      <w:r w:rsidR="005B2CAE" w:rsidRPr="00DE0A84">
        <w:rPr>
          <w:rFonts w:ascii="Helvetica" w:hAnsi="Helvetica" w:cs="Arial"/>
          <w:noProof/>
          <w:vertAlign w:val="superscript"/>
        </w:rPr>
        <w:t>14,15</w:t>
      </w:r>
      <w:r w:rsidRPr="00DE0A84">
        <w:rPr>
          <w:rFonts w:ascii="Helvetica" w:hAnsi="Helvetica" w:cs="Arial"/>
        </w:rPr>
        <w:fldChar w:fldCharType="end"/>
      </w:r>
      <w:r w:rsidRPr="00DE0A84">
        <w:rPr>
          <w:rFonts w:ascii="Helvetica" w:hAnsi="Helvetica" w:cs="Arial"/>
        </w:rPr>
        <w:t xml:space="preserve"> We could </w:t>
      </w:r>
      <w:r w:rsidR="00964D55" w:rsidRPr="00DE0A84">
        <w:rPr>
          <w:rFonts w:ascii="Helvetica" w:hAnsi="Helvetica" w:cs="Arial"/>
        </w:rPr>
        <w:t xml:space="preserve">hypothesise </w:t>
      </w:r>
      <w:r w:rsidRPr="00DE0A84">
        <w:rPr>
          <w:rFonts w:ascii="Helvetica" w:hAnsi="Helvetica" w:cs="Arial"/>
        </w:rPr>
        <w:t xml:space="preserve">that fleas disrupt the skin’s barrier function </w:t>
      </w:r>
      <w:r w:rsidR="00EC4A93" w:rsidRPr="00DE0A84">
        <w:rPr>
          <w:rFonts w:ascii="Helvetica" w:hAnsi="Helvetica" w:cs="Arial"/>
        </w:rPr>
        <w:t>as a consequence of</w:t>
      </w:r>
      <w:r w:rsidRPr="00DE0A84">
        <w:rPr>
          <w:rFonts w:ascii="Helvetica" w:hAnsi="Helvetica" w:cs="Arial"/>
        </w:rPr>
        <w:t xml:space="preserve"> </w:t>
      </w:r>
      <w:r w:rsidR="00EC4A93" w:rsidRPr="00DE0A84">
        <w:rPr>
          <w:rFonts w:ascii="Helvetica" w:hAnsi="Helvetica" w:cs="Arial"/>
        </w:rPr>
        <w:t xml:space="preserve">pet </w:t>
      </w:r>
      <w:r w:rsidRPr="00DE0A84">
        <w:rPr>
          <w:rFonts w:ascii="Helvetica" w:hAnsi="Helvetica" w:cs="Arial"/>
        </w:rPr>
        <w:t xml:space="preserve">self-trauma from pruritus and that this may increase the risk of MRSA carriage in pets </w:t>
      </w:r>
      <w:r w:rsidRPr="00DE0A84">
        <w:rPr>
          <w:rFonts w:ascii="Helvetica" w:hAnsi="Helvetica" w:cs="Arial"/>
        </w:rPr>
        <w:lastRenderedPageBreak/>
        <w:t>exposed to a known MRSA case. Further studies should consider fleas/ectoparasites as a potential factor for MRSA carriage in pets.</w:t>
      </w:r>
    </w:p>
    <w:p w14:paraId="6A7DA6D8" w14:textId="0431BE6F" w:rsidR="006A089E" w:rsidRPr="00DE0A84" w:rsidRDefault="006A089E" w:rsidP="00FB7D21">
      <w:pPr>
        <w:spacing w:afterLines="120" w:after="288" w:line="360" w:lineRule="auto"/>
        <w:rPr>
          <w:rFonts w:ascii="Helvetica" w:hAnsi="Helvetica" w:cs="Arial"/>
        </w:rPr>
      </w:pPr>
      <w:r w:rsidRPr="00DE0A84">
        <w:rPr>
          <w:rFonts w:ascii="Helvetica" w:hAnsi="Helvetica" w:cs="Arial"/>
        </w:rPr>
        <w:t xml:space="preserve">No </w:t>
      </w:r>
      <w:r w:rsidR="00EC4A93" w:rsidRPr="00DE0A84">
        <w:rPr>
          <w:rFonts w:ascii="Helvetica" w:hAnsi="Helvetica" w:cs="Arial"/>
        </w:rPr>
        <w:t xml:space="preserve">categorisation </w:t>
      </w:r>
      <w:r w:rsidRPr="00DE0A84">
        <w:rPr>
          <w:rFonts w:ascii="Helvetica" w:hAnsi="Helvetica" w:cs="Arial"/>
        </w:rPr>
        <w:t xml:space="preserve">or </w:t>
      </w:r>
      <w:r w:rsidR="00EC4A93" w:rsidRPr="00DE0A84">
        <w:rPr>
          <w:rFonts w:ascii="Helvetica" w:hAnsi="Helvetica" w:cs="Arial"/>
        </w:rPr>
        <w:t xml:space="preserve">dichotomisation </w:t>
      </w:r>
      <w:r w:rsidRPr="00DE0A84">
        <w:rPr>
          <w:rFonts w:ascii="Helvetica" w:hAnsi="Helvetica" w:cs="Arial"/>
        </w:rPr>
        <w:t xml:space="preserve">of </w:t>
      </w:r>
      <w:r w:rsidR="00F05465" w:rsidRPr="00DE0A84">
        <w:rPr>
          <w:rFonts w:ascii="Helvetica" w:hAnsi="Helvetica" w:cs="Arial"/>
        </w:rPr>
        <w:t>our</w:t>
      </w:r>
      <w:r w:rsidRPr="00DE0A84">
        <w:rPr>
          <w:rFonts w:ascii="Helvetica" w:hAnsi="Helvetica" w:cs="Arial"/>
        </w:rPr>
        <w:t xml:space="preserve"> person</w:t>
      </w:r>
      <w:r w:rsidR="00EC4A93" w:rsidRPr="00DE0A84">
        <w:rPr>
          <w:rFonts w:ascii="Helvetica" w:hAnsi="Helvetica" w:cs="Arial"/>
        </w:rPr>
        <w:t>–</w:t>
      </w:r>
      <w:r w:rsidRPr="00DE0A84">
        <w:rPr>
          <w:rFonts w:ascii="Helvetica" w:hAnsi="Helvetica" w:cs="Arial"/>
        </w:rPr>
        <w:t>pet contact score variable had a statistically significant association with pet carriage of MRSA. When the person</w:t>
      </w:r>
      <w:r w:rsidR="00EC4A93" w:rsidRPr="00DE0A84">
        <w:rPr>
          <w:rFonts w:ascii="Helvetica" w:hAnsi="Helvetica" w:cs="Arial"/>
        </w:rPr>
        <w:t>–</w:t>
      </w:r>
      <w:r w:rsidRPr="00DE0A84">
        <w:rPr>
          <w:rFonts w:ascii="Helvetica" w:hAnsi="Helvetica" w:cs="Arial"/>
        </w:rPr>
        <w:t xml:space="preserve">pet contact score variable was </w:t>
      </w:r>
      <w:r w:rsidR="00EC4A93" w:rsidRPr="00DE0A84">
        <w:rPr>
          <w:rFonts w:ascii="Helvetica" w:hAnsi="Helvetica" w:cs="Arial"/>
        </w:rPr>
        <w:t xml:space="preserve">dichotomised </w:t>
      </w:r>
      <w:r w:rsidRPr="00DE0A84">
        <w:rPr>
          <w:rFonts w:ascii="Helvetica" w:hAnsi="Helvetica" w:cs="Arial"/>
        </w:rPr>
        <w:t xml:space="preserve">at its median in this population (median contact score </w:t>
      </w:r>
      <w:r w:rsidR="007661BA" w:rsidRPr="00DE0A84">
        <w:rPr>
          <w:rFonts w:ascii="Helvetica" w:hAnsi="Helvetica" w:cs="Arial"/>
        </w:rPr>
        <w:t xml:space="preserve">was </w:t>
      </w:r>
      <w:r w:rsidRPr="00DE0A84">
        <w:rPr>
          <w:rFonts w:ascii="Helvetica" w:hAnsi="Helvetica" w:cs="Arial"/>
        </w:rPr>
        <w:t>2 of 9</w:t>
      </w:r>
      <w:r w:rsidR="007661BA" w:rsidRPr="00DE0A84">
        <w:rPr>
          <w:rFonts w:ascii="Helvetica" w:hAnsi="Helvetica" w:cs="Arial"/>
        </w:rPr>
        <w:t>, which is subjectively quite low</w:t>
      </w:r>
      <w:r w:rsidRPr="00DE0A84">
        <w:rPr>
          <w:rFonts w:ascii="Helvetica" w:hAnsi="Helvetica" w:cs="Arial"/>
        </w:rPr>
        <w:t xml:space="preserve">), the odds ratio </w:t>
      </w:r>
      <w:r w:rsidR="00825F8C" w:rsidRPr="00DE0A84">
        <w:rPr>
          <w:rFonts w:ascii="Helvetica" w:hAnsi="Helvetica" w:cs="Arial"/>
        </w:rPr>
        <w:t>indicated the potential for</w:t>
      </w:r>
      <w:r w:rsidRPr="00DE0A84">
        <w:rPr>
          <w:rFonts w:ascii="Helvetica" w:hAnsi="Helvetica" w:cs="Arial"/>
        </w:rPr>
        <w:t xml:space="preserve"> person</w:t>
      </w:r>
      <w:r w:rsidR="00EC4A93" w:rsidRPr="00DE0A84">
        <w:rPr>
          <w:rFonts w:ascii="Helvetica" w:hAnsi="Helvetica" w:cs="Arial"/>
        </w:rPr>
        <w:t>–</w:t>
      </w:r>
      <w:r w:rsidRPr="00DE0A84">
        <w:rPr>
          <w:rFonts w:ascii="Helvetica" w:hAnsi="Helvetica" w:cs="Arial"/>
        </w:rPr>
        <w:t xml:space="preserve">pet contact </w:t>
      </w:r>
      <w:r w:rsidR="00825F8C" w:rsidRPr="00DE0A84">
        <w:rPr>
          <w:rFonts w:ascii="Helvetica" w:hAnsi="Helvetica" w:cs="Arial"/>
        </w:rPr>
        <w:t xml:space="preserve">to be </w:t>
      </w:r>
      <w:r w:rsidRPr="00DE0A84">
        <w:rPr>
          <w:rFonts w:ascii="Helvetica" w:hAnsi="Helvetica" w:cs="Arial"/>
        </w:rPr>
        <w:t xml:space="preserve">a risk factor (OR 1.58; 95% CI 0.29, 8.67; </w:t>
      </w:r>
      <w:r w:rsidRPr="00DE0A84">
        <w:rPr>
          <w:rFonts w:ascii="Helvetica" w:hAnsi="Helvetica" w:cs="Arial"/>
          <w:i/>
        </w:rPr>
        <w:t>p</w:t>
      </w:r>
      <w:r w:rsidR="00EC4A93" w:rsidRPr="00DE0A84">
        <w:rPr>
          <w:rFonts w:ascii="Helvetica" w:hAnsi="Helvetica" w:cs="Arial"/>
        </w:rPr>
        <w:t> </w:t>
      </w:r>
      <w:r w:rsidRPr="00DE0A84">
        <w:rPr>
          <w:rFonts w:ascii="Helvetica" w:hAnsi="Helvetica" w:cs="Arial"/>
        </w:rPr>
        <w:t>=</w:t>
      </w:r>
      <w:r w:rsidR="00EC4A93" w:rsidRPr="00DE0A84">
        <w:rPr>
          <w:rFonts w:ascii="Helvetica" w:hAnsi="Helvetica" w:cs="Arial"/>
        </w:rPr>
        <w:t> </w:t>
      </w:r>
      <w:r w:rsidRPr="00DE0A84">
        <w:rPr>
          <w:rFonts w:ascii="Helvetica" w:hAnsi="Helvetica" w:cs="Arial"/>
        </w:rPr>
        <w:t>0.596)</w:t>
      </w:r>
      <w:r w:rsidR="00825F8C" w:rsidRPr="00DE0A84">
        <w:rPr>
          <w:rFonts w:ascii="Helvetica" w:hAnsi="Helvetica" w:cs="Arial"/>
        </w:rPr>
        <w:t xml:space="preserve">, </w:t>
      </w:r>
      <w:r w:rsidR="00421B2F" w:rsidRPr="00DE0A84">
        <w:rPr>
          <w:rFonts w:ascii="Helvetica" w:hAnsi="Helvetica" w:cs="Arial"/>
        </w:rPr>
        <w:t>and</w:t>
      </w:r>
      <w:r w:rsidR="00825F8C" w:rsidRPr="00DE0A84">
        <w:rPr>
          <w:rFonts w:ascii="Helvetica" w:hAnsi="Helvetica" w:cs="Arial"/>
        </w:rPr>
        <w:t xml:space="preserve"> this estimate was not statistically significant</w:t>
      </w:r>
      <w:r w:rsidRPr="00DE0A84">
        <w:rPr>
          <w:rFonts w:ascii="Helvetica" w:hAnsi="Helvetica" w:cs="Arial"/>
        </w:rPr>
        <w:t xml:space="preserve">. </w:t>
      </w:r>
      <w:r w:rsidR="00825F8C" w:rsidRPr="00DE0A84">
        <w:rPr>
          <w:rFonts w:ascii="Helvetica" w:hAnsi="Helvetica" w:cs="Arial"/>
        </w:rPr>
        <w:t>Conversely, w</w:t>
      </w:r>
      <w:r w:rsidRPr="00DE0A84">
        <w:rPr>
          <w:rFonts w:ascii="Helvetica" w:hAnsi="Helvetica" w:cs="Arial"/>
        </w:rPr>
        <w:t>hen the score was dichotom</w:t>
      </w:r>
      <w:r w:rsidR="00421B2F" w:rsidRPr="00DE0A84">
        <w:rPr>
          <w:rFonts w:ascii="Helvetica" w:hAnsi="Helvetica" w:cs="Arial"/>
        </w:rPr>
        <w:t>ise</w:t>
      </w:r>
      <w:r w:rsidRPr="00DE0A84">
        <w:rPr>
          <w:rFonts w:ascii="Helvetica" w:hAnsi="Helvetica" w:cs="Arial"/>
        </w:rPr>
        <w:t xml:space="preserve">d with scores of 4, 5 or 6 of 9 as “close” contact and scores under 3 of 9 as “casual” contact, the odds ratio </w:t>
      </w:r>
      <w:r w:rsidR="00825F8C" w:rsidRPr="00DE0A84">
        <w:rPr>
          <w:rFonts w:ascii="Helvetica" w:hAnsi="Helvetica" w:cs="Arial"/>
        </w:rPr>
        <w:t xml:space="preserve">suggested </w:t>
      </w:r>
      <w:r w:rsidRPr="00DE0A84">
        <w:rPr>
          <w:rFonts w:ascii="Helvetica" w:hAnsi="Helvetica" w:cs="Arial"/>
        </w:rPr>
        <w:t>person</w:t>
      </w:r>
      <w:r w:rsidR="00EC4A93" w:rsidRPr="00DE0A84">
        <w:rPr>
          <w:rFonts w:ascii="Helvetica" w:hAnsi="Helvetica" w:cs="Arial"/>
        </w:rPr>
        <w:t>–</w:t>
      </w:r>
      <w:r w:rsidRPr="00DE0A84">
        <w:rPr>
          <w:rFonts w:ascii="Helvetica" w:hAnsi="Helvetica" w:cs="Arial"/>
        </w:rPr>
        <w:t>pet contact as a protective factor for pet carriage of MRSA</w:t>
      </w:r>
      <w:r w:rsidR="00B37828" w:rsidRPr="00DE0A84">
        <w:rPr>
          <w:rFonts w:ascii="Helvetica" w:hAnsi="Helvetica" w:cs="Arial"/>
        </w:rPr>
        <w:t xml:space="preserve"> (OR 0.46; 95% CI 0.10, 2.08; </w:t>
      </w:r>
      <w:r w:rsidR="00B37828" w:rsidRPr="00DE0A84">
        <w:rPr>
          <w:rFonts w:ascii="Helvetica" w:hAnsi="Helvetica" w:cs="Arial"/>
          <w:i/>
        </w:rPr>
        <w:t>p</w:t>
      </w:r>
      <w:r w:rsidR="00EC4A93" w:rsidRPr="00DE0A84">
        <w:rPr>
          <w:rFonts w:ascii="Helvetica" w:hAnsi="Helvetica" w:cs="Arial"/>
        </w:rPr>
        <w:t> </w:t>
      </w:r>
      <w:r w:rsidR="00B37828" w:rsidRPr="00DE0A84">
        <w:rPr>
          <w:rFonts w:ascii="Helvetica" w:hAnsi="Helvetica" w:cs="Arial"/>
        </w:rPr>
        <w:t>=</w:t>
      </w:r>
      <w:r w:rsidR="00EC4A93" w:rsidRPr="00DE0A84">
        <w:rPr>
          <w:rFonts w:ascii="Helvetica" w:hAnsi="Helvetica" w:cs="Arial"/>
        </w:rPr>
        <w:t> </w:t>
      </w:r>
      <w:r w:rsidR="00B37828" w:rsidRPr="00DE0A84">
        <w:rPr>
          <w:rFonts w:ascii="Helvetica" w:hAnsi="Helvetica" w:cs="Arial"/>
        </w:rPr>
        <w:t>0.309)</w:t>
      </w:r>
      <w:r w:rsidR="00825F8C" w:rsidRPr="00DE0A84">
        <w:rPr>
          <w:rFonts w:ascii="Helvetica" w:hAnsi="Helvetica" w:cs="Arial"/>
        </w:rPr>
        <w:t xml:space="preserve">, </w:t>
      </w:r>
      <w:r w:rsidR="00421B2F" w:rsidRPr="00DE0A84">
        <w:rPr>
          <w:rFonts w:ascii="Helvetica" w:hAnsi="Helvetica" w:cs="Arial"/>
        </w:rPr>
        <w:t>and</w:t>
      </w:r>
      <w:r w:rsidR="00825F8C" w:rsidRPr="00DE0A84">
        <w:rPr>
          <w:rFonts w:ascii="Helvetica" w:hAnsi="Helvetica" w:cs="Arial"/>
        </w:rPr>
        <w:t xml:space="preserve"> again the estimate was nonsignificant</w:t>
      </w:r>
      <w:r w:rsidRPr="00DE0A84">
        <w:rPr>
          <w:rFonts w:ascii="Helvetica" w:hAnsi="Helvetica" w:cs="Arial"/>
        </w:rPr>
        <w:t xml:space="preserve">. However, </w:t>
      </w:r>
      <w:r w:rsidR="00EC4A93" w:rsidRPr="00DE0A84">
        <w:rPr>
          <w:rFonts w:ascii="Helvetica" w:hAnsi="Helvetica" w:cs="Arial"/>
        </w:rPr>
        <w:t xml:space="preserve">owing </w:t>
      </w:r>
      <w:r w:rsidRPr="00DE0A84">
        <w:rPr>
          <w:rFonts w:ascii="Helvetica" w:hAnsi="Helvetica" w:cs="Arial"/>
        </w:rPr>
        <w:t>to small sample size</w:t>
      </w:r>
      <w:r w:rsidR="00FB7D21" w:rsidRPr="00DE0A84">
        <w:rPr>
          <w:rFonts w:ascii="Helvetica" w:hAnsi="Helvetica" w:cs="Arial"/>
        </w:rPr>
        <w:t xml:space="preserve"> neither of these effect sizes are reliable and the effect of person</w:t>
      </w:r>
      <w:r w:rsidR="00EC4A93" w:rsidRPr="00DE0A84">
        <w:rPr>
          <w:rFonts w:ascii="Helvetica" w:hAnsi="Helvetica" w:cs="Arial"/>
        </w:rPr>
        <w:t>–</w:t>
      </w:r>
      <w:r w:rsidR="00FB7D21" w:rsidRPr="00DE0A84">
        <w:rPr>
          <w:rFonts w:ascii="Helvetica" w:hAnsi="Helvetica" w:cs="Arial"/>
        </w:rPr>
        <w:t>pet contact on pet or human MRSA carriage remains a research question of interest.</w:t>
      </w:r>
    </w:p>
    <w:p w14:paraId="73045F53" w14:textId="4BCD38A6" w:rsidR="004468D0" w:rsidRPr="00DE0A84" w:rsidRDefault="004D46B9" w:rsidP="00FB7D21">
      <w:pPr>
        <w:spacing w:afterLines="120" w:after="288" w:line="360" w:lineRule="auto"/>
        <w:rPr>
          <w:rFonts w:ascii="Helvetica" w:hAnsi="Helvetica" w:cs="Arial"/>
          <w:noProof/>
        </w:rPr>
      </w:pPr>
      <w:r w:rsidRPr="00DE0A84">
        <w:rPr>
          <w:rFonts w:ascii="Helvetica" w:hAnsi="Helvetica" w:cs="Arial"/>
        </w:rPr>
        <w:t xml:space="preserve">Recall and ascertainment biases were limited in this study because the same staff member collected specimens simultaneously, and microbiological comparisons of isolates were performed for a large number of survey respondents. </w:t>
      </w:r>
      <w:r w:rsidR="004468D0" w:rsidRPr="00DE0A84">
        <w:rPr>
          <w:rFonts w:ascii="Helvetica" w:hAnsi="Helvetica" w:cs="Arial"/>
          <w:shd w:val="clear" w:color="auto" w:fill="FFFFFF"/>
        </w:rPr>
        <w:t>Data were evaluated through two separate cross-sectional analyses, preventing identification of causal association between risk factors and outcome.</w:t>
      </w:r>
    </w:p>
    <w:p w14:paraId="746B3180" w14:textId="1D35234A" w:rsidR="00DB08D6" w:rsidRPr="00DE0A84" w:rsidRDefault="00DB08D6" w:rsidP="00DB08D6">
      <w:pPr>
        <w:autoSpaceDE w:val="0"/>
        <w:autoSpaceDN w:val="0"/>
        <w:adjustRightInd w:val="0"/>
        <w:spacing w:afterLines="120" w:after="288" w:line="360" w:lineRule="auto"/>
        <w:rPr>
          <w:rFonts w:ascii="Helvetica" w:hAnsi="Helvetica" w:cs="Arial"/>
        </w:rPr>
      </w:pPr>
      <w:r w:rsidRPr="00DE0A84">
        <w:rPr>
          <w:rFonts w:ascii="Helvetica" w:hAnsi="Helvetica" w:cs="Arial"/>
        </w:rPr>
        <w:t>Labradors and Lab</w:t>
      </w:r>
      <w:r w:rsidR="00EC4A93" w:rsidRPr="00DE0A84">
        <w:rPr>
          <w:rFonts w:ascii="Helvetica" w:hAnsi="Helvetica" w:cs="Arial"/>
        </w:rPr>
        <w:t>rador</w:t>
      </w:r>
      <w:r w:rsidRPr="00DE0A84">
        <w:rPr>
          <w:rFonts w:ascii="Helvetica" w:hAnsi="Helvetica" w:cs="Arial"/>
        </w:rPr>
        <w:t xml:space="preserve">-mix dog breeds were associated with increased risk of MRSA carriage in our population, while cat breed had no association with MRSA carriage. </w:t>
      </w:r>
      <w:r w:rsidRPr="00DE0A84">
        <w:rPr>
          <w:rFonts w:ascii="Helvetica" w:hAnsi="Helvetica" w:cs="Arial"/>
          <w:bCs/>
        </w:rPr>
        <w:t xml:space="preserve">In a previous analysis of this study population, </w:t>
      </w:r>
      <w:r w:rsidRPr="00DE0A84">
        <w:rPr>
          <w:rFonts w:ascii="Helvetica" w:hAnsi="Helvetica" w:cs="Arial"/>
        </w:rPr>
        <w:t xml:space="preserve">rural households were 100% collinear with environmental multidrug-resistant (MDR) </w:t>
      </w:r>
      <w:r w:rsidRPr="00DE0A84">
        <w:rPr>
          <w:rFonts w:ascii="Helvetica" w:hAnsi="Helvetica" w:cs="Arial"/>
          <w:i/>
          <w:iCs/>
        </w:rPr>
        <w:t>Staphylococcus</w:t>
      </w:r>
      <w:r w:rsidRPr="00DE0A84">
        <w:rPr>
          <w:rFonts w:ascii="Helvetica" w:hAnsi="Helvetica" w:cs="Arial"/>
        </w:rPr>
        <w:t xml:space="preserve"> contamination</w:t>
      </w:r>
      <w:r w:rsidR="003A3902" w:rsidRPr="00DE0A84">
        <w:rPr>
          <w:rFonts w:ascii="Helvetica" w:hAnsi="Helvetica" w:cs="Arial"/>
        </w:rPr>
        <w:t>.</w:t>
      </w:r>
      <w:r w:rsidRPr="00DE0A84">
        <w:rPr>
          <w:rFonts w:ascii="Helvetica" w:hAnsi="Helvetica" w:cs="Arial"/>
        </w:rPr>
        <w:fldChar w:fldCharType="begin" w:fldLock="1"/>
      </w:r>
      <w:r w:rsidR="005968F9" w:rsidRPr="00DE0A84">
        <w:rPr>
          <w:rFonts w:ascii="Helvetica" w:hAnsi="Helvetica" w:cs="Arial"/>
        </w:rPr>
        <w:instrText>ADDIN CSL_CITATION {"citationItems":[{"id":"ITEM-1","itemData":{"DOI":"10.1128/AEM.01369-17","ISSN":"10985336","PMID":"28939607","abstract":"Patients with community-onset (CO) methicillin-resistant Staphylococcus aureus (MRSA) infections contribute to MRSA contamination of the home environment and may be reexposed to MRSA strains from this reservoir. This study evaluates One Health risk factors, which focus on the relationship between humans, animals, and the environment, for the increased prevalence of multiple antimicrobial-resistant MRSA isolates in the home environment. During a trial of patients with CO-MRSA infection, MRSA was isolated from the household environment at the baseline and 3 months later, following randomization of patients and household members to mupirocin-based decolonization therapy or an education control group. Up to two environmental MRSA isolates collected at each visit were tested. MRSA isolates were identified in 68% (65/ 95) of homes at the baseline (n = 104 isolates) and 51% (33/65) of homes 3 months later (n = 56 isolates). The rates of multidrug resistance (MDR) were 61% among isolates collected at the baseline and 55% among isolates collected at the visit 3 months later. At the baseline, 100% (14/14) of MRSA isolates from rural homes were MDR. While antimicrobial use by humans or pets was associated with an increased risk for the isolation of MDR MRSA from the environment, clindamycin use was not associated with an increased risk for the isolation of MDR MRSA. Incident low-level mupirocin-resistant MRSA strains were isolated at 3 months from 2 (5%) of 39 homes that were randomized to mupirocin treatment but none of the control homes. Among patients recently treated for a CO-MRSA infection, MRSA and MDR MRSA were common contaminants in the home environment. This study contributes to evidence that occupant use of antimicrobial drugs, except for clindamycin, is associated with MDR MRSA in the home environmental reservoir. (This study has been registered at ClinicalTrials.gov under registration no. NCT00966446).","author":[{"dropping-particle":"","family":"Shahbazian","given":"J H","non-dropping-particle":"","parse-names":false,"suffix":""},{"dropping-particle":"","family":"Hahn","given":"P D","non-dropping-particle":"","parse-names":false,"suffix":""},{"dropping-particle":"","family":"Ludwig","given":"S","non-dropping-particle":"","parse-names":false,"suffix":""},{"dropping-particle":"","family":"Ferguson","given":"J","non-dropping-particle":"","parse-names":false,"suffix":""},{"dropping-particle":"","family":"Baron","given":"P","non-dropping-particle":"","parse-names":false,"suffix":""},{"dropping-particle":"","family":"Christ","given":"A","non-dropping-particle":"","parse-names":false,"suffix":""},{"dropping-particle":"","family":"Spicer","given":"K","non-dropping-particle":"","parse-names":false,"suffix":""},{"dropping-particle":"","family":"Tolomeo","given":"P","non-dropping-particle":"","parse-names":false,"suffix":""},{"dropping-particle":"","family":"Torrie","given":"A M","non-dropping-particle":"","parse-names":false,"suffix":""},{"dropping-particle":"","family":"Bilker","given":"W B","non-dropping-particle":"","parse-names":false,"suffix":""},{"dropping-particle":"","family":"Cluzet","given":"V C","non-dropping-particle":"","parse-names":false,"suffix":""},{"dropping-particle":"","family":"Hu","given":"B","non-dropping-particle":"","parse-names":false,"suffix":""},{"dropping-particle":"","family":"Julian","given":"K","non-dropping-particle":"","parse-names":false,"suffix":""},{"dropping-particle":"","family":"Nachamkin","given":"I","non-dropping-particle":"","parse-names":false,"suffix":""},{"dropping-particle":"","family":"Rankin","given":"S C","non-dropping-particle":"","parse-names":false,"suffix":""},{"dropping-particle":"","family":"Morris","given":"D O","non-dropping-particle":"","parse-names":false,"suffix":""},{"dropping-particle":"","family":"Lautenbach","given":"E","non-dropping-particle":"","parse-names":false,"suffix":""},{"dropping-particle":"","family":"Davis","given":"M F","non-dropping-particle":"","parse-names":false,"suffix":""}],"container-title":"Applied and Environmental Microbiology","editor":[{"dropping-particle":"","family":"Dozois","given":"Charles M.","non-dropping-particle":"","parse-names":false,"suffix":""}],"id":"ITEM-1","issue":"22","issued":{"date-parts":[["2017","11","15"]]},"page":"e01369-17","title":"Multidrug and mupirocin resistance in environmental methicillin-resistant Staphylococcus aureus (MRSA) isolates from homes of people diagnosed with community-onset MRSA infection","type":"article-journal","volume":"83"},"uris":["http://www.mendeley.com/documents/?uuid=f0821c6d-f532-329d-bb0b-67d4a5e8222e"]}],"mendeley":{"formattedCitation":"&lt;sup&gt;7&lt;/sup&gt;","plainTextFormattedCitation":"7","previouslyFormattedCitation":"&lt;sup&gt;7&lt;/sup&gt;"},"properties":{"noteIndex":0},"schema":"https://github.com/citation-style-language/schema/raw/master/csl-citation.json"}</w:instrText>
      </w:r>
      <w:r w:rsidRPr="00DE0A84">
        <w:rPr>
          <w:rFonts w:ascii="Helvetica" w:hAnsi="Helvetica" w:cs="Arial"/>
        </w:rPr>
        <w:fldChar w:fldCharType="separate"/>
      </w:r>
      <w:r w:rsidR="007B5891" w:rsidRPr="00DE0A84">
        <w:rPr>
          <w:rFonts w:ascii="Helvetica" w:hAnsi="Helvetica" w:cs="Arial"/>
          <w:noProof/>
          <w:vertAlign w:val="superscript"/>
        </w:rPr>
        <w:t>7</w:t>
      </w:r>
      <w:r w:rsidRPr="00DE0A84">
        <w:rPr>
          <w:rFonts w:ascii="Helvetica" w:hAnsi="Helvetica" w:cs="Arial"/>
        </w:rPr>
        <w:fldChar w:fldCharType="end"/>
      </w:r>
      <w:r w:rsidRPr="00DE0A84">
        <w:rPr>
          <w:rFonts w:ascii="Helvetica" w:hAnsi="Helvetica" w:cs="Arial"/>
        </w:rPr>
        <w:t xml:space="preserve"> In th</w:t>
      </w:r>
      <w:r w:rsidR="00DA7520" w:rsidRPr="00DE0A84">
        <w:rPr>
          <w:rFonts w:ascii="Helvetica" w:hAnsi="Helvetica" w:cs="Arial"/>
        </w:rPr>
        <w:t>e present</w:t>
      </w:r>
      <w:r w:rsidRPr="00DE0A84">
        <w:rPr>
          <w:rFonts w:ascii="Helvetica" w:hAnsi="Helvetica" w:cs="Arial"/>
        </w:rPr>
        <w:t xml:space="preserve"> analysis, no</w:t>
      </w:r>
      <w:r w:rsidR="001E47D4" w:rsidRPr="00DE0A84">
        <w:rPr>
          <w:rFonts w:ascii="Helvetica" w:hAnsi="Helvetica" w:cs="Arial"/>
        </w:rPr>
        <w:t xml:space="preserve"> relationship </w:t>
      </w:r>
      <w:r w:rsidRPr="00DE0A84">
        <w:rPr>
          <w:rFonts w:ascii="Helvetica" w:hAnsi="Helvetica" w:cs="Arial"/>
        </w:rPr>
        <w:t>was found between dog breed and rural (v</w:t>
      </w:r>
      <w:r w:rsidR="00EC4A93" w:rsidRPr="00DE0A84">
        <w:rPr>
          <w:rFonts w:ascii="Helvetica" w:hAnsi="Helvetica" w:cs="Arial"/>
        </w:rPr>
        <w:t>ersu</w:t>
      </w:r>
      <w:r w:rsidRPr="00DE0A84">
        <w:rPr>
          <w:rFonts w:ascii="Helvetica" w:hAnsi="Helvetica" w:cs="Arial"/>
        </w:rPr>
        <w:t>s suburban) residence, household income quartile or human</w:t>
      </w:r>
      <w:r w:rsidR="00EC4A93" w:rsidRPr="00DE0A84">
        <w:rPr>
          <w:rFonts w:ascii="Helvetica" w:hAnsi="Helvetica" w:cs="Arial"/>
        </w:rPr>
        <w:t>–</w:t>
      </w:r>
      <w:r w:rsidRPr="00DE0A84">
        <w:rPr>
          <w:rFonts w:ascii="Helvetica" w:hAnsi="Helvetica" w:cs="Arial"/>
        </w:rPr>
        <w:t xml:space="preserve">pet closeness score. There was no association between rural residence and any pet carriage of MRSA. While it is possible </w:t>
      </w:r>
      <w:r w:rsidR="000173BB" w:rsidRPr="00DE0A84">
        <w:rPr>
          <w:rFonts w:ascii="Helvetica" w:hAnsi="Helvetica" w:cs="Arial"/>
        </w:rPr>
        <w:t xml:space="preserve">that </w:t>
      </w:r>
      <w:r w:rsidRPr="00DE0A84">
        <w:rPr>
          <w:rFonts w:ascii="Helvetica" w:hAnsi="Helvetica" w:cs="Arial"/>
        </w:rPr>
        <w:t xml:space="preserve">the association we see between Labrador breed and MRSA carriage can be explained by other unmeasured variables, future studies should continue to evaluate the potential for this breed to be at higher risk for MRSA carriage in this context. </w:t>
      </w:r>
    </w:p>
    <w:p w14:paraId="6566B82F" w14:textId="3BB7DF6B" w:rsidR="004028AE" w:rsidRPr="00DE0A84" w:rsidRDefault="001E47D4" w:rsidP="004028AE">
      <w:pPr>
        <w:spacing w:afterLines="120" w:after="288" w:line="360" w:lineRule="auto"/>
        <w:rPr>
          <w:rFonts w:ascii="Helvetica" w:hAnsi="Helvetica" w:cs="Arial"/>
        </w:rPr>
      </w:pPr>
      <w:r w:rsidRPr="00DE0A84">
        <w:rPr>
          <w:rFonts w:ascii="Helvetica" w:eastAsiaTheme="minorHAnsi" w:hAnsi="Helvetica"/>
        </w:rPr>
        <w:lastRenderedPageBreak/>
        <w:t>Another author has addressed cleaning/disinfection in relation to identification of MDR among MRSA detected from this population in a separate manuscript</w:t>
      </w:r>
      <w:r w:rsidR="004033BF" w:rsidRPr="00DE0A84">
        <w:rPr>
          <w:rFonts w:ascii="Helvetica" w:eastAsiaTheme="minorHAnsi" w:hAnsi="Helvetica"/>
        </w:rPr>
        <w:t>.</w:t>
      </w:r>
      <w:r w:rsidR="005D55F9" w:rsidRPr="00DE0A84">
        <w:rPr>
          <w:rFonts w:ascii="Helvetica" w:eastAsiaTheme="minorHAnsi" w:hAnsi="Helvetica"/>
          <w:vertAlign w:val="superscript"/>
        </w:rPr>
        <w:t>2</w:t>
      </w:r>
      <w:r w:rsidRPr="00DE0A84">
        <w:rPr>
          <w:rFonts w:ascii="Helvetica" w:eastAsiaTheme="minorHAnsi" w:hAnsi="Helvetica"/>
        </w:rPr>
        <w:t xml:space="preserve"> The manuscript found that </w:t>
      </w:r>
      <w:r w:rsidRPr="00DE0A84">
        <w:rPr>
          <w:rFonts w:ascii="Helvetica" w:eastAsiaTheme="minorHAnsi" w:hAnsi="Helvetica"/>
          <w:i/>
        </w:rPr>
        <w:t>not</w:t>
      </w:r>
      <w:r w:rsidRPr="00DE0A84">
        <w:rPr>
          <w:rFonts w:ascii="Helvetica" w:eastAsiaTheme="minorHAnsi" w:hAnsi="Helvetica"/>
        </w:rPr>
        <w:t xml:space="preserve"> using EPA-</w:t>
      </w:r>
      <w:r w:rsidR="00825F8C" w:rsidRPr="00DE0A84">
        <w:rPr>
          <w:rFonts w:ascii="Helvetica" w:eastAsiaTheme="minorHAnsi" w:hAnsi="Helvetica"/>
        </w:rPr>
        <w:t xml:space="preserve">listed </w:t>
      </w:r>
      <w:r w:rsidRPr="00DE0A84">
        <w:rPr>
          <w:rFonts w:ascii="Helvetica" w:eastAsiaTheme="minorHAnsi" w:hAnsi="Helvetica"/>
        </w:rPr>
        <w:t>cleaning products</w:t>
      </w:r>
      <w:r w:rsidR="00825F8C" w:rsidRPr="00DE0A84">
        <w:rPr>
          <w:rFonts w:ascii="Helvetica" w:eastAsiaTheme="minorHAnsi" w:hAnsi="Helvetica"/>
        </w:rPr>
        <w:t xml:space="preserve"> as effective against MRSA</w:t>
      </w:r>
      <w:r w:rsidRPr="00DE0A84">
        <w:rPr>
          <w:rFonts w:ascii="Helvetica" w:eastAsiaTheme="minorHAnsi" w:hAnsi="Helvetica"/>
        </w:rPr>
        <w:t xml:space="preserve"> was significantly protective against home contamination with MDR MRSA</w:t>
      </w:r>
      <w:r w:rsidR="002631C9" w:rsidRPr="00DE0A84">
        <w:rPr>
          <w:rFonts w:ascii="Helvetica" w:eastAsiaTheme="minorHAnsi" w:hAnsi="Helvetica"/>
        </w:rPr>
        <w:t>, suggesting the potential for use of MRSA-cidal cleaning products in</w:t>
      </w:r>
      <w:r w:rsidR="004454BD" w:rsidRPr="00DE0A84">
        <w:rPr>
          <w:rFonts w:ascii="Helvetica" w:eastAsiaTheme="minorHAnsi" w:hAnsi="Helvetica"/>
        </w:rPr>
        <w:t xml:space="preserve"> the home to exert selective pressure and select for MDR strains</w:t>
      </w:r>
      <w:r w:rsidRPr="00DE0A84">
        <w:rPr>
          <w:rFonts w:ascii="Helvetica" w:eastAsiaTheme="minorHAnsi" w:hAnsi="Helvetica"/>
        </w:rPr>
        <w:t xml:space="preserve">. </w:t>
      </w:r>
      <w:r w:rsidR="000427CE" w:rsidRPr="00DE0A84">
        <w:rPr>
          <w:rFonts w:ascii="Helvetica" w:hAnsi="Helvetica" w:cs="Arial"/>
          <w:noProof/>
        </w:rPr>
        <w:t>This has</w:t>
      </w:r>
      <w:r w:rsidR="004028AE" w:rsidRPr="00DE0A84">
        <w:rPr>
          <w:rFonts w:ascii="Helvetica" w:hAnsi="Helvetica" w:cs="Arial"/>
          <w:noProof/>
        </w:rPr>
        <w:t xml:space="preserve"> potential cons</w:t>
      </w:r>
      <w:r w:rsidR="000173BB" w:rsidRPr="00DE0A84">
        <w:rPr>
          <w:rFonts w:ascii="Helvetica" w:hAnsi="Helvetica" w:cs="Arial"/>
          <w:noProof/>
        </w:rPr>
        <w:t>e</w:t>
      </w:r>
      <w:r w:rsidR="004028AE" w:rsidRPr="00DE0A84">
        <w:rPr>
          <w:rFonts w:ascii="Helvetica" w:hAnsi="Helvetica" w:cs="Arial"/>
          <w:noProof/>
        </w:rPr>
        <w:t xml:space="preserve">quences for pet MRSA carriage, </w:t>
      </w:r>
      <w:r w:rsidR="000427CE" w:rsidRPr="00DE0A84">
        <w:rPr>
          <w:rFonts w:ascii="Helvetica" w:hAnsi="Helvetica" w:cs="Arial"/>
          <w:noProof/>
        </w:rPr>
        <w:t xml:space="preserve">given that </w:t>
      </w:r>
      <w:r w:rsidR="004028AE" w:rsidRPr="00DE0A84">
        <w:rPr>
          <w:rFonts w:ascii="Helvetica" w:hAnsi="Helvetica" w:cs="Arial"/>
          <w:noProof/>
        </w:rPr>
        <w:t xml:space="preserve">households in this study were </w:t>
      </w:r>
      <w:r w:rsidR="000173BB" w:rsidRPr="00DE0A84">
        <w:rPr>
          <w:rFonts w:ascii="Helvetica" w:hAnsi="Helvetica" w:cs="Arial"/>
          <w:noProof/>
        </w:rPr>
        <w:t xml:space="preserve">randomised </w:t>
      </w:r>
      <w:r w:rsidR="004028AE" w:rsidRPr="00DE0A84">
        <w:rPr>
          <w:rFonts w:ascii="Helvetica" w:hAnsi="Helvetica" w:cs="Arial"/>
          <w:noProof/>
        </w:rPr>
        <w:t xml:space="preserve">to household-wide </w:t>
      </w:r>
      <w:r w:rsidR="00AE5782" w:rsidRPr="00DE0A84">
        <w:rPr>
          <w:rFonts w:ascii="Helvetica" w:hAnsi="Helvetica" w:cs="Arial"/>
          <w:noProof/>
        </w:rPr>
        <w:t xml:space="preserve">human </w:t>
      </w:r>
      <w:r w:rsidR="000173BB" w:rsidRPr="00DE0A84">
        <w:rPr>
          <w:rFonts w:ascii="Helvetica" w:hAnsi="Helvetica" w:cs="Arial"/>
          <w:noProof/>
        </w:rPr>
        <w:t xml:space="preserve">decolonisation </w:t>
      </w:r>
      <w:r w:rsidR="004028AE" w:rsidRPr="00DE0A84">
        <w:rPr>
          <w:rFonts w:ascii="Helvetica" w:hAnsi="Helvetica" w:cs="Arial"/>
          <w:noProof/>
        </w:rPr>
        <w:t xml:space="preserve">treatment (nasal mupirocin, a topical antibiotic, and chlorhexidine body wash, a topical antiseptic) between the baseline and follow-up home visits. </w:t>
      </w:r>
      <w:r w:rsidR="00AE5782" w:rsidRPr="00DE0A84">
        <w:rPr>
          <w:rFonts w:ascii="Helvetica" w:hAnsi="Helvetica" w:cs="Arial"/>
          <w:noProof/>
        </w:rPr>
        <w:t>Supporting this, p</w:t>
      </w:r>
      <w:r w:rsidR="004028AE" w:rsidRPr="00DE0A84">
        <w:rPr>
          <w:rFonts w:ascii="Helvetica" w:hAnsi="Helvetica" w:cs="Arial"/>
          <w:noProof/>
        </w:rPr>
        <w:t xml:space="preserve">rior work on environmental MRSA isolates in this population suggested the potential for human </w:t>
      </w:r>
      <w:r w:rsidR="000173BB" w:rsidRPr="00DE0A84">
        <w:rPr>
          <w:rFonts w:ascii="Helvetica" w:hAnsi="Helvetica" w:cs="Arial"/>
          <w:noProof/>
        </w:rPr>
        <w:t xml:space="preserve">decolonisation </w:t>
      </w:r>
      <w:r w:rsidR="004028AE" w:rsidRPr="00DE0A84">
        <w:rPr>
          <w:rFonts w:ascii="Helvetica" w:hAnsi="Helvetica" w:cs="Arial"/>
          <w:noProof/>
        </w:rPr>
        <w:t xml:space="preserve">treatment with chlorhexidine to be associated with </w:t>
      </w:r>
      <w:r w:rsidR="004028AE" w:rsidRPr="00DE0A84">
        <w:rPr>
          <w:rFonts w:ascii="Helvetica" w:hAnsi="Helvetica" w:cs="Arial"/>
          <w:i/>
          <w:iCs/>
          <w:noProof/>
        </w:rPr>
        <w:t>qac</w:t>
      </w:r>
      <w:r w:rsidR="004028AE" w:rsidRPr="00DE0A84">
        <w:rPr>
          <w:rFonts w:ascii="Helvetica" w:hAnsi="Helvetica" w:cs="Arial"/>
          <w:noProof/>
        </w:rPr>
        <w:t>-gene positivity (a marker of potential chlorhexidine resistance) in the environmental reservoir</w:t>
      </w:r>
      <w:r w:rsidR="003A3902" w:rsidRPr="00DE0A84">
        <w:rPr>
          <w:rFonts w:ascii="Helvetica" w:hAnsi="Helvetica" w:cs="Arial"/>
          <w:noProof/>
        </w:rPr>
        <w:t>.</w:t>
      </w:r>
      <w:r w:rsidR="004028AE" w:rsidRPr="00DE0A84">
        <w:rPr>
          <w:rFonts w:ascii="Helvetica" w:hAnsi="Helvetica" w:cs="Arial"/>
          <w:noProof/>
        </w:rPr>
        <w:fldChar w:fldCharType="begin" w:fldLock="1"/>
      </w:r>
      <w:r w:rsidR="005B2CAE" w:rsidRPr="00DE0A84">
        <w:rPr>
          <w:rFonts w:ascii="Helvetica" w:hAnsi="Helvetica" w:cs="Arial"/>
          <w:noProof/>
        </w:rPr>
        <w:instrText>ADDIN CSL_CITATION {"citationItems":[{"id":"ITEM-1","itemData":{"author":[{"dropping-particle":"","family":"Pandya","given":"Isha","non-dropping-particle":"","parse-names":false,"suffix":""}],"id":"ITEM-1","issued":{"date-parts":[["2018"]]},"publisher":"Johns Hopkins University. Baltimore.","title":"Risk Factors for Disinfectant Resistance in Environmental Methicillin-resistant Staphylococcus Aureus (MRSA) Isolates from Homes of Patients Diagnosed with Community-onset MRSA Skin Infections. Master Thesis.","type":"thesis"},"uris":["http://www.mendeley.com/documents/?uuid=723005ed-b3b9-4a8d-95ca-dac80099c194"]}],"mendeley":{"formattedCitation":"&lt;sup&gt;16&lt;/sup&gt;","plainTextFormattedCitation":"16","previouslyFormattedCitation":"&lt;sup&gt;20&lt;/sup&gt;"},"properties":{"noteIndex":0},"schema":"https://github.com/citation-style-language/schema/raw/master/csl-citation.json"}</w:instrText>
      </w:r>
      <w:r w:rsidR="004028AE" w:rsidRPr="00DE0A84">
        <w:rPr>
          <w:rFonts w:ascii="Helvetica" w:hAnsi="Helvetica" w:cs="Arial"/>
          <w:noProof/>
        </w:rPr>
        <w:fldChar w:fldCharType="separate"/>
      </w:r>
      <w:r w:rsidR="005B2CAE" w:rsidRPr="00DE0A84">
        <w:rPr>
          <w:rFonts w:ascii="Helvetica" w:hAnsi="Helvetica" w:cs="Arial"/>
          <w:noProof/>
          <w:vertAlign w:val="superscript"/>
        </w:rPr>
        <w:t>16</w:t>
      </w:r>
      <w:r w:rsidR="004028AE" w:rsidRPr="00DE0A84">
        <w:rPr>
          <w:rFonts w:ascii="Helvetica" w:hAnsi="Helvetica" w:cs="Arial"/>
          <w:noProof/>
        </w:rPr>
        <w:fldChar w:fldCharType="end"/>
      </w:r>
      <w:r w:rsidR="004028AE" w:rsidRPr="00DE0A84">
        <w:rPr>
          <w:rFonts w:ascii="Helvetica" w:hAnsi="Helvetica" w:cs="Arial"/>
          <w:noProof/>
        </w:rPr>
        <w:t xml:space="preserve"> </w:t>
      </w:r>
      <w:r w:rsidR="004028AE" w:rsidRPr="00DE0A84">
        <w:rPr>
          <w:rFonts w:ascii="Helvetica" w:hAnsi="Helvetica" w:cs="Arial"/>
        </w:rPr>
        <w:t xml:space="preserve">Human </w:t>
      </w:r>
      <w:r w:rsidR="000173BB" w:rsidRPr="00DE0A84">
        <w:rPr>
          <w:rFonts w:ascii="Helvetica" w:hAnsi="Helvetica" w:cs="Arial"/>
        </w:rPr>
        <w:t xml:space="preserve">decolonisation </w:t>
      </w:r>
      <w:r w:rsidR="004028AE" w:rsidRPr="00DE0A84">
        <w:rPr>
          <w:rFonts w:ascii="Helvetica" w:hAnsi="Helvetica" w:cs="Arial"/>
        </w:rPr>
        <w:t>treatment could reduce MRSA shedding into the home environment</w:t>
      </w:r>
      <w:r w:rsidR="003A3902" w:rsidRPr="00DE0A84">
        <w:rPr>
          <w:rFonts w:ascii="Helvetica" w:hAnsi="Helvetica" w:cs="Arial"/>
        </w:rPr>
        <w:t>.</w:t>
      </w:r>
      <w:r w:rsidR="004028AE" w:rsidRPr="00DE0A84">
        <w:rPr>
          <w:rFonts w:ascii="Helvetica" w:hAnsi="Helvetica" w:cs="Arial"/>
        </w:rPr>
        <w:fldChar w:fldCharType="begin" w:fldLock="1"/>
      </w:r>
      <w:r w:rsidR="005968F9" w:rsidRPr="00DE0A84">
        <w:rPr>
          <w:rFonts w:ascii="Helvetica" w:hAnsi="Helvetica" w:cs="Arial"/>
        </w:rPr>
        <w:instrText>ADDIN CSL_CITATION {"citationItems":[{"id":"ITEM-1","itemData":{"DOI":"10.1128/AEM.01369-17","ISSN":"10985336","PMID":"28939607","abstract":"Patients with community-onset (CO) methicillin-resistant Staphylococcus aureus (MRSA) infections contribute to MRSA contamination of the home environment and may be reexposed to MRSA strains from this reservoir. This study evaluates One Health risk factors, which focus on the relationship between humans, animals, and the environment, for the increased prevalence of multiple antimicrobial-resistant MRSA isolates in the home environment. During a trial of patients with CO-MRSA infection, MRSA was isolated from the household environment at the baseline and 3 months later, following randomization of patients and household members to mupirocin-based decolonization therapy or an education control group. Up to two environmental MRSA isolates collected at each visit were tested. MRSA isolates were identified in 68% (65/ 95) of homes at the baseline (n = 104 isolates) and 51% (33/65) of homes 3 months later (n = 56 isolates). The rates of multidrug resistance (MDR) were 61% among isolates collected at the baseline and 55% among isolates collected at the visit 3 months later. At the baseline, 100% (14/14) of MRSA isolates from rural homes were MDR. While antimicrobial use by humans or pets was associated with an increased risk for the isolation of MDR MRSA from the environment, clindamycin use was not associated with an increased risk for the isolation of MDR MRSA. Incident low-level mupirocin-resistant MRSA strains were isolated at 3 months from 2 (5%) of 39 homes that were randomized to mupirocin treatment but none of the control homes. Among patients recently treated for a CO-MRSA infection, MRSA and MDR MRSA were common contaminants in the home environment. This study contributes to evidence that occupant use of antimicrobial drugs, except for clindamycin, is associated with MDR MRSA in the home environmental reservoir. (This study has been registered at ClinicalTrials.gov under registration no. NCT00966446).","author":[{"dropping-particle":"","family":"Shahbazian","given":"J H","non-dropping-particle":"","parse-names":false,"suffix":""},{"dropping-particle":"","family":"Hahn","given":"P D","non-dropping-particle":"","parse-names":false,"suffix":""},{"dropping-particle":"","family":"Ludwig","given":"S","non-dropping-particle":"","parse-names":false,"suffix":""},{"dropping-particle":"","family":"Ferguson","given":"J","non-dropping-particle":"","parse-names":false,"suffix":""},{"dropping-particle":"","family":"Baron","given":"P","non-dropping-particle":"","parse-names":false,"suffix":""},{"dropping-particle":"","family":"Christ","given":"A","non-dropping-particle":"","parse-names":false,"suffix":""},{"dropping-particle":"","family":"Spicer","given":"K","non-dropping-particle":"","parse-names":false,"suffix":""},{"dropping-particle":"","family":"Tolomeo","given":"P","non-dropping-particle":"","parse-names":false,"suffix":""},{"dropping-particle":"","family":"Torrie","given":"A M","non-dropping-particle":"","parse-names":false,"suffix":""},{"dropping-particle":"","family":"Bilker","given":"W B","non-dropping-particle":"","parse-names":false,"suffix":""},{"dropping-particle":"","family":"Cluzet","given":"V C","non-dropping-particle":"","parse-names":false,"suffix":""},{"dropping-particle":"","family":"Hu","given":"B","non-dropping-particle":"","parse-names":false,"suffix":""},{"dropping-particle":"","family":"Julian","given":"K","non-dropping-particle":"","parse-names":false,"suffix":""},{"dropping-particle":"","family":"Nachamkin","given":"I","non-dropping-particle":"","parse-names":false,"suffix":""},{"dropping-particle":"","family":"Rankin","given":"S C","non-dropping-particle":"","parse-names":false,"suffix":""},{"dropping-particle":"","family":"Morris","given":"D O","non-dropping-particle":"","parse-names":false,"suffix":""},{"dropping-particle":"","family":"Lautenbach","given":"E","non-dropping-particle":"","parse-names":false,"suffix":""},{"dropping-particle":"","family":"Davis","given":"M F","non-dropping-particle":"","parse-names":false,"suffix":""}],"container-title":"Applied and Environmental Microbiology","editor":[{"dropping-particle":"","family":"Dozois","given":"Charles M.","non-dropping-particle":"","parse-names":false,"suffix":""}],"id":"ITEM-1","issue":"22","issued":{"date-parts":[["2017","11","15"]]},"page":"e01369-17","title":"Multidrug and mupirocin resistance in environmental methicillin-resistant Staphylococcus aureus (MRSA) isolates from homes of people diagnosed with community-onset MRSA infection","type":"article-journal","volume":"83"},"uris":["http://www.mendeley.com/documents/?uuid=f0821c6d-f532-329d-bb0b-67d4a5e8222e"]}],"mendeley":{"formattedCitation":"&lt;sup&gt;7&lt;/sup&gt;","plainTextFormattedCitation":"7","previouslyFormattedCitation":"&lt;sup&gt;7&lt;/sup&gt;"},"properties":{"noteIndex":0},"schema":"https://github.com/citation-style-language/schema/raw/master/csl-citation.json"}</w:instrText>
      </w:r>
      <w:r w:rsidR="004028AE" w:rsidRPr="00DE0A84">
        <w:rPr>
          <w:rFonts w:ascii="Helvetica" w:hAnsi="Helvetica" w:cs="Arial"/>
        </w:rPr>
        <w:fldChar w:fldCharType="separate"/>
      </w:r>
      <w:r w:rsidR="007B5891" w:rsidRPr="00DE0A84">
        <w:rPr>
          <w:rFonts w:ascii="Helvetica" w:hAnsi="Helvetica" w:cs="Arial"/>
          <w:noProof/>
          <w:vertAlign w:val="superscript"/>
        </w:rPr>
        <w:t>7</w:t>
      </w:r>
      <w:r w:rsidR="004028AE" w:rsidRPr="00DE0A84">
        <w:rPr>
          <w:rFonts w:ascii="Helvetica" w:hAnsi="Helvetica" w:cs="Arial"/>
        </w:rPr>
        <w:fldChar w:fldCharType="end"/>
      </w:r>
      <w:r w:rsidR="004028AE" w:rsidRPr="00DE0A84">
        <w:rPr>
          <w:rFonts w:ascii="Helvetica" w:hAnsi="Helvetica" w:cs="Arial"/>
        </w:rPr>
        <w:t xml:space="preserve"> In our current analysis, human MRSA </w:t>
      </w:r>
      <w:r w:rsidR="000173BB" w:rsidRPr="00DE0A84">
        <w:rPr>
          <w:rFonts w:ascii="Helvetica" w:hAnsi="Helvetica" w:cs="Arial"/>
        </w:rPr>
        <w:t xml:space="preserve">decolonisation </w:t>
      </w:r>
      <w:r w:rsidR="004028AE" w:rsidRPr="00DE0A84">
        <w:rPr>
          <w:rFonts w:ascii="Helvetica" w:hAnsi="Helvetica" w:cs="Arial"/>
        </w:rPr>
        <w:t>efforts, whether supervised or unsupervised, had no significant association with MRSA carriage in household pets at the follow-up home visit, although sample size was limited to identify small effects.</w:t>
      </w:r>
    </w:p>
    <w:p w14:paraId="3100D798" w14:textId="77777777" w:rsidR="00105108" w:rsidRPr="00DE0A84" w:rsidRDefault="00105108" w:rsidP="00105108">
      <w:pPr>
        <w:autoSpaceDE w:val="0"/>
        <w:autoSpaceDN w:val="0"/>
        <w:adjustRightInd w:val="0"/>
        <w:spacing w:afterLines="120" w:after="288" w:line="360" w:lineRule="auto"/>
        <w:rPr>
          <w:rFonts w:ascii="Helvetica" w:hAnsi="Helvetica" w:cs="Arial"/>
        </w:rPr>
      </w:pPr>
      <w:r w:rsidRPr="00DE0A84">
        <w:rPr>
          <w:rFonts w:ascii="Helvetica" w:hAnsi="Helvetica" w:cs="Arial"/>
        </w:rPr>
        <w:t>REFERENCES S1</w:t>
      </w:r>
    </w:p>
    <w:p w14:paraId="085BBE29" w14:textId="01FC28B0" w:rsidR="00105108" w:rsidRPr="00DE0A84" w:rsidRDefault="00105108" w:rsidP="00105108">
      <w:pPr>
        <w:widowControl w:val="0"/>
        <w:autoSpaceDE w:val="0"/>
        <w:autoSpaceDN w:val="0"/>
        <w:adjustRightInd w:val="0"/>
        <w:ind w:left="640" w:hanging="640"/>
        <w:rPr>
          <w:rFonts w:ascii="Helvetica" w:hAnsi="Helvetica" w:cs="Times New Roman"/>
          <w:noProof/>
        </w:rPr>
      </w:pPr>
      <w:r w:rsidRPr="00DE0A84">
        <w:rPr>
          <w:rFonts w:ascii="Helvetica" w:hAnsi="Helvetica" w:cs="Arial"/>
          <w:b/>
          <w:bCs/>
        </w:rPr>
        <w:fldChar w:fldCharType="begin" w:fldLock="1"/>
      </w:r>
      <w:r w:rsidRPr="00DE0A84">
        <w:rPr>
          <w:rFonts w:ascii="Helvetica" w:hAnsi="Helvetica" w:cs="Arial"/>
          <w:b/>
          <w:bCs/>
        </w:rPr>
        <w:instrText xml:space="preserve">ADDIN Mendeley Bibliography CSL_BIBLIOGRAPHY </w:instrText>
      </w:r>
      <w:r w:rsidRPr="00DE0A84">
        <w:rPr>
          <w:rFonts w:ascii="Helvetica" w:hAnsi="Helvetica" w:cs="Arial"/>
          <w:b/>
          <w:bCs/>
        </w:rPr>
        <w:fldChar w:fldCharType="separate"/>
      </w:r>
      <w:r w:rsidRPr="00DE0A84">
        <w:rPr>
          <w:rFonts w:ascii="Helvetica" w:hAnsi="Helvetica" w:cs="Times New Roman"/>
          <w:noProof/>
        </w:rPr>
        <w:t xml:space="preserve">1. </w:t>
      </w:r>
      <w:r w:rsidRPr="00DE0A84">
        <w:rPr>
          <w:rFonts w:ascii="Helvetica" w:hAnsi="Helvetica" w:cs="Times New Roman"/>
          <w:noProof/>
        </w:rPr>
        <w:tab/>
        <w:t xml:space="preserve">Cuny C, Friedrich A, Kozytska S, </w:t>
      </w:r>
      <w:r w:rsidR="00503C37" w:rsidRPr="00DE0A84">
        <w:rPr>
          <w:rFonts w:ascii="Helvetica" w:hAnsi="Helvetica" w:cs="Times New Roman"/>
          <w:noProof/>
        </w:rPr>
        <w:t>Layer F, N</w:t>
      </w:r>
      <w:r w:rsidR="00503C37" w:rsidRPr="00DE0A84">
        <w:rPr>
          <w:rFonts w:ascii="Helvetica" w:hAnsi="Helvetica" w:cs="Helvetica"/>
          <w:noProof/>
        </w:rPr>
        <w:t>ü</w:t>
      </w:r>
      <w:r w:rsidR="00503C37" w:rsidRPr="00DE0A84">
        <w:rPr>
          <w:rFonts w:ascii="Helvetica" w:hAnsi="Helvetica" w:cs="Times New Roman"/>
          <w:noProof/>
        </w:rPr>
        <w:t>bel U, Ohlsen K, et al</w:t>
      </w:r>
      <w:r w:rsidRPr="00DE0A84">
        <w:rPr>
          <w:rFonts w:ascii="Helvetica" w:hAnsi="Helvetica" w:cs="Times New Roman"/>
          <w:noProof/>
        </w:rPr>
        <w:t xml:space="preserve">. Emergence of methicillin-resistant Staphylococcus aureus (MRSA) in different animal species. </w:t>
      </w:r>
      <w:r w:rsidRPr="00DE0A84">
        <w:rPr>
          <w:rFonts w:ascii="Helvetica" w:hAnsi="Helvetica" w:cs="Times New Roman"/>
          <w:i/>
          <w:iCs/>
          <w:noProof/>
        </w:rPr>
        <w:t>Int J Med Microbiol</w:t>
      </w:r>
      <w:r w:rsidRPr="00DE0A84">
        <w:rPr>
          <w:rFonts w:ascii="Helvetica" w:hAnsi="Helvetica" w:cs="Times New Roman"/>
          <w:noProof/>
        </w:rPr>
        <w:t>. 2010;300:109</w:t>
      </w:r>
      <w:r w:rsidR="00503C37" w:rsidRPr="00DE0A84">
        <w:rPr>
          <w:rFonts w:ascii="Helvetica" w:hAnsi="Helvetica" w:cs="Times New Roman"/>
          <w:noProof/>
        </w:rPr>
        <w:t>–</w:t>
      </w:r>
      <w:r w:rsidRPr="00DE0A84">
        <w:rPr>
          <w:rFonts w:ascii="Helvetica" w:hAnsi="Helvetica" w:cs="Times New Roman"/>
          <w:noProof/>
        </w:rPr>
        <w:t xml:space="preserve">17. </w:t>
      </w:r>
    </w:p>
    <w:p w14:paraId="429AD980" w14:textId="47AB06EC" w:rsidR="00105108" w:rsidRPr="00DE0A84" w:rsidRDefault="00105108" w:rsidP="00105108">
      <w:pPr>
        <w:widowControl w:val="0"/>
        <w:autoSpaceDE w:val="0"/>
        <w:autoSpaceDN w:val="0"/>
        <w:adjustRightInd w:val="0"/>
        <w:ind w:left="640" w:hanging="640"/>
        <w:rPr>
          <w:rFonts w:ascii="Helvetica" w:hAnsi="Helvetica" w:cs="Times New Roman"/>
          <w:noProof/>
        </w:rPr>
      </w:pPr>
      <w:r w:rsidRPr="00DE0A84">
        <w:rPr>
          <w:rFonts w:ascii="Helvetica" w:hAnsi="Helvetica" w:cs="Times New Roman"/>
          <w:noProof/>
        </w:rPr>
        <w:t xml:space="preserve">2. </w:t>
      </w:r>
      <w:r w:rsidRPr="00DE0A84">
        <w:rPr>
          <w:rFonts w:ascii="Helvetica" w:hAnsi="Helvetica" w:cs="Times New Roman"/>
          <w:noProof/>
        </w:rPr>
        <w:tab/>
        <w:t xml:space="preserve">Weese JS, van Duijkeren E. Methicillin-resistant Staphylococcus aureus and Staphylococcus pseudintermedius in veterinary medicine. </w:t>
      </w:r>
      <w:r w:rsidRPr="00DE0A84">
        <w:rPr>
          <w:rFonts w:ascii="Helvetica" w:hAnsi="Helvetica" w:cs="Times New Roman"/>
          <w:i/>
          <w:iCs/>
          <w:noProof/>
        </w:rPr>
        <w:t>Vet Microbiol</w:t>
      </w:r>
      <w:r w:rsidRPr="00DE0A84">
        <w:rPr>
          <w:rFonts w:ascii="Helvetica" w:hAnsi="Helvetica" w:cs="Times New Roman"/>
          <w:noProof/>
        </w:rPr>
        <w:t>. 2010;140:418</w:t>
      </w:r>
      <w:r w:rsidR="00503C37" w:rsidRPr="00DE0A84">
        <w:rPr>
          <w:rFonts w:ascii="Helvetica" w:hAnsi="Helvetica" w:cs="Times New Roman"/>
          <w:noProof/>
        </w:rPr>
        <w:t>–</w:t>
      </w:r>
      <w:r w:rsidRPr="00DE0A84">
        <w:rPr>
          <w:rFonts w:ascii="Helvetica" w:hAnsi="Helvetica" w:cs="Times New Roman"/>
          <w:noProof/>
        </w:rPr>
        <w:t>29.</w:t>
      </w:r>
    </w:p>
    <w:p w14:paraId="4996DC97" w14:textId="07356EF1" w:rsidR="00105108" w:rsidRPr="00DE0A84" w:rsidRDefault="00105108" w:rsidP="00105108">
      <w:pPr>
        <w:widowControl w:val="0"/>
        <w:autoSpaceDE w:val="0"/>
        <w:autoSpaceDN w:val="0"/>
        <w:adjustRightInd w:val="0"/>
        <w:ind w:left="640" w:hanging="640"/>
        <w:rPr>
          <w:rFonts w:ascii="Helvetica" w:hAnsi="Helvetica" w:cs="Times New Roman"/>
          <w:noProof/>
        </w:rPr>
      </w:pPr>
      <w:r w:rsidRPr="00DE0A84">
        <w:rPr>
          <w:rFonts w:ascii="Helvetica" w:hAnsi="Helvetica" w:cs="Times New Roman"/>
          <w:noProof/>
        </w:rPr>
        <w:t xml:space="preserve">3. </w:t>
      </w:r>
      <w:r w:rsidRPr="00DE0A84">
        <w:rPr>
          <w:rFonts w:ascii="Helvetica" w:hAnsi="Helvetica" w:cs="Times New Roman"/>
          <w:noProof/>
        </w:rPr>
        <w:tab/>
        <w:t xml:space="preserve">Carrel M, Perencevich EN, David MZ. USA300 </w:t>
      </w:r>
      <w:r w:rsidR="00503C37" w:rsidRPr="00DE0A84">
        <w:rPr>
          <w:rFonts w:ascii="Helvetica" w:hAnsi="Helvetica" w:cs="Times New Roman"/>
          <w:noProof/>
        </w:rPr>
        <w:t xml:space="preserve">methicillin-resistant </w:t>
      </w:r>
      <w:r w:rsidRPr="00DE0A84">
        <w:rPr>
          <w:rFonts w:ascii="Helvetica" w:hAnsi="Helvetica" w:cs="Times New Roman"/>
          <w:noProof/>
        </w:rPr>
        <w:t xml:space="preserve">Staphlococcus aureus, United States, 2000-2013. </w:t>
      </w:r>
      <w:r w:rsidRPr="00DE0A84">
        <w:rPr>
          <w:rFonts w:ascii="Helvetica" w:hAnsi="Helvetica" w:cs="Times New Roman"/>
          <w:i/>
          <w:iCs/>
          <w:noProof/>
        </w:rPr>
        <w:t>Emerg Infect Dis</w:t>
      </w:r>
      <w:r w:rsidRPr="00DE0A84">
        <w:rPr>
          <w:rFonts w:ascii="Helvetica" w:hAnsi="Helvetica" w:cs="Times New Roman"/>
          <w:noProof/>
        </w:rPr>
        <w:t>. 2015;21</w:t>
      </w:r>
      <w:r w:rsidR="00503C37" w:rsidRPr="00DE0A84">
        <w:rPr>
          <w:rFonts w:ascii="Helvetica" w:hAnsi="Helvetica" w:cs="Times New Roman"/>
          <w:noProof/>
        </w:rPr>
        <w:t>:1973–80</w:t>
      </w:r>
      <w:r w:rsidRPr="00DE0A84">
        <w:rPr>
          <w:rFonts w:ascii="Helvetica" w:hAnsi="Helvetica" w:cs="Times New Roman"/>
          <w:noProof/>
        </w:rPr>
        <w:t>.</w:t>
      </w:r>
    </w:p>
    <w:p w14:paraId="3B996592" w14:textId="7F3389E8" w:rsidR="00105108" w:rsidRPr="00DE0A84" w:rsidRDefault="00105108" w:rsidP="00105108">
      <w:pPr>
        <w:widowControl w:val="0"/>
        <w:autoSpaceDE w:val="0"/>
        <w:autoSpaceDN w:val="0"/>
        <w:adjustRightInd w:val="0"/>
        <w:ind w:left="640" w:hanging="640"/>
        <w:rPr>
          <w:rFonts w:ascii="Helvetica" w:hAnsi="Helvetica" w:cs="Times New Roman"/>
          <w:noProof/>
        </w:rPr>
      </w:pPr>
      <w:r w:rsidRPr="00DE0A84">
        <w:rPr>
          <w:rFonts w:ascii="Helvetica" w:hAnsi="Helvetica" w:cs="Times New Roman"/>
          <w:noProof/>
        </w:rPr>
        <w:t xml:space="preserve">4. </w:t>
      </w:r>
      <w:r w:rsidRPr="00DE0A84">
        <w:rPr>
          <w:rFonts w:ascii="Helvetica" w:hAnsi="Helvetica" w:cs="Times New Roman"/>
          <w:noProof/>
        </w:rPr>
        <w:tab/>
        <w:t xml:space="preserve">Cluzet VC, Gerber JS, Metlay JP, </w:t>
      </w:r>
      <w:r w:rsidR="00503C37" w:rsidRPr="00DE0A84">
        <w:rPr>
          <w:rFonts w:ascii="Helvetica" w:hAnsi="Helvetica" w:cs="Times New Roman"/>
          <w:noProof/>
        </w:rPr>
        <w:t xml:space="preserve">Nachamkin I, Zaoutis TE, Davis MF, </w:t>
      </w:r>
      <w:r w:rsidRPr="00DE0A84">
        <w:rPr>
          <w:rFonts w:ascii="Helvetica" w:hAnsi="Helvetica" w:cs="Times New Roman"/>
          <w:iCs/>
          <w:noProof/>
        </w:rPr>
        <w:t>et al</w:t>
      </w:r>
      <w:r w:rsidRPr="00DE0A84">
        <w:rPr>
          <w:rFonts w:ascii="Helvetica" w:hAnsi="Helvetica" w:cs="Times New Roman"/>
          <w:noProof/>
        </w:rPr>
        <w:t xml:space="preserve">. The </w:t>
      </w:r>
      <w:r w:rsidR="00503C37" w:rsidRPr="00DE0A84">
        <w:rPr>
          <w:rFonts w:ascii="Helvetica" w:hAnsi="Helvetica" w:cs="Times New Roman"/>
          <w:noProof/>
        </w:rPr>
        <w:t>effect of total household decolonization on clearance of colonization with methicillin-re</w:t>
      </w:r>
      <w:r w:rsidRPr="00DE0A84">
        <w:rPr>
          <w:rFonts w:ascii="Helvetica" w:hAnsi="Helvetica" w:cs="Times New Roman"/>
          <w:noProof/>
        </w:rPr>
        <w:t xml:space="preserve">sistant </w:t>
      </w:r>
      <w:r w:rsidRPr="00DE0A84">
        <w:rPr>
          <w:rFonts w:ascii="Helvetica" w:hAnsi="Helvetica" w:cs="Times New Roman"/>
          <w:i/>
          <w:iCs/>
          <w:noProof/>
        </w:rPr>
        <w:t>Staphylococcus aureus</w:t>
      </w:r>
      <w:r w:rsidRPr="00DE0A84">
        <w:rPr>
          <w:rFonts w:ascii="Helvetica" w:hAnsi="Helvetica" w:cs="Times New Roman"/>
          <w:noProof/>
        </w:rPr>
        <w:t xml:space="preserve">. </w:t>
      </w:r>
      <w:r w:rsidRPr="00DE0A84">
        <w:rPr>
          <w:rFonts w:ascii="Helvetica" w:hAnsi="Helvetica" w:cs="Times New Roman"/>
          <w:i/>
          <w:iCs/>
          <w:noProof/>
        </w:rPr>
        <w:t>Infect Control Hosp Epidemiol</w:t>
      </w:r>
      <w:r w:rsidRPr="00DE0A84">
        <w:rPr>
          <w:rFonts w:ascii="Helvetica" w:hAnsi="Helvetica" w:cs="Times New Roman"/>
          <w:noProof/>
        </w:rPr>
        <w:t>. 2016;37:1226</w:t>
      </w:r>
      <w:r w:rsidR="00503C37" w:rsidRPr="00DE0A84">
        <w:rPr>
          <w:rFonts w:ascii="Helvetica" w:hAnsi="Helvetica" w:cs="Times New Roman"/>
          <w:noProof/>
        </w:rPr>
        <w:t>–</w:t>
      </w:r>
      <w:r w:rsidRPr="00DE0A84">
        <w:rPr>
          <w:rFonts w:ascii="Helvetica" w:hAnsi="Helvetica" w:cs="Times New Roman"/>
          <w:noProof/>
        </w:rPr>
        <w:t>33.</w:t>
      </w:r>
    </w:p>
    <w:p w14:paraId="06DA6E48" w14:textId="6A1D9F21" w:rsidR="00105108" w:rsidRPr="00DE0A84" w:rsidRDefault="00105108" w:rsidP="00105108">
      <w:pPr>
        <w:widowControl w:val="0"/>
        <w:autoSpaceDE w:val="0"/>
        <w:autoSpaceDN w:val="0"/>
        <w:adjustRightInd w:val="0"/>
        <w:ind w:left="640" w:hanging="640"/>
        <w:rPr>
          <w:rFonts w:ascii="Helvetica" w:hAnsi="Helvetica" w:cs="Times New Roman"/>
          <w:noProof/>
        </w:rPr>
      </w:pPr>
      <w:r w:rsidRPr="00DE0A84">
        <w:rPr>
          <w:rFonts w:ascii="Helvetica" w:hAnsi="Helvetica" w:cs="Times New Roman"/>
          <w:noProof/>
        </w:rPr>
        <w:t xml:space="preserve">5. </w:t>
      </w:r>
      <w:r w:rsidRPr="00DE0A84">
        <w:rPr>
          <w:rFonts w:ascii="Helvetica" w:hAnsi="Helvetica" w:cs="Times New Roman"/>
          <w:noProof/>
        </w:rPr>
        <w:tab/>
        <w:t xml:space="preserve">Iverson SA, Brazil AB, Ferguson JM, </w:t>
      </w:r>
      <w:r w:rsidR="00503C37" w:rsidRPr="00DE0A84">
        <w:rPr>
          <w:rFonts w:ascii="Helvetica" w:hAnsi="Helvetica" w:cs="Times New Roman"/>
          <w:noProof/>
        </w:rPr>
        <w:t xml:space="preserve">Nelson K, Lautenbach E, Rankin SC, </w:t>
      </w:r>
      <w:r w:rsidRPr="00DE0A84">
        <w:rPr>
          <w:rFonts w:ascii="Helvetica" w:hAnsi="Helvetica" w:cs="Times New Roman"/>
          <w:iCs/>
          <w:noProof/>
        </w:rPr>
        <w:t>et al</w:t>
      </w:r>
      <w:r w:rsidRPr="00DE0A84">
        <w:rPr>
          <w:rFonts w:ascii="Helvetica" w:hAnsi="Helvetica" w:cs="Times New Roman"/>
          <w:noProof/>
        </w:rPr>
        <w:t xml:space="preserve">. Anatomical patterns of colonization of pets with staphylococcal species in homes of people with methicillin-resistant Staphylococcus aureus (MRSA) skin or soft tissue infection (SSTI). </w:t>
      </w:r>
      <w:r w:rsidRPr="00DE0A84">
        <w:rPr>
          <w:rFonts w:ascii="Helvetica" w:hAnsi="Helvetica" w:cs="Times New Roman"/>
          <w:i/>
          <w:iCs/>
          <w:noProof/>
        </w:rPr>
        <w:t>Vet Microbiol</w:t>
      </w:r>
      <w:r w:rsidRPr="00DE0A84">
        <w:rPr>
          <w:rFonts w:ascii="Helvetica" w:hAnsi="Helvetica" w:cs="Times New Roman"/>
          <w:noProof/>
        </w:rPr>
        <w:t>. 2015;176:202</w:t>
      </w:r>
      <w:r w:rsidR="00503C37" w:rsidRPr="00DE0A84">
        <w:rPr>
          <w:rFonts w:ascii="Helvetica" w:hAnsi="Helvetica" w:cs="Times New Roman"/>
          <w:noProof/>
        </w:rPr>
        <w:t>–</w:t>
      </w:r>
      <w:r w:rsidRPr="00DE0A84">
        <w:rPr>
          <w:rFonts w:ascii="Helvetica" w:hAnsi="Helvetica" w:cs="Times New Roman"/>
          <w:noProof/>
        </w:rPr>
        <w:t>8.</w:t>
      </w:r>
    </w:p>
    <w:p w14:paraId="04C56447" w14:textId="0679B38D" w:rsidR="00105108" w:rsidRPr="00DE0A84" w:rsidRDefault="00105108" w:rsidP="00105108">
      <w:pPr>
        <w:widowControl w:val="0"/>
        <w:autoSpaceDE w:val="0"/>
        <w:autoSpaceDN w:val="0"/>
        <w:adjustRightInd w:val="0"/>
        <w:ind w:left="640" w:hanging="640"/>
        <w:rPr>
          <w:rFonts w:ascii="Helvetica" w:hAnsi="Helvetica" w:cs="Times New Roman"/>
          <w:noProof/>
        </w:rPr>
      </w:pPr>
      <w:r w:rsidRPr="00DE0A84">
        <w:rPr>
          <w:rFonts w:ascii="Helvetica" w:hAnsi="Helvetica" w:cs="Times New Roman"/>
          <w:noProof/>
        </w:rPr>
        <w:t xml:space="preserve">6. </w:t>
      </w:r>
      <w:r w:rsidRPr="00DE0A84">
        <w:rPr>
          <w:rFonts w:ascii="Helvetica" w:hAnsi="Helvetica" w:cs="Times New Roman"/>
          <w:noProof/>
        </w:rPr>
        <w:tab/>
        <w:t xml:space="preserve">Davis MF, Hu B, Carroll KC, </w:t>
      </w:r>
      <w:r w:rsidR="00503C37" w:rsidRPr="00DE0A84">
        <w:rPr>
          <w:rFonts w:ascii="Helvetica" w:hAnsi="Helvetica" w:cs="Times New Roman"/>
          <w:noProof/>
        </w:rPr>
        <w:t xml:space="preserve">Bilker WB, Tolomeo P, Cluzet VC, </w:t>
      </w:r>
      <w:r w:rsidRPr="00DE0A84">
        <w:rPr>
          <w:rFonts w:ascii="Helvetica" w:hAnsi="Helvetica" w:cs="Times New Roman"/>
          <w:iCs/>
          <w:noProof/>
        </w:rPr>
        <w:t>et al</w:t>
      </w:r>
      <w:r w:rsidRPr="00DE0A84">
        <w:rPr>
          <w:rFonts w:ascii="Helvetica" w:hAnsi="Helvetica" w:cs="Times New Roman"/>
          <w:noProof/>
        </w:rPr>
        <w:t xml:space="preserve">. Comparison </w:t>
      </w:r>
      <w:r w:rsidRPr="00DE0A84">
        <w:rPr>
          <w:rFonts w:ascii="Helvetica" w:hAnsi="Helvetica" w:cs="Times New Roman"/>
          <w:noProof/>
        </w:rPr>
        <w:lastRenderedPageBreak/>
        <w:t xml:space="preserve">of culture-based methods for identification of colonization with methicillin-resistant and methicillin-susceptible staphylococcus aureus in the context of cocolonization. </w:t>
      </w:r>
      <w:r w:rsidRPr="00DE0A84">
        <w:rPr>
          <w:rFonts w:ascii="Helvetica" w:hAnsi="Helvetica" w:cs="Times New Roman"/>
          <w:i/>
          <w:iCs/>
          <w:noProof/>
        </w:rPr>
        <w:t>J Clin Microbiol</w:t>
      </w:r>
      <w:r w:rsidRPr="00DE0A84">
        <w:rPr>
          <w:rFonts w:ascii="Helvetica" w:hAnsi="Helvetica" w:cs="Times New Roman"/>
          <w:noProof/>
        </w:rPr>
        <w:t>. 2016;54:1907</w:t>
      </w:r>
      <w:r w:rsidR="00503C37" w:rsidRPr="00DE0A84">
        <w:rPr>
          <w:rFonts w:ascii="Helvetica" w:hAnsi="Helvetica" w:cs="Times New Roman"/>
          <w:noProof/>
        </w:rPr>
        <w:t>–</w:t>
      </w:r>
      <w:r w:rsidRPr="00DE0A84">
        <w:rPr>
          <w:rFonts w:ascii="Helvetica" w:hAnsi="Helvetica" w:cs="Times New Roman"/>
          <w:noProof/>
        </w:rPr>
        <w:t>11.</w:t>
      </w:r>
    </w:p>
    <w:p w14:paraId="23A49A0A" w14:textId="0A159C7F" w:rsidR="00105108" w:rsidRPr="00DE0A84" w:rsidRDefault="00105108" w:rsidP="00105108">
      <w:pPr>
        <w:widowControl w:val="0"/>
        <w:autoSpaceDE w:val="0"/>
        <w:autoSpaceDN w:val="0"/>
        <w:adjustRightInd w:val="0"/>
        <w:ind w:left="640" w:hanging="640"/>
        <w:rPr>
          <w:rFonts w:ascii="Helvetica" w:hAnsi="Helvetica" w:cs="Times New Roman"/>
          <w:noProof/>
        </w:rPr>
      </w:pPr>
      <w:r w:rsidRPr="00DE0A84">
        <w:rPr>
          <w:rFonts w:ascii="Helvetica" w:hAnsi="Helvetica" w:cs="Times New Roman"/>
          <w:noProof/>
        </w:rPr>
        <w:t xml:space="preserve">7. </w:t>
      </w:r>
      <w:r w:rsidRPr="00DE0A84">
        <w:rPr>
          <w:rFonts w:ascii="Helvetica" w:hAnsi="Helvetica" w:cs="Times New Roman"/>
          <w:noProof/>
        </w:rPr>
        <w:tab/>
        <w:t xml:space="preserve">Shahbazian JH, Hahn PD, Ludwig S, </w:t>
      </w:r>
      <w:r w:rsidRPr="00DE0A84">
        <w:rPr>
          <w:rFonts w:ascii="Helvetica" w:hAnsi="Helvetica" w:cs="Times New Roman"/>
          <w:i/>
          <w:iCs/>
          <w:noProof/>
        </w:rPr>
        <w:t>et al</w:t>
      </w:r>
      <w:r w:rsidRPr="00DE0A84">
        <w:rPr>
          <w:rFonts w:ascii="Helvetica" w:hAnsi="Helvetica" w:cs="Times New Roman"/>
          <w:noProof/>
        </w:rPr>
        <w:t xml:space="preserve">. </w:t>
      </w:r>
      <w:r w:rsidR="002952B8" w:rsidRPr="00DE0A84">
        <w:rPr>
          <w:rFonts w:ascii="Helvetica" w:hAnsi="Helvetica"/>
          <w:noProof/>
        </w:rPr>
        <w:t xml:space="preserve">Shahbazian JH, Hahn PD, Ludwig S, Ferguson J, Baron P, Christ A, </w:t>
      </w:r>
      <w:r w:rsidR="002952B8" w:rsidRPr="00DE0A84">
        <w:rPr>
          <w:rFonts w:ascii="Helvetica" w:hAnsi="Helvetica"/>
          <w:i/>
          <w:iCs/>
          <w:noProof/>
        </w:rPr>
        <w:t>et al</w:t>
      </w:r>
      <w:r w:rsidR="002952B8" w:rsidRPr="00DE0A84">
        <w:rPr>
          <w:rFonts w:ascii="Helvetica" w:hAnsi="Helvetica"/>
          <w:noProof/>
        </w:rPr>
        <w:t xml:space="preserve">. Multidrug and mupirocin resistance in environmental methicillin-resistant </w:t>
      </w:r>
      <w:r w:rsidR="002952B8" w:rsidRPr="00DE0A84">
        <w:rPr>
          <w:rFonts w:ascii="Helvetica" w:hAnsi="Helvetica"/>
          <w:i/>
          <w:iCs/>
          <w:noProof/>
        </w:rPr>
        <w:t>Staphylococcus aureus</w:t>
      </w:r>
      <w:r w:rsidR="002952B8" w:rsidRPr="00DE0A84">
        <w:rPr>
          <w:rFonts w:ascii="Helvetica" w:hAnsi="Helvetica"/>
          <w:noProof/>
        </w:rPr>
        <w:t xml:space="preserve"> (MRSA) isolates from homes of people diagnosed with community-onset MRSA infection. </w:t>
      </w:r>
      <w:r w:rsidR="002952B8" w:rsidRPr="00DE0A84">
        <w:rPr>
          <w:rFonts w:ascii="Helvetica" w:hAnsi="Helvetica"/>
          <w:i/>
          <w:iCs/>
          <w:noProof/>
        </w:rPr>
        <w:t>Appl Environ Microbiol</w:t>
      </w:r>
      <w:r w:rsidR="002952B8" w:rsidRPr="00DE0A84">
        <w:rPr>
          <w:rFonts w:ascii="Helvetica" w:hAnsi="Helvetica"/>
          <w:noProof/>
        </w:rPr>
        <w:t>. 2017;83:e01369-17.</w:t>
      </w:r>
    </w:p>
    <w:p w14:paraId="7CB6257B" w14:textId="6F3A5C13" w:rsidR="00105108" w:rsidRPr="00DE0A84" w:rsidRDefault="00105108" w:rsidP="00105108">
      <w:pPr>
        <w:widowControl w:val="0"/>
        <w:autoSpaceDE w:val="0"/>
        <w:autoSpaceDN w:val="0"/>
        <w:adjustRightInd w:val="0"/>
        <w:ind w:left="640" w:hanging="640"/>
        <w:rPr>
          <w:rFonts w:ascii="Helvetica" w:hAnsi="Helvetica" w:cs="Times New Roman"/>
          <w:noProof/>
        </w:rPr>
      </w:pPr>
      <w:r w:rsidRPr="00DE0A84">
        <w:rPr>
          <w:rFonts w:ascii="Helvetica" w:hAnsi="Helvetica" w:cs="Times New Roman"/>
          <w:noProof/>
        </w:rPr>
        <w:t xml:space="preserve">8. </w:t>
      </w:r>
      <w:r w:rsidRPr="00DE0A84">
        <w:rPr>
          <w:rFonts w:ascii="Helvetica" w:hAnsi="Helvetica" w:cs="Times New Roman"/>
          <w:noProof/>
        </w:rPr>
        <w:tab/>
        <w:t xml:space="preserve">Sasaki T, Tsubakishita S, Tanaka Y, </w:t>
      </w:r>
      <w:r w:rsidR="002952B8" w:rsidRPr="00DE0A84">
        <w:rPr>
          <w:rFonts w:ascii="Helvetica" w:hAnsi="Helvetica" w:cs="Times New Roman"/>
          <w:noProof/>
        </w:rPr>
        <w:t xml:space="preserve">Sakusabe A, Ohtsuka M, Hirotaki S, </w:t>
      </w:r>
      <w:r w:rsidRPr="00DE0A84">
        <w:rPr>
          <w:rFonts w:ascii="Helvetica" w:hAnsi="Helvetica" w:cs="Times New Roman"/>
          <w:iCs/>
          <w:noProof/>
        </w:rPr>
        <w:t>et al</w:t>
      </w:r>
      <w:r w:rsidRPr="00DE0A84">
        <w:rPr>
          <w:rFonts w:ascii="Helvetica" w:hAnsi="Helvetica" w:cs="Times New Roman"/>
          <w:noProof/>
        </w:rPr>
        <w:t xml:space="preserve">. Multiplex-PCR method for species identification of coagulase-positive staphylococci. </w:t>
      </w:r>
      <w:r w:rsidRPr="00DE0A84">
        <w:rPr>
          <w:rFonts w:ascii="Helvetica" w:hAnsi="Helvetica" w:cs="Times New Roman"/>
          <w:i/>
          <w:iCs/>
          <w:noProof/>
        </w:rPr>
        <w:t>J Clin Microbiol</w:t>
      </w:r>
      <w:r w:rsidRPr="00DE0A84">
        <w:rPr>
          <w:rFonts w:ascii="Helvetica" w:hAnsi="Helvetica" w:cs="Times New Roman"/>
          <w:noProof/>
        </w:rPr>
        <w:t>. 2010;48:765</w:t>
      </w:r>
      <w:r w:rsidR="00612F9C" w:rsidRPr="00DE0A84">
        <w:rPr>
          <w:rFonts w:ascii="Helvetica" w:hAnsi="Helvetica" w:cs="Times New Roman"/>
          <w:noProof/>
        </w:rPr>
        <w:t>–</w:t>
      </w:r>
      <w:r w:rsidRPr="00DE0A84">
        <w:rPr>
          <w:rFonts w:ascii="Helvetica" w:hAnsi="Helvetica" w:cs="Times New Roman"/>
          <w:noProof/>
        </w:rPr>
        <w:t>9.</w:t>
      </w:r>
    </w:p>
    <w:p w14:paraId="72C8D432" w14:textId="35C4FD68" w:rsidR="00105108" w:rsidRPr="00DE0A84" w:rsidRDefault="00105108" w:rsidP="00105108">
      <w:pPr>
        <w:widowControl w:val="0"/>
        <w:autoSpaceDE w:val="0"/>
        <w:autoSpaceDN w:val="0"/>
        <w:adjustRightInd w:val="0"/>
        <w:ind w:left="640" w:hanging="640"/>
        <w:rPr>
          <w:rFonts w:ascii="Helvetica" w:hAnsi="Helvetica" w:cs="Times New Roman"/>
          <w:noProof/>
        </w:rPr>
      </w:pPr>
      <w:r w:rsidRPr="00DE0A84">
        <w:rPr>
          <w:rFonts w:ascii="Helvetica" w:hAnsi="Helvetica" w:cs="Times New Roman"/>
          <w:noProof/>
        </w:rPr>
        <w:t xml:space="preserve">9. </w:t>
      </w:r>
      <w:r w:rsidRPr="00DE0A84">
        <w:rPr>
          <w:rFonts w:ascii="Helvetica" w:hAnsi="Helvetica" w:cs="Times New Roman"/>
          <w:noProof/>
        </w:rPr>
        <w:tab/>
        <w:t xml:space="preserve">Davis MF, Rankin SC, Schurer JM, </w:t>
      </w:r>
      <w:r w:rsidR="00612F9C" w:rsidRPr="00DE0A84">
        <w:rPr>
          <w:rFonts w:ascii="Helvetica" w:hAnsi="Helvetica" w:cs="Times New Roman"/>
          <w:noProof/>
        </w:rPr>
        <w:t xml:space="preserve">Cole S, Conti L, Rabinowitz P, </w:t>
      </w:r>
      <w:r w:rsidRPr="00DE0A84">
        <w:rPr>
          <w:rFonts w:ascii="Helvetica" w:hAnsi="Helvetica" w:cs="Times New Roman"/>
          <w:iCs/>
          <w:noProof/>
        </w:rPr>
        <w:t>et al</w:t>
      </w:r>
      <w:r w:rsidRPr="00DE0A84">
        <w:rPr>
          <w:rFonts w:ascii="Helvetica" w:hAnsi="Helvetica" w:cs="Times New Roman"/>
          <w:noProof/>
        </w:rPr>
        <w:t xml:space="preserve">. Checklist for One Health Epidemiological Reporting of Evidence (COHERE). </w:t>
      </w:r>
      <w:r w:rsidRPr="00DE0A84">
        <w:rPr>
          <w:rFonts w:ascii="Helvetica" w:hAnsi="Helvetica" w:cs="Times New Roman"/>
          <w:i/>
          <w:iCs/>
          <w:noProof/>
        </w:rPr>
        <w:t>One Heal</w:t>
      </w:r>
      <w:r w:rsidR="00612F9C" w:rsidRPr="00DE0A84">
        <w:rPr>
          <w:rFonts w:ascii="Helvetica" w:hAnsi="Helvetica" w:cs="Times New Roman"/>
          <w:i/>
          <w:iCs/>
          <w:noProof/>
        </w:rPr>
        <w:t>th</w:t>
      </w:r>
      <w:r w:rsidRPr="00DE0A84">
        <w:rPr>
          <w:rFonts w:ascii="Helvetica" w:hAnsi="Helvetica" w:cs="Times New Roman"/>
          <w:noProof/>
        </w:rPr>
        <w:t>. 2017;4:14</w:t>
      </w:r>
      <w:r w:rsidR="00612F9C" w:rsidRPr="00DE0A84">
        <w:rPr>
          <w:rFonts w:ascii="Helvetica" w:hAnsi="Helvetica" w:cs="Times New Roman"/>
          <w:noProof/>
        </w:rPr>
        <w:t>–</w:t>
      </w:r>
      <w:r w:rsidRPr="00DE0A84">
        <w:rPr>
          <w:rFonts w:ascii="Helvetica" w:hAnsi="Helvetica" w:cs="Times New Roman"/>
          <w:noProof/>
        </w:rPr>
        <w:t xml:space="preserve">21. </w:t>
      </w:r>
    </w:p>
    <w:p w14:paraId="1D816D64" w14:textId="4E3EB176" w:rsidR="00105108" w:rsidRPr="00DE0A84" w:rsidRDefault="00105108" w:rsidP="00105108">
      <w:pPr>
        <w:widowControl w:val="0"/>
        <w:autoSpaceDE w:val="0"/>
        <w:autoSpaceDN w:val="0"/>
        <w:adjustRightInd w:val="0"/>
        <w:ind w:left="640" w:hanging="640"/>
        <w:rPr>
          <w:rFonts w:ascii="Helvetica" w:hAnsi="Helvetica" w:cs="Times New Roman"/>
          <w:noProof/>
        </w:rPr>
      </w:pPr>
      <w:r w:rsidRPr="00DE0A84">
        <w:rPr>
          <w:rFonts w:ascii="Helvetica" w:hAnsi="Helvetica" w:cs="Times New Roman"/>
          <w:noProof/>
        </w:rPr>
        <w:t xml:space="preserve">10. </w:t>
      </w:r>
      <w:r w:rsidRPr="00DE0A84">
        <w:rPr>
          <w:rFonts w:ascii="Helvetica" w:hAnsi="Helvetica" w:cs="Times New Roman"/>
          <w:noProof/>
        </w:rPr>
        <w:tab/>
      </w:r>
      <w:r w:rsidR="00D41577" w:rsidRPr="00DE0A84">
        <w:rPr>
          <w:rFonts w:ascii="Helvetica" w:hAnsi="Helvetica"/>
          <w:noProof/>
        </w:rPr>
        <w:t>Davis MF, Baron P, Price LB, Williams DL, Jeyaseelan S, Hambleton IR, et al. Dry collection and culture methods for recovery of methicillin-susceptible and methicillin-resistant</w:t>
      </w:r>
      <w:r w:rsidR="00D41577" w:rsidRPr="00DE0A84">
        <w:rPr>
          <w:rFonts w:ascii="Helvetica" w:hAnsi="Helvetica"/>
          <w:i/>
          <w:iCs/>
          <w:noProof/>
        </w:rPr>
        <w:t xml:space="preserve"> Staphylococcus aureus</w:t>
      </w:r>
      <w:r w:rsidR="00D41577" w:rsidRPr="00DE0A84">
        <w:rPr>
          <w:rFonts w:ascii="Helvetica" w:hAnsi="Helvetica"/>
          <w:noProof/>
        </w:rPr>
        <w:t xml:space="preserve"> strains from indoor home environments. </w:t>
      </w:r>
      <w:r w:rsidR="00D41577" w:rsidRPr="00DE0A84">
        <w:rPr>
          <w:rFonts w:ascii="Helvetica" w:hAnsi="Helvetica"/>
          <w:i/>
          <w:iCs/>
          <w:noProof/>
        </w:rPr>
        <w:t>Appl Environ Microbiol</w:t>
      </w:r>
      <w:r w:rsidR="00D41577" w:rsidRPr="00DE0A84">
        <w:rPr>
          <w:rFonts w:ascii="Helvetica" w:hAnsi="Helvetica"/>
          <w:noProof/>
        </w:rPr>
        <w:t>. 2012;78:2474–6</w:t>
      </w:r>
      <w:r w:rsidRPr="00DE0A84">
        <w:rPr>
          <w:rFonts w:ascii="Helvetica" w:hAnsi="Helvetica" w:cs="Times New Roman"/>
          <w:noProof/>
        </w:rPr>
        <w:t>.</w:t>
      </w:r>
    </w:p>
    <w:p w14:paraId="094E461C" w14:textId="540E4E2E" w:rsidR="00105108" w:rsidRPr="00DE0A84" w:rsidRDefault="00105108" w:rsidP="00105108">
      <w:pPr>
        <w:widowControl w:val="0"/>
        <w:autoSpaceDE w:val="0"/>
        <w:autoSpaceDN w:val="0"/>
        <w:adjustRightInd w:val="0"/>
        <w:ind w:left="640" w:hanging="640"/>
        <w:rPr>
          <w:rFonts w:ascii="Helvetica" w:hAnsi="Helvetica" w:cs="Times New Roman"/>
          <w:noProof/>
        </w:rPr>
      </w:pPr>
      <w:r w:rsidRPr="00DE0A84">
        <w:rPr>
          <w:rFonts w:ascii="Helvetica" w:hAnsi="Helvetica" w:cs="Times New Roman"/>
          <w:noProof/>
        </w:rPr>
        <w:t xml:space="preserve">11. </w:t>
      </w:r>
      <w:r w:rsidRPr="00DE0A84">
        <w:rPr>
          <w:rFonts w:ascii="Helvetica" w:hAnsi="Helvetica" w:cs="Times New Roman"/>
          <w:noProof/>
        </w:rPr>
        <w:tab/>
        <w:t xml:space="preserve">Morris DO, Lautenbach E, Zaoutis T, </w:t>
      </w:r>
      <w:r w:rsidR="00D41577" w:rsidRPr="00DE0A84">
        <w:rPr>
          <w:rFonts w:ascii="Helvetica" w:hAnsi="Helvetica" w:cs="Times New Roman"/>
          <w:noProof/>
        </w:rPr>
        <w:t>Leckerman K, Edelstein PH, Rankin SC</w:t>
      </w:r>
      <w:r w:rsidRPr="00DE0A84">
        <w:rPr>
          <w:rFonts w:ascii="Helvetica" w:hAnsi="Helvetica" w:cs="Times New Roman"/>
          <w:noProof/>
        </w:rPr>
        <w:t>. Potential fo</w:t>
      </w:r>
      <w:r w:rsidR="00D41577" w:rsidRPr="00DE0A84">
        <w:rPr>
          <w:rFonts w:ascii="Helvetica" w:hAnsi="Helvetica" w:cs="Times New Roman"/>
          <w:noProof/>
        </w:rPr>
        <w:t>r pet animals to harbour methicillin-resistant</w:t>
      </w:r>
      <w:r w:rsidRPr="00DE0A84">
        <w:rPr>
          <w:rFonts w:ascii="Helvetica" w:hAnsi="Helvetica" w:cs="Times New Roman"/>
          <w:noProof/>
        </w:rPr>
        <w:t xml:space="preserve"> </w:t>
      </w:r>
      <w:r w:rsidRPr="00DE0A84">
        <w:rPr>
          <w:rFonts w:ascii="Helvetica" w:hAnsi="Helvetica" w:cs="Times New Roman"/>
          <w:i/>
          <w:noProof/>
        </w:rPr>
        <w:t>Staphylococcus aureus</w:t>
      </w:r>
      <w:r w:rsidRPr="00DE0A84">
        <w:rPr>
          <w:rFonts w:ascii="Helvetica" w:hAnsi="Helvetica" w:cs="Times New Roman"/>
          <w:noProof/>
        </w:rPr>
        <w:t xml:space="preserve"> </w:t>
      </w:r>
      <w:r w:rsidR="00D41577" w:rsidRPr="00DE0A84">
        <w:rPr>
          <w:rFonts w:ascii="Helvetica" w:hAnsi="Helvetica" w:cs="Times New Roman"/>
          <w:noProof/>
        </w:rPr>
        <w:t>when residing with hu</w:t>
      </w:r>
      <w:r w:rsidRPr="00DE0A84">
        <w:rPr>
          <w:rFonts w:ascii="Helvetica" w:hAnsi="Helvetica" w:cs="Times New Roman"/>
          <w:noProof/>
        </w:rPr>
        <w:t xml:space="preserve">man MRSA </w:t>
      </w:r>
      <w:r w:rsidR="00D41577" w:rsidRPr="00DE0A84">
        <w:rPr>
          <w:rFonts w:ascii="Helvetica" w:hAnsi="Helvetica" w:cs="Times New Roman"/>
          <w:noProof/>
        </w:rPr>
        <w:t>p</w:t>
      </w:r>
      <w:r w:rsidRPr="00DE0A84">
        <w:rPr>
          <w:rFonts w:ascii="Helvetica" w:hAnsi="Helvetica" w:cs="Times New Roman"/>
          <w:noProof/>
        </w:rPr>
        <w:t xml:space="preserve">atients. </w:t>
      </w:r>
      <w:r w:rsidRPr="00DE0A84">
        <w:rPr>
          <w:rFonts w:ascii="Helvetica" w:hAnsi="Helvetica" w:cs="Times New Roman"/>
          <w:i/>
          <w:iCs/>
          <w:noProof/>
        </w:rPr>
        <w:t>Zoonoses Public Health</w:t>
      </w:r>
      <w:r w:rsidRPr="00DE0A84">
        <w:rPr>
          <w:rFonts w:ascii="Helvetica" w:hAnsi="Helvetica" w:cs="Times New Roman"/>
          <w:noProof/>
        </w:rPr>
        <w:t>. 2012;59:286</w:t>
      </w:r>
      <w:r w:rsidR="00D41577" w:rsidRPr="00DE0A84">
        <w:rPr>
          <w:rFonts w:ascii="Helvetica" w:hAnsi="Helvetica" w:cs="Times New Roman"/>
          <w:noProof/>
        </w:rPr>
        <w:t>–</w:t>
      </w:r>
      <w:r w:rsidRPr="00DE0A84">
        <w:rPr>
          <w:rFonts w:ascii="Helvetica" w:hAnsi="Helvetica" w:cs="Times New Roman"/>
          <w:noProof/>
        </w:rPr>
        <w:t>93.</w:t>
      </w:r>
    </w:p>
    <w:p w14:paraId="1AE45D2B" w14:textId="624A4D2E" w:rsidR="00105108" w:rsidRPr="00DE0A84" w:rsidRDefault="00105108" w:rsidP="00105108">
      <w:pPr>
        <w:widowControl w:val="0"/>
        <w:autoSpaceDE w:val="0"/>
        <w:autoSpaceDN w:val="0"/>
        <w:adjustRightInd w:val="0"/>
        <w:ind w:left="640" w:hanging="640"/>
        <w:rPr>
          <w:rFonts w:ascii="Helvetica" w:hAnsi="Helvetica" w:cs="Times New Roman"/>
          <w:noProof/>
        </w:rPr>
      </w:pPr>
      <w:r w:rsidRPr="00DE0A84">
        <w:rPr>
          <w:rFonts w:ascii="Helvetica" w:hAnsi="Helvetica" w:cs="Times New Roman"/>
          <w:noProof/>
        </w:rPr>
        <w:t xml:space="preserve">12. </w:t>
      </w:r>
      <w:r w:rsidRPr="00DE0A84">
        <w:rPr>
          <w:rFonts w:ascii="Helvetica" w:hAnsi="Helvetica" w:cs="Times New Roman"/>
          <w:noProof/>
        </w:rPr>
        <w:tab/>
        <w:t xml:space="preserve">Ferradas C, Cotter C, Shahbazian JH, </w:t>
      </w:r>
      <w:r w:rsidR="00D41577" w:rsidRPr="00DE0A84">
        <w:rPr>
          <w:rFonts w:ascii="Helvetica" w:hAnsi="Helvetica" w:cs="Times New Roman"/>
          <w:noProof/>
        </w:rPr>
        <w:t xml:space="preserve">Iverson FA, Baron P, Misic AM, </w:t>
      </w:r>
      <w:r w:rsidRPr="00DE0A84">
        <w:rPr>
          <w:rFonts w:ascii="Helvetica" w:hAnsi="Helvetica" w:cs="Times New Roman"/>
          <w:iCs/>
          <w:noProof/>
        </w:rPr>
        <w:t>et al</w:t>
      </w:r>
      <w:r w:rsidRPr="00DE0A84">
        <w:rPr>
          <w:rFonts w:ascii="Helvetica" w:hAnsi="Helvetica" w:cs="Times New Roman"/>
          <w:noProof/>
        </w:rPr>
        <w:t xml:space="preserve">. Risk factors for antimicrobial resistance among Staphylococcus isolated from pets living with a patient diagnosed with methicillin-resistant Staphylococcus aureus infection. </w:t>
      </w:r>
      <w:r w:rsidRPr="00DE0A84">
        <w:rPr>
          <w:rFonts w:ascii="Helvetica" w:hAnsi="Helvetica" w:cs="Times New Roman"/>
          <w:i/>
          <w:iCs/>
          <w:noProof/>
        </w:rPr>
        <w:t>Zoonoses Public Health</w:t>
      </w:r>
      <w:r w:rsidRPr="00DE0A84">
        <w:rPr>
          <w:rFonts w:ascii="Helvetica" w:hAnsi="Helvetica" w:cs="Times New Roman"/>
          <w:noProof/>
        </w:rPr>
        <w:t>. 2022</w:t>
      </w:r>
      <w:r w:rsidR="00D41577" w:rsidRPr="00DE0A84">
        <w:rPr>
          <w:rFonts w:ascii="Helvetica" w:hAnsi="Helvetica" w:cs="Times New Roman"/>
          <w:noProof/>
        </w:rPr>
        <w:t>;69:550–9</w:t>
      </w:r>
      <w:r w:rsidRPr="00DE0A84">
        <w:rPr>
          <w:rFonts w:ascii="Helvetica" w:hAnsi="Helvetica" w:cs="Times New Roman"/>
          <w:noProof/>
        </w:rPr>
        <w:t>.</w:t>
      </w:r>
    </w:p>
    <w:p w14:paraId="45D6E88D" w14:textId="1FAA7585" w:rsidR="00105108" w:rsidRPr="00DE0A84" w:rsidRDefault="00105108" w:rsidP="00105108">
      <w:pPr>
        <w:widowControl w:val="0"/>
        <w:autoSpaceDE w:val="0"/>
        <w:autoSpaceDN w:val="0"/>
        <w:adjustRightInd w:val="0"/>
        <w:ind w:left="640" w:hanging="640"/>
        <w:rPr>
          <w:rFonts w:ascii="Helvetica" w:hAnsi="Helvetica" w:cs="Times New Roman"/>
          <w:noProof/>
        </w:rPr>
      </w:pPr>
      <w:r w:rsidRPr="00DE0A84">
        <w:rPr>
          <w:rFonts w:ascii="Helvetica" w:hAnsi="Helvetica" w:cs="Times New Roman"/>
          <w:noProof/>
        </w:rPr>
        <w:t xml:space="preserve">13. </w:t>
      </w:r>
      <w:r w:rsidRPr="00DE0A84">
        <w:rPr>
          <w:rFonts w:ascii="Helvetica" w:hAnsi="Helvetica" w:cs="Times New Roman"/>
          <w:noProof/>
        </w:rPr>
        <w:tab/>
        <w:t xml:space="preserve">Davis MF, Misic AM, Morris DO, </w:t>
      </w:r>
      <w:r w:rsidR="00D41577" w:rsidRPr="00DE0A84">
        <w:rPr>
          <w:rFonts w:ascii="Helvetica" w:hAnsi="Helvetica" w:cs="Times New Roman"/>
          <w:noProof/>
        </w:rPr>
        <w:t xml:space="preserve">Moss JT, Tolomeo P, Beiting DP, </w:t>
      </w:r>
      <w:r w:rsidRPr="00DE0A84">
        <w:rPr>
          <w:rFonts w:ascii="Helvetica" w:hAnsi="Helvetica" w:cs="Times New Roman"/>
          <w:iCs/>
          <w:noProof/>
        </w:rPr>
        <w:t>et al</w:t>
      </w:r>
      <w:r w:rsidRPr="00DE0A84">
        <w:rPr>
          <w:rFonts w:ascii="Helvetica" w:hAnsi="Helvetica" w:cs="Times New Roman"/>
          <w:noProof/>
        </w:rPr>
        <w:t xml:space="preserve">. Genome sequencing reveals strain dynamics of methicillin-resistant Staphylococcus aureus in the same household in the context of clinical disease in a person and a dog. </w:t>
      </w:r>
      <w:r w:rsidRPr="00DE0A84">
        <w:rPr>
          <w:rFonts w:ascii="Helvetica" w:hAnsi="Helvetica" w:cs="Times New Roman"/>
          <w:i/>
          <w:iCs/>
          <w:noProof/>
        </w:rPr>
        <w:t>Vet Microbiol</w:t>
      </w:r>
      <w:r w:rsidRPr="00DE0A84">
        <w:rPr>
          <w:rFonts w:ascii="Helvetica" w:hAnsi="Helvetica" w:cs="Times New Roman"/>
          <w:noProof/>
        </w:rPr>
        <w:t>. 2015;180:304</w:t>
      </w:r>
      <w:r w:rsidR="00D41577" w:rsidRPr="00DE0A84">
        <w:rPr>
          <w:rFonts w:ascii="Helvetica" w:hAnsi="Helvetica" w:cs="Times New Roman"/>
          <w:noProof/>
        </w:rPr>
        <w:t>–</w:t>
      </w:r>
      <w:r w:rsidRPr="00DE0A84">
        <w:rPr>
          <w:rFonts w:ascii="Helvetica" w:hAnsi="Helvetica" w:cs="Times New Roman"/>
          <w:noProof/>
        </w:rPr>
        <w:t>7.</w:t>
      </w:r>
    </w:p>
    <w:p w14:paraId="60A45053" w14:textId="765A0342" w:rsidR="00105108" w:rsidRPr="00DE0A84" w:rsidRDefault="00105108" w:rsidP="00105108">
      <w:pPr>
        <w:widowControl w:val="0"/>
        <w:autoSpaceDE w:val="0"/>
        <w:autoSpaceDN w:val="0"/>
        <w:adjustRightInd w:val="0"/>
        <w:ind w:left="640" w:hanging="640"/>
        <w:rPr>
          <w:rFonts w:ascii="Helvetica" w:hAnsi="Helvetica" w:cs="Times New Roman"/>
          <w:noProof/>
        </w:rPr>
      </w:pPr>
      <w:r w:rsidRPr="00DE0A84">
        <w:rPr>
          <w:rFonts w:ascii="Helvetica" w:hAnsi="Helvetica" w:cs="Times New Roman"/>
          <w:noProof/>
        </w:rPr>
        <w:t xml:space="preserve">14. </w:t>
      </w:r>
      <w:r w:rsidRPr="00DE0A84">
        <w:rPr>
          <w:rFonts w:ascii="Helvetica" w:hAnsi="Helvetica" w:cs="Times New Roman"/>
          <w:noProof/>
        </w:rPr>
        <w:tab/>
        <w:t xml:space="preserve">Wilkerson MJ, Bagladi-Swanson M, Wheeler DW, </w:t>
      </w:r>
      <w:r w:rsidR="00D41577" w:rsidRPr="00DE0A84">
        <w:rPr>
          <w:rFonts w:ascii="Helvetica" w:hAnsi="Helvetica" w:cs="Times New Roman"/>
          <w:noProof/>
        </w:rPr>
        <w:t xml:space="preserve">Floyd-Hawkins K, Craig C, Lee KW, </w:t>
      </w:r>
      <w:r w:rsidRPr="00DE0A84">
        <w:rPr>
          <w:rFonts w:ascii="Helvetica" w:hAnsi="Helvetica" w:cs="Times New Roman"/>
          <w:iCs/>
          <w:noProof/>
        </w:rPr>
        <w:t>et al</w:t>
      </w:r>
      <w:r w:rsidRPr="00DE0A84">
        <w:rPr>
          <w:rFonts w:ascii="Helvetica" w:hAnsi="Helvetica" w:cs="Times New Roman"/>
          <w:noProof/>
        </w:rPr>
        <w:t xml:space="preserve">. The immunopathogenesis of flea allergy dermatitis in dogs, an experimental study. </w:t>
      </w:r>
      <w:r w:rsidRPr="00DE0A84">
        <w:rPr>
          <w:rFonts w:ascii="Helvetica" w:hAnsi="Helvetica" w:cs="Times New Roman"/>
          <w:i/>
          <w:iCs/>
          <w:noProof/>
        </w:rPr>
        <w:t>Vet Immunol Immunopathol</w:t>
      </w:r>
      <w:r w:rsidRPr="00DE0A84">
        <w:rPr>
          <w:rFonts w:ascii="Helvetica" w:hAnsi="Helvetica" w:cs="Times New Roman"/>
          <w:noProof/>
        </w:rPr>
        <w:t>. 2004;99:179</w:t>
      </w:r>
      <w:r w:rsidR="00D41577" w:rsidRPr="00DE0A84">
        <w:rPr>
          <w:rFonts w:ascii="Helvetica" w:hAnsi="Helvetica" w:cs="Times New Roman"/>
          <w:noProof/>
        </w:rPr>
        <w:t>–</w:t>
      </w:r>
      <w:r w:rsidRPr="00DE0A84">
        <w:rPr>
          <w:rFonts w:ascii="Helvetica" w:hAnsi="Helvetica" w:cs="Times New Roman"/>
          <w:noProof/>
        </w:rPr>
        <w:t>92.</w:t>
      </w:r>
    </w:p>
    <w:p w14:paraId="1AAA5799" w14:textId="214B7010" w:rsidR="00105108" w:rsidRPr="00DE0A84" w:rsidRDefault="00105108" w:rsidP="00105108">
      <w:pPr>
        <w:widowControl w:val="0"/>
        <w:autoSpaceDE w:val="0"/>
        <w:autoSpaceDN w:val="0"/>
        <w:adjustRightInd w:val="0"/>
        <w:ind w:left="640" w:hanging="640"/>
        <w:rPr>
          <w:rFonts w:ascii="Helvetica" w:hAnsi="Helvetica" w:cs="Times New Roman"/>
          <w:noProof/>
        </w:rPr>
      </w:pPr>
      <w:r w:rsidRPr="00DE0A84">
        <w:rPr>
          <w:rFonts w:ascii="Helvetica" w:hAnsi="Helvetica" w:cs="Times New Roman"/>
          <w:noProof/>
        </w:rPr>
        <w:t xml:space="preserve">15. </w:t>
      </w:r>
      <w:r w:rsidRPr="00DE0A84">
        <w:rPr>
          <w:rFonts w:ascii="Helvetica" w:hAnsi="Helvetica" w:cs="Times New Roman"/>
          <w:noProof/>
        </w:rPr>
        <w:tab/>
        <w:t xml:space="preserve">Bruet V, Bourdeau PJ, Roussel A, </w:t>
      </w:r>
      <w:r w:rsidR="008F6664" w:rsidRPr="00DE0A84">
        <w:rPr>
          <w:rFonts w:ascii="Helvetica" w:hAnsi="Helvetica" w:cs="Times New Roman"/>
          <w:noProof/>
        </w:rPr>
        <w:t>Imperato L, Desfontis J-C</w:t>
      </w:r>
      <w:r w:rsidRPr="00DE0A84">
        <w:rPr>
          <w:rFonts w:ascii="Helvetica" w:hAnsi="Helvetica" w:cs="Times New Roman"/>
          <w:noProof/>
        </w:rPr>
        <w:t xml:space="preserve">. Characterization of pruritus in canine atopic dermatitis, flea bite hypersensitivity and flea infestation and its role in diagnosis. </w:t>
      </w:r>
      <w:r w:rsidRPr="00DE0A84">
        <w:rPr>
          <w:rFonts w:ascii="Helvetica" w:hAnsi="Helvetica" w:cs="Times New Roman"/>
          <w:i/>
          <w:iCs/>
          <w:noProof/>
        </w:rPr>
        <w:t>Vet Dermatol</w:t>
      </w:r>
      <w:r w:rsidRPr="00DE0A84">
        <w:rPr>
          <w:rFonts w:ascii="Helvetica" w:hAnsi="Helvetica" w:cs="Times New Roman"/>
          <w:noProof/>
        </w:rPr>
        <w:t>. 2012;23:487-e93.</w:t>
      </w:r>
    </w:p>
    <w:p w14:paraId="13EF3B16" w14:textId="6872354A" w:rsidR="00105108" w:rsidRPr="00DE0A84" w:rsidRDefault="00105108" w:rsidP="00105108">
      <w:pPr>
        <w:widowControl w:val="0"/>
        <w:autoSpaceDE w:val="0"/>
        <w:autoSpaceDN w:val="0"/>
        <w:adjustRightInd w:val="0"/>
        <w:ind w:left="640" w:hanging="640"/>
        <w:rPr>
          <w:rFonts w:ascii="Helvetica" w:hAnsi="Helvetica"/>
          <w:noProof/>
        </w:rPr>
      </w:pPr>
      <w:r w:rsidRPr="00DE0A84">
        <w:rPr>
          <w:rFonts w:ascii="Helvetica" w:hAnsi="Helvetica" w:cs="Times New Roman"/>
          <w:noProof/>
        </w:rPr>
        <w:t xml:space="preserve">16. </w:t>
      </w:r>
      <w:r w:rsidRPr="00DE0A84">
        <w:rPr>
          <w:rFonts w:ascii="Helvetica" w:hAnsi="Helvetica" w:cs="Times New Roman"/>
          <w:noProof/>
        </w:rPr>
        <w:tab/>
        <w:t xml:space="preserve">Pandya I. Risk </w:t>
      </w:r>
      <w:r w:rsidR="008F6664" w:rsidRPr="00DE0A84">
        <w:rPr>
          <w:rFonts w:ascii="Helvetica" w:hAnsi="Helvetica" w:cs="Times New Roman"/>
          <w:noProof/>
        </w:rPr>
        <w:t xml:space="preserve">factors for disinfectant resistance in environmental methicillin-resistant </w:t>
      </w:r>
      <w:r w:rsidRPr="00DE0A84">
        <w:rPr>
          <w:rFonts w:ascii="Helvetica" w:hAnsi="Helvetica" w:cs="Times New Roman"/>
          <w:noProof/>
        </w:rPr>
        <w:t xml:space="preserve">Staphylococcus </w:t>
      </w:r>
      <w:r w:rsidR="008F6664" w:rsidRPr="00DE0A84">
        <w:rPr>
          <w:rFonts w:ascii="Helvetica" w:hAnsi="Helvetica" w:cs="Times New Roman"/>
          <w:noProof/>
        </w:rPr>
        <w:t>a</w:t>
      </w:r>
      <w:r w:rsidRPr="00DE0A84">
        <w:rPr>
          <w:rFonts w:ascii="Helvetica" w:hAnsi="Helvetica" w:cs="Times New Roman"/>
          <w:noProof/>
        </w:rPr>
        <w:t xml:space="preserve">ureus (MRSA) </w:t>
      </w:r>
      <w:r w:rsidR="008F6664" w:rsidRPr="00DE0A84">
        <w:rPr>
          <w:rFonts w:ascii="Helvetica" w:hAnsi="Helvetica" w:cs="Times New Roman"/>
          <w:noProof/>
        </w:rPr>
        <w:t>isolates from homes of patients diagnosed with community-ons</w:t>
      </w:r>
      <w:r w:rsidRPr="00DE0A84">
        <w:rPr>
          <w:rFonts w:ascii="Helvetica" w:hAnsi="Helvetica" w:cs="Times New Roman"/>
          <w:noProof/>
        </w:rPr>
        <w:t xml:space="preserve">et MRSA </w:t>
      </w:r>
      <w:r w:rsidR="008F6664" w:rsidRPr="00DE0A84">
        <w:rPr>
          <w:rFonts w:ascii="Helvetica" w:hAnsi="Helvetica" w:cs="Times New Roman"/>
          <w:noProof/>
        </w:rPr>
        <w:t>skin infections</w:t>
      </w:r>
      <w:r w:rsidRPr="00DE0A84">
        <w:rPr>
          <w:rFonts w:ascii="Helvetica" w:hAnsi="Helvetica" w:cs="Times New Roman"/>
          <w:noProof/>
        </w:rPr>
        <w:t>. M</w:t>
      </w:r>
      <w:r w:rsidR="008F6664" w:rsidRPr="00DE0A84">
        <w:rPr>
          <w:rFonts w:ascii="Helvetica" w:hAnsi="Helvetica" w:cs="Times New Roman"/>
          <w:noProof/>
        </w:rPr>
        <w:t>Sc</w:t>
      </w:r>
      <w:r w:rsidRPr="00DE0A84">
        <w:rPr>
          <w:rFonts w:ascii="Helvetica" w:hAnsi="Helvetica" w:cs="Times New Roman"/>
          <w:noProof/>
        </w:rPr>
        <w:t xml:space="preserve"> </w:t>
      </w:r>
      <w:r w:rsidR="008F6664" w:rsidRPr="00DE0A84">
        <w:rPr>
          <w:rFonts w:ascii="Helvetica" w:hAnsi="Helvetica" w:cs="Times New Roman"/>
          <w:noProof/>
        </w:rPr>
        <w:t>t</w:t>
      </w:r>
      <w:r w:rsidRPr="00DE0A84">
        <w:rPr>
          <w:rFonts w:ascii="Helvetica" w:hAnsi="Helvetica" w:cs="Times New Roman"/>
          <w:noProof/>
        </w:rPr>
        <w:t>hesis</w:t>
      </w:r>
      <w:r w:rsidR="008F6664" w:rsidRPr="00DE0A84">
        <w:rPr>
          <w:rFonts w:ascii="Helvetica" w:hAnsi="Helvetica" w:cs="Times New Roman"/>
          <w:noProof/>
        </w:rPr>
        <w:t>, Johns Hopkins University, Baltimore, MD, USA</w:t>
      </w:r>
      <w:r w:rsidRPr="00DE0A84">
        <w:rPr>
          <w:rFonts w:ascii="Helvetica" w:hAnsi="Helvetica" w:cs="Times New Roman"/>
          <w:noProof/>
        </w:rPr>
        <w:t>. 2018.</w:t>
      </w:r>
    </w:p>
    <w:p w14:paraId="17FDFB70" w14:textId="5BBA7ECD" w:rsidR="002E4F3F" w:rsidRPr="00DE0A84" w:rsidRDefault="00105108" w:rsidP="00E03195">
      <w:pPr>
        <w:autoSpaceDE w:val="0"/>
        <w:autoSpaceDN w:val="0"/>
        <w:adjustRightInd w:val="0"/>
        <w:spacing w:afterLines="120" w:after="288" w:line="360" w:lineRule="auto"/>
        <w:rPr>
          <w:rFonts w:ascii="Helvetica" w:hAnsi="Helvetica" w:cs="Arial"/>
        </w:rPr>
      </w:pPr>
      <w:r w:rsidRPr="00DE0A84">
        <w:rPr>
          <w:rFonts w:ascii="Helvetica" w:hAnsi="Helvetica" w:cs="Arial"/>
          <w:b/>
          <w:bCs/>
        </w:rPr>
        <w:fldChar w:fldCharType="end"/>
      </w:r>
    </w:p>
    <w:p w14:paraId="1CC76E5E" w14:textId="71F19CE2" w:rsidR="00024ECE" w:rsidRPr="00DE0A84" w:rsidRDefault="00105108" w:rsidP="00024ECE">
      <w:pPr>
        <w:rPr>
          <w:rFonts w:ascii="Helvetica" w:hAnsi="Helvetica" w:cs="Arial"/>
          <w:b/>
          <w:bCs/>
        </w:rPr>
      </w:pPr>
      <w:r w:rsidRPr="00DE0A84">
        <w:rPr>
          <w:rFonts w:ascii="Helvetica" w:hAnsi="Helvetica" w:cs="Arial"/>
          <w:b/>
          <w:bCs/>
        </w:rPr>
        <w:t xml:space="preserve">TABLE </w:t>
      </w:r>
      <w:r w:rsidR="00024ECE" w:rsidRPr="00DE0A84">
        <w:rPr>
          <w:rFonts w:ascii="Helvetica" w:hAnsi="Helvetica" w:cs="Arial"/>
          <w:b/>
          <w:bCs/>
        </w:rPr>
        <w:t>S1.</w:t>
      </w:r>
    </w:p>
    <w:p w14:paraId="29E1DEA5" w14:textId="77777777" w:rsidR="00024ECE" w:rsidRPr="00DE0A84" w:rsidRDefault="00024ECE" w:rsidP="00024ECE">
      <w:pPr>
        <w:rPr>
          <w:rFonts w:ascii="Helvetica" w:hAnsi="Helvetica" w:cs="Arial"/>
        </w:rPr>
      </w:pPr>
    </w:p>
    <w:tbl>
      <w:tblPr>
        <w:tblW w:w="0" w:type="auto"/>
        <w:tblLook w:val="04A0" w:firstRow="1" w:lastRow="0" w:firstColumn="1" w:lastColumn="0" w:noHBand="0" w:noVBand="1"/>
      </w:tblPr>
      <w:tblGrid>
        <w:gridCol w:w="3690"/>
        <w:gridCol w:w="1795"/>
        <w:gridCol w:w="2070"/>
      </w:tblGrid>
      <w:tr w:rsidR="00DE0A84" w:rsidRPr="00DE0A84" w14:paraId="21D76B17" w14:textId="77777777" w:rsidTr="00CA5013">
        <w:tc>
          <w:tcPr>
            <w:tcW w:w="3690" w:type="dxa"/>
            <w:tcBorders>
              <w:bottom w:val="single" w:sz="4" w:space="0" w:color="auto"/>
            </w:tcBorders>
            <w:vAlign w:val="bottom"/>
          </w:tcPr>
          <w:p w14:paraId="59273941" w14:textId="77777777" w:rsidR="00024ECE" w:rsidRPr="00DE0A84" w:rsidRDefault="00024ECE" w:rsidP="00CA5013">
            <w:pPr>
              <w:rPr>
                <w:rFonts w:ascii="Helvetica" w:hAnsi="Helvetica" w:cs="Arial"/>
              </w:rPr>
            </w:pPr>
            <w:r w:rsidRPr="00DE0A84">
              <w:rPr>
                <w:rFonts w:ascii="Helvetica" w:hAnsi="Helvetica" w:cs="Arial"/>
                <w:b/>
                <w:bCs/>
              </w:rPr>
              <w:t>Pet enrollment and sampling</w:t>
            </w:r>
          </w:p>
        </w:tc>
        <w:tc>
          <w:tcPr>
            <w:tcW w:w="1795" w:type="dxa"/>
            <w:tcBorders>
              <w:bottom w:val="single" w:sz="4" w:space="0" w:color="auto"/>
            </w:tcBorders>
            <w:vAlign w:val="bottom"/>
          </w:tcPr>
          <w:p w14:paraId="50CC603C" w14:textId="77777777" w:rsidR="00024ECE" w:rsidRPr="00DE0A84" w:rsidRDefault="00024ECE" w:rsidP="00CA5013">
            <w:pPr>
              <w:rPr>
                <w:rFonts w:ascii="Helvetica" w:hAnsi="Helvetica" w:cs="Arial"/>
              </w:rPr>
            </w:pPr>
            <w:r w:rsidRPr="00DE0A84">
              <w:rPr>
                <w:rFonts w:ascii="Helvetica" w:hAnsi="Helvetica" w:cs="Arial"/>
                <w:b/>
                <w:bCs/>
              </w:rPr>
              <w:t>Baseline</w:t>
            </w:r>
          </w:p>
        </w:tc>
        <w:tc>
          <w:tcPr>
            <w:tcW w:w="2070" w:type="dxa"/>
            <w:tcBorders>
              <w:bottom w:val="single" w:sz="4" w:space="0" w:color="auto"/>
            </w:tcBorders>
            <w:vAlign w:val="bottom"/>
          </w:tcPr>
          <w:p w14:paraId="4B94ADAC" w14:textId="630D00EA" w:rsidR="00024ECE" w:rsidRPr="00DE0A84" w:rsidRDefault="00C874C2" w:rsidP="00C874C2">
            <w:pPr>
              <w:rPr>
                <w:rFonts w:ascii="Helvetica" w:hAnsi="Helvetica" w:cs="Arial"/>
              </w:rPr>
            </w:pPr>
            <w:r w:rsidRPr="00DE0A84">
              <w:rPr>
                <w:rFonts w:ascii="Helvetica" w:hAnsi="Helvetica" w:cs="Arial"/>
                <w:b/>
                <w:bCs/>
              </w:rPr>
              <w:t xml:space="preserve">Three </w:t>
            </w:r>
            <w:r w:rsidR="00024ECE" w:rsidRPr="00DE0A84">
              <w:rPr>
                <w:rFonts w:ascii="Helvetica" w:hAnsi="Helvetica" w:cs="Arial"/>
                <w:b/>
                <w:bCs/>
              </w:rPr>
              <w:t>mo</w:t>
            </w:r>
            <w:r w:rsidRPr="00DE0A84">
              <w:rPr>
                <w:rFonts w:ascii="Helvetica" w:hAnsi="Helvetica" w:cs="Arial"/>
                <w:b/>
                <w:bCs/>
              </w:rPr>
              <w:t>nth follow-up</w:t>
            </w:r>
          </w:p>
        </w:tc>
      </w:tr>
      <w:tr w:rsidR="00DE0A84" w:rsidRPr="00DE0A84" w14:paraId="238EE85A" w14:textId="77777777" w:rsidTr="00CA5013">
        <w:tc>
          <w:tcPr>
            <w:tcW w:w="3690" w:type="dxa"/>
            <w:tcBorders>
              <w:top w:val="single" w:sz="4" w:space="0" w:color="auto"/>
              <w:right w:val="single" w:sz="4" w:space="0" w:color="auto"/>
            </w:tcBorders>
            <w:vAlign w:val="bottom"/>
          </w:tcPr>
          <w:p w14:paraId="60340F65" w14:textId="7871EDDA" w:rsidR="00024ECE" w:rsidRPr="00DE0A84" w:rsidRDefault="00024ECE" w:rsidP="00C874C2">
            <w:pPr>
              <w:rPr>
                <w:rFonts w:ascii="Helvetica" w:hAnsi="Helvetica" w:cs="Arial"/>
              </w:rPr>
            </w:pPr>
            <w:r w:rsidRPr="00DE0A84">
              <w:rPr>
                <w:rFonts w:ascii="Helvetica" w:hAnsi="Helvetica" w:cs="Arial"/>
              </w:rPr>
              <w:lastRenderedPageBreak/>
              <w:t xml:space="preserve">Households </w:t>
            </w:r>
            <w:r w:rsidR="00C874C2" w:rsidRPr="00DE0A84">
              <w:rPr>
                <w:rFonts w:ascii="Helvetica" w:hAnsi="Helvetica" w:cs="Arial"/>
              </w:rPr>
              <w:t>enrolled</w:t>
            </w:r>
            <w:r w:rsidRPr="00DE0A84">
              <w:rPr>
                <w:rFonts w:ascii="Helvetica" w:hAnsi="Helvetica" w:cs="Arial"/>
              </w:rPr>
              <w:t xml:space="preserve">, </w:t>
            </w:r>
            <w:r w:rsidR="00C874C2" w:rsidRPr="00DE0A84">
              <w:rPr>
                <w:rFonts w:ascii="Helvetica" w:hAnsi="Helvetica" w:cs="Arial"/>
              </w:rPr>
              <w:t>no.</w:t>
            </w:r>
          </w:p>
        </w:tc>
        <w:tc>
          <w:tcPr>
            <w:tcW w:w="1795" w:type="dxa"/>
            <w:tcBorders>
              <w:top w:val="single" w:sz="4" w:space="0" w:color="auto"/>
              <w:left w:val="single" w:sz="4" w:space="0" w:color="auto"/>
              <w:right w:val="single" w:sz="4" w:space="0" w:color="auto"/>
            </w:tcBorders>
            <w:vAlign w:val="bottom"/>
          </w:tcPr>
          <w:p w14:paraId="483F7ED1" w14:textId="77777777" w:rsidR="00024ECE" w:rsidRPr="00DE0A84" w:rsidRDefault="00024ECE" w:rsidP="00CA5013">
            <w:pPr>
              <w:rPr>
                <w:rFonts w:ascii="Helvetica" w:hAnsi="Helvetica" w:cs="Arial"/>
              </w:rPr>
            </w:pPr>
            <w:r w:rsidRPr="00DE0A84">
              <w:rPr>
                <w:rFonts w:ascii="Helvetica" w:hAnsi="Helvetica" w:cs="Arial"/>
              </w:rPr>
              <w:t>95</w:t>
            </w:r>
          </w:p>
        </w:tc>
        <w:tc>
          <w:tcPr>
            <w:tcW w:w="2070" w:type="dxa"/>
            <w:tcBorders>
              <w:top w:val="single" w:sz="4" w:space="0" w:color="auto"/>
              <w:left w:val="single" w:sz="4" w:space="0" w:color="auto"/>
            </w:tcBorders>
            <w:vAlign w:val="bottom"/>
          </w:tcPr>
          <w:p w14:paraId="46F0EBB2" w14:textId="77777777" w:rsidR="00024ECE" w:rsidRPr="00DE0A84" w:rsidRDefault="00024ECE" w:rsidP="00CA5013">
            <w:pPr>
              <w:rPr>
                <w:rFonts w:ascii="Helvetica" w:hAnsi="Helvetica" w:cs="Arial"/>
              </w:rPr>
            </w:pPr>
            <w:r w:rsidRPr="00DE0A84">
              <w:rPr>
                <w:rFonts w:ascii="Helvetica" w:hAnsi="Helvetica" w:cs="Arial"/>
              </w:rPr>
              <w:t>65</w:t>
            </w:r>
          </w:p>
        </w:tc>
      </w:tr>
      <w:tr w:rsidR="00DE0A84" w:rsidRPr="00DE0A84" w14:paraId="2AD48C0A" w14:textId="77777777" w:rsidTr="00CA5013">
        <w:tc>
          <w:tcPr>
            <w:tcW w:w="3690" w:type="dxa"/>
            <w:tcBorders>
              <w:right w:val="single" w:sz="4" w:space="0" w:color="auto"/>
            </w:tcBorders>
            <w:vAlign w:val="bottom"/>
          </w:tcPr>
          <w:p w14:paraId="3C74929F" w14:textId="45BEADC5" w:rsidR="00024ECE" w:rsidRPr="00DE0A84" w:rsidRDefault="00024ECE" w:rsidP="00C874C2">
            <w:pPr>
              <w:rPr>
                <w:rFonts w:ascii="Helvetica" w:hAnsi="Helvetica" w:cs="Arial"/>
              </w:rPr>
            </w:pPr>
            <w:r w:rsidRPr="00DE0A84">
              <w:rPr>
                <w:rFonts w:ascii="Helvetica" w:hAnsi="Helvetica" w:cs="Arial"/>
              </w:rPr>
              <w:t xml:space="preserve">    Households with pets, </w:t>
            </w:r>
            <w:r w:rsidR="00C874C2" w:rsidRPr="00DE0A84">
              <w:rPr>
                <w:rFonts w:ascii="Helvetica" w:hAnsi="Helvetica" w:cs="Arial"/>
              </w:rPr>
              <w:t xml:space="preserve">no. </w:t>
            </w:r>
            <w:r w:rsidRPr="00DE0A84">
              <w:rPr>
                <w:rFonts w:ascii="Helvetica" w:hAnsi="Helvetica" w:cs="Arial"/>
              </w:rPr>
              <w:t>(%)</w:t>
            </w:r>
          </w:p>
        </w:tc>
        <w:tc>
          <w:tcPr>
            <w:tcW w:w="1795" w:type="dxa"/>
            <w:tcBorders>
              <w:left w:val="single" w:sz="4" w:space="0" w:color="auto"/>
              <w:right w:val="single" w:sz="4" w:space="0" w:color="auto"/>
            </w:tcBorders>
            <w:vAlign w:val="bottom"/>
          </w:tcPr>
          <w:p w14:paraId="5F29B401" w14:textId="77777777" w:rsidR="00024ECE" w:rsidRPr="00DE0A84" w:rsidRDefault="00024ECE" w:rsidP="00CA5013">
            <w:pPr>
              <w:rPr>
                <w:rFonts w:ascii="Helvetica" w:hAnsi="Helvetica" w:cs="Arial"/>
              </w:rPr>
            </w:pPr>
            <w:r w:rsidRPr="00DE0A84">
              <w:rPr>
                <w:rFonts w:ascii="Helvetica" w:hAnsi="Helvetica" w:cs="Arial"/>
              </w:rPr>
              <w:t>67 (70.5%)</w:t>
            </w:r>
          </w:p>
        </w:tc>
        <w:tc>
          <w:tcPr>
            <w:tcW w:w="2070" w:type="dxa"/>
            <w:tcBorders>
              <w:left w:val="single" w:sz="4" w:space="0" w:color="auto"/>
            </w:tcBorders>
            <w:vAlign w:val="bottom"/>
          </w:tcPr>
          <w:p w14:paraId="5DEB66D3" w14:textId="77777777" w:rsidR="00024ECE" w:rsidRPr="00DE0A84" w:rsidRDefault="00024ECE" w:rsidP="00CA5013">
            <w:pPr>
              <w:rPr>
                <w:rFonts w:ascii="Helvetica" w:hAnsi="Helvetica" w:cs="Arial"/>
              </w:rPr>
            </w:pPr>
            <w:r w:rsidRPr="00DE0A84">
              <w:rPr>
                <w:rFonts w:ascii="Helvetica" w:hAnsi="Helvetica" w:cs="Arial"/>
              </w:rPr>
              <w:t>44 (67.7%)</w:t>
            </w:r>
          </w:p>
        </w:tc>
      </w:tr>
      <w:tr w:rsidR="00DE0A84" w:rsidRPr="00DE0A84" w14:paraId="63310EDE" w14:textId="77777777" w:rsidTr="00CA5013">
        <w:tc>
          <w:tcPr>
            <w:tcW w:w="3690" w:type="dxa"/>
            <w:tcBorders>
              <w:right w:val="single" w:sz="4" w:space="0" w:color="auto"/>
            </w:tcBorders>
            <w:vAlign w:val="bottom"/>
          </w:tcPr>
          <w:p w14:paraId="370D17E0" w14:textId="3F1D35DC" w:rsidR="00024ECE" w:rsidRPr="00DE0A84" w:rsidRDefault="00024ECE" w:rsidP="00C874C2">
            <w:pPr>
              <w:rPr>
                <w:rFonts w:ascii="Helvetica" w:hAnsi="Helvetica" w:cs="Arial"/>
              </w:rPr>
            </w:pPr>
            <w:r w:rsidRPr="00DE0A84">
              <w:rPr>
                <w:rFonts w:ascii="Helvetica" w:hAnsi="Helvetica" w:cs="Arial"/>
              </w:rPr>
              <w:t xml:space="preserve">Pets enrolled, </w:t>
            </w:r>
            <w:r w:rsidR="00C874C2" w:rsidRPr="00DE0A84">
              <w:rPr>
                <w:rFonts w:ascii="Helvetica" w:hAnsi="Helvetica" w:cs="Arial"/>
              </w:rPr>
              <w:t>no.</w:t>
            </w:r>
          </w:p>
        </w:tc>
        <w:tc>
          <w:tcPr>
            <w:tcW w:w="1795" w:type="dxa"/>
            <w:tcBorders>
              <w:left w:val="single" w:sz="4" w:space="0" w:color="auto"/>
              <w:right w:val="single" w:sz="4" w:space="0" w:color="auto"/>
            </w:tcBorders>
            <w:vAlign w:val="bottom"/>
          </w:tcPr>
          <w:p w14:paraId="0C59C7B7" w14:textId="77777777" w:rsidR="00024ECE" w:rsidRPr="00DE0A84" w:rsidRDefault="00024ECE" w:rsidP="00CA5013">
            <w:pPr>
              <w:rPr>
                <w:rFonts w:ascii="Helvetica" w:hAnsi="Helvetica" w:cs="Arial"/>
              </w:rPr>
            </w:pPr>
            <w:r w:rsidRPr="00DE0A84">
              <w:rPr>
                <w:rFonts w:ascii="Helvetica" w:hAnsi="Helvetica" w:cs="Arial"/>
              </w:rPr>
              <w:t>184</w:t>
            </w:r>
          </w:p>
        </w:tc>
        <w:tc>
          <w:tcPr>
            <w:tcW w:w="2070" w:type="dxa"/>
            <w:tcBorders>
              <w:left w:val="single" w:sz="4" w:space="0" w:color="auto"/>
            </w:tcBorders>
            <w:vAlign w:val="bottom"/>
          </w:tcPr>
          <w:p w14:paraId="6B4F7B10" w14:textId="77777777" w:rsidR="00024ECE" w:rsidRPr="00DE0A84" w:rsidRDefault="00024ECE" w:rsidP="00CA5013">
            <w:pPr>
              <w:rPr>
                <w:rFonts w:ascii="Helvetica" w:hAnsi="Helvetica" w:cs="Arial"/>
              </w:rPr>
            </w:pPr>
            <w:r w:rsidRPr="00DE0A84">
              <w:rPr>
                <w:rFonts w:ascii="Helvetica" w:hAnsi="Helvetica" w:cs="Arial"/>
              </w:rPr>
              <w:t>130</w:t>
            </w:r>
          </w:p>
        </w:tc>
      </w:tr>
      <w:tr w:rsidR="00DE0A84" w:rsidRPr="00DE0A84" w14:paraId="412266E9" w14:textId="77777777" w:rsidTr="00CA5013">
        <w:tc>
          <w:tcPr>
            <w:tcW w:w="3690" w:type="dxa"/>
            <w:tcBorders>
              <w:right w:val="single" w:sz="4" w:space="0" w:color="auto"/>
            </w:tcBorders>
            <w:vAlign w:val="bottom"/>
          </w:tcPr>
          <w:p w14:paraId="6C1456CD" w14:textId="5EA803D9" w:rsidR="00024ECE" w:rsidRPr="00DE0A84" w:rsidRDefault="00024ECE" w:rsidP="00C874C2">
            <w:pPr>
              <w:rPr>
                <w:rFonts w:ascii="Helvetica" w:hAnsi="Helvetica" w:cs="Arial"/>
              </w:rPr>
            </w:pPr>
            <w:r w:rsidRPr="00DE0A84">
              <w:rPr>
                <w:rFonts w:ascii="Helvetica" w:hAnsi="Helvetica" w:cs="Arial"/>
              </w:rPr>
              <w:t xml:space="preserve">    Pets sampled, </w:t>
            </w:r>
            <w:r w:rsidR="00C874C2" w:rsidRPr="00DE0A84">
              <w:rPr>
                <w:rFonts w:ascii="Helvetica" w:hAnsi="Helvetica" w:cs="Arial"/>
              </w:rPr>
              <w:t>no.</w:t>
            </w:r>
          </w:p>
        </w:tc>
        <w:tc>
          <w:tcPr>
            <w:tcW w:w="1795" w:type="dxa"/>
            <w:tcBorders>
              <w:left w:val="single" w:sz="4" w:space="0" w:color="auto"/>
              <w:right w:val="single" w:sz="4" w:space="0" w:color="auto"/>
            </w:tcBorders>
            <w:vAlign w:val="bottom"/>
          </w:tcPr>
          <w:p w14:paraId="6352F5D9" w14:textId="77777777" w:rsidR="00024ECE" w:rsidRPr="00DE0A84" w:rsidRDefault="00024ECE" w:rsidP="00CA5013">
            <w:pPr>
              <w:rPr>
                <w:rFonts w:ascii="Helvetica" w:hAnsi="Helvetica" w:cs="Arial"/>
              </w:rPr>
            </w:pPr>
            <w:r w:rsidRPr="00DE0A84">
              <w:rPr>
                <w:rFonts w:ascii="Helvetica" w:hAnsi="Helvetica" w:cs="Arial"/>
              </w:rPr>
              <w:t>179</w:t>
            </w:r>
            <w:r w:rsidRPr="00DE0A84">
              <w:rPr>
                <w:rFonts w:ascii="Helvetica" w:hAnsi="Helvetica" w:cs="Arial"/>
                <w:vertAlign w:val="superscript"/>
              </w:rPr>
              <w:t>1</w:t>
            </w:r>
            <w:r w:rsidRPr="00DE0A84">
              <w:rPr>
                <w:rFonts w:ascii="Helvetica" w:hAnsi="Helvetica" w:cs="Arial"/>
              </w:rPr>
              <w:t xml:space="preserve"> (97.3%)</w:t>
            </w:r>
          </w:p>
        </w:tc>
        <w:tc>
          <w:tcPr>
            <w:tcW w:w="2070" w:type="dxa"/>
            <w:tcBorders>
              <w:left w:val="single" w:sz="4" w:space="0" w:color="auto"/>
            </w:tcBorders>
            <w:vAlign w:val="bottom"/>
          </w:tcPr>
          <w:p w14:paraId="00AE7DF2" w14:textId="77777777" w:rsidR="00024ECE" w:rsidRPr="00DE0A84" w:rsidRDefault="00024ECE" w:rsidP="00CA5013">
            <w:pPr>
              <w:rPr>
                <w:rFonts w:ascii="Helvetica" w:hAnsi="Helvetica" w:cs="Arial"/>
              </w:rPr>
            </w:pPr>
            <w:r w:rsidRPr="00DE0A84">
              <w:rPr>
                <w:rFonts w:ascii="Helvetica" w:hAnsi="Helvetica" w:cs="Arial"/>
              </w:rPr>
              <w:t>125</w:t>
            </w:r>
            <w:r w:rsidRPr="00DE0A84">
              <w:rPr>
                <w:rFonts w:ascii="Helvetica" w:hAnsi="Helvetica" w:cs="Arial"/>
                <w:vertAlign w:val="superscript"/>
              </w:rPr>
              <w:t>4</w:t>
            </w:r>
            <w:r w:rsidRPr="00DE0A84">
              <w:rPr>
                <w:rFonts w:ascii="Helvetica" w:hAnsi="Helvetica" w:cs="Arial"/>
              </w:rPr>
              <w:t xml:space="preserve"> (96.2%)</w:t>
            </w:r>
          </w:p>
        </w:tc>
      </w:tr>
      <w:tr w:rsidR="00DE0A84" w:rsidRPr="00DE0A84" w14:paraId="696BB6B6" w14:textId="77777777" w:rsidTr="00CA5013">
        <w:tc>
          <w:tcPr>
            <w:tcW w:w="3690" w:type="dxa"/>
            <w:tcBorders>
              <w:right w:val="single" w:sz="4" w:space="0" w:color="auto"/>
            </w:tcBorders>
            <w:vAlign w:val="bottom"/>
          </w:tcPr>
          <w:p w14:paraId="5FD2C2C0" w14:textId="5365EEBD" w:rsidR="00024ECE" w:rsidRPr="00DE0A84" w:rsidRDefault="00024ECE" w:rsidP="00C874C2">
            <w:pPr>
              <w:rPr>
                <w:rFonts w:ascii="Helvetica" w:hAnsi="Helvetica" w:cs="Arial"/>
              </w:rPr>
            </w:pPr>
            <w:r w:rsidRPr="00DE0A84">
              <w:rPr>
                <w:rFonts w:ascii="Helvetica" w:hAnsi="Helvetica" w:cs="Arial"/>
              </w:rPr>
              <w:t xml:space="preserve">        Dogs, </w:t>
            </w:r>
            <w:r w:rsidR="00C874C2" w:rsidRPr="00DE0A84">
              <w:rPr>
                <w:rFonts w:ascii="Helvetica" w:hAnsi="Helvetica" w:cs="Arial"/>
              </w:rPr>
              <w:t xml:space="preserve">no. </w:t>
            </w:r>
            <w:r w:rsidRPr="00DE0A84">
              <w:rPr>
                <w:rFonts w:ascii="Helvetica" w:hAnsi="Helvetica" w:cs="Arial"/>
              </w:rPr>
              <w:t xml:space="preserve">(%) </w:t>
            </w:r>
          </w:p>
        </w:tc>
        <w:tc>
          <w:tcPr>
            <w:tcW w:w="1795" w:type="dxa"/>
            <w:tcBorders>
              <w:left w:val="single" w:sz="4" w:space="0" w:color="auto"/>
              <w:right w:val="single" w:sz="4" w:space="0" w:color="auto"/>
            </w:tcBorders>
            <w:vAlign w:val="bottom"/>
          </w:tcPr>
          <w:p w14:paraId="33861758" w14:textId="77777777" w:rsidR="00024ECE" w:rsidRPr="00DE0A84" w:rsidRDefault="00024ECE" w:rsidP="00CA5013">
            <w:pPr>
              <w:rPr>
                <w:rFonts w:ascii="Helvetica" w:hAnsi="Helvetica" w:cs="Arial"/>
              </w:rPr>
            </w:pPr>
            <w:r w:rsidRPr="00DE0A84">
              <w:rPr>
                <w:rFonts w:ascii="Helvetica" w:hAnsi="Helvetica" w:cs="Arial"/>
              </w:rPr>
              <w:t>71 (39.7%)</w:t>
            </w:r>
          </w:p>
        </w:tc>
        <w:tc>
          <w:tcPr>
            <w:tcW w:w="2070" w:type="dxa"/>
            <w:tcBorders>
              <w:left w:val="single" w:sz="4" w:space="0" w:color="auto"/>
            </w:tcBorders>
            <w:vAlign w:val="bottom"/>
          </w:tcPr>
          <w:p w14:paraId="3A3A4B68" w14:textId="77777777" w:rsidR="00024ECE" w:rsidRPr="00DE0A84" w:rsidRDefault="00024ECE" w:rsidP="00CA5013">
            <w:pPr>
              <w:rPr>
                <w:rFonts w:ascii="Helvetica" w:hAnsi="Helvetica" w:cs="Arial"/>
              </w:rPr>
            </w:pPr>
            <w:r w:rsidRPr="00DE0A84">
              <w:rPr>
                <w:rFonts w:ascii="Helvetica" w:hAnsi="Helvetica" w:cs="Arial"/>
              </w:rPr>
              <w:t>38 (30.4%)</w:t>
            </w:r>
          </w:p>
        </w:tc>
      </w:tr>
      <w:tr w:rsidR="00DE0A84" w:rsidRPr="00DE0A84" w14:paraId="5BBAB35B" w14:textId="77777777" w:rsidTr="00CA5013">
        <w:tc>
          <w:tcPr>
            <w:tcW w:w="3690" w:type="dxa"/>
            <w:tcBorders>
              <w:right w:val="single" w:sz="4" w:space="0" w:color="auto"/>
            </w:tcBorders>
            <w:vAlign w:val="bottom"/>
          </w:tcPr>
          <w:p w14:paraId="644D4D77" w14:textId="08849936" w:rsidR="00024ECE" w:rsidRPr="00DE0A84" w:rsidRDefault="00024ECE" w:rsidP="00C874C2">
            <w:pPr>
              <w:rPr>
                <w:rFonts w:ascii="Helvetica" w:hAnsi="Helvetica" w:cs="Arial"/>
              </w:rPr>
            </w:pPr>
            <w:r w:rsidRPr="00DE0A84">
              <w:rPr>
                <w:rFonts w:ascii="Helvetica" w:hAnsi="Helvetica" w:cs="Arial"/>
              </w:rPr>
              <w:t xml:space="preserve">        Cats, </w:t>
            </w:r>
            <w:r w:rsidR="00C874C2" w:rsidRPr="00DE0A84">
              <w:rPr>
                <w:rFonts w:ascii="Helvetica" w:hAnsi="Helvetica" w:cs="Arial"/>
              </w:rPr>
              <w:t xml:space="preserve">no. </w:t>
            </w:r>
            <w:r w:rsidRPr="00DE0A84">
              <w:rPr>
                <w:rFonts w:ascii="Helvetica" w:hAnsi="Helvetica" w:cs="Arial"/>
              </w:rPr>
              <w:t>(%)</w:t>
            </w:r>
          </w:p>
        </w:tc>
        <w:tc>
          <w:tcPr>
            <w:tcW w:w="1795" w:type="dxa"/>
            <w:tcBorders>
              <w:left w:val="single" w:sz="4" w:space="0" w:color="auto"/>
              <w:right w:val="single" w:sz="4" w:space="0" w:color="auto"/>
            </w:tcBorders>
            <w:vAlign w:val="bottom"/>
          </w:tcPr>
          <w:p w14:paraId="04A1B6E9" w14:textId="77777777" w:rsidR="00024ECE" w:rsidRPr="00DE0A84" w:rsidRDefault="00024ECE" w:rsidP="00CA5013">
            <w:pPr>
              <w:rPr>
                <w:rFonts w:ascii="Helvetica" w:hAnsi="Helvetica" w:cs="Arial"/>
              </w:rPr>
            </w:pPr>
            <w:r w:rsidRPr="00DE0A84">
              <w:rPr>
                <w:rFonts w:ascii="Helvetica" w:hAnsi="Helvetica" w:cs="Arial"/>
              </w:rPr>
              <w:t>63 (35.2%)</w:t>
            </w:r>
          </w:p>
        </w:tc>
        <w:tc>
          <w:tcPr>
            <w:tcW w:w="2070" w:type="dxa"/>
            <w:tcBorders>
              <w:left w:val="single" w:sz="4" w:space="0" w:color="auto"/>
            </w:tcBorders>
            <w:vAlign w:val="bottom"/>
          </w:tcPr>
          <w:p w14:paraId="4AF2B29B" w14:textId="77777777" w:rsidR="00024ECE" w:rsidRPr="00DE0A84" w:rsidRDefault="00024ECE" w:rsidP="00CA5013">
            <w:pPr>
              <w:rPr>
                <w:rFonts w:ascii="Helvetica" w:hAnsi="Helvetica" w:cs="Arial"/>
              </w:rPr>
            </w:pPr>
            <w:r w:rsidRPr="00DE0A84">
              <w:rPr>
                <w:rFonts w:ascii="Helvetica" w:hAnsi="Helvetica" w:cs="Arial"/>
              </w:rPr>
              <w:t>48 (38.4%)</w:t>
            </w:r>
          </w:p>
        </w:tc>
      </w:tr>
      <w:tr w:rsidR="00DE0A84" w:rsidRPr="00DE0A84" w14:paraId="5391B096" w14:textId="77777777" w:rsidTr="00CA5013">
        <w:tc>
          <w:tcPr>
            <w:tcW w:w="3690" w:type="dxa"/>
            <w:tcBorders>
              <w:right w:val="single" w:sz="4" w:space="0" w:color="auto"/>
            </w:tcBorders>
            <w:vAlign w:val="bottom"/>
          </w:tcPr>
          <w:p w14:paraId="247F9C1A" w14:textId="61F66A35" w:rsidR="00024ECE" w:rsidRPr="00DE0A84" w:rsidRDefault="00024ECE" w:rsidP="00C874C2">
            <w:pPr>
              <w:rPr>
                <w:rFonts w:ascii="Helvetica" w:hAnsi="Helvetica" w:cs="Arial"/>
              </w:rPr>
            </w:pPr>
            <w:r w:rsidRPr="00DE0A84">
              <w:rPr>
                <w:rFonts w:ascii="Helvetica" w:hAnsi="Helvetica" w:cs="Arial"/>
              </w:rPr>
              <w:t xml:space="preserve">        Small mammals</w:t>
            </w:r>
            <w:r w:rsidRPr="00DE0A84">
              <w:rPr>
                <w:rFonts w:ascii="Helvetica" w:hAnsi="Helvetica" w:cs="Arial"/>
                <w:vertAlign w:val="superscript"/>
              </w:rPr>
              <w:t>2</w:t>
            </w:r>
            <w:r w:rsidRPr="00DE0A84">
              <w:rPr>
                <w:rFonts w:ascii="Helvetica" w:hAnsi="Helvetica" w:cs="Arial"/>
              </w:rPr>
              <w:t xml:space="preserve">, </w:t>
            </w:r>
            <w:r w:rsidR="00C874C2" w:rsidRPr="00DE0A84">
              <w:rPr>
                <w:rFonts w:ascii="Helvetica" w:hAnsi="Helvetica" w:cs="Arial"/>
              </w:rPr>
              <w:t xml:space="preserve">no. </w:t>
            </w:r>
            <w:r w:rsidRPr="00DE0A84">
              <w:rPr>
                <w:rFonts w:ascii="Helvetica" w:hAnsi="Helvetica" w:cs="Arial"/>
              </w:rPr>
              <w:t>(%)</w:t>
            </w:r>
          </w:p>
        </w:tc>
        <w:tc>
          <w:tcPr>
            <w:tcW w:w="1795" w:type="dxa"/>
            <w:tcBorders>
              <w:left w:val="single" w:sz="4" w:space="0" w:color="auto"/>
              <w:right w:val="single" w:sz="4" w:space="0" w:color="auto"/>
            </w:tcBorders>
            <w:vAlign w:val="bottom"/>
          </w:tcPr>
          <w:p w14:paraId="4E945674" w14:textId="77777777" w:rsidR="00024ECE" w:rsidRPr="00DE0A84" w:rsidRDefault="00024ECE" w:rsidP="00CA5013">
            <w:pPr>
              <w:rPr>
                <w:rFonts w:ascii="Helvetica" w:hAnsi="Helvetica" w:cs="Arial"/>
              </w:rPr>
            </w:pPr>
            <w:r w:rsidRPr="00DE0A84">
              <w:rPr>
                <w:rFonts w:ascii="Helvetica" w:hAnsi="Helvetica" w:cs="Arial"/>
              </w:rPr>
              <w:t>11 (6.1%)</w:t>
            </w:r>
          </w:p>
        </w:tc>
        <w:tc>
          <w:tcPr>
            <w:tcW w:w="2070" w:type="dxa"/>
            <w:tcBorders>
              <w:left w:val="single" w:sz="4" w:space="0" w:color="auto"/>
            </w:tcBorders>
            <w:vAlign w:val="bottom"/>
          </w:tcPr>
          <w:p w14:paraId="2BC58525" w14:textId="77777777" w:rsidR="00024ECE" w:rsidRPr="00DE0A84" w:rsidRDefault="00024ECE" w:rsidP="00CA5013">
            <w:pPr>
              <w:rPr>
                <w:rFonts w:ascii="Helvetica" w:hAnsi="Helvetica" w:cs="Arial"/>
              </w:rPr>
            </w:pPr>
            <w:r w:rsidRPr="00DE0A84">
              <w:rPr>
                <w:rFonts w:ascii="Helvetica" w:hAnsi="Helvetica" w:cs="Arial"/>
              </w:rPr>
              <w:t>9 (7.2%)</w:t>
            </w:r>
          </w:p>
        </w:tc>
      </w:tr>
      <w:tr w:rsidR="00DE0A84" w:rsidRPr="00DE0A84" w14:paraId="2FE12770" w14:textId="77777777" w:rsidTr="00CA5013">
        <w:tc>
          <w:tcPr>
            <w:tcW w:w="3690" w:type="dxa"/>
            <w:tcBorders>
              <w:right w:val="single" w:sz="4" w:space="0" w:color="auto"/>
            </w:tcBorders>
            <w:vAlign w:val="bottom"/>
          </w:tcPr>
          <w:p w14:paraId="173043A9" w14:textId="455558EE" w:rsidR="00024ECE" w:rsidRPr="00DE0A84" w:rsidRDefault="00024ECE" w:rsidP="00C874C2">
            <w:pPr>
              <w:rPr>
                <w:rFonts w:ascii="Helvetica" w:hAnsi="Helvetica" w:cs="Arial"/>
              </w:rPr>
            </w:pPr>
            <w:r w:rsidRPr="00DE0A84">
              <w:rPr>
                <w:rFonts w:ascii="Helvetica" w:hAnsi="Helvetica" w:cs="Arial"/>
              </w:rPr>
              <w:t xml:space="preserve">        Reptiles and birds</w:t>
            </w:r>
            <w:r w:rsidRPr="00DE0A84">
              <w:rPr>
                <w:rFonts w:ascii="Helvetica" w:hAnsi="Helvetica" w:cs="Arial"/>
                <w:vertAlign w:val="superscript"/>
              </w:rPr>
              <w:t>3</w:t>
            </w:r>
            <w:r w:rsidRPr="00DE0A84">
              <w:rPr>
                <w:rFonts w:ascii="Helvetica" w:hAnsi="Helvetica" w:cs="Arial"/>
              </w:rPr>
              <w:t xml:space="preserve">, </w:t>
            </w:r>
            <w:r w:rsidR="00C874C2" w:rsidRPr="00DE0A84">
              <w:rPr>
                <w:rFonts w:ascii="Helvetica" w:hAnsi="Helvetica" w:cs="Arial"/>
              </w:rPr>
              <w:t xml:space="preserve">no. </w:t>
            </w:r>
            <w:r w:rsidRPr="00DE0A84">
              <w:rPr>
                <w:rFonts w:ascii="Helvetica" w:hAnsi="Helvetica" w:cs="Arial"/>
              </w:rPr>
              <w:t>(%)</w:t>
            </w:r>
          </w:p>
        </w:tc>
        <w:tc>
          <w:tcPr>
            <w:tcW w:w="1795" w:type="dxa"/>
            <w:tcBorders>
              <w:left w:val="single" w:sz="4" w:space="0" w:color="auto"/>
              <w:right w:val="single" w:sz="4" w:space="0" w:color="auto"/>
            </w:tcBorders>
            <w:vAlign w:val="bottom"/>
          </w:tcPr>
          <w:p w14:paraId="31A063B7" w14:textId="77777777" w:rsidR="00024ECE" w:rsidRPr="00DE0A84" w:rsidRDefault="00024ECE" w:rsidP="00CA5013">
            <w:pPr>
              <w:rPr>
                <w:rFonts w:ascii="Helvetica" w:hAnsi="Helvetica" w:cs="Arial"/>
              </w:rPr>
            </w:pPr>
            <w:r w:rsidRPr="00DE0A84">
              <w:rPr>
                <w:rFonts w:ascii="Helvetica" w:hAnsi="Helvetica" w:cs="Arial"/>
              </w:rPr>
              <w:t>23 (12.8%)</w:t>
            </w:r>
          </w:p>
        </w:tc>
        <w:tc>
          <w:tcPr>
            <w:tcW w:w="2070" w:type="dxa"/>
            <w:tcBorders>
              <w:left w:val="single" w:sz="4" w:space="0" w:color="auto"/>
            </w:tcBorders>
            <w:vAlign w:val="bottom"/>
          </w:tcPr>
          <w:p w14:paraId="711E3B98" w14:textId="77777777" w:rsidR="00024ECE" w:rsidRPr="00DE0A84" w:rsidRDefault="00024ECE" w:rsidP="00CA5013">
            <w:pPr>
              <w:rPr>
                <w:rFonts w:ascii="Helvetica" w:hAnsi="Helvetica" w:cs="Arial"/>
              </w:rPr>
            </w:pPr>
            <w:r w:rsidRPr="00DE0A84">
              <w:rPr>
                <w:rFonts w:ascii="Helvetica" w:hAnsi="Helvetica" w:cs="Arial"/>
              </w:rPr>
              <w:t>20 (16.0%)</w:t>
            </w:r>
          </w:p>
        </w:tc>
      </w:tr>
      <w:tr w:rsidR="00000000" w:rsidRPr="00DE0A84" w14:paraId="4D40FF04" w14:textId="77777777" w:rsidTr="00CA5013">
        <w:tc>
          <w:tcPr>
            <w:tcW w:w="3690" w:type="dxa"/>
            <w:tcBorders>
              <w:right w:val="single" w:sz="4" w:space="0" w:color="auto"/>
            </w:tcBorders>
            <w:vAlign w:val="bottom"/>
          </w:tcPr>
          <w:p w14:paraId="6BB2B8D8" w14:textId="76418EF4" w:rsidR="00024ECE" w:rsidRPr="00DE0A84" w:rsidRDefault="00024ECE" w:rsidP="00C874C2">
            <w:pPr>
              <w:rPr>
                <w:rFonts w:ascii="Helvetica" w:hAnsi="Helvetica" w:cs="Arial"/>
              </w:rPr>
            </w:pPr>
            <w:r w:rsidRPr="00DE0A84">
              <w:rPr>
                <w:rFonts w:ascii="Helvetica" w:hAnsi="Helvetica" w:cs="Arial"/>
              </w:rPr>
              <w:t xml:space="preserve">        Freshwater fish tank, </w:t>
            </w:r>
            <w:r w:rsidR="00C874C2" w:rsidRPr="00DE0A84">
              <w:rPr>
                <w:rFonts w:ascii="Helvetica" w:hAnsi="Helvetica" w:cs="Arial"/>
              </w:rPr>
              <w:t xml:space="preserve">no. </w:t>
            </w:r>
            <w:r w:rsidRPr="00DE0A84">
              <w:rPr>
                <w:rFonts w:ascii="Helvetica" w:hAnsi="Helvetica" w:cs="Arial"/>
              </w:rPr>
              <w:t>(%)</w:t>
            </w:r>
          </w:p>
        </w:tc>
        <w:tc>
          <w:tcPr>
            <w:tcW w:w="1795" w:type="dxa"/>
            <w:tcBorders>
              <w:left w:val="single" w:sz="4" w:space="0" w:color="auto"/>
              <w:right w:val="single" w:sz="4" w:space="0" w:color="auto"/>
            </w:tcBorders>
            <w:vAlign w:val="bottom"/>
          </w:tcPr>
          <w:p w14:paraId="426A2969" w14:textId="77777777" w:rsidR="00024ECE" w:rsidRPr="00DE0A84" w:rsidRDefault="00024ECE" w:rsidP="00CA5013">
            <w:pPr>
              <w:rPr>
                <w:rFonts w:ascii="Helvetica" w:hAnsi="Helvetica" w:cs="Arial"/>
              </w:rPr>
            </w:pPr>
            <w:r w:rsidRPr="00DE0A84">
              <w:rPr>
                <w:rFonts w:ascii="Helvetica" w:hAnsi="Helvetica" w:cs="Arial"/>
              </w:rPr>
              <w:t xml:space="preserve">11 (6.1%) </w:t>
            </w:r>
          </w:p>
        </w:tc>
        <w:tc>
          <w:tcPr>
            <w:tcW w:w="2070" w:type="dxa"/>
            <w:tcBorders>
              <w:left w:val="single" w:sz="4" w:space="0" w:color="auto"/>
            </w:tcBorders>
            <w:vAlign w:val="bottom"/>
          </w:tcPr>
          <w:p w14:paraId="7DC36D31" w14:textId="77777777" w:rsidR="00024ECE" w:rsidRPr="00DE0A84" w:rsidRDefault="00024ECE" w:rsidP="00CA5013">
            <w:pPr>
              <w:rPr>
                <w:rFonts w:ascii="Helvetica" w:hAnsi="Helvetica" w:cs="Arial"/>
              </w:rPr>
            </w:pPr>
            <w:r w:rsidRPr="00DE0A84">
              <w:rPr>
                <w:rFonts w:ascii="Helvetica" w:hAnsi="Helvetica" w:cs="Arial"/>
              </w:rPr>
              <w:t>11 (8.8%)</w:t>
            </w:r>
          </w:p>
        </w:tc>
      </w:tr>
    </w:tbl>
    <w:p w14:paraId="51840D00" w14:textId="77777777" w:rsidR="00024ECE" w:rsidRPr="00DE0A84" w:rsidRDefault="00024ECE" w:rsidP="00024ECE">
      <w:pPr>
        <w:spacing w:line="480" w:lineRule="auto"/>
        <w:rPr>
          <w:rFonts w:ascii="Helvetica" w:hAnsi="Helvetica" w:cs="Arial"/>
        </w:rPr>
      </w:pPr>
    </w:p>
    <w:tbl>
      <w:tblPr>
        <w:tblW w:w="9360" w:type="dxa"/>
        <w:tblLook w:val="04A0" w:firstRow="1" w:lastRow="0" w:firstColumn="1" w:lastColumn="0" w:noHBand="0" w:noVBand="1"/>
      </w:tblPr>
      <w:tblGrid>
        <w:gridCol w:w="9360"/>
      </w:tblGrid>
      <w:tr w:rsidR="00DE0A84" w:rsidRPr="00DE0A84" w14:paraId="09D92252" w14:textId="77777777" w:rsidTr="00CA5013">
        <w:trPr>
          <w:trHeight w:val="320"/>
        </w:trPr>
        <w:tc>
          <w:tcPr>
            <w:tcW w:w="9360" w:type="dxa"/>
            <w:tcBorders>
              <w:top w:val="nil"/>
              <w:left w:val="nil"/>
              <w:bottom w:val="nil"/>
              <w:right w:val="nil"/>
            </w:tcBorders>
            <w:shd w:val="clear" w:color="auto" w:fill="auto"/>
            <w:noWrap/>
            <w:vAlign w:val="bottom"/>
            <w:hideMark/>
          </w:tcPr>
          <w:p w14:paraId="51F39CF4" w14:textId="4DA5A955" w:rsidR="00024ECE" w:rsidRPr="00DE0A84" w:rsidRDefault="00024ECE" w:rsidP="003178AC">
            <w:pPr>
              <w:rPr>
                <w:rFonts w:ascii="Helvetica" w:hAnsi="Helvetica" w:cs="Arial"/>
              </w:rPr>
            </w:pPr>
            <w:r w:rsidRPr="00DE0A84">
              <w:rPr>
                <w:rFonts w:ascii="Helvetica" w:hAnsi="Helvetica" w:cs="Arial"/>
                <w:vertAlign w:val="superscript"/>
              </w:rPr>
              <w:t>1</w:t>
            </w:r>
            <w:r w:rsidRPr="00DE0A84">
              <w:rPr>
                <w:rFonts w:ascii="Helvetica" w:hAnsi="Helvetica" w:cs="Arial"/>
              </w:rPr>
              <w:t xml:space="preserve">179 of 184 enrolled pets were sampled. Reasons for not sampling were </w:t>
            </w:r>
            <w:r w:rsidR="00C874C2" w:rsidRPr="00DE0A84">
              <w:rPr>
                <w:rFonts w:ascii="Helvetica" w:hAnsi="Helvetica" w:cs="Arial"/>
              </w:rPr>
              <w:t>(i</w:t>
            </w:r>
            <w:r w:rsidRPr="00DE0A84">
              <w:rPr>
                <w:rFonts w:ascii="Helvetica" w:hAnsi="Helvetica" w:cs="Arial"/>
              </w:rPr>
              <w:t xml:space="preserve">) pet was outside or in an unattainable location, or </w:t>
            </w:r>
            <w:r w:rsidR="00C874C2" w:rsidRPr="00DE0A84">
              <w:rPr>
                <w:rFonts w:ascii="Helvetica" w:hAnsi="Helvetica" w:cs="Arial"/>
              </w:rPr>
              <w:t>(ii</w:t>
            </w:r>
            <w:r w:rsidRPr="00DE0A84">
              <w:rPr>
                <w:rFonts w:ascii="Helvetica" w:hAnsi="Helvetica" w:cs="Arial"/>
              </w:rPr>
              <w:t>) pet was too aggressive to be sampled</w:t>
            </w:r>
          </w:p>
        </w:tc>
      </w:tr>
      <w:tr w:rsidR="00DE0A84" w:rsidRPr="00DE0A84" w14:paraId="131A5D2D" w14:textId="77777777" w:rsidTr="00CA5013">
        <w:trPr>
          <w:trHeight w:val="320"/>
        </w:trPr>
        <w:tc>
          <w:tcPr>
            <w:tcW w:w="9360" w:type="dxa"/>
            <w:tcBorders>
              <w:top w:val="nil"/>
              <w:left w:val="nil"/>
              <w:bottom w:val="nil"/>
              <w:right w:val="nil"/>
            </w:tcBorders>
            <w:shd w:val="clear" w:color="auto" w:fill="auto"/>
            <w:noWrap/>
            <w:vAlign w:val="bottom"/>
            <w:hideMark/>
          </w:tcPr>
          <w:p w14:paraId="6A0669EB" w14:textId="1B077999" w:rsidR="00024ECE" w:rsidRPr="00DE0A84" w:rsidRDefault="00024ECE" w:rsidP="00CA5013">
            <w:pPr>
              <w:rPr>
                <w:rFonts w:ascii="Helvetica" w:hAnsi="Helvetica" w:cs="Arial"/>
              </w:rPr>
            </w:pPr>
            <w:r w:rsidRPr="00DE0A84">
              <w:rPr>
                <w:rFonts w:ascii="Helvetica" w:hAnsi="Helvetica" w:cs="Arial"/>
                <w:vertAlign w:val="superscript"/>
              </w:rPr>
              <w:t>2</w:t>
            </w:r>
            <w:r w:rsidRPr="00DE0A84">
              <w:rPr>
                <w:rFonts w:ascii="Helvetica" w:hAnsi="Helvetica" w:cs="Arial"/>
              </w:rPr>
              <w:t>Chinchillas, hamsters, rat, sugar glider, ferret, rabbit</w:t>
            </w:r>
          </w:p>
        </w:tc>
      </w:tr>
      <w:tr w:rsidR="00DE0A84" w:rsidRPr="00DE0A84" w14:paraId="2EC0126B" w14:textId="77777777" w:rsidTr="00CA5013">
        <w:trPr>
          <w:trHeight w:val="320"/>
        </w:trPr>
        <w:tc>
          <w:tcPr>
            <w:tcW w:w="9360" w:type="dxa"/>
            <w:tcBorders>
              <w:top w:val="nil"/>
              <w:left w:val="nil"/>
              <w:bottom w:val="nil"/>
              <w:right w:val="nil"/>
            </w:tcBorders>
            <w:shd w:val="clear" w:color="auto" w:fill="auto"/>
            <w:noWrap/>
            <w:vAlign w:val="bottom"/>
            <w:hideMark/>
          </w:tcPr>
          <w:p w14:paraId="75754409" w14:textId="45502CAA" w:rsidR="00024ECE" w:rsidRPr="00DE0A84" w:rsidRDefault="00024ECE" w:rsidP="00CA5013">
            <w:pPr>
              <w:rPr>
                <w:rFonts w:ascii="Helvetica" w:hAnsi="Helvetica" w:cs="Arial"/>
              </w:rPr>
            </w:pPr>
            <w:r w:rsidRPr="00DE0A84">
              <w:rPr>
                <w:rFonts w:ascii="Helvetica" w:hAnsi="Helvetica" w:cs="Arial"/>
                <w:vertAlign w:val="superscript"/>
              </w:rPr>
              <w:t>3</w:t>
            </w:r>
            <w:r w:rsidRPr="00DE0A84">
              <w:rPr>
                <w:rFonts w:ascii="Helvetica" w:hAnsi="Helvetica" w:cs="Arial"/>
              </w:rPr>
              <w:t>Turtles (primarily aquatic), lizards, snake, parrots</w:t>
            </w:r>
          </w:p>
        </w:tc>
      </w:tr>
      <w:tr w:rsidR="00000000" w:rsidRPr="00DE0A84" w14:paraId="2D02A289" w14:textId="77777777" w:rsidTr="00CA5013">
        <w:trPr>
          <w:trHeight w:val="77"/>
        </w:trPr>
        <w:tc>
          <w:tcPr>
            <w:tcW w:w="9360" w:type="dxa"/>
            <w:tcBorders>
              <w:top w:val="nil"/>
              <w:left w:val="nil"/>
              <w:bottom w:val="nil"/>
              <w:right w:val="nil"/>
            </w:tcBorders>
            <w:shd w:val="clear" w:color="auto" w:fill="auto"/>
            <w:noWrap/>
            <w:vAlign w:val="bottom"/>
            <w:hideMark/>
          </w:tcPr>
          <w:p w14:paraId="198F642C" w14:textId="5691FF4F" w:rsidR="00024ECE" w:rsidRPr="00DE0A84" w:rsidRDefault="00024ECE" w:rsidP="003178AC">
            <w:pPr>
              <w:rPr>
                <w:rFonts w:ascii="Helvetica" w:hAnsi="Helvetica" w:cs="Arial"/>
              </w:rPr>
            </w:pPr>
            <w:r w:rsidRPr="00DE0A84">
              <w:rPr>
                <w:rFonts w:ascii="Helvetica" w:hAnsi="Helvetica" w:cs="Arial"/>
                <w:vertAlign w:val="superscript"/>
              </w:rPr>
              <w:t>4</w:t>
            </w:r>
            <w:r w:rsidRPr="00DE0A84">
              <w:rPr>
                <w:rFonts w:ascii="Helvetica" w:hAnsi="Helvetica" w:cs="Arial"/>
              </w:rPr>
              <w:t xml:space="preserve">108 continuing pets, 17 new pets at follow-up (10 cats, </w:t>
            </w:r>
            <w:r w:rsidR="003178AC" w:rsidRPr="00DE0A84">
              <w:rPr>
                <w:rFonts w:ascii="Helvetica" w:hAnsi="Helvetica" w:cs="Arial"/>
              </w:rPr>
              <w:t xml:space="preserve">three </w:t>
            </w:r>
            <w:r w:rsidRPr="00DE0A84">
              <w:rPr>
                <w:rFonts w:ascii="Helvetica" w:hAnsi="Helvetica" w:cs="Arial"/>
              </w:rPr>
              <w:t xml:space="preserve">reptiles, </w:t>
            </w:r>
            <w:r w:rsidR="003178AC" w:rsidRPr="00DE0A84">
              <w:rPr>
                <w:rFonts w:ascii="Helvetica" w:hAnsi="Helvetica" w:cs="Arial"/>
              </w:rPr>
              <w:t xml:space="preserve">three </w:t>
            </w:r>
            <w:r w:rsidRPr="00DE0A84">
              <w:rPr>
                <w:rFonts w:ascii="Helvetica" w:hAnsi="Helvetica" w:cs="Arial"/>
              </w:rPr>
              <w:t xml:space="preserve">fish, </w:t>
            </w:r>
            <w:r w:rsidR="003178AC" w:rsidRPr="00DE0A84">
              <w:rPr>
                <w:rFonts w:ascii="Helvetica" w:hAnsi="Helvetica" w:cs="Arial"/>
              </w:rPr>
              <w:t xml:space="preserve">one </w:t>
            </w:r>
            <w:r w:rsidRPr="00DE0A84">
              <w:rPr>
                <w:rFonts w:ascii="Helvetica" w:hAnsi="Helvetica" w:cs="Arial"/>
              </w:rPr>
              <w:t xml:space="preserve">hamster), 125 </w:t>
            </w:r>
            <w:r w:rsidR="003178AC" w:rsidRPr="00DE0A84">
              <w:rPr>
                <w:rFonts w:ascii="Helvetica" w:hAnsi="Helvetica" w:cs="Arial"/>
              </w:rPr>
              <w:t xml:space="preserve">total </w:t>
            </w:r>
            <w:r w:rsidRPr="00DE0A84">
              <w:rPr>
                <w:rFonts w:ascii="Helvetica" w:hAnsi="Helvetica" w:cs="Arial"/>
              </w:rPr>
              <w:t>sampled</w:t>
            </w:r>
          </w:p>
        </w:tc>
      </w:tr>
    </w:tbl>
    <w:p w14:paraId="59918C92" w14:textId="77777777" w:rsidR="00024ECE" w:rsidRPr="00DE0A84" w:rsidRDefault="00024ECE" w:rsidP="00024ECE">
      <w:pPr>
        <w:rPr>
          <w:rFonts w:ascii="Helvetica" w:hAnsi="Helvetica" w:cs="Arial"/>
          <w:b/>
          <w:bCs/>
        </w:rPr>
      </w:pPr>
    </w:p>
    <w:p w14:paraId="105F2CC0" w14:textId="77777777" w:rsidR="00A86B0C" w:rsidRPr="00DE0A84" w:rsidRDefault="00A86B0C">
      <w:pPr>
        <w:rPr>
          <w:rFonts w:ascii="Helvetica" w:hAnsi="Helvetica" w:cs="Arial"/>
          <w:b/>
          <w:bCs/>
        </w:rPr>
      </w:pPr>
      <w:r w:rsidRPr="00DE0A84">
        <w:rPr>
          <w:rFonts w:ascii="Helvetica" w:hAnsi="Helvetica" w:cs="Arial"/>
          <w:b/>
          <w:bCs/>
        </w:rPr>
        <w:br w:type="page"/>
      </w:r>
    </w:p>
    <w:p w14:paraId="17BA69DD" w14:textId="1B4C5523" w:rsidR="00024ECE" w:rsidRPr="00DE0A84" w:rsidRDefault="00105108" w:rsidP="00024ECE">
      <w:pPr>
        <w:rPr>
          <w:rFonts w:ascii="Helvetica" w:hAnsi="Helvetica" w:cs="Arial"/>
          <w:b/>
          <w:bCs/>
        </w:rPr>
      </w:pPr>
      <w:r w:rsidRPr="00DE0A84">
        <w:rPr>
          <w:rFonts w:ascii="Helvetica" w:hAnsi="Helvetica" w:cs="Arial"/>
          <w:b/>
          <w:bCs/>
        </w:rPr>
        <w:lastRenderedPageBreak/>
        <w:t xml:space="preserve">TABLE </w:t>
      </w:r>
      <w:r w:rsidR="00024ECE" w:rsidRPr="00DE0A84">
        <w:rPr>
          <w:rFonts w:ascii="Helvetica" w:hAnsi="Helvetica" w:cs="Arial"/>
          <w:b/>
          <w:bCs/>
        </w:rPr>
        <w:t xml:space="preserve">S2. Pet </w:t>
      </w:r>
      <w:r w:rsidR="003178AC" w:rsidRPr="00DE0A84">
        <w:rPr>
          <w:rFonts w:ascii="Helvetica" w:hAnsi="Helvetica" w:cs="Arial"/>
          <w:b/>
          <w:bCs/>
        </w:rPr>
        <w:t>antibiotic use and veterinary clinic visits at baseline</w:t>
      </w:r>
    </w:p>
    <w:p w14:paraId="657BF868" w14:textId="77777777" w:rsidR="00024ECE" w:rsidRPr="00DE0A84" w:rsidRDefault="00024ECE" w:rsidP="00024ECE">
      <w:pPr>
        <w:rPr>
          <w:rFonts w:ascii="Helvetica" w:hAnsi="Helvetica" w:cs="Arial"/>
          <w:b/>
          <w:bCs/>
        </w:rPr>
      </w:pPr>
    </w:p>
    <w:p w14:paraId="5FF5A5AA" w14:textId="77777777" w:rsidR="00024ECE" w:rsidRPr="00DE0A84" w:rsidRDefault="00024ECE" w:rsidP="00024ECE">
      <w:pPr>
        <w:rPr>
          <w:rFonts w:ascii="Helvetica" w:hAnsi="Helvetica" w:cs="Arial"/>
          <w:b/>
          <w:bCs/>
        </w:rPr>
      </w:pPr>
    </w:p>
    <w:tbl>
      <w:tblPr>
        <w:tblStyle w:val="TableGrid"/>
        <w:tblpPr w:leftFromText="187" w:rightFromText="187" w:vertAnchor="text" w:tblpXSpec="center" w:tblpY="1"/>
        <w:tblOverlap w:val="never"/>
        <w:tblW w:w="9468" w:type="dxa"/>
        <w:tblLook w:val="04A0" w:firstRow="1" w:lastRow="0" w:firstColumn="1" w:lastColumn="0" w:noHBand="0" w:noVBand="1"/>
      </w:tblPr>
      <w:tblGrid>
        <w:gridCol w:w="1850"/>
        <w:gridCol w:w="1709"/>
        <w:gridCol w:w="1954"/>
        <w:gridCol w:w="1977"/>
        <w:gridCol w:w="1978"/>
      </w:tblGrid>
      <w:tr w:rsidR="00DE0A84" w:rsidRPr="00DE0A84" w14:paraId="56D0A572" w14:textId="77777777" w:rsidTr="00CA5013">
        <w:trPr>
          <w:trHeight w:val="765"/>
        </w:trPr>
        <w:tc>
          <w:tcPr>
            <w:tcW w:w="1850" w:type="dxa"/>
            <w:tcBorders>
              <w:top w:val="nil"/>
              <w:left w:val="nil"/>
              <w:bottom w:val="nil"/>
              <w:right w:val="nil"/>
            </w:tcBorders>
          </w:tcPr>
          <w:p w14:paraId="6DE15C92"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b/>
                <w:bCs/>
              </w:rPr>
            </w:pPr>
          </w:p>
        </w:tc>
        <w:tc>
          <w:tcPr>
            <w:tcW w:w="1709" w:type="dxa"/>
            <w:tcBorders>
              <w:top w:val="nil"/>
              <w:left w:val="nil"/>
              <w:bottom w:val="single" w:sz="4" w:space="0" w:color="auto"/>
              <w:right w:val="nil"/>
            </w:tcBorders>
          </w:tcPr>
          <w:p w14:paraId="79A949DE"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b/>
                <w:bCs/>
                <w:sz w:val="20"/>
                <w:szCs w:val="20"/>
              </w:rPr>
            </w:pPr>
            <w:r w:rsidRPr="00DE0A84">
              <w:rPr>
                <w:rFonts w:ascii="Helvetica" w:hAnsi="Helvetica" w:cs="Arial"/>
                <w:b/>
                <w:bCs/>
                <w:sz w:val="20"/>
                <w:szCs w:val="20"/>
              </w:rPr>
              <w:t>No vet visit or antibiotics</w:t>
            </w:r>
          </w:p>
          <w:p w14:paraId="6E83BB2A"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b/>
                <w:bCs/>
                <w:sz w:val="20"/>
                <w:szCs w:val="20"/>
              </w:rPr>
            </w:pPr>
          </w:p>
        </w:tc>
        <w:tc>
          <w:tcPr>
            <w:tcW w:w="1954" w:type="dxa"/>
            <w:tcBorders>
              <w:top w:val="nil"/>
              <w:left w:val="nil"/>
              <w:bottom w:val="single" w:sz="4" w:space="0" w:color="auto"/>
              <w:right w:val="nil"/>
            </w:tcBorders>
          </w:tcPr>
          <w:p w14:paraId="4EB01B4A"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b/>
                <w:bCs/>
                <w:sz w:val="20"/>
                <w:szCs w:val="20"/>
              </w:rPr>
            </w:pPr>
            <w:r w:rsidRPr="00DE0A84">
              <w:rPr>
                <w:rFonts w:ascii="Helvetica" w:hAnsi="Helvetica" w:cs="Arial"/>
                <w:b/>
                <w:bCs/>
                <w:sz w:val="20"/>
                <w:szCs w:val="20"/>
              </w:rPr>
              <w:t>Vet visit without antibiotics</w:t>
            </w:r>
          </w:p>
        </w:tc>
        <w:tc>
          <w:tcPr>
            <w:tcW w:w="1977" w:type="dxa"/>
            <w:tcBorders>
              <w:top w:val="nil"/>
              <w:left w:val="nil"/>
              <w:bottom w:val="single" w:sz="4" w:space="0" w:color="auto"/>
              <w:right w:val="nil"/>
            </w:tcBorders>
          </w:tcPr>
          <w:p w14:paraId="5513C86A"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b/>
                <w:bCs/>
                <w:sz w:val="20"/>
                <w:szCs w:val="20"/>
              </w:rPr>
            </w:pPr>
            <w:r w:rsidRPr="00DE0A84">
              <w:rPr>
                <w:rFonts w:ascii="Helvetica" w:hAnsi="Helvetica" w:cs="Arial"/>
                <w:b/>
                <w:bCs/>
                <w:sz w:val="20"/>
                <w:szCs w:val="20"/>
              </w:rPr>
              <w:t>Vet visit with antibiotics</w:t>
            </w:r>
          </w:p>
        </w:tc>
        <w:tc>
          <w:tcPr>
            <w:tcW w:w="1978" w:type="dxa"/>
            <w:tcBorders>
              <w:top w:val="nil"/>
              <w:left w:val="nil"/>
              <w:bottom w:val="single" w:sz="4" w:space="0" w:color="auto"/>
              <w:right w:val="nil"/>
            </w:tcBorders>
          </w:tcPr>
          <w:p w14:paraId="72FC5EE0"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b/>
                <w:bCs/>
                <w:sz w:val="20"/>
                <w:szCs w:val="20"/>
              </w:rPr>
            </w:pPr>
            <w:r w:rsidRPr="00DE0A84">
              <w:rPr>
                <w:rFonts w:ascii="Helvetica" w:hAnsi="Helvetica" w:cs="Arial"/>
                <w:b/>
                <w:bCs/>
                <w:sz w:val="20"/>
                <w:szCs w:val="20"/>
              </w:rPr>
              <w:t>Antibiotics without vet visit</w:t>
            </w:r>
          </w:p>
        </w:tc>
      </w:tr>
      <w:tr w:rsidR="00DE0A84" w:rsidRPr="00DE0A84" w14:paraId="65F9314F" w14:textId="77777777" w:rsidTr="00CA5013">
        <w:tc>
          <w:tcPr>
            <w:tcW w:w="1850" w:type="dxa"/>
            <w:tcBorders>
              <w:top w:val="nil"/>
              <w:left w:val="nil"/>
              <w:bottom w:val="single" w:sz="4" w:space="0" w:color="auto"/>
              <w:right w:val="nil"/>
            </w:tcBorders>
          </w:tcPr>
          <w:p w14:paraId="1D67D9D0"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Cs/>
                <w:sz w:val="20"/>
                <w:szCs w:val="20"/>
              </w:rPr>
            </w:pPr>
          </w:p>
          <w:p w14:paraId="341BBA68" w14:textId="36CF14AD"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Cats (N</w:t>
            </w:r>
            <w:r w:rsidR="003178AC" w:rsidRPr="00DE0A84">
              <w:rPr>
                <w:rFonts w:ascii="Helvetica" w:hAnsi="Helvetica" w:cs="Arial"/>
                <w:bCs/>
                <w:sz w:val="20"/>
                <w:szCs w:val="20"/>
              </w:rPr>
              <w:t> </w:t>
            </w:r>
            <w:r w:rsidRPr="00DE0A84">
              <w:rPr>
                <w:rFonts w:ascii="Helvetica" w:hAnsi="Helvetica" w:cs="Arial"/>
                <w:bCs/>
                <w:sz w:val="20"/>
                <w:szCs w:val="20"/>
              </w:rPr>
              <w:t>=</w:t>
            </w:r>
            <w:r w:rsidR="003178AC" w:rsidRPr="00DE0A84">
              <w:rPr>
                <w:rFonts w:ascii="Helvetica" w:hAnsi="Helvetica" w:cs="Arial"/>
                <w:bCs/>
                <w:sz w:val="20"/>
                <w:szCs w:val="20"/>
              </w:rPr>
              <w:t> </w:t>
            </w:r>
            <w:r w:rsidRPr="00DE0A84">
              <w:rPr>
                <w:rFonts w:ascii="Helvetica" w:hAnsi="Helvetica" w:cs="Arial"/>
                <w:bCs/>
                <w:sz w:val="20"/>
                <w:szCs w:val="20"/>
              </w:rPr>
              <w:t>63)</w:t>
            </w:r>
          </w:p>
        </w:tc>
        <w:tc>
          <w:tcPr>
            <w:tcW w:w="1709" w:type="dxa"/>
            <w:tcBorders>
              <w:left w:val="nil"/>
              <w:bottom w:val="single" w:sz="4" w:space="0" w:color="auto"/>
              <w:right w:val="nil"/>
            </w:tcBorders>
          </w:tcPr>
          <w:p w14:paraId="26CB0A50"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p>
        </w:tc>
        <w:tc>
          <w:tcPr>
            <w:tcW w:w="1954" w:type="dxa"/>
            <w:tcBorders>
              <w:left w:val="nil"/>
              <w:bottom w:val="single" w:sz="4" w:space="0" w:color="auto"/>
              <w:right w:val="nil"/>
            </w:tcBorders>
          </w:tcPr>
          <w:p w14:paraId="5657736E"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p>
        </w:tc>
        <w:tc>
          <w:tcPr>
            <w:tcW w:w="1977" w:type="dxa"/>
            <w:tcBorders>
              <w:left w:val="nil"/>
              <w:bottom w:val="single" w:sz="4" w:space="0" w:color="auto"/>
              <w:right w:val="nil"/>
            </w:tcBorders>
          </w:tcPr>
          <w:p w14:paraId="73F43107"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p>
        </w:tc>
        <w:tc>
          <w:tcPr>
            <w:tcW w:w="1978" w:type="dxa"/>
            <w:tcBorders>
              <w:left w:val="nil"/>
              <w:bottom w:val="single" w:sz="4" w:space="0" w:color="auto"/>
              <w:right w:val="nil"/>
            </w:tcBorders>
          </w:tcPr>
          <w:p w14:paraId="7A09D339"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p>
        </w:tc>
      </w:tr>
      <w:tr w:rsidR="00DE0A84" w:rsidRPr="00DE0A84" w14:paraId="05E2652A" w14:textId="77777777" w:rsidTr="00CA5013">
        <w:tc>
          <w:tcPr>
            <w:tcW w:w="1850" w:type="dxa"/>
            <w:tcBorders>
              <w:top w:val="single" w:sz="4" w:space="0" w:color="auto"/>
              <w:left w:val="nil"/>
              <w:bottom w:val="single" w:sz="4" w:space="0" w:color="auto"/>
              <w:right w:val="nil"/>
            </w:tcBorders>
          </w:tcPr>
          <w:p w14:paraId="23E58A6E"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MRSA-positive,</w:t>
            </w:r>
          </w:p>
          <w:p w14:paraId="37FC5290" w14:textId="39FC6659" w:rsidR="00024ECE" w:rsidRPr="00DE0A84" w:rsidRDefault="003178AC"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 xml:space="preserve">no. </w:t>
            </w:r>
            <w:r w:rsidR="00024ECE" w:rsidRPr="00DE0A84">
              <w:rPr>
                <w:rFonts w:ascii="Helvetica" w:hAnsi="Helvetica" w:cs="Arial"/>
                <w:bCs/>
                <w:sz w:val="20"/>
                <w:szCs w:val="20"/>
              </w:rPr>
              <w:t>(%)</w:t>
            </w:r>
          </w:p>
        </w:tc>
        <w:tc>
          <w:tcPr>
            <w:tcW w:w="1709" w:type="dxa"/>
            <w:tcBorders>
              <w:top w:val="single" w:sz="4" w:space="0" w:color="auto"/>
              <w:left w:val="nil"/>
              <w:bottom w:val="single" w:sz="4" w:space="0" w:color="auto"/>
              <w:right w:val="nil"/>
            </w:tcBorders>
          </w:tcPr>
          <w:p w14:paraId="65F8256B"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3 (4.8%)</w:t>
            </w:r>
          </w:p>
        </w:tc>
        <w:tc>
          <w:tcPr>
            <w:tcW w:w="1954" w:type="dxa"/>
            <w:tcBorders>
              <w:top w:val="single" w:sz="4" w:space="0" w:color="auto"/>
              <w:left w:val="nil"/>
              <w:bottom w:val="single" w:sz="4" w:space="0" w:color="auto"/>
              <w:right w:val="nil"/>
            </w:tcBorders>
          </w:tcPr>
          <w:p w14:paraId="7BC0622B"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1 (1.6%)</w:t>
            </w:r>
          </w:p>
        </w:tc>
        <w:tc>
          <w:tcPr>
            <w:tcW w:w="1977" w:type="dxa"/>
            <w:tcBorders>
              <w:top w:val="single" w:sz="4" w:space="0" w:color="auto"/>
              <w:left w:val="nil"/>
              <w:bottom w:val="single" w:sz="4" w:space="0" w:color="auto"/>
              <w:right w:val="nil"/>
            </w:tcBorders>
          </w:tcPr>
          <w:p w14:paraId="1E8305D5"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3 (4.8%)</w:t>
            </w:r>
          </w:p>
        </w:tc>
        <w:tc>
          <w:tcPr>
            <w:tcW w:w="1978" w:type="dxa"/>
            <w:tcBorders>
              <w:top w:val="single" w:sz="4" w:space="0" w:color="auto"/>
              <w:left w:val="nil"/>
              <w:bottom w:val="single" w:sz="4" w:space="0" w:color="auto"/>
              <w:right w:val="nil"/>
            </w:tcBorders>
          </w:tcPr>
          <w:p w14:paraId="238379BF"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0</w:t>
            </w:r>
          </w:p>
        </w:tc>
      </w:tr>
      <w:tr w:rsidR="00DE0A84" w:rsidRPr="00DE0A84" w14:paraId="221E6278" w14:textId="77777777" w:rsidTr="00CA5013">
        <w:tc>
          <w:tcPr>
            <w:tcW w:w="1850" w:type="dxa"/>
            <w:tcBorders>
              <w:left w:val="nil"/>
              <w:bottom w:val="nil"/>
              <w:right w:val="nil"/>
            </w:tcBorders>
          </w:tcPr>
          <w:p w14:paraId="594FA864"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MRSA-negative,</w:t>
            </w:r>
          </w:p>
          <w:p w14:paraId="5FFBDDA4" w14:textId="22EF2659" w:rsidR="00024ECE" w:rsidRPr="00DE0A84" w:rsidRDefault="003178AC"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 xml:space="preserve">no. </w:t>
            </w:r>
            <w:r w:rsidR="00024ECE" w:rsidRPr="00DE0A84">
              <w:rPr>
                <w:rFonts w:ascii="Helvetica" w:hAnsi="Helvetica" w:cs="Arial"/>
                <w:bCs/>
                <w:sz w:val="20"/>
                <w:szCs w:val="20"/>
              </w:rPr>
              <w:t>(%)</w:t>
            </w:r>
          </w:p>
        </w:tc>
        <w:tc>
          <w:tcPr>
            <w:tcW w:w="1709" w:type="dxa"/>
            <w:tcBorders>
              <w:left w:val="nil"/>
              <w:bottom w:val="nil"/>
              <w:right w:val="nil"/>
            </w:tcBorders>
          </w:tcPr>
          <w:p w14:paraId="5C72CA32"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39 (61.9%)</w:t>
            </w:r>
          </w:p>
        </w:tc>
        <w:tc>
          <w:tcPr>
            <w:tcW w:w="1954" w:type="dxa"/>
            <w:tcBorders>
              <w:left w:val="nil"/>
              <w:bottom w:val="nil"/>
              <w:right w:val="nil"/>
            </w:tcBorders>
          </w:tcPr>
          <w:p w14:paraId="3AC3D667"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15 (23.8%)</w:t>
            </w:r>
          </w:p>
        </w:tc>
        <w:tc>
          <w:tcPr>
            <w:tcW w:w="1977" w:type="dxa"/>
            <w:tcBorders>
              <w:left w:val="nil"/>
              <w:bottom w:val="nil"/>
              <w:right w:val="nil"/>
            </w:tcBorders>
          </w:tcPr>
          <w:p w14:paraId="0604F906"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2 (3.2%)</w:t>
            </w:r>
          </w:p>
        </w:tc>
        <w:tc>
          <w:tcPr>
            <w:tcW w:w="1978" w:type="dxa"/>
            <w:tcBorders>
              <w:left w:val="nil"/>
              <w:bottom w:val="nil"/>
              <w:right w:val="nil"/>
            </w:tcBorders>
          </w:tcPr>
          <w:p w14:paraId="07D21939"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0</w:t>
            </w:r>
          </w:p>
        </w:tc>
      </w:tr>
      <w:tr w:rsidR="00DE0A84" w:rsidRPr="00DE0A84" w14:paraId="659A7BD2" w14:textId="77777777" w:rsidTr="00CA5013">
        <w:tc>
          <w:tcPr>
            <w:tcW w:w="1850" w:type="dxa"/>
            <w:tcBorders>
              <w:top w:val="nil"/>
              <w:left w:val="nil"/>
              <w:right w:val="nil"/>
            </w:tcBorders>
          </w:tcPr>
          <w:p w14:paraId="02B4695E"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Cs/>
                <w:sz w:val="20"/>
                <w:szCs w:val="20"/>
              </w:rPr>
            </w:pPr>
          </w:p>
          <w:p w14:paraId="5E3AF178" w14:textId="4874043D"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Dogs (N</w:t>
            </w:r>
            <w:r w:rsidR="003178AC" w:rsidRPr="00DE0A84">
              <w:rPr>
                <w:rFonts w:ascii="Helvetica" w:hAnsi="Helvetica" w:cs="Arial"/>
                <w:bCs/>
                <w:sz w:val="20"/>
                <w:szCs w:val="20"/>
              </w:rPr>
              <w:t> </w:t>
            </w:r>
            <w:r w:rsidRPr="00DE0A84">
              <w:rPr>
                <w:rFonts w:ascii="Helvetica" w:hAnsi="Helvetica" w:cs="Arial"/>
                <w:bCs/>
                <w:sz w:val="20"/>
                <w:szCs w:val="20"/>
              </w:rPr>
              <w:t>=</w:t>
            </w:r>
            <w:r w:rsidR="003178AC" w:rsidRPr="00DE0A84">
              <w:rPr>
                <w:rFonts w:ascii="Helvetica" w:hAnsi="Helvetica" w:cs="Arial"/>
                <w:bCs/>
                <w:sz w:val="20"/>
                <w:szCs w:val="20"/>
              </w:rPr>
              <w:t> </w:t>
            </w:r>
            <w:r w:rsidRPr="00DE0A84">
              <w:rPr>
                <w:rFonts w:ascii="Helvetica" w:hAnsi="Helvetica" w:cs="Arial"/>
                <w:bCs/>
                <w:sz w:val="20"/>
                <w:szCs w:val="20"/>
              </w:rPr>
              <w:t>71)</w:t>
            </w:r>
          </w:p>
        </w:tc>
        <w:tc>
          <w:tcPr>
            <w:tcW w:w="1709" w:type="dxa"/>
            <w:tcBorders>
              <w:top w:val="nil"/>
              <w:left w:val="nil"/>
              <w:right w:val="nil"/>
            </w:tcBorders>
          </w:tcPr>
          <w:p w14:paraId="164E7CE3"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p>
        </w:tc>
        <w:tc>
          <w:tcPr>
            <w:tcW w:w="1954" w:type="dxa"/>
            <w:tcBorders>
              <w:top w:val="nil"/>
              <w:left w:val="nil"/>
              <w:right w:val="nil"/>
            </w:tcBorders>
          </w:tcPr>
          <w:p w14:paraId="5C19D758"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p>
        </w:tc>
        <w:tc>
          <w:tcPr>
            <w:tcW w:w="1977" w:type="dxa"/>
            <w:tcBorders>
              <w:top w:val="nil"/>
              <w:left w:val="nil"/>
              <w:right w:val="nil"/>
            </w:tcBorders>
          </w:tcPr>
          <w:p w14:paraId="666744BA"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p>
        </w:tc>
        <w:tc>
          <w:tcPr>
            <w:tcW w:w="1978" w:type="dxa"/>
            <w:tcBorders>
              <w:top w:val="nil"/>
              <w:left w:val="nil"/>
              <w:right w:val="nil"/>
            </w:tcBorders>
          </w:tcPr>
          <w:p w14:paraId="22C473C8"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p>
        </w:tc>
      </w:tr>
      <w:tr w:rsidR="00DE0A84" w:rsidRPr="00DE0A84" w14:paraId="65DE4FCB" w14:textId="77777777" w:rsidTr="00CA5013">
        <w:tc>
          <w:tcPr>
            <w:tcW w:w="1850" w:type="dxa"/>
            <w:tcBorders>
              <w:left w:val="nil"/>
              <w:right w:val="nil"/>
            </w:tcBorders>
          </w:tcPr>
          <w:p w14:paraId="728D2205"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MRSA-positive,</w:t>
            </w:r>
          </w:p>
          <w:p w14:paraId="2B5F07E3" w14:textId="4B9ED8C8" w:rsidR="00024ECE" w:rsidRPr="00DE0A84" w:rsidRDefault="003178AC"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 xml:space="preserve">no. </w:t>
            </w:r>
            <w:r w:rsidR="00024ECE" w:rsidRPr="00DE0A84">
              <w:rPr>
                <w:rFonts w:ascii="Helvetica" w:hAnsi="Helvetica" w:cs="Arial"/>
                <w:bCs/>
                <w:sz w:val="20"/>
                <w:szCs w:val="20"/>
              </w:rPr>
              <w:t>(%)</w:t>
            </w:r>
          </w:p>
        </w:tc>
        <w:tc>
          <w:tcPr>
            <w:tcW w:w="1709" w:type="dxa"/>
            <w:tcBorders>
              <w:left w:val="nil"/>
              <w:right w:val="nil"/>
            </w:tcBorders>
          </w:tcPr>
          <w:p w14:paraId="77BE62DB"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2 (2.8%)</w:t>
            </w:r>
          </w:p>
        </w:tc>
        <w:tc>
          <w:tcPr>
            <w:tcW w:w="1954" w:type="dxa"/>
            <w:tcBorders>
              <w:left w:val="nil"/>
              <w:right w:val="nil"/>
            </w:tcBorders>
          </w:tcPr>
          <w:p w14:paraId="5DE37221"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3 (4.2%)</w:t>
            </w:r>
          </w:p>
        </w:tc>
        <w:tc>
          <w:tcPr>
            <w:tcW w:w="1977" w:type="dxa"/>
            <w:tcBorders>
              <w:left w:val="nil"/>
              <w:right w:val="nil"/>
            </w:tcBorders>
          </w:tcPr>
          <w:p w14:paraId="799E3E84"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0</w:t>
            </w:r>
          </w:p>
        </w:tc>
        <w:tc>
          <w:tcPr>
            <w:tcW w:w="1978" w:type="dxa"/>
            <w:tcBorders>
              <w:left w:val="nil"/>
              <w:right w:val="nil"/>
            </w:tcBorders>
          </w:tcPr>
          <w:p w14:paraId="46D148B0"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0</w:t>
            </w:r>
          </w:p>
        </w:tc>
      </w:tr>
      <w:tr w:rsidR="00DE0A84" w:rsidRPr="00DE0A84" w14:paraId="39287E30" w14:textId="77777777" w:rsidTr="00CA5013">
        <w:trPr>
          <w:trHeight w:val="449"/>
        </w:trPr>
        <w:tc>
          <w:tcPr>
            <w:tcW w:w="1850" w:type="dxa"/>
            <w:tcBorders>
              <w:left w:val="nil"/>
              <w:right w:val="nil"/>
            </w:tcBorders>
          </w:tcPr>
          <w:p w14:paraId="1CA80001"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MRSA-negative,</w:t>
            </w:r>
          </w:p>
          <w:p w14:paraId="7414F75C" w14:textId="27EF5031" w:rsidR="00024ECE" w:rsidRPr="00DE0A84" w:rsidRDefault="003178AC"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 xml:space="preserve">no. </w:t>
            </w:r>
            <w:r w:rsidR="00024ECE" w:rsidRPr="00DE0A84">
              <w:rPr>
                <w:rFonts w:ascii="Helvetica" w:hAnsi="Helvetica" w:cs="Arial"/>
                <w:bCs/>
                <w:sz w:val="20"/>
                <w:szCs w:val="20"/>
              </w:rPr>
              <w:t>(%)</w:t>
            </w:r>
          </w:p>
        </w:tc>
        <w:tc>
          <w:tcPr>
            <w:tcW w:w="1709" w:type="dxa"/>
            <w:tcBorders>
              <w:left w:val="nil"/>
              <w:right w:val="nil"/>
            </w:tcBorders>
          </w:tcPr>
          <w:p w14:paraId="63626BD2"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37 (52.1%)</w:t>
            </w:r>
          </w:p>
        </w:tc>
        <w:tc>
          <w:tcPr>
            <w:tcW w:w="1954" w:type="dxa"/>
            <w:tcBorders>
              <w:left w:val="nil"/>
              <w:right w:val="nil"/>
            </w:tcBorders>
          </w:tcPr>
          <w:p w14:paraId="51CF4A9A"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24 (33.8%)</w:t>
            </w:r>
          </w:p>
        </w:tc>
        <w:tc>
          <w:tcPr>
            <w:tcW w:w="1977" w:type="dxa"/>
            <w:tcBorders>
              <w:left w:val="nil"/>
              <w:right w:val="nil"/>
            </w:tcBorders>
          </w:tcPr>
          <w:p w14:paraId="186DE4B1"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5 (7.0%)</w:t>
            </w:r>
          </w:p>
        </w:tc>
        <w:tc>
          <w:tcPr>
            <w:tcW w:w="1978" w:type="dxa"/>
            <w:tcBorders>
              <w:left w:val="nil"/>
              <w:right w:val="nil"/>
            </w:tcBorders>
          </w:tcPr>
          <w:p w14:paraId="4AEB1F9C"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0</w:t>
            </w:r>
          </w:p>
        </w:tc>
      </w:tr>
      <w:tr w:rsidR="00DE0A84" w:rsidRPr="00DE0A84" w14:paraId="138B7B6F" w14:textId="77777777" w:rsidTr="00CA5013">
        <w:trPr>
          <w:trHeight w:val="765"/>
        </w:trPr>
        <w:tc>
          <w:tcPr>
            <w:tcW w:w="1850" w:type="dxa"/>
            <w:tcBorders>
              <w:top w:val="nil"/>
              <w:left w:val="nil"/>
              <w:bottom w:val="nil"/>
              <w:right w:val="nil"/>
            </w:tcBorders>
          </w:tcPr>
          <w:p w14:paraId="617DBB19"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b/>
                <w:bCs/>
              </w:rPr>
            </w:pPr>
          </w:p>
        </w:tc>
        <w:tc>
          <w:tcPr>
            <w:tcW w:w="1709" w:type="dxa"/>
            <w:tcBorders>
              <w:top w:val="nil"/>
              <w:left w:val="nil"/>
              <w:bottom w:val="nil"/>
              <w:right w:val="nil"/>
            </w:tcBorders>
          </w:tcPr>
          <w:p w14:paraId="2F7F88BF"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b/>
                <w:bCs/>
                <w:sz w:val="20"/>
                <w:szCs w:val="20"/>
              </w:rPr>
            </w:pPr>
          </w:p>
        </w:tc>
        <w:tc>
          <w:tcPr>
            <w:tcW w:w="1954" w:type="dxa"/>
            <w:tcBorders>
              <w:top w:val="nil"/>
              <w:left w:val="nil"/>
              <w:bottom w:val="nil"/>
              <w:right w:val="nil"/>
            </w:tcBorders>
          </w:tcPr>
          <w:p w14:paraId="4AADD8FC"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b/>
                <w:bCs/>
                <w:sz w:val="20"/>
                <w:szCs w:val="20"/>
              </w:rPr>
            </w:pPr>
          </w:p>
        </w:tc>
        <w:tc>
          <w:tcPr>
            <w:tcW w:w="1977" w:type="dxa"/>
            <w:tcBorders>
              <w:top w:val="nil"/>
              <w:left w:val="nil"/>
              <w:bottom w:val="nil"/>
              <w:right w:val="nil"/>
            </w:tcBorders>
          </w:tcPr>
          <w:p w14:paraId="0A6A0DF9"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b/>
                <w:bCs/>
                <w:sz w:val="20"/>
                <w:szCs w:val="20"/>
              </w:rPr>
            </w:pPr>
          </w:p>
        </w:tc>
        <w:tc>
          <w:tcPr>
            <w:tcW w:w="1978" w:type="dxa"/>
            <w:tcBorders>
              <w:top w:val="nil"/>
              <w:left w:val="nil"/>
              <w:bottom w:val="nil"/>
              <w:right w:val="nil"/>
            </w:tcBorders>
          </w:tcPr>
          <w:p w14:paraId="21A6B571"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
                <w:bCs/>
                <w:sz w:val="20"/>
                <w:szCs w:val="20"/>
              </w:rPr>
            </w:pPr>
          </w:p>
        </w:tc>
      </w:tr>
      <w:tr w:rsidR="00DE0A84" w:rsidRPr="00DE0A84" w14:paraId="235F9DE9" w14:textId="77777777" w:rsidTr="00CA5013">
        <w:trPr>
          <w:trHeight w:val="765"/>
        </w:trPr>
        <w:tc>
          <w:tcPr>
            <w:tcW w:w="1850" w:type="dxa"/>
            <w:tcBorders>
              <w:top w:val="nil"/>
              <w:left w:val="nil"/>
              <w:bottom w:val="nil"/>
              <w:right w:val="nil"/>
            </w:tcBorders>
          </w:tcPr>
          <w:p w14:paraId="690AFA75"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b/>
                <w:bCs/>
              </w:rPr>
            </w:pPr>
          </w:p>
        </w:tc>
        <w:tc>
          <w:tcPr>
            <w:tcW w:w="1709" w:type="dxa"/>
            <w:tcBorders>
              <w:top w:val="nil"/>
              <w:left w:val="nil"/>
              <w:bottom w:val="single" w:sz="4" w:space="0" w:color="auto"/>
              <w:right w:val="nil"/>
            </w:tcBorders>
          </w:tcPr>
          <w:p w14:paraId="65374FFD"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b/>
                <w:bCs/>
                <w:sz w:val="20"/>
                <w:szCs w:val="20"/>
              </w:rPr>
            </w:pPr>
            <w:r w:rsidRPr="00DE0A84">
              <w:rPr>
                <w:rFonts w:ascii="Helvetica" w:hAnsi="Helvetica" w:cs="Arial"/>
                <w:b/>
                <w:bCs/>
                <w:sz w:val="20"/>
                <w:szCs w:val="20"/>
              </w:rPr>
              <w:t xml:space="preserve">No antibiotics </w:t>
            </w:r>
          </w:p>
          <w:p w14:paraId="160495EC" w14:textId="22E431FB"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b/>
                <w:bCs/>
                <w:sz w:val="20"/>
                <w:szCs w:val="20"/>
              </w:rPr>
            </w:pPr>
            <w:r w:rsidRPr="00DE0A84">
              <w:rPr>
                <w:rFonts w:ascii="Helvetica" w:hAnsi="Helvetica" w:cs="Arial"/>
                <w:b/>
                <w:bCs/>
                <w:sz w:val="20"/>
                <w:szCs w:val="20"/>
              </w:rPr>
              <w:t xml:space="preserve"> in </w:t>
            </w:r>
            <w:r w:rsidR="003178AC" w:rsidRPr="00DE0A84">
              <w:rPr>
                <w:rFonts w:ascii="Helvetica" w:hAnsi="Helvetica" w:cs="Arial"/>
                <w:b/>
                <w:bCs/>
                <w:sz w:val="20"/>
                <w:szCs w:val="20"/>
              </w:rPr>
              <w:t xml:space="preserve">one </w:t>
            </w:r>
            <w:r w:rsidRPr="00DE0A84">
              <w:rPr>
                <w:rFonts w:ascii="Helvetica" w:hAnsi="Helvetica" w:cs="Arial"/>
                <w:b/>
                <w:bCs/>
                <w:sz w:val="20"/>
                <w:szCs w:val="20"/>
              </w:rPr>
              <w:t>year</w:t>
            </w:r>
          </w:p>
          <w:p w14:paraId="48F83F9F"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b/>
                <w:bCs/>
                <w:sz w:val="20"/>
                <w:szCs w:val="20"/>
              </w:rPr>
            </w:pPr>
          </w:p>
        </w:tc>
        <w:tc>
          <w:tcPr>
            <w:tcW w:w="1954" w:type="dxa"/>
            <w:tcBorders>
              <w:top w:val="nil"/>
              <w:left w:val="nil"/>
              <w:bottom w:val="single" w:sz="4" w:space="0" w:color="auto"/>
              <w:right w:val="nil"/>
            </w:tcBorders>
          </w:tcPr>
          <w:p w14:paraId="76AD9C23" w14:textId="275E3D48"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b/>
                <w:bCs/>
                <w:sz w:val="20"/>
                <w:szCs w:val="20"/>
              </w:rPr>
            </w:pPr>
            <w:r w:rsidRPr="00DE0A84">
              <w:rPr>
                <w:rFonts w:ascii="Helvetica" w:hAnsi="Helvetica" w:cs="Arial"/>
                <w:b/>
                <w:bCs/>
                <w:sz w:val="20"/>
                <w:szCs w:val="20"/>
              </w:rPr>
              <w:t>Last received antibiotics in past year</w:t>
            </w:r>
          </w:p>
        </w:tc>
        <w:tc>
          <w:tcPr>
            <w:tcW w:w="1977" w:type="dxa"/>
            <w:tcBorders>
              <w:top w:val="nil"/>
              <w:left w:val="nil"/>
              <w:bottom w:val="single" w:sz="4" w:space="0" w:color="auto"/>
              <w:right w:val="nil"/>
            </w:tcBorders>
          </w:tcPr>
          <w:p w14:paraId="7D4BE1B3" w14:textId="6561B77D" w:rsidR="00024ECE" w:rsidRPr="00DE0A84" w:rsidRDefault="00024ECE" w:rsidP="003178AC">
            <w:pPr>
              <w:pStyle w:val="ListParagraph"/>
              <w:autoSpaceDE w:val="0"/>
              <w:autoSpaceDN w:val="0"/>
              <w:adjustRightInd w:val="0"/>
              <w:spacing w:afterLines="120" w:after="288" w:line="360" w:lineRule="auto"/>
              <w:ind w:left="0"/>
              <w:jc w:val="center"/>
              <w:rPr>
                <w:rFonts w:ascii="Helvetica" w:hAnsi="Helvetica" w:cs="Arial"/>
                <w:b/>
                <w:bCs/>
                <w:sz w:val="20"/>
                <w:szCs w:val="20"/>
              </w:rPr>
            </w:pPr>
            <w:r w:rsidRPr="00DE0A84">
              <w:rPr>
                <w:rFonts w:ascii="Helvetica" w:hAnsi="Helvetica" w:cs="Arial"/>
                <w:b/>
                <w:bCs/>
                <w:sz w:val="20"/>
                <w:szCs w:val="20"/>
              </w:rPr>
              <w:t xml:space="preserve">Last received antibiotics in past </w:t>
            </w:r>
            <w:r w:rsidR="003178AC" w:rsidRPr="00DE0A84">
              <w:rPr>
                <w:rFonts w:ascii="Helvetica" w:hAnsi="Helvetica" w:cs="Arial"/>
                <w:b/>
                <w:bCs/>
                <w:sz w:val="20"/>
                <w:szCs w:val="20"/>
              </w:rPr>
              <w:t xml:space="preserve">six </w:t>
            </w:r>
            <w:r w:rsidRPr="00DE0A84">
              <w:rPr>
                <w:rFonts w:ascii="Helvetica" w:hAnsi="Helvetica" w:cs="Arial"/>
                <w:b/>
                <w:bCs/>
                <w:sz w:val="20"/>
                <w:szCs w:val="20"/>
              </w:rPr>
              <w:t>months</w:t>
            </w:r>
          </w:p>
        </w:tc>
        <w:tc>
          <w:tcPr>
            <w:tcW w:w="1978" w:type="dxa"/>
            <w:tcBorders>
              <w:top w:val="nil"/>
              <w:left w:val="nil"/>
              <w:bottom w:val="single" w:sz="4" w:space="0" w:color="auto"/>
              <w:right w:val="nil"/>
            </w:tcBorders>
          </w:tcPr>
          <w:p w14:paraId="631E7AF3" w14:textId="70C9296C" w:rsidR="00024ECE" w:rsidRPr="00DE0A84" w:rsidRDefault="00024ECE" w:rsidP="003178AC">
            <w:pPr>
              <w:pStyle w:val="ListParagraph"/>
              <w:autoSpaceDE w:val="0"/>
              <w:autoSpaceDN w:val="0"/>
              <w:adjustRightInd w:val="0"/>
              <w:spacing w:afterLines="120" w:after="288" w:line="360" w:lineRule="auto"/>
              <w:ind w:left="0"/>
              <w:jc w:val="center"/>
              <w:rPr>
                <w:rFonts w:ascii="Helvetica" w:hAnsi="Helvetica" w:cs="Arial"/>
                <w:b/>
                <w:bCs/>
                <w:sz w:val="20"/>
                <w:szCs w:val="20"/>
              </w:rPr>
            </w:pPr>
            <w:r w:rsidRPr="00DE0A84">
              <w:rPr>
                <w:rFonts w:ascii="Helvetica" w:hAnsi="Helvetica" w:cs="Arial"/>
                <w:b/>
                <w:bCs/>
                <w:sz w:val="20"/>
                <w:szCs w:val="20"/>
              </w:rPr>
              <w:t>Last received antibiotics in past month</w:t>
            </w:r>
          </w:p>
        </w:tc>
      </w:tr>
      <w:tr w:rsidR="00DE0A84" w:rsidRPr="00DE0A84" w14:paraId="1B78FFDF" w14:textId="77777777" w:rsidTr="00CA5013">
        <w:trPr>
          <w:trHeight w:val="449"/>
        </w:trPr>
        <w:tc>
          <w:tcPr>
            <w:tcW w:w="1850" w:type="dxa"/>
            <w:tcBorders>
              <w:top w:val="nil"/>
              <w:left w:val="nil"/>
              <w:bottom w:val="single" w:sz="4" w:space="0" w:color="auto"/>
              <w:right w:val="nil"/>
            </w:tcBorders>
          </w:tcPr>
          <w:p w14:paraId="2639C11F"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Cs/>
                <w:sz w:val="20"/>
                <w:szCs w:val="20"/>
              </w:rPr>
            </w:pPr>
          </w:p>
          <w:p w14:paraId="10B29510" w14:textId="3C95F94F"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Cats (N</w:t>
            </w:r>
            <w:r w:rsidR="003178AC" w:rsidRPr="00DE0A84">
              <w:rPr>
                <w:rFonts w:ascii="Helvetica" w:hAnsi="Helvetica" w:cs="Arial"/>
                <w:bCs/>
                <w:sz w:val="20"/>
                <w:szCs w:val="20"/>
              </w:rPr>
              <w:t> </w:t>
            </w:r>
            <w:r w:rsidRPr="00DE0A84">
              <w:rPr>
                <w:rFonts w:ascii="Helvetica" w:hAnsi="Helvetica" w:cs="Arial"/>
                <w:bCs/>
                <w:sz w:val="20"/>
                <w:szCs w:val="20"/>
              </w:rPr>
              <w:t>=</w:t>
            </w:r>
            <w:r w:rsidR="003178AC" w:rsidRPr="00DE0A84">
              <w:rPr>
                <w:rFonts w:ascii="Helvetica" w:hAnsi="Helvetica" w:cs="Arial"/>
                <w:bCs/>
                <w:sz w:val="20"/>
                <w:szCs w:val="20"/>
              </w:rPr>
              <w:t> </w:t>
            </w:r>
            <w:r w:rsidRPr="00DE0A84">
              <w:rPr>
                <w:rFonts w:ascii="Helvetica" w:hAnsi="Helvetica" w:cs="Arial"/>
                <w:bCs/>
                <w:sz w:val="20"/>
                <w:szCs w:val="20"/>
              </w:rPr>
              <w:t>63)</w:t>
            </w:r>
          </w:p>
        </w:tc>
        <w:tc>
          <w:tcPr>
            <w:tcW w:w="1709" w:type="dxa"/>
            <w:tcBorders>
              <w:top w:val="nil"/>
              <w:left w:val="nil"/>
              <w:bottom w:val="single" w:sz="4" w:space="0" w:color="auto"/>
              <w:right w:val="nil"/>
            </w:tcBorders>
          </w:tcPr>
          <w:p w14:paraId="2E0D2F46"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p>
        </w:tc>
        <w:tc>
          <w:tcPr>
            <w:tcW w:w="1954" w:type="dxa"/>
            <w:tcBorders>
              <w:top w:val="nil"/>
              <w:left w:val="nil"/>
              <w:bottom w:val="single" w:sz="4" w:space="0" w:color="auto"/>
              <w:right w:val="nil"/>
            </w:tcBorders>
          </w:tcPr>
          <w:p w14:paraId="4ADB6D91"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p>
        </w:tc>
        <w:tc>
          <w:tcPr>
            <w:tcW w:w="1977" w:type="dxa"/>
            <w:tcBorders>
              <w:top w:val="nil"/>
              <w:left w:val="nil"/>
              <w:bottom w:val="single" w:sz="4" w:space="0" w:color="auto"/>
              <w:right w:val="nil"/>
            </w:tcBorders>
          </w:tcPr>
          <w:p w14:paraId="5F07250C"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p>
        </w:tc>
        <w:tc>
          <w:tcPr>
            <w:tcW w:w="1978" w:type="dxa"/>
            <w:tcBorders>
              <w:top w:val="nil"/>
              <w:left w:val="nil"/>
              <w:bottom w:val="single" w:sz="4" w:space="0" w:color="auto"/>
              <w:right w:val="nil"/>
            </w:tcBorders>
          </w:tcPr>
          <w:p w14:paraId="3025213D"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p>
        </w:tc>
      </w:tr>
      <w:tr w:rsidR="00DE0A84" w:rsidRPr="00DE0A84" w14:paraId="0298FC9D" w14:textId="77777777" w:rsidTr="00CA5013">
        <w:tc>
          <w:tcPr>
            <w:tcW w:w="1850" w:type="dxa"/>
            <w:tcBorders>
              <w:top w:val="single" w:sz="4" w:space="0" w:color="auto"/>
              <w:left w:val="nil"/>
              <w:bottom w:val="single" w:sz="4" w:space="0" w:color="auto"/>
              <w:right w:val="nil"/>
            </w:tcBorders>
          </w:tcPr>
          <w:p w14:paraId="0BFCD845"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MRSA-positive,</w:t>
            </w:r>
          </w:p>
          <w:p w14:paraId="7E0182C3" w14:textId="70470D77" w:rsidR="00024ECE" w:rsidRPr="00DE0A84" w:rsidRDefault="003178AC"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 xml:space="preserve">no. </w:t>
            </w:r>
            <w:r w:rsidR="00024ECE" w:rsidRPr="00DE0A84">
              <w:rPr>
                <w:rFonts w:ascii="Helvetica" w:hAnsi="Helvetica" w:cs="Arial"/>
                <w:bCs/>
                <w:sz w:val="20"/>
                <w:szCs w:val="20"/>
              </w:rPr>
              <w:t>(%)</w:t>
            </w:r>
          </w:p>
        </w:tc>
        <w:tc>
          <w:tcPr>
            <w:tcW w:w="1709" w:type="dxa"/>
            <w:tcBorders>
              <w:top w:val="single" w:sz="4" w:space="0" w:color="auto"/>
              <w:left w:val="nil"/>
              <w:bottom w:val="single" w:sz="4" w:space="0" w:color="auto"/>
              <w:right w:val="nil"/>
            </w:tcBorders>
          </w:tcPr>
          <w:p w14:paraId="1B027FC8"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4 (6.3%)</w:t>
            </w:r>
          </w:p>
        </w:tc>
        <w:tc>
          <w:tcPr>
            <w:tcW w:w="1954" w:type="dxa"/>
            <w:tcBorders>
              <w:top w:val="single" w:sz="4" w:space="0" w:color="auto"/>
              <w:left w:val="nil"/>
              <w:bottom w:val="single" w:sz="4" w:space="0" w:color="auto"/>
              <w:right w:val="nil"/>
            </w:tcBorders>
          </w:tcPr>
          <w:p w14:paraId="49ECE8C2"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1 (1.6%)</w:t>
            </w:r>
          </w:p>
        </w:tc>
        <w:tc>
          <w:tcPr>
            <w:tcW w:w="1977" w:type="dxa"/>
            <w:tcBorders>
              <w:top w:val="single" w:sz="4" w:space="0" w:color="auto"/>
              <w:left w:val="nil"/>
              <w:bottom w:val="single" w:sz="4" w:space="0" w:color="auto"/>
              <w:right w:val="nil"/>
            </w:tcBorders>
          </w:tcPr>
          <w:p w14:paraId="20AA30CC"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1 (1.6%)</w:t>
            </w:r>
          </w:p>
        </w:tc>
        <w:tc>
          <w:tcPr>
            <w:tcW w:w="1978" w:type="dxa"/>
            <w:tcBorders>
              <w:top w:val="single" w:sz="4" w:space="0" w:color="auto"/>
              <w:left w:val="nil"/>
              <w:bottom w:val="single" w:sz="4" w:space="0" w:color="auto"/>
              <w:right w:val="nil"/>
            </w:tcBorders>
          </w:tcPr>
          <w:p w14:paraId="3C1EBF2D"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1 (1.6%)</w:t>
            </w:r>
          </w:p>
        </w:tc>
      </w:tr>
      <w:tr w:rsidR="00DE0A84" w:rsidRPr="00DE0A84" w14:paraId="01531E0F" w14:textId="77777777" w:rsidTr="00CA5013">
        <w:tc>
          <w:tcPr>
            <w:tcW w:w="1850" w:type="dxa"/>
            <w:tcBorders>
              <w:left w:val="nil"/>
              <w:bottom w:val="nil"/>
              <w:right w:val="nil"/>
            </w:tcBorders>
          </w:tcPr>
          <w:p w14:paraId="421FCFA7"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MRSA-negative,</w:t>
            </w:r>
          </w:p>
          <w:p w14:paraId="596E117C" w14:textId="70DC8A89" w:rsidR="00024ECE" w:rsidRPr="00DE0A84" w:rsidRDefault="003178AC"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 xml:space="preserve">no. </w:t>
            </w:r>
            <w:r w:rsidR="00024ECE" w:rsidRPr="00DE0A84">
              <w:rPr>
                <w:rFonts w:ascii="Helvetica" w:hAnsi="Helvetica" w:cs="Arial"/>
                <w:bCs/>
                <w:sz w:val="20"/>
                <w:szCs w:val="20"/>
              </w:rPr>
              <w:t>(%)</w:t>
            </w:r>
          </w:p>
        </w:tc>
        <w:tc>
          <w:tcPr>
            <w:tcW w:w="1709" w:type="dxa"/>
            <w:tcBorders>
              <w:left w:val="nil"/>
              <w:bottom w:val="nil"/>
              <w:right w:val="nil"/>
            </w:tcBorders>
          </w:tcPr>
          <w:p w14:paraId="6EA1AE64"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54 (85.7%)</w:t>
            </w:r>
          </w:p>
        </w:tc>
        <w:tc>
          <w:tcPr>
            <w:tcW w:w="1954" w:type="dxa"/>
            <w:tcBorders>
              <w:left w:val="nil"/>
              <w:bottom w:val="nil"/>
              <w:right w:val="nil"/>
            </w:tcBorders>
          </w:tcPr>
          <w:p w14:paraId="4BAC2531"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0</w:t>
            </w:r>
          </w:p>
        </w:tc>
        <w:tc>
          <w:tcPr>
            <w:tcW w:w="1977" w:type="dxa"/>
            <w:tcBorders>
              <w:left w:val="nil"/>
              <w:bottom w:val="nil"/>
              <w:right w:val="nil"/>
            </w:tcBorders>
          </w:tcPr>
          <w:p w14:paraId="261BB42D"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1 (1.6%)</w:t>
            </w:r>
          </w:p>
        </w:tc>
        <w:tc>
          <w:tcPr>
            <w:tcW w:w="1978" w:type="dxa"/>
            <w:tcBorders>
              <w:left w:val="nil"/>
              <w:bottom w:val="nil"/>
              <w:right w:val="nil"/>
            </w:tcBorders>
          </w:tcPr>
          <w:p w14:paraId="0FDBE0FE"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1 (1.6%)</w:t>
            </w:r>
          </w:p>
        </w:tc>
      </w:tr>
      <w:tr w:rsidR="00DE0A84" w:rsidRPr="00DE0A84" w14:paraId="7BD1BC78" w14:textId="77777777" w:rsidTr="00CA5013">
        <w:trPr>
          <w:trHeight w:val="449"/>
        </w:trPr>
        <w:tc>
          <w:tcPr>
            <w:tcW w:w="1850" w:type="dxa"/>
            <w:tcBorders>
              <w:left w:val="nil"/>
              <w:bottom w:val="nil"/>
              <w:right w:val="nil"/>
            </w:tcBorders>
          </w:tcPr>
          <w:p w14:paraId="6CB4D840"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Cs/>
                <w:sz w:val="20"/>
                <w:szCs w:val="20"/>
              </w:rPr>
            </w:pPr>
          </w:p>
          <w:p w14:paraId="70D8EEEF" w14:textId="459E763E"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Dogs (N</w:t>
            </w:r>
            <w:r w:rsidR="003178AC" w:rsidRPr="00DE0A84">
              <w:rPr>
                <w:rFonts w:ascii="Helvetica" w:hAnsi="Helvetica" w:cs="Arial"/>
                <w:bCs/>
                <w:sz w:val="20"/>
                <w:szCs w:val="20"/>
              </w:rPr>
              <w:t> </w:t>
            </w:r>
            <w:r w:rsidRPr="00DE0A84">
              <w:rPr>
                <w:rFonts w:ascii="Helvetica" w:hAnsi="Helvetica" w:cs="Arial"/>
                <w:bCs/>
                <w:sz w:val="20"/>
                <w:szCs w:val="20"/>
              </w:rPr>
              <w:t>=</w:t>
            </w:r>
            <w:r w:rsidR="003178AC" w:rsidRPr="00DE0A84">
              <w:rPr>
                <w:rFonts w:ascii="Helvetica" w:hAnsi="Helvetica" w:cs="Arial"/>
                <w:bCs/>
                <w:sz w:val="20"/>
                <w:szCs w:val="20"/>
              </w:rPr>
              <w:t> </w:t>
            </w:r>
            <w:r w:rsidRPr="00DE0A84">
              <w:rPr>
                <w:rFonts w:ascii="Helvetica" w:hAnsi="Helvetica" w:cs="Arial"/>
                <w:bCs/>
                <w:sz w:val="20"/>
                <w:szCs w:val="20"/>
              </w:rPr>
              <w:t>71)</w:t>
            </w:r>
          </w:p>
        </w:tc>
        <w:tc>
          <w:tcPr>
            <w:tcW w:w="1709" w:type="dxa"/>
            <w:tcBorders>
              <w:left w:val="nil"/>
              <w:bottom w:val="nil"/>
              <w:right w:val="nil"/>
            </w:tcBorders>
          </w:tcPr>
          <w:p w14:paraId="4D532A8E"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p>
        </w:tc>
        <w:tc>
          <w:tcPr>
            <w:tcW w:w="1954" w:type="dxa"/>
            <w:tcBorders>
              <w:left w:val="nil"/>
              <w:bottom w:val="nil"/>
              <w:right w:val="nil"/>
            </w:tcBorders>
          </w:tcPr>
          <w:p w14:paraId="0A945A70"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p>
        </w:tc>
        <w:tc>
          <w:tcPr>
            <w:tcW w:w="1977" w:type="dxa"/>
            <w:tcBorders>
              <w:left w:val="nil"/>
              <w:bottom w:val="nil"/>
              <w:right w:val="nil"/>
            </w:tcBorders>
          </w:tcPr>
          <w:p w14:paraId="785E2DC9"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p>
        </w:tc>
        <w:tc>
          <w:tcPr>
            <w:tcW w:w="1978" w:type="dxa"/>
            <w:tcBorders>
              <w:left w:val="nil"/>
              <w:bottom w:val="nil"/>
              <w:right w:val="nil"/>
            </w:tcBorders>
          </w:tcPr>
          <w:p w14:paraId="500F7393"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p>
        </w:tc>
      </w:tr>
      <w:tr w:rsidR="00DE0A84" w:rsidRPr="00DE0A84" w14:paraId="6C967DBA" w14:textId="77777777" w:rsidTr="00CA5013">
        <w:tc>
          <w:tcPr>
            <w:tcW w:w="1850" w:type="dxa"/>
            <w:tcBorders>
              <w:left w:val="nil"/>
              <w:bottom w:val="single" w:sz="4" w:space="0" w:color="auto"/>
              <w:right w:val="nil"/>
            </w:tcBorders>
          </w:tcPr>
          <w:p w14:paraId="38384147"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MRSA-positive,</w:t>
            </w:r>
          </w:p>
          <w:p w14:paraId="612D1A08" w14:textId="57BB90CB" w:rsidR="00024ECE" w:rsidRPr="00DE0A84" w:rsidRDefault="003178AC"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 xml:space="preserve">no. </w:t>
            </w:r>
            <w:r w:rsidR="00024ECE" w:rsidRPr="00DE0A84">
              <w:rPr>
                <w:rFonts w:ascii="Helvetica" w:hAnsi="Helvetica" w:cs="Arial"/>
                <w:bCs/>
                <w:sz w:val="20"/>
                <w:szCs w:val="20"/>
              </w:rPr>
              <w:t>(%)</w:t>
            </w:r>
          </w:p>
        </w:tc>
        <w:tc>
          <w:tcPr>
            <w:tcW w:w="1709" w:type="dxa"/>
            <w:tcBorders>
              <w:left w:val="nil"/>
              <w:bottom w:val="single" w:sz="4" w:space="0" w:color="auto"/>
              <w:right w:val="nil"/>
            </w:tcBorders>
          </w:tcPr>
          <w:p w14:paraId="1A4C8B90"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5 (7.0%)</w:t>
            </w:r>
          </w:p>
        </w:tc>
        <w:tc>
          <w:tcPr>
            <w:tcW w:w="1954" w:type="dxa"/>
            <w:tcBorders>
              <w:left w:val="nil"/>
              <w:bottom w:val="single" w:sz="4" w:space="0" w:color="auto"/>
              <w:right w:val="nil"/>
            </w:tcBorders>
          </w:tcPr>
          <w:p w14:paraId="0592C0F3"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0</w:t>
            </w:r>
          </w:p>
        </w:tc>
        <w:tc>
          <w:tcPr>
            <w:tcW w:w="1977" w:type="dxa"/>
            <w:tcBorders>
              <w:left w:val="nil"/>
              <w:bottom w:val="single" w:sz="4" w:space="0" w:color="auto"/>
              <w:right w:val="nil"/>
            </w:tcBorders>
          </w:tcPr>
          <w:p w14:paraId="6A00CF24"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0</w:t>
            </w:r>
          </w:p>
        </w:tc>
        <w:tc>
          <w:tcPr>
            <w:tcW w:w="1978" w:type="dxa"/>
            <w:tcBorders>
              <w:left w:val="nil"/>
              <w:bottom w:val="single" w:sz="4" w:space="0" w:color="auto"/>
              <w:right w:val="nil"/>
            </w:tcBorders>
          </w:tcPr>
          <w:p w14:paraId="3C178001"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0</w:t>
            </w:r>
          </w:p>
        </w:tc>
      </w:tr>
      <w:tr w:rsidR="00DE0A84" w:rsidRPr="00DE0A84" w14:paraId="3D39B631" w14:textId="77777777" w:rsidTr="00CA5013">
        <w:trPr>
          <w:trHeight w:val="449"/>
        </w:trPr>
        <w:tc>
          <w:tcPr>
            <w:tcW w:w="1850" w:type="dxa"/>
            <w:tcBorders>
              <w:left w:val="nil"/>
              <w:bottom w:val="nil"/>
              <w:right w:val="nil"/>
            </w:tcBorders>
          </w:tcPr>
          <w:p w14:paraId="646240D4"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MRSA-negative,</w:t>
            </w:r>
          </w:p>
          <w:p w14:paraId="285DF363" w14:textId="51AEB2A8" w:rsidR="00024ECE" w:rsidRPr="00DE0A84" w:rsidRDefault="003178AC" w:rsidP="00CA5013">
            <w:pPr>
              <w:pStyle w:val="ListParagraph"/>
              <w:autoSpaceDE w:val="0"/>
              <w:autoSpaceDN w:val="0"/>
              <w:adjustRightInd w:val="0"/>
              <w:spacing w:afterLines="120" w:after="288" w:line="360" w:lineRule="auto"/>
              <w:ind w:left="0"/>
              <w:rPr>
                <w:rFonts w:ascii="Helvetica" w:hAnsi="Helvetica" w:cs="Arial"/>
                <w:bCs/>
                <w:sz w:val="20"/>
                <w:szCs w:val="20"/>
              </w:rPr>
            </w:pPr>
            <w:r w:rsidRPr="00DE0A84">
              <w:rPr>
                <w:rFonts w:ascii="Helvetica" w:hAnsi="Helvetica" w:cs="Arial"/>
                <w:bCs/>
                <w:sz w:val="20"/>
                <w:szCs w:val="20"/>
              </w:rPr>
              <w:t xml:space="preserve">no. </w:t>
            </w:r>
            <w:r w:rsidR="00024ECE" w:rsidRPr="00DE0A84">
              <w:rPr>
                <w:rFonts w:ascii="Helvetica" w:hAnsi="Helvetica" w:cs="Arial"/>
                <w:bCs/>
                <w:sz w:val="20"/>
                <w:szCs w:val="20"/>
              </w:rPr>
              <w:t>(%)</w:t>
            </w:r>
          </w:p>
        </w:tc>
        <w:tc>
          <w:tcPr>
            <w:tcW w:w="1709" w:type="dxa"/>
            <w:tcBorders>
              <w:left w:val="nil"/>
              <w:bottom w:val="nil"/>
              <w:right w:val="nil"/>
            </w:tcBorders>
          </w:tcPr>
          <w:p w14:paraId="374EE5CC"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61 (85.9%)</w:t>
            </w:r>
          </w:p>
        </w:tc>
        <w:tc>
          <w:tcPr>
            <w:tcW w:w="1954" w:type="dxa"/>
            <w:tcBorders>
              <w:left w:val="nil"/>
              <w:bottom w:val="nil"/>
              <w:right w:val="nil"/>
            </w:tcBorders>
          </w:tcPr>
          <w:p w14:paraId="68D28BDD"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3 (4.2%)</w:t>
            </w:r>
          </w:p>
        </w:tc>
        <w:tc>
          <w:tcPr>
            <w:tcW w:w="1977" w:type="dxa"/>
            <w:tcBorders>
              <w:left w:val="nil"/>
              <w:bottom w:val="nil"/>
              <w:right w:val="nil"/>
            </w:tcBorders>
          </w:tcPr>
          <w:p w14:paraId="704C856F"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1 (1.4%)</w:t>
            </w:r>
          </w:p>
        </w:tc>
        <w:tc>
          <w:tcPr>
            <w:tcW w:w="1978" w:type="dxa"/>
            <w:tcBorders>
              <w:left w:val="nil"/>
              <w:bottom w:val="nil"/>
              <w:right w:val="nil"/>
            </w:tcBorders>
          </w:tcPr>
          <w:p w14:paraId="42A7DF99" w14:textId="77777777" w:rsidR="00024ECE" w:rsidRPr="00DE0A84" w:rsidRDefault="00024ECE" w:rsidP="00CA5013">
            <w:pPr>
              <w:pStyle w:val="ListParagraph"/>
              <w:autoSpaceDE w:val="0"/>
              <w:autoSpaceDN w:val="0"/>
              <w:adjustRightInd w:val="0"/>
              <w:spacing w:afterLines="120" w:after="288" w:line="360" w:lineRule="auto"/>
              <w:ind w:left="0"/>
              <w:jc w:val="center"/>
              <w:rPr>
                <w:rFonts w:ascii="Helvetica" w:hAnsi="Helvetica" w:cs="Arial"/>
              </w:rPr>
            </w:pPr>
            <w:r w:rsidRPr="00DE0A84">
              <w:rPr>
                <w:rFonts w:ascii="Helvetica" w:hAnsi="Helvetica" w:cs="Arial"/>
              </w:rPr>
              <w:t>1 (1.4%)</w:t>
            </w:r>
          </w:p>
        </w:tc>
      </w:tr>
    </w:tbl>
    <w:p w14:paraId="6A0F45D2" w14:textId="07FA3B3A" w:rsidR="00024ECE" w:rsidRPr="00DE0A84" w:rsidRDefault="00105108" w:rsidP="00024ECE">
      <w:pPr>
        <w:rPr>
          <w:rFonts w:ascii="Helvetica" w:hAnsi="Helvetica" w:cs="Arial"/>
          <w:b/>
          <w:bCs/>
        </w:rPr>
      </w:pPr>
      <w:r w:rsidRPr="00DE0A84">
        <w:rPr>
          <w:rFonts w:ascii="Helvetica" w:hAnsi="Helvetica" w:cs="Arial"/>
          <w:b/>
          <w:bCs/>
        </w:rPr>
        <w:t xml:space="preserve">TABLE </w:t>
      </w:r>
      <w:r w:rsidR="00024ECE" w:rsidRPr="00DE0A84">
        <w:rPr>
          <w:rFonts w:ascii="Helvetica" w:hAnsi="Helvetica" w:cs="Arial"/>
          <w:b/>
          <w:bCs/>
        </w:rPr>
        <w:t xml:space="preserve">S3. </w:t>
      </w:r>
      <w:r w:rsidR="00024ECE" w:rsidRPr="00DE0A84">
        <w:rPr>
          <w:rFonts w:ascii="Helvetica" w:hAnsi="Helvetica" w:cs="Arial"/>
          <w:b/>
          <w:bCs/>
          <w:i/>
          <w:iCs/>
        </w:rPr>
        <w:t>spa</w:t>
      </w:r>
      <w:r w:rsidR="00024ECE" w:rsidRPr="00DE0A84">
        <w:rPr>
          <w:rFonts w:ascii="Helvetica" w:hAnsi="Helvetica" w:cs="Arial"/>
          <w:b/>
          <w:bCs/>
        </w:rPr>
        <w:t xml:space="preserve">-typing at </w:t>
      </w:r>
      <w:r w:rsidR="003178AC" w:rsidRPr="00DE0A84">
        <w:rPr>
          <w:rFonts w:ascii="Helvetica" w:hAnsi="Helvetica" w:cs="Arial"/>
          <w:b/>
          <w:bCs/>
        </w:rPr>
        <w:t xml:space="preserve">three </w:t>
      </w:r>
      <w:r w:rsidR="00024ECE" w:rsidRPr="00DE0A84">
        <w:rPr>
          <w:rFonts w:ascii="Helvetica" w:hAnsi="Helvetica" w:cs="Arial"/>
          <w:b/>
          <w:bCs/>
        </w:rPr>
        <w:t>months</w:t>
      </w:r>
    </w:p>
    <w:p w14:paraId="66F68931" w14:textId="77777777" w:rsidR="00024ECE" w:rsidRPr="00DE0A84" w:rsidRDefault="00024ECE" w:rsidP="00024ECE">
      <w:pPr>
        <w:rPr>
          <w:rFonts w:ascii="Helvetica" w:hAnsi="Helvetica" w:cs="Arial"/>
        </w:rPr>
      </w:pPr>
    </w:p>
    <w:tbl>
      <w:tblPr>
        <w:tblW w:w="0" w:type="auto"/>
        <w:tblLook w:val="04A0" w:firstRow="1" w:lastRow="0" w:firstColumn="1" w:lastColumn="0" w:noHBand="0" w:noVBand="1"/>
      </w:tblPr>
      <w:tblGrid>
        <w:gridCol w:w="1482"/>
        <w:gridCol w:w="1253"/>
        <w:gridCol w:w="1263"/>
        <w:gridCol w:w="1564"/>
        <w:gridCol w:w="1030"/>
        <w:gridCol w:w="811"/>
        <w:gridCol w:w="1030"/>
        <w:gridCol w:w="927"/>
      </w:tblGrid>
      <w:tr w:rsidR="00DE0A84" w:rsidRPr="00DE0A84" w14:paraId="4E823B73" w14:textId="77777777" w:rsidTr="00CA5013">
        <w:tc>
          <w:tcPr>
            <w:tcW w:w="1643" w:type="dxa"/>
            <w:tcBorders>
              <w:bottom w:val="single" w:sz="4" w:space="0" w:color="auto"/>
            </w:tcBorders>
          </w:tcPr>
          <w:p w14:paraId="1AF9F8F7" w14:textId="55BF2B13" w:rsidR="00024ECE" w:rsidRPr="00DE0A84" w:rsidRDefault="00024ECE" w:rsidP="00CA5013">
            <w:pPr>
              <w:tabs>
                <w:tab w:val="left" w:pos="656"/>
              </w:tabs>
              <w:rPr>
                <w:rFonts w:ascii="Helvetica" w:hAnsi="Helvetica" w:cs="Arial"/>
              </w:rPr>
            </w:pPr>
            <w:r w:rsidRPr="00DE0A84">
              <w:rPr>
                <w:rFonts w:ascii="Helvetica" w:hAnsi="Helvetica" w:cs="Arial"/>
              </w:rPr>
              <w:t>House</w:t>
            </w:r>
            <w:r w:rsidR="003178AC" w:rsidRPr="00DE0A84">
              <w:rPr>
                <w:rFonts w:ascii="Helvetica" w:hAnsi="Helvetica" w:cs="Arial"/>
              </w:rPr>
              <w:t xml:space="preserve"> </w:t>
            </w:r>
            <w:r w:rsidRPr="00DE0A84">
              <w:rPr>
                <w:rFonts w:ascii="Helvetica" w:hAnsi="Helvetica" w:cs="Arial"/>
              </w:rPr>
              <w:t>ID</w:t>
            </w:r>
          </w:p>
        </w:tc>
        <w:tc>
          <w:tcPr>
            <w:tcW w:w="1327" w:type="dxa"/>
            <w:tcBorders>
              <w:bottom w:val="single" w:sz="4" w:space="0" w:color="auto"/>
            </w:tcBorders>
          </w:tcPr>
          <w:p w14:paraId="02D0DF3F" w14:textId="77777777" w:rsidR="00024ECE" w:rsidRPr="00DE0A84" w:rsidRDefault="00024ECE" w:rsidP="00CA5013">
            <w:pPr>
              <w:rPr>
                <w:rFonts w:ascii="Helvetica" w:hAnsi="Helvetica" w:cs="Arial"/>
              </w:rPr>
            </w:pPr>
            <w:r w:rsidRPr="00DE0A84">
              <w:rPr>
                <w:rFonts w:ascii="Helvetica" w:hAnsi="Helvetica" w:cs="Arial"/>
              </w:rPr>
              <w:t>Human</w:t>
            </w:r>
          </w:p>
        </w:tc>
        <w:tc>
          <w:tcPr>
            <w:tcW w:w="1350" w:type="dxa"/>
            <w:tcBorders>
              <w:bottom w:val="single" w:sz="4" w:space="0" w:color="auto"/>
            </w:tcBorders>
          </w:tcPr>
          <w:p w14:paraId="22111A41" w14:textId="77777777" w:rsidR="00024ECE" w:rsidRPr="00DE0A84" w:rsidRDefault="00024ECE" w:rsidP="00CA5013">
            <w:pPr>
              <w:rPr>
                <w:rFonts w:ascii="Helvetica" w:hAnsi="Helvetica" w:cs="Arial"/>
              </w:rPr>
            </w:pPr>
            <w:r w:rsidRPr="00DE0A84">
              <w:rPr>
                <w:rFonts w:ascii="Helvetica" w:hAnsi="Helvetica" w:cs="Arial"/>
              </w:rPr>
              <w:t>Pet(s)*</w:t>
            </w:r>
          </w:p>
        </w:tc>
        <w:tc>
          <w:tcPr>
            <w:tcW w:w="1457" w:type="dxa"/>
            <w:tcBorders>
              <w:bottom w:val="single" w:sz="4" w:space="0" w:color="auto"/>
            </w:tcBorders>
          </w:tcPr>
          <w:p w14:paraId="0528E318" w14:textId="77777777" w:rsidR="00024ECE" w:rsidRPr="00DE0A84" w:rsidRDefault="00024ECE" w:rsidP="00CA5013">
            <w:pPr>
              <w:rPr>
                <w:rFonts w:ascii="Helvetica" w:hAnsi="Helvetica" w:cs="Arial"/>
              </w:rPr>
            </w:pPr>
            <w:r w:rsidRPr="00DE0A84">
              <w:rPr>
                <w:rFonts w:ascii="Helvetica" w:hAnsi="Helvetica" w:cs="Arial"/>
              </w:rPr>
              <w:t>Environment</w:t>
            </w:r>
          </w:p>
        </w:tc>
        <w:tc>
          <w:tcPr>
            <w:tcW w:w="875" w:type="dxa"/>
            <w:tcBorders>
              <w:bottom w:val="single" w:sz="4" w:space="0" w:color="auto"/>
            </w:tcBorders>
          </w:tcPr>
          <w:p w14:paraId="0C9CD209" w14:textId="27923355" w:rsidR="00024ECE" w:rsidRPr="00DE0A84" w:rsidRDefault="003178AC" w:rsidP="003178AC">
            <w:pPr>
              <w:rPr>
                <w:rFonts w:ascii="Helvetica" w:hAnsi="Helvetica" w:cs="Arial"/>
              </w:rPr>
            </w:pPr>
            <w:r w:rsidRPr="00DE0A84">
              <w:rPr>
                <w:rFonts w:ascii="Helvetica" w:hAnsi="Helvetica" w:cs="Arial"/>
              </w:rPr>
              <w:t xml:space="preserve">No. </w:t>
            </w:r>
            <w:r w:rsidR="00024ECE" w:rsidRPr="00DE0A84">
              <w:rPr>
                <w:rFonts w:ascii="Helvetica" w:hAnsi="Helvetica" w:cs="Arial"/>
              </w:rPr>
              <w:t>cats pos</w:t>
            </w:r>
            <w:r w:rsidRPr="00DE0A84">
              <w:rPr>
                <w:rFonts w:ascii="Helvetica" w:hAnsi="Helvetica" w:cs="Arial"/>
              </w:rPr>
              <w:t>itive</w:t>
            </w:r>
          </w:p>
        </w:tc>
        <w:tc>
          <w:tcPr>
            <w:tcW w:w="828" w:type="dxa"/>
            <w:tcBorders>
              <w:bottom w:val="single" w:sz="4" w:space="0" w:color="auto"/>
            </w:tcBorders>
          </w:tcPr>
          <w:p w14:paraId="77324D3A" w14:textId="49CABFD3" w:rsidR="00024ECE" w:rsidRPr="00DE0A84" w:rsidRDefault="00024ECE" w:rsidP="003178AC">
            <w:pPr>
              <w:rPr>
                <w:rFonts w:ascii="Helvetica" w:hAnsi="Helvetica" w:cs="Arial"/>
              </w:rPr>
            </w:pPr>
            <w:r w:rsidRPr="00DE0A84">
              <w:rPr>
                <w:rFonts w:ascii="Helvetica" w:hAnsi="Helvetica" w:cs="Arial"/>
              </w:rPr>
              <w:t>Total</w:t>
            </w:r>
            <w:r w:rsidR="003178AC" w:rsidRPr="00DE0A84">
              <w:rPr>
                <w:rFonts w:ascii="Helvetica" w:hAnsi="Helvetica" w:cs="Arial"/>
              </w:rPr>
              <w:t xml:space="preserve"> no. </w:t>
            </w:r>
            <w:r w:rsidRPr="00DE0A84">
              <w:rPr>
                <w:rFonts w:ascii="Helvetica" w:hAnsi="Helvetica" w:cs="Arial"/>
              </w:rPr>
              <w:t>cats</w:t>
            </w:r>
          </w:p>
        </w:tc>
        <w:tc>
          <w:tcPr>
            <w:tcW w:w="904" w:type="dxa"/>
            <w:tcBorders>
              <w:bottom w:val="single" w:sz="4" w:space="0" w:color="auto"/>
            </w:tcBorders>
          </w:tcPr>
          <w:p w14:paraId="5FC99F7B" w14:textId="32FFB152" w:rsidR="00024ECE" w:rsidRPr="00DE0A84" w:rsidRDefault="003178AC" w:rsidP="003178AC">
            <w:pPr>
              <w:rPr>
                <w:rFonts w:ascii="Helvetica" w:hAnsi="Helvetica" w:cs="Arial"/>
              </w:rPr>
            </w:pPr>
            <w:r w:rsidRPr="00DE0A84">
              <w:rPr>
                <w:rFonts w:ascii="Helvetica" w:hAnsi="Helvetica" w:cs="Arial"/>
              </w:rPr>
              <w:t xml:space="preserve">No. </w:t>
            </w:r>
            <w:r w:rsidR="00024ECE" w:rsidRPr="00DE0A84">
              <w:rPr>
                <w:rFonts w:ascii="Helvetica" w:hAnsi="Helvetica" w:cs="Arial"/>
              </w:rPr>
              <w:t>dogs pos</w:t>
            </w:r>
            <w:r w:rsidRPr="00DE0A84">
              <w:rPr>
                <w:rFonts w:ascii="Helvetica" w:hAnsi="Helvetica" w:cs="Arial"/>
              </w:rPr>
              <w:t>itive</w:t>
            </w:r>
          </w:p>
        </w:tc>
        <w:tc>
          <w:tcPr>
            <w:tcW w:w="976" w:type="dxa"/>
            <w:tcBorders>
              <w:bottom w:val="single" w:sz="4" w:space="0" w:color="auto"/>
            </w:tcBorders>
          </w:tcPr>
          <w:p w14:paraId="54F823CC" w14:textId="16425762" w:rsidR="00024ECE" w:rsidRPr="00DE0A84" w:rsidRDefault="00024ECE" w:rsidP="003178AC">
            <w:pPr>
              <w:rPr>
                <w:rFonts w:ascii="Helvetica" w:hAnsi="Helvetica" w:cs="Arial"/>
              </w:rPr>
            </w:pPr>
            <w:r w:rsidRPr="00DE0A84">
              <w:rPr>
                <w:rFonts w:ascii="Helvetica" w:hAnsi="Helvetica" w:cs="Arial"/>
              </w:rPr>
              <w:t xml:space="preserve">Total </w:t>
            </w:r>
            <w:r w:rsidR="003178AC" w:rsidRPr="00DE0A84">
              <w:rPr>
                <w:rFonts w:ascii="Helvetica" w:hAnsi="Helvetica" w:cs="Arial"/>
              </w:rPr>
              <w:t xml:space="preserve">no. </w:t>
            </w:r>
            <w:r w:rsidRPr="00DE0A84">
              <w:rPr>
                <w:rFonts w:ascii="Helvetica" w:hAnsi="Helvetica" w:cs="Arial"/>
              </w:rPr>
              <w:t>dogs</w:t>
            </w:r>
          </w:p>
        </w:tc>
      </w:tr>
      <w:tr w:rsidR="00DE0A84" w:rsidRPr="00DE0A84" w14:paraId="751E8B86" w14:textId="77777777" w:rsidTr="00CA5013">
        <w:trPr>
          <w:trHeight w:val="107"/>
        </w:trPr>
        <w:tc>
          <w:tcPr>
            <w:tcW w:w="1643" w:type="dxa"/>
            <w:tcBorders>
              <w:top w:val="single" w:sz="4" w:space="0" w:color="auto"/>
            </w:tcBorders>
          </w:tcPr>
          <w:p w14:paraId="752F8BA8" w14:textId="77777777" w:rsidR="00024ECE" w:rsidRPr="00DE0A84" w:rsidRDefault="00024ECE" w:rsidP="00CA5013">
            <w:pPr>
              <w:rPr>
                <w:rFonts w:ascii="Helvetica" w:hAnsi="Helvetica" w:cs="Arial"/>
              </w:rPr>
            </w:pPr>
          </w:p>
        </w:tc>
        <w:tc>
          <w:tcPr>
            <w:tcW w:w="1327" w:type="dxa"/>
            <w:tcBorders>
              <w:top w:val="single" w:sz="4" w:space="0" w:color="auto"/>
            </w:tcBorders>
          </w:tcPr>
          <w:p w14:paraId="3C0DA6EA" w14:textId="77777777" w:rsidR="00024ECE" w:rsidRPr="00DE0A84" w:rsidRDefault="00024ECE" w:rsidP="00CA5013">
            <w:pPr>
              <w:rPr>
                <w:rFonts w:ascii="Helvetica" w:hAnsi="Helvetica" w:cs="Arial"/>
              </w:rPr>
            </w:pPr>
          </w:p>
        </w:tc>
        <w:tc>
          <w:tcPr>
            <w:tcW w:w="1350" w:type="dxa"/>
            <w:tcBorders>
              <w:top w:val="single" w:sz="4" w:space="0" w:color="auto"/>
            </w:tcBorders>
          </w:tcPr>
          <w:p w14:paraId="72C934A6" w14:textId="77777777" w:rsidR="00024ECE" w:rsidRPr="00DE0A84" w:rsidRDefault="00024ECE" w:rsidP="00CA5013">
            <w:pPr>
              <w:rPr>
                <w:rFonts w:ascii="Helvetica" w:hAnsi="Helvetica" w:cs="Arial"/>
              </w:rPr>
            </w:pPr>
          </w:p>
        </w:tc>
        <w:tc>
          <w:tcPr>
            <w:tcW w:w="1457" w:type="dxa"/>
            <w:tcBorders>
              <w:top w:val="single" w:sz="4" w:space="0" w:color="auto"/>
            </w:tcBorders>
          </w:tcPr>
          <w:p w14:paraId="2BF5B5BF" w14:textId="77777777" w:rsidR="00024ECE" w:rsidRPr="00DE0A84" w:rsidRDefault="00024ECE" w:rsidP="00CA5013">
            <w:pPr>
              <w:rPr>
                <w:rFonts w:ascii="Helvetica" w:hAnsi="Helvetica" w:cs="Arial"/>
              </w:rPr>
            </w:pPr>
          </w:p>
        </w:tc>
        <w:tc>
          <w:tcPr>
            <w:tcW w:w="875" w:type="dxa"/>
            <w:tcBorders>
              <w:top w:val="single" w:sz="4" w:space="0" w:color="auto"/>
            </w:tcBorders>
          </w:tcPr>
          <w:p w14:paraId="0C4A3A87" w14:textId="77777777" w:rsidR="00024ECE" w:rsidRPr="00DE0A84" w:rsidRDefault="00024ECE" w:rsidP="00CA5013">
            <w:pPr>
              <w:rPr>
                <w:rFonts w:ascii="Helvetica" w:hAnsi="Helvetica" w:cs="Arial"/>
              </w:rPr>
            </w:pPr>
          </w:p>
        </w:tc>
        <w:tc>
          <w:tcPr>
            <w:tcW w:w="828" w:type="dxa"/>
            <w:tcBorders>
              <w:top w:val="single" w:sz="4" w:space="0" w:color="auto"/>
            </w:tcBorders>
          </w:tcPr>
          <w:p w14:paraId="16B4143A" w14:textId="77777777" w:rsidR="00024ECE" w:rsidRPr="00DE0A84" w:rsidRDefault="00024ECE" w:rsidP="00CA5013">
            <w:pPr>
              <w:rPr>
                <w:rFonts w:ascii="Helvetica" w:hAnsi="Helvetica" w:cs="Arial"/>
              </w:rPr>
            </w:pPr>
          </w:p>
        </w:tc>
        <w:tc>
          <w:tcPr>
            <w:tcW w:w="904" w:type="dxa"/>
            <w:tcBorders>
              <w:top w:val="single" w:sz="4" w:space="0" w:color="auto"/>
            </w:tcBorders>
          </w:tcPr>
          <w:p w14:paraId="1578BDFA" w14:textId="77777777" w:rsidR="00024ECE" w:rsidRPr="00DE0A84" w:rsidRDefault="00024ECE" w:rsidP="00CA5013">
            <w:pPr>
              <w:rPr>
                <w:rFonts w:ascii="Helvetica" w:hAnsi="Helvetica" w:cs="Arial"/>
              </w:rPr>
            </w:pPr>
          </w:p>
        </w:tc>
        <w:tc>
          <w:tcPr>
            <w:tcW w:w="976" w:type="dxa"/>
            <w:tcBorders>
              <w:top w:val="single" w:sz="4" w:space="0" w:color="auto"/>
            </w:tcBorders>
          </w:tcPr>
          <w:p w14:paraId="541CEF8B" w14:textId="77777777" w:rsidR="00024ECE" w:rsidRPr="00DE0A84" w:rsidRDefault="00024ECE" w:rsidP="00CA5013">
            <w:pPr>
              <w:rPr>
                <w:rFonts w:ascii="Helvetica" w:hAnsi="Helvetica" w:cs="Arial"/>
              </w:rPr>
            </w:pPr>
          </w:p>
        </w:tc>
      </w:tr>
      <w:tr w:rsidR="00DE0A84" w:rsidRPr="00DE0A84" w14:paraId="412AF010" w14:textId="77777777" w:rsidTr="00CA5013">
        <w:tc>
          <w:tcPr>
            <w:tcW w:w="1643" w:type="dxa"/>
            <w:tcBorders>
              <w:top w:val="single" w:sz="4" w:space="0" w:color="auto"/>
            </w:tcBorders>
          </w:tcPr>
          <w:p w14:paraId="2FDB8054" w14:textId="77777777" w:rsidR="00024ECE" w:rsidRPr="00DE0A84" w:rsidRDefault="00024ECE" w:rsidP="00CA5013">
            <w:pPr>
              <w:rPr>
                <w:rFonts w:ascii="Helvetica" w:hAnsi="Helvetica" w:cs="Arial"/>
              </w:rPr>
            </w:pPr>
            <w:r w:rsidRPr="00DE0A84">
              <w:rPr>
                <w:rFonts w:ascii="Helvetica" w:hAnsi="Helvetica" w:cs="Arial"/>
              </w:rPr>
              <w:t>A</w:t>
            </w:r>
          </w:p>
        </w:tc>
        <w:tc>
          <w:tcPr>
            <w:tcW w:w="1327" w:type="dxa"/>
            <w:tcBorders>
              <w:top w:val="single" w:sz="4" w:space="0" w:color="auto"/>
            </w:tcBorders>
          </w:tcPr>
          <w:p w14:paraId="12D6D8AE" w14:textId="77777777" w:rsidR="00024ECE" w:rsidRPr="00DE0A84" w:rsidRDefault="00024ECE" w:rsidP="00CA5013">
            <w:pPr>
              <w:rPr>
                <w:rFonts w:ascii="Helvetica" w:hAnsi="Helvetica" w:cs="Arial"/>
              </w:rPr>
            </w:pPr>
            <w:r w:rsidRPr="00DE0A84">
              <w:rPr>
                <w:rFonts w:ascii="Helvetica" w:hAnsi="Helvetica" w:cs="Arial"/>
              </w:rPr>
              <w:t>NT</w:t>
            </w:r>
          </w:p>
        </w:tc>
        <w:tc>
          <w:tcPr>
            <w:tcW w:w="1350" w:type="dxa"/>
            <w:tcBorders>
              <w:top w:val="single" w:sz="4" w:space="0" w:color="auto"/>
            </w:tcBorders>
          </w:tcPr>
          <w:p w14:paraId="57434D99" w14:textId="77777777" w:rsidR="00024ECE" w:rsidRPr="00DE0A84" w:rsidRDefault="00024ECE" w:rsidP="00CA5013">
            <w:pPr>
              <w:rPr>
                <w:rFonts w:ascii="Helvetica" w:hAnsi="Helvetica" w:cs="Arial"/>
              </w:rPr>
            </w:pPr>
            <w:r w:rsidRPr="00DE0A84">
              <w:rPr>
                <w:rFonts w:ascii="Helvetica" w:hAnsi="Helvetica" w:cs="Arial"/>
              </w:rPr>
              <w:t>No MRSA</w:t>
            </w:r>
          </w:p>
        </w:tc>
        <w:tc>
          <w:tcPr>
            <w:tcW w:w="1457" w:type="dxa"/>
            <w:tcBorders>
              <w:top w:val="single" w:sz="4" w:space="0" w:color="auto"/>
            </w:tcBorders>
          </w:tcPr>
          <w:p w14:paraId="4C04BDE0" w14:textId="77777777" w:rsidR="00024ECE" w:rsidRPr="00DE0A84" w:rsidRDefault="00024ECE" w:rsidP="00CA5013">
            <w:pPr>
              <w:rPr>
                <w:rFonts w:ascii="Helvetica" w:hAnsi="Helvetica" w:cs="Arial"/>
              </w:rPr>
            </w:pPr>
            <w:r w:rsidRPr="00DE0A84">
              <w:rPr>
                <w:rFonts w:ascii="Helvetica" w:hAnsi="Helvetica" w:cs="Arial"/>
              </w:rPr>
              <w:t>No MRSA</w:t>
            </w:r>
          </w:p>
        </w:tc>
        <w:tc>
          <w:tcPr>
            <w:tcW w:w="875" w:type="dxa"/>
            <w:tcBorders>
              <w:top w:val="single" w:sz="4" w:space="0" w:color="auto"/>
            </w:tcBorders>
          </w:tcPr>
          <w:p w14:paraId="6CF5054D" w14:textId="77777777" w:rsidR="00024ECE" w:rsidRPr="00DE0A84" w:rsidRDefault="00024ECE" w:rsidP="00CA5013">
            <w:pPr>
              <w:rPr>
                <w:rFonts w:ascii="Helvetica" w:hAnsi="Helvetica" w:cs="Arial"/>
              </w:rPr>
            </w:pPr>
            <w:r w:rsidRPr="00DE0A84">
              <w:rPr>
                <w:rFonts w:ascii="Helvetica" w:hAnsi="Helvetica" w:cs="Arial"/>
              </w:rPr>
              <w:t>0</w:t>
            </w:r>
          </w:p>
        </w:tc>
        <w:tc>
          <w:tcPr>
            <w:tcW w:w="828" w:type="dxa"/>
            <w:tcBorders>
              <w:top w:val="single" w:sz="4" w:space="0" w:color="auto"/>
            </w:tcBorders>
          </w:tcPr>
          <w:p w14:paraId="0ED94D64" w14:textId="77777777" w:rsidR="00024ECE" w:rsidRPr="00DE0A84" w:rsidRDefault="00024ECE" w:rsidP="00CA5013">
            <w:pPr>
              <w:rPr>
                <w:rFonts w:ascii="Helvetica" w:hAnsi="Helvetica" w:cs="Arial"/>
              </w:rPr>
            </w:pPr>
            <w:r w:rsidRPr="00DE0A84">
              <w:rPr>
                <w:rFonts w:ascii="Helvetica" w:hAnsi="Helvetica" w:cs="Arial"/>
              </w:rPr>
              <w:t>2</w:t>
            </w:r>
          </w:p>
        </w:tc>
        <w:tc>
          <w:tcPr>
            <w:tcW w:w="904" w:type="dxa"/>
            <w:tcBorders>
              <w:top w:val="single" w:sz="4" w:space="0" w:color="auto"/>
            </w:tcBorders>
          </w:tcPr>
          <w:p w14:paraId="417AB6E4" w14:textId="77777777" w:rsidR="00024ECE" w:rsidRPr="00DE0A84" w:rsidRDefault="00024ECE" w:rsidP="00CA5013">
            <w:pPr>
              <w:rPr>
                <w:rFonts w:ascii="Helvetica" w:hAnsi="Helvetica" w:cs="Arial"/>
              </w:rPr>
            </w:pPr>
            <w:r w:rsidRPr="00DE0A84">
              <w:rPr>
                <w:rFonts w:ascii="Helvetica" w:hAnsi="Helvetica" w:cs="Arial"/>
              </w:rPr>
              <w:t>0</w:t>
            </w:r>
          </w:p>
        </w:tc>
        <w:tc>
          <w:tcPr>
            <w:tcW w:w="976" w:type="dxa"/>
            <w:tcBorders>
              <w:top w:val="single" w:sz="4" w:space="0" w:color="auto"/>
            </w:tcBorders>
          </w:tcPr>
          <w:p w14:paraId="1BC72032" w14:textId="77777777" w:rsidR="00024ECE" w:rsidRPr="00DE0A84" w:rsidRDefault="00024ECE" w:rsidP="00CA5013">
            <w:pPr>
              <w:rPr>
                <w:rFonts w:ascii="Helvetica" w:hAnsi="Helvetica" w:cs="Arial"/>
              </w:rPr>
            </w:pPr>
            <w:r w:rsidRPr="00DE0A84">
              <w:rPr>
                <w:rFonts w:ascii="Helvetica" w:hAnsi="Helvetica" w:cs="Arial"/>
              </w:rPr>
              <w:t>3</w:t>
            </w:r>
          </w:p>
        </w:tc>
      </w:tr>
      <w:tr w:rsidR="00DE0A84" w:rsidRPr="00DE0A84" w14:paraId="0C225AC6" w14:textId="77777777" w:rsidTr="00CA5013">
        <w:tc>
          <w:tcPr>
            <w:tcW w:w="1643" w:type="dxa"/>
          </w:tcPr>
          <w:p w14:paraId="27485DBF" w14:textId="77777777" w:rsidR="00024ECE" w:rsidRPr="00DE0A84" w:rsidRDefault="00024ECE" w:rsidP="00CA5013">
            <w:pPr>
              <w:rPr>
                <w:rFonts w:ascii="Helvetica" w:hAnsi="Helvetica" w:cs="Arial"/>
              </w:rPr>
            </w:pPr>
            <w:r w:rsidRPr="00DE0A84">
              <w:rPr>
                <w:rFonts w:ascii="Helvetica" w:hAnsi="Helvetica" w:cs="Arial"/>
              </w:rPr>
              <w:t>C</w:t>
            </w:r>
          </w:p>
        </w:tc>
        <w:tc>
          <w:tcPr>
            <w:tcW w:w="1327" w:type="dxa"/>
          </w:tcPr>
          <w:p w14:paraId="1E412A40" w14:textId="77777777" w:rsidR="00024ECE" w:rsidRPr="00DE0A84" w:rsidRDefault="00024ECE" w:rsidP="00CA5013">
            <w:pPr>
              <w:rPr>
                <w:rFonts w:ascii="Helvetica" w:hAnsi="Helvetica" w:cs="Arial"/>
              </w:rPr>
            </w:pPr>
            <w:r w:rsidRPr="00DE0A84">
              <w:rPr>
                <w:rFonts w:ascii="Helvetica" w:hAnsi="Helvetica" w:cs="Arial"/>
              </w:rPr>
              <w:t>t008</w:t>
            </w:r>
          </w:p>
        </w:tc>
        <w:tc>
          <w:tcPr>
            <w:tcW w:w="1350" w:type="dxa"/>
          </w:tcPr>
          <w:p w14:paraId="44FEA620" w14:textId="77777777" w:rsidR="00024ECE" w:rsidRPr="00DE0A84" w:rsidRDefault="00024ECE" w:rsidP="00CA5013">
            <w:pPr>
              <w:rPr>
                <w:rFonts w:ascii="Helvetica" w:hAnsi="Helvetica" w:cs="Arial"/>
              </w:rPr>
            </w:pPr>
            <w:r w:rsidRPr="00DE0A84">
              <w:rPr>
                <w:rFonts w:ascii="Helvetica" w:hAnsi="Helvetica" w:cs="Arial"/>
              </w:rPr>
              <w:t>No MRSA</w:t>
            </w:r>
          </w:p>
        </w:tc>
        <w:tc>
          <w:tcPr>
            <w:tcW w:w="1457" w:type="dxa"/>
          </w:tcPr>
          <w:p w14:paraId="78380166" w14:textId="77777777" w:rsidR="00024ECE" w:rsidRPr="00DE0A84" w:rsidRDefault="00024ECE" w:rsidP="00CA5013">
            <w:pPr>
              <w:rPr>
                <w:rFonts w:ascii="Helvetica" w:hAnsi="Helvetica" w:cs="Arial"/>
              </w:rPr>
            </w:pPr>
            <w:r w:rsidRPr="00DE0A84">
              <w:rPr>
                <w:rFonts w:ascii="Helvetica" w:hAnsi="Helvetica" w:cs="Arial"/>
              </w:rPr>
              <w:t>t008</w:t>
            </w:r>
          </w:p>
        </w:tc>
        <w:tc>
          <w:tcPr>
            <w:tcW w:w="875" w:type="dxa"/>
          </w:tcPr>
          <w:p w14:paraId="179A95DA" w14:textId="77777777" w:rsidR="00024ECE" w:rsidRPr="00DE0A84" w:rsidRDefault="00024ECE" w:rsidP="00CA5013">
            <w:pPr>
              <w:rPr>
                <w:rFonts w:ascii="Helvetica" w:hAnsi="Helvetica" w:cs="Arial"/>
              </w:rPr>
            </w:pPr>
            <w:r w:rsidRPr="00DE0A84">
              <w:rPr>
                <w:rFonts w:ascii="Helvetica" w:hAnsi="Helvetica" w:cs="Arial"/>
              </w:rPr>
              <w:t>0</w:t>
            </w:r>
          </w:p>
        </w:tc>
        <w:tc>
          <w:tcPr>
            <w:tcW w:w="828" w:type="dxa"/>
          </w:tcPr>
          <w:p w14:paraId="20737FF9" w14:textId="77777777" w:rsidR="00024ECE" w:rsidRPr="00DE0A84" w:rsidRDefault="00024ECE" w:rsidP="00CA5013">
            <w:pPr>
              <w:rPr>
                <w:rFonts w:ascii="Helvetica" w:hAnsi="Helvetica" w:cs="Arial"/>
              </w:rPr>
            </w:pPr>
            <w:r w:rsidRPr="00DE0A84">
              <w:rPr>
                <w:rFonts w:ascii="Helvetica" w:hAnsi="Helvetica" w:cs="Arial"/>
              </w:rPr>
              <w:t>2</w:t>
            </w:r>
          </w:p>
        </w:tc>
        <w:tc>
          <w:tcPr>
            <w:tcW w:w="904" w:type="dxa"/>
          </w:tcPr>
          <w:p w14:paraId="0A013AA4" w14:textId="77777777" w:rsidR="00024ECE" w:rsidRPr="00DE0A84" w:rsidRDefault="00024ECE" w:rsidP="00CA5013">
            <w:pPr>
              <w:rPr>
                <w:rFonts w:ascii="Helvetica" w:hAnsi="Helvetica" w:cs="Arial"/>
              </w:rPr>
            </w:pPr>
            <w:r w:rsidRPr="00DE0A84">
              <w:rPr>
                <w:rFonts w:ascii="Helvetica" w:hAnsi="Helvetica" w:cs="Arial"/>
              </w:rPr>
              <w:t>0</w:t>
            </w:r>
          </w:p>
        </w:tc>
        <w:tc>
          <w:tcPr>
            <w:tcW w:w="976" w:type="dxa"/>
          </w:tcPr>
          <w:p w14:paraId="6C336E7B" w14:textId="77777777" w:rsidR="00024ECE" w:rsidRPr="00DE0A84" w:rsidRDefault="00024ECE" w:rsidP="00CA5013">
            <w:pPr>
              <w:rPr>
                <w:rFonts w:ascii="Helvetica" w:hAnsi="Helvetica" w:cs="Arial"/>
              </w:rPr>
            </w:pPr>
            <w:r w:rsidRPr="00DE0A84">
              <w:rPr>
                <w:rFonts w:ascii="Helvetica" w:hAnsi="Helvetica" w:cs="Arial"/>
              </w:rPr>
              <w:t>0</w:t>
            </w:r>
          </w:p>
        </w:tc>
      </w:tr>
      <w:tr w:rsidR="00DE0A84" w:rsidRPr="00DE0A84" w14:paraId="28E88B56" w14:textId="77777777" w:rsidTr="00CA5013">
        <w:tc>
          <w:tcPr>
            <w:tcW w:w="1643" w:type="dxa"/>
          </w:tcPr>
          <w:p w14:paraId="1D011B99" w14:textId="77777777" w:rsidR="00024ECE" w:rsidRPr="00DE0A84" w:rsidRDefault="00024ECE" w:rsidP="00CA5013">
            <w:pPr>
              <w:rPr>
                <w:rFonts w:ascii="Helvetica" w:hAnsi="Helvetica" w:cs="Arial"/>
              </w:rPr>
            </w:pPr>
            <w:r w:rsidRPr="00DE0A84">
              <w:rPr>
                <w:rFonts w:ascii="Helvetica" w:hAnsi="Helvetica" w:cs="Arial"/>
              </w:rPr>
              <w:t>D</w:t>
            </w:r>
          </w:p>
        </w:tc>
        <w:tc>
          <w:tcPr>
            <w:tcW w:w="1327" w:type="dxa"/>
          </w:tcPr>
          <w:p w14:paraId="4E8C82DD" w14:textId="77777777" w:rsidR="00024ECE" w:rsidRPr="00DE0A84" w:rsidRDefault="00024ECE" w:rsidP="00CA5013">
            <w:pPr>
              <w:rPr>
                <w:rFonts w:ascii="Helvetica" w:hAnsi="Helvetica" w:cs="Arial"/>
              </w:rPr>
            </w:pPr>
            <w:r w:rsidRPr="00DE0A84">
              <w:rPr>
                <w:rFonts w:ascii="Helvetica" w:hAnsi="Helvetica" w:cs="Arial"/>
              </w:rPr>
              <w:t>t008</w:t>
            </w:r>
          </w:p>
        </w:tc>
        <w:tc>
          <w:tcPr>
            <w:tcW w:w="1350" w:type="dxa"/>
          </w:tcPr>
          <w:p w14:paraId="7F8540A8" w14:textId="77777777" w:rsidR="00024ECE" w:rsidRPr="00DE0A84" w:rsidRDefault="00024ECE" w:rsidP="00CA5013">
            <w:pPr>
              <w:tabs>
                <w:tab w:val="left" w:pos="542"/>
              </w:tabs>
              <w:rPr>
                <w:rFonts w:ascii="Helvetica" w:hAnsi="Helvetica" w:cs="Arial"/>
              </w:rPr>
            </w:pPr>
            <w:r w:rsidRPr="00DE0A84">
              <w:rPr>
                <w:rFonts w:ascii="Helvetica" w:hAnsi="Helvetica" w:cs="Arial"/>
              </w:rPr>
              <w:t>t008</w:t>
            </w:r>
          </w:p>
        </w:tc>
        <w:tc>
          <w:tcPr>
            <w:tcW w:w="1457" w:type="dxa"/>
          </w:tcPr>
          <w:p w14:paraId="360E6E35" w14:textId="77777777" w:rsidR="00024ECE" w:rsidRPr="00DE0A84" w:rsidRDefault="00024ECE" w:rsidP="00CA5013">
            <w:pPr>
              <w:rPr>
                <w:rFonts w:ascii="Helvetica" w:hAnsi="Helvetica" w:cs="Arial"/>
              </w:rPr>
            </w:pPr>
            <w:r w:rsidRPr="00DE0A84">
              <w:rPr>
                <w:rFonts w:ascii="Helvetica" w:hAnsi="Helvetica" w:cs="Arial"/>
              </w:rPr>
              <w:t>t008</w:t>
            </w:r>
          </w:p>
        </w:tc>
        <w:tc>
          <w:tcPr>
            <w:tcW w:w="875" w:type="dxa"/>
          </w:tcPr>
          <w:p w14:paraId="62A6C6C9" w14:textId="77777777" w:rsidR="00024ECE" w:rsidRPr="00DE0A84" w:rsidRDefault="00024ECE" w:rsidP="00CA5013">
            <w:pPr>
              <w:rPr>
                <w:rFonts w:ascii="Helvetica" w:hAnsi="Helvetica" w:cs="Arial"/>
              </w:rPr>
            </w:pPr>
            <w:r w:rsidRPr="00DE0A84">
              <w:rPr>
                <w:rFonts w:ascii="Helvetica" w:hAnsi="Helvetica" w:cs="Arial"/>
              </w:rPr>
              <w:t>1</w:t>
            </w:r>
          </w:p>
        </w:tc>
        <w:tc>
          <w:tcPr>
            <w:tcW w:w="828" w:type="dxa"/>
          </w:tcPr>
          <w:p w14:paraId="3324FD90" w14:textId="77777777" w:rsidR="00024ECE" w:rsidRPr="00DE0A84" w:rsidRDefault="00024ECE" w:rsidP="00CA5013">
            <w:pPr>
              <w:rPr>
                <w:rFonts w:ascii="Helvetica" w:hAnsi="Helvetica" w:cs="Arial"/>
              </w:rPr>
            </w:pPr>
            <w:r w:rsidRPr="00DE0A84">
              <w:rPr>
                <w:rFonts w:ascii="Helvetica" w:hAnsi="Helvetica" w:cs="Arial"/>
              </w:rPr>
              <w:t>9</w:t>
            </w:r>
          </w:p>
        </w:tc>
        <w:tc>
          <w:tcPr>
            <w:tcW w:w="904" w:type="dxa"/>
          </w:tcPr>
          <w:p w14:paraId="2D205069" w14:textId="77777777" w:rsidR="00024ECE" w:rsidRPr="00DE0A84" w:rsidRDefault="00024ECE" w:rsidP="00CA5013">
            <w:pPr>
              <w:rPr>
                <w:rFonts w:ascii="Helvetica" w:hAnsi="Helvetica" w:cs="Arial"/>
              </w:rPr>
            </w:pPr>
            <w:r w:rsidRPr="00DE0A84">
              <w:rPr>
                <w:rFonts w:ascii="Helvetica" w:hAnsi="Helvetica" w:cs="Arial"/>
              </w:rPr>
              <w:t>0</w:t>
            </w:r>
          </w:p>
        </w:tc>
        <w:tc>
          <w:tcPr>
            <w:tcW w:w="976" w:type="dxa"/>
          </w:tcPr>
          <w:p w14:paraId="4BB9907B" w14:textId="77777777" w:rsidR="00024ECE" w:rsidRPr="00DE0A84" w:rsidRDefault="00024ECE" w:rsidP="00CA5013">
            <w:pPr>
              <w:rPr>
                <w:rFonts w:ascii="Helvetica" w:hAnsi="Helvetica" w:cs="Arial"/>
              </w:rPr>
            </w:pPr>
            <w:r w:rsidRPr="00DE0A84">
              <w:rPr>
                <w:rFonts w:ascii="Helvetica" w:hAnsi="Helvetica" w:cs="Arial"/>
              </w:rPr>
              <w:t>0</w:t>
            </w:r>
          </w:p>
        </w:tc>
      </w:tr>
      <w:tr w:rsidR="00DE0A84" w:rsidRPr="00DE0A84" w14:paraId="61C6DACA" w14:textId="77777777" w:rsidTr="00CA5013">
        <w:tc>
          <w:tcPr>
            <w:tcW w:w="1643" w:type="dxa"/>
          </w:tcPr>
          <w:p w14:paraId="7C36351C" w14:textId="77777777" w:rsidR="00024ECE" w:rsidRPr="00DE0A84" w:rsidRDefault="00024ECE" w:rsidP="00CA5013">
            <w:pPr>
              <w:rPr>
                <w:rFonts w:ascii="Helvetica" w:hAnsi="Helvetica" w:cs="Arial"/>
              </w:rPr>
            </w:pPr>
            <w:r w:rsidRPr="00DE0A84">
              <w:rPr>
                <w:rFonts w:ascii="Helvetica" w:hAnsi="Helvetica" w:cs="Arial"/>
              </w:rPr>
              <w:t>E</w:t>
            </w:r>
          </w:p>
        </w:tc>
        <w:tc>
          <w:tcPr>
            <w:tcW w:w="1327" w:type="dxa"/>
          </w:tcPr>
          <w:p w14:paraId="46A06F54" w14:textId="77777777" w:rsidR="00024ECE" w:rsidRPr="00DE0A84" w:rsidRDefault="00024ECE" w:rsidP="00CA5013">
            <w:pPr>
              <w:rPr>
                <w:rFonts w:ascii="Helvetica" w:hAnsi="Helvetica" w:cs="Arial"/>
              </w:rPr>
            </w:pPr>
            <w:r w:rsidRPr="00DE0A84">
              <w:rPr>
                <w:rFonts w:ascii="Helvetica" w:hAnsi="Helvetica" w:cs="Arial"/>
              </w:rPr>
              <w:t>t12500</w:t>
            </w:r>
          </w:p>
        </w:tc>
        <w:tc>
          <w:tcPr>
            <w:tcW w:w="1350" w:type="dxa"/>
          </w:tcPr>
          <w:p w14:paraId="13DBC29C" w14:textId="77777777" w:rsidR="00024ECE" w:rsidRPr="00DE0A84" w:rsidRDefault="00024ECE" w:rsidP="00CA5013">
            <w:pPr>
              <w:rPr>
                <w:rFonts w:ascii="Helvetica" w:hAnsi="Helvetica" w:cs="Arial"/>
              </w:rPr>
            </w:pPr>
            <w:r w:rsidRPr="00DE0A84">
              <w:rPr>
                <w:rFonts w:ascii="Helvetica" w:hAnsi="Helvetica" w:cs="Arial"/>
              </w:rPr>
              <w:t>t12500</w:t>
            </w:r>
          </w:p>
        </w:tc>
        <w:tc>
          <w:tcPr>
            <w:tcW w:w="1457" w:type="dxa"/>
          </w:tcPr>
          <w:p w14:paraId="70C58D05" w14:textId="77777777" w:rsidR="00024ECE" w:rsidRPr="00DE0A84" w:rsidRDefault="00024ECE" w:rsidP="00CA5013">
            <w:pPr>
              <w:rPr>
                <w:rFonts w:ascii="Helvetica" w:hAnsi="Helvetica" w:cs="Arial"/>
              </w:rPr>
            </w:pPr>
            <w:r w:rsidRPr="00DE0A84">
              <w:rPr>
                <w:rFonts w:ascii="Helvetica" w:hAnsi="Helvetica" w:cs="Arial"/>
              </w:rPr>
              <w:t>t12500</w:t>
            </w:r>
          </w:p>
        </w:tc>
        <w:tc>
          <w:tcPr>
            <w:tcW w:w="875" w:type="dxa"/>
          </w:tcPr>
          <w:p w14:paraId="65BFFB6A" w14:textId="77777777" w:rsidR="00024ECE" w:rsidRPr="00DE0A84" w:rsidRDefault="00024ECE" w:rsidP="00CA5013">
            <w:pPr>
              <w:rPr>
                <w:rFonts w:ascii="Helvetica" w:hAnsi="Helvetica" w:cs="Arial"/>
              </w:rPr>
            </w:pPr>
            <w:r w:rsidRPr="00DE0A84">
              <w:rPr>
                <w:rFonts w:ascii="Helvetica" w:hAnsi="Helvetica" w:cs="Arial"/>
              </w:rPr>
              <w:t>0</w:t>
            </w:r>
          </w:p>
        </w:tc>
        <w:tc>
          <w:tcPr>
            <w:tcW w:w="828" w:type="dxa"/>
          </w:tcPr>
          <w:p w14:paraId="111D026E" w14:textId="77777777" w:rsidR="00024ECE" w:rsidRPr="00DE0A84" w:rsidRDefault="00024ECE" w:rsidP="00CA5013">
            <w:pPr>
              <w:rPr>
                <w:rFonts w:ascii="Helvetica" w:hAnsi="Helvetica" w:cs="Arial"/>
              </w:rPr>
            </w:pPr>
            <w:r w:rsidRPr="00DE0A84">
              <w:rPr>
                <w:rFonts w:ascii="Helvetica" w:hAnsi="Helvetica" w:cs="Arial"/>
              </w:rPr>
              <w:t>0</w:t>
            </w:r>
          </w:p>
        </w:tc>
        <w:tc>
          <w:tcPr>
            <w:tcW w:w="904" w:type="dxa"/>
          </w:tcPr>
          <w:p w14:paraId="20F2DF2C" w14:textId="77777777" w:rsidR="00024ECE" w:rsidRPr="00DE0A84" w:rsidRDefault="00024ECE" w:rsidP="00CA5013">
            <w:pPr>
              <w:rPr>
                <w:rFonts w:ascii="Helvetica" w:hAnsi="Helvetica" w:cs="Arial"/>
              </w:rPr>
            </w:pPr>
            <w:r w:rsidRPr="00DE0A84">
              <w:rPr>
                <w:rFonts w:ascii="Helvetica" w:hAnsi="Helvetica" w:cs="Arial"/>
              </w:rPr>
              <w:t>3</w:t>
            </w:r>
          </w:p>
        </w:tc>
        <w:tc>
          <w:tcPr>
            <w:tcW w:w="976" w:type="dxa"/>
          </w:tcPr>
          <w:p w14:paraId="20687114" w14:textId="77777777" w:rsidR="00024ECE" w:rsidRPr="00DE0A84" w:rsidRDefault="00024ECE" w:rsidP="00CA5013">
            <w:pPr>
              <w:rPr>
                <w:rFonts w:ascii="Helvetica" w:hAnsi="Helvetica" w:cs="Arial"/>
              </w:rPr>
            </w:pPr>
            <w:r w:rsidRPr="00DE0A84">
              <w:rPr>
                <w:rFonts w:ascii="Helvetica" w:hAnsi="Helvetica" w:cs="Arial"/>
              </w:rPr>
              <w:t>3</w:t>
            </w:r>
          </w:p>
        </w:tc>
      </w:tr>
      <w:tr w:rsidR="00DE0A84" w:rsidRPr="00DE0A84" w14:paraId="5A57E849" w14:textId="77777777" w:rsidTr="00CA5013">
        <w:tc>
          <w:tcPr>
            <w:tcW w:w="1643" w:type="dxa"/>
          </w:tcPr>
          <w:p w14:paraId="24C45F03" w14:textId="77777777" w:rsidR="00024ECE" w:rsidRPr="00DE0A84" w:rsidRDefault="00024ECE" w:rsidP="00CA5013">
            <w:pPr>
              <w:rPr>
                <w:rFonts w:ascii="Helvetica" w:hAnsi="Helvetica" w:cs="Arial"/>
              </w:rPr>
            </w:pPr>
            <w:r w:rsidRPr="00DE0A84">
              <w:rPr>
                <w:rFonts w:ascii="Helvetica" w:hAnsi="Helvetica" w:cs="Arial"/>
              </w:rPr>
              <w:t>F</w:t>
            </w:r>
          </w:p>
        </w:tc>
        <w:tc>
          <w:tcPr>
            <w:tcW w:w="1327" w:type="dxa"/>
          </w:tcPr>
          <w:p w14:paraId="1C7DB196" w14:textId="77777777" w:rsidR="00024ECE" w:rsidRPr="00DE0A84" w:rsidRDefault="00024ECE" w:rsidP="00CA5013">
            <w:pPr>
              <w:rPr>
                <w:rFonts w:ascii="Helvetica" w:hAnsi="Helvetica" w:cs="Arial"/>
              </w:rPr>
            </w:pPr>
            <w:r w:rsidRPr="00DE0A84">
              <w:rPr>
                <w:rFonts w:ascii="Helvetica" w:hAnsi="Helvetica" w:cs="Arial"/>
              </w:rPr>
              <w:t>t216</w:t>
            </w:r>
          </w:p>
        </w:tc>
        <w:tc>
          <w:tcPr>
            <w:tcW w:w="1350" w:type="dxa"/>
          </w:tcPr>
          <w:p w14:paraId="1D128383" w14:textId="77777777" w:rsidR="00024ECE" w:rsidRPr="00DE0A84" w:rsidRDefault="00024ECE" w:rsidP="00CA5013">
            <w:pPr>
              <w:rPr>
                <w:rFonts w:ascii="Helvetica" w:hAnsi="Helvetica" w:cs="Arial"/>
              </w:rPr>
            </w:pPr>
            <w:r w:rsidRPr="00DE0A84">
              <w:rPr>
                <w:rFonts w:ascii="Helvetica" w:hAnsi="Helvetica" w:cs="Arial"/>
              </w:rPr>
              <w:t>t216</w:t>
            </w:r>
          </w:p>
        </w:tc>
        <w:tc>
          <w:tcPr>
            <w:tcW w:w="1457" w:type="dxa"/>
          </w:tcPr>
          <w:p w14:paraId="6A4BFF05" w14:textId="77777777" w:rsidR="00024ECE" w:rsidRPr="00DE0A84" w:rsidRDefault="00024ECE" w:rsidP="00CA5013">
            <w:pPr>
              <w:rPr>
                <w:rFonts w:ascii="Helvetica" w:hAnsi="Helvetica" w:cs="Arial"/>
              </w:rPr>
            </w:pPr>
            <w:r w:rsidRPr="00DE0A84">
              <w:rPr>
                <w:rFonts w:ascii="Helvetica" w:hAnsi="Helvetica" w:cs="Arial"/>
              </w:rPr>
              <w:t>t216 &amp; t2008</w:t>
            </w:r>
          </w:p>
        </w:tc>
        <w:tc>
          <w:tcPr>
            <w:tcW w:w="875" w:type="dxa"/>
          </w:tcPr>
          <w:p w14:paraId="00835922" w14:textId="77777777" w:rsidR="00024ECE" w:rsidRPr="00DE0A84" w:rsidRDefault="00024ECE" w:rsidP="00CA5013">
            <w:pPr>
              <w:rPr>
                <w:rFonts w:ascii="Helvetica" w:hAnsi="Helvetica" w:cs="Arial"/>
              </w:rPr>
            </w:pPr>
            <w:r w:rsidRPr="00DE0A84">
              <w:rPr>
                <w:rFonts w:ascii="Helvetica" w:hAnsi="Helvetica" w:cs="Arial"/>
              </w:rPr>
              <w:t>0</w:t>
            </w:r>
          </w:p>
        </w:tc>
        <w:tc>
          <w:tcPr>
            <w:tcW w:w="828" w:type="dxa"/>
          </w:tcPr>
          <w:p w14:paraId="49FF198F" w14:textId="77777777" w:rsidR="00024ECE" w:rsidRPr="00DE0A84" w:rsidRDefault="00024ECE" w:rsidP="00CA5013">
            <w:pPr>
              <w:rPr>
                <w:rFonts w:ascii="Helvetica" w:hAnsi="Helvetica" w:cs="Arial"/>
              </w:rPr>
            </w:pPr>
            <w:r w:rsidRPr="00DE0A84">
              <w:rPr>
                <w:rFonts w:ascii="Helvetica" w:hAnsi="Helvetica" w:cs="Arial"/>
              </w:rPr>
              <w:t>0</w:t>
            </w:r>
          </w:p>
        </w:tc>
        <w:tc>
          <w:tcPr>
            <w:tcW w:w="904" w:type="dxa"/>
          </w:tcPr>
          <w:p w14:paraId="5A84633B" w14:textId="77777777" w:rsidR="00024ECE" w:rsidRPr="00DE0A84" w:rsidRDefault="00024ECE" w:rsidP="00CA5013">
            <w:pPr>
              <w:rPr>
                <w:rFonts w:ascii="Helvetica" w:hAnsi="Helvetica" w:cs="Arial"/>
              </w:rPr>
            </w:pPr>
            <w:r w:rsidRPr="00DE0A84">
              <w:rPr>
                <w:rFonts w:ascii="Helvetica" w:hAnsi="Helvetica" w:cs="Arial"/>
              </w:rPr>
              <w:t>1</w:t>
            </w:r>
          </w:p>
        </w:tc>
        <w:tc>
          <w:tcPr>
            <w:tcW w:w="976" w:type="dxa"/>
          </w:tcPr>
          <w:p w14:paraId="23DFC366" w14:textId="77777777" w:rsidR="00024ECE" w:rsidRPr="00DE0A84" w:rsidRDefault="00024ECE" w:rsidP="00CA5013">
            <w:pPr>
              <w:rPr>
                <w:rFonts w:ascii="Helvetica" w:hAnsi="Helvetica" w:cs="Arial"/>
              </w:rPr>
            </w:pPr>
            <w:r w:rsidRPr="00DE0A84">
              <w:rPr>
                <w:rFonts w:ascii="Helvetica" w:hAnsi="Helvetica" w:cs="Arial"/>
              </w:rPr>
              <w:t>2</w:t>
            </w:r>
          </w:p>
        </w:tc>
      </w:tr>
      <w:tr w:rsidR="00DE0A84" w:rsidRPr="00DE0A84" w14:paraId="2EAB188B" w14:textId="77777777" w:rsidTr="00CA5013">
        <w:tc>
          <w:tcPr>
            <w:tcW w:w="1643" w:type="dxa"/>
          </w:tcPr>
          <w:p w14:paraId="79771640" w14:textId="77777777" w:rsidR="00024ECE" w:rsidRPr="00DE0A84" w:rsidRDefault="00024ECE" w:rsidP="00CA5013">
            <w:pPr>
              <w:rPr>
                <w:rFonts w:ascii="Helvetica" w:hAnsi="Helvetica" w:cs="Arial"/>
              </w:rPr>
            </w:pPr>
            <w:r w:rsidRPr="00DE0A84">
              <w:rPr>
                <w:rFonts w:ascii="Helvetica" w:hAnsi="Helvetica" w:cs="Arial"/>
              </w:rPr>
              <w:t>H</w:t>
            </w:r>
          </w:p>
        </w:tc>
        <w:tc>
          <w:tcPr>
            <w:tcW w:w="1327" w:type="dxa"/>
          </w:tcPr>
          <w:p w14:paraId="689D9E5E" w14:textId="77777777" w:rsidR="00024ECE" w:rsidRPr="00DE0A84" w:rsidRDefault="00024ECE" w:rsidP="00CA5013">
            <w:pPr>
              <w:rPr>
                <w:rFonts w:ascii="Helvetica" w:hAnsi="Helvetica" w:cs="Arial"/>
              </w:rPr>
            </w:pPr>
            <w:r w:rsidRPr="00DE0A84">
              <w:rPr>
                <w:rFonts w:ascii="Helvetica" w:hAnsi="Helvetica" w:cs="Arial"/>
              </w:rPr>
              <w:t>t121</w:t>
            </w:r>
          </w:p>
        </w:tc>
        <w:tc>
          <w:tcPr>
            <w:tcW w:w="1350" w:type="dxa"/>
          </w:tcPr>
          <w:p w14:paraId="01D16594" w14:textId="77777777" w:rsidR="00024ECE" w:rsidRPr="00DE0A84" w:rsidRDefault="00024ECE" w:rsidP="00CA5013">
            <w:pPr>
              <w:rPr>
                <w:rFonts w:ascii="Helvetica" w:hAnsi="Helvetica" w:cs="Arial"/>
              </w:rPr>
            </w:pPr>
            <w:r w:rsidRPr="00DE0A84">
              <w:rPr>
                <w:rFonts w:ascii="Helvetica" w:hAnsi="Helvetica" w:cs="Arial"/>
              </w:rPr>
              <w:t>t121</w:t>
            </w:r>
          </w:p>
        </w:tc>
        <w:tc>
          <w:tcPr>
            <w:tcW w:w="1457" w:type="dxa"/>
          </w:tcPr>
          <w:p w14:paraId="593281AE" w14:textId="77777777" w:rsidR="00024ECE" w:rsidRPr="00DE0A84" w:rsidRDefault="00024ECE" w:rsidP="00CA5013">
            <w:pPr>
              <w:rPr>
                <w:rFonts w:ascii="Helvetica" w:hAnsi="Helvetica" w:cs="Arial"/>
              </w:rPr>
            </w:pPr>
            <w:r w:rsidRPr="00DE0A84">
              <w:rPr>
                <w:rFonts w:ascii="Helvetica" w:hAnsi="Helvetica" w:cs="Arial"/>
              </w:rPr>
              <w:t>t121</w:t>
            </w:r>
          </w:p>
        </w:tc>
        <w:tc>
          <w:tcPr>
            <w:tcW w:w="875" w:type="dxa"/>
          </w:tcPr>
          <w:p w14:paraId="01A5E2C8" w14:textId="77777777" w:rsidR="00024ECE" w:rsidRPr="00DE0A84" w:rsidRDefault="00024ECE" w:rsidP="00CA5013">
            <w:pPr>
              <w:rPr>
                <w:rFonts w:ascii="Helvetica" w:hAnsi="Helvetica" w:cs="Arial"/>
              </w:rPr>
            </w:pPr>
            <w:r w:rsidRPr="00DE0A84">
              <w:rPr>
                <w:rFonts w:ascii="Helvetica" w:hAnsi="Helvetica" w:cs="Arial"/>
              </w:rPr>
              <w:t>1</w:t>
            </w:r>
          </w:p>
        </w:tc>
        <w:tc>
          <w:tcPr>
            <w:tcW w:w="828" w:type="dxa"/>
          </w:tcPr>
          <w:p w14:paraId="53F9D2B8" w14:textId="77777777" w:rsidR="00024ECE" w:rsidRPr="00DE0A84" w:rsidRDefault="00024ECE" w:rsidP="00CA5013">
            <w:pPr>
              <w:rPr>
                <w:rFonts w:ascii="Helvetica" w:hAnsi="Helvetica" w:cs="Arial"/>
              </w:rPr>
            </w:pPr>
            <w:r w:rsidRPr="00DE0A84">
              <w:rPr>
                <w:rFonts w:ascii="Helvetica" w:hAnsi="Helvetica" w:cs="Arial"/>
              </w:rPr>
              <w:t>3</w:t>
            </w:r>
          </w:p>
        </w:tc>
        <w:tc>
          <w:tcPr>
            <w:tcW w:w="904" w:type="dxa"/>
          </w:tcPr>
          <w:p w14:paraId="3215C24D" w14:textId="77777777" w:rsidR="00024ECE" w:rsidRPr="00DE0A84" w:rsidRDefault="00024ECE" w:rsidP="00CA5013">
            <w:pPr>
              <w:rPr>
                <w:rFonts w:ascii="Helvetica" w:hAnsi="Helvetica" w:cs="Arial"/>
              </w:rPr>
            </w:pPr>
            <w:r w:rsidRPr="00DE0A84">
              <w:rPr>
                <w:rFonts w:ascii="Helvetica" w:hAnsi="Helvetica" w:cs="Arial"/>
              </w:rPr>
              <w:t>0</w:t>
            </w:r>
          </w:p>
        </w:tc>
        <w:tc>
          <w:tcPr>
            <w:tcW w:w="976" w:type="dxa"/>
          </w:tcPr>
          <w:p w14:paraId="07CBC0AB" w14:textId="77777777" w:rsidR="00024ECE" w:rsidRPr="00DE0A84" w:rsidRDefault="00024ECE" w:rsidP="00CA5013">
            <w:pPr>
              <w:rPr>
                <w:rFonts w:ascii="Helvetica" w:hAnsi="Helvetica" w:cs="Arial"/>
              </w:rPr>
            </w:pPr>
            <w:r w:rsidRPr="00DE0A84">
              <w:rPr>
                <w:rFonts w:ascii="Helvetica" w:hAnsi="Helvetica" w:cs="Arial"/>
              </w:rPr>
              <w:t>0</w:t>
            </w:r>
          </w:p>
        </w:tc>
      </w:tr>
      <w:tr w:rsidR="00DE0A84" w:rsidRPr="00DE0A84" w14:paraId="605C35EA" w14:textId="77777777" w:rsidTr="00CA5013">
        <w:tc>
          <w:tcPr>
            <w:tcW w:w="1643" w:type="dxa"/>
          </w:tcPr>
          <w:p w14:paraId="74D95DB7" w14:textId="77777777" w:rsidR="00024ECE" w:rsidRPr="00DE0A84" w:rsidRDefault="00024ECE" w:rsidP="00CA5013">
            <w:pPr>
              <w:rPr>
                <w:rFonts w:ascii="Helvetica" w:hAnsi="Helvetica" w:cs="Arial"/>
              </w:rPr>
            </w:pPr>
            <w:r w:rsidRPr="00DE0A84">
              <w:rPr>
                <w:rFonts w:ascii="Helvetica" w:hAnsi="Helvetica" w:cs="Arial"/>
              </w:rPr>
              <w:t>I</w:t>
            </w:r>
          </w:p>
        </w:tc>
        <w:tc>
          <w:tcPr>
            <w:tcW w:w="1327" w:type="dxa"/>
          </w:tcPr>
          <w:p w14:paraId="51ED31C9" w14:textId="77777777" w:rsidR="00024ECE" w:rsidRPr="00DE0A84" w:rsidRDefault="00024ECE" w:rsidP="00CA5013">
            <w:pPr>
              <w:rPr>
                <w:rFonts w:ascii="Helvetica" w:hAnsi="Helvetica" w:cs="Arial"/>
              </w:rPr>
            </w:pPr>
            <w:r w:rsidRPr="00DE0A84">
              <w:rPr>
                <w:rFonts w:ascii="Helvetica" w:hAnsi="Helvetica" w:cs="Arial"/>
              </w:rPr>
              <w:t>NT</w:t>
            </w:r>
          </w:p>
        </w:tc>
        <w:tc>
          <w:tcPr>
            <w:tcW w:w="1350" w:type="dxa"/>
          </w:tcPr>
          <w:p w14:paraId="139BD30D" w14:textId="77777777" w:rsidR="00024ECE" w:rsidRPr="00DE0A84" w:rsidRDefault="00024ECE" w:rsidP="00CA5013">
            <w:pPr>
              <w:rPr>
                <w:rFonts w:ascii="Helvetica" w:hAnsi="Helvetica" w:cs="Arial"/>
              </w:rPr>
            </w:pPr>
            <w:r w:rsidRPr="00DE0A84">
              <w:rPr>
                <w:rFonts w:ascii="Helvetica" w:hAnsi="Helvetica" w:cs="Arial"/>
              </w:rPr>
              <w:t>UTBT</w:t>
            </w:r>
          </w:p>
        </w:tc>
        <w:tc>
          <w:tcPr>
            <w:tcW w:w="1457" w:type="dxa"/>
          </w:tcPr>
          <w:p w14:paraId="5BFC43D5" w14:textId="77777777" w:rsidR="00024ECE" w:rsidRPr="00DE0A84" w:rsidRDefault="00024ECE" w:rsidP="00CA5013">
            <w:pPr>
              <w:rPr>
                <w:rFonts w:ascii="Helvetica" w:hAnsi="Helvetica" w:cs="Arial"/>
              </w:rPr>
            </w:pPr>
            <w:r w:rsidRPr="00DE0A84">
              <w:rPr>
                <w:rFonts w:ascii="Helvetica" w:hAnsi="Helvetica" w:cs="Arial"/>
              </w:rPr>
              <w:t>No MRSA</w:t>
            </w:r>
          </w:p>
        </w:tc>
        <w:tc>
          <w:tcPr>
            <w:tcW w:w="875" w:type="dxa"/>
          </w:tcPr>
          <w:p w14:paraId="77C31F5D" w14:textId="77777777" w:rsidR="00024ECE" w:rsidRPr="00DE0A84" w:rsidRDefault="00024ECE" w:rsidP="00CA5013">
            <w:pPr>
              <w:rPr>
                <w:rFonts w:ascii="Helvetica" w:hAnsi="Helvetica" w:cs="Arial"/>
              </w:rPr>
            </w:pPr>
            <w:r w:rsidRPr="00DE0A84">
              <w:rPr>
                <w:rFonts w:ascii="Helvetica" w:hAnsi="Helvetica" w:cs="Arial"/>
              </w:rPr>
              <w:t>0</w:t>
            </w:r>
          </w:p>
        </w:tc>
        <w:tc>
          <w:tcPr>
            <w:tcW w:w="828" w:type="dxa"/>
          </w:tcPr>
          <w:p w14:paraId="13971C96" w14:textId="77777777" w:rsidR="00024ECE" w:rsidRPr="00DE0A84" w:rsidRDefault="00024ECE" w:rsidP="00CA5013">
            <w:pPr>
              <w:rPr>
                <w:rFonts w:ascii="Helvetica" w:hAnsi="Helvetica" w:cs="Arial"/>
              </w:rPr>
            </w:pPr>
            <w:r w:rsidRPr="00DE0A84">
              <w:rPr>
                <w:rFonts w:ascii="Helvetica" w:hAnsi="Helvetica" w:cs="Arial"/>
              </w:rPr>
              <w:t>0</w:t>
            </w:r>
          </w:p>
        </w:tc>
        <w:tc>
          <w:tcPr>
            <w:tcW w:w="904" w:type="dxa"/>
          </w:tcPr>
          <w:p w14:paraId="27306C41" w14:textId="77777777" w:rsidR="00024ECE" w:rsidRPr="00DE0A84" w:rsidRDefault="00024ECE" w:rsidP="00CA5013">
            <w:pPr>
              <w:rPr>
                <w:rFonts w:ascii="Helvetica" w:hAnsi="Helvetica" w:cs="Arial"/>
              </w:rPr>
            </w:pPr>
            <w:r w:rsidRPr="00DE0A84">
              <w:rPr>
                <w:rFonts w:ascii="Helvetica" w:hAnsi="Helvetica" w:cs="Arial"/>
              </w:rPr>
              <w:t>1</w:t>
            </w:r>
          </w:p>
        </w:tc>
        <w:tc>
          <w:tcPr>
            <w:tcW w:w="976" w:type="dxa"/>
          </w:tcPr>
          <w:p w14:paraId="07B5B137" w14:textId="77777777" w:rsidR="00024ECE" w:rsidRPr="00DE0A84" w:rsidRDefault="00024ECE" w:rsidP="00CA5013">
            <w:pPr>
              <w:rPr>
                <w:rFonts w:ascii="Helvetica" w:hAnsi="Helvetica" w:cs="Arial"/>
              </w:rPr>
            </w:pPr>
            <w:r w:rsidRPr="00DE0A84">
              <w:rPr>
                <w:rFonts w:ascii="Helvetica" w:hAnsi="Helvetica" w:cs="Arial"/>
              </w:rPr>
              <w:t>3</w:t>
            </w:r>
          </w:p>
        </w:tc>
      </w:tr>
      <w:tr w:rsidR="00DE0A84" w:rsidRPr="00DE0A84" w14:paraId="1C243D9C" w14:textId="77777777" w:rsidTr="00CA5013">
        <w:tc>
          <w:tcPr>
            <w:tcW w:w="1643" w:type="dxa"/>
          </w:tcPr>
          <w:p w14:paraId="4C8D2EEB" w14:textId="77777777" w:rsidR="00024ECE" w:rsidRPr="00DE0A84" w:rsidRDefault="00024ECE" w:rsidP="00CA5013">
            <w:pPr>
              <w:rPr>
                <w:rFonts w:ascii="Helvetica" w:hAnsi="Helvetica" w:cs="Arial"/>
              </w:rPr>
            </w:pPr>
            <w:r w:rsidRPr="00DE0A84">
              <w:rPr>
                <w:rFonts w:ascii="Helvetica" w:hAnsi="Helvetica" w:cs="Arial"/>
              </w:rPr>
              <w:t>J</w:t>
            </w:r>
          </w:p>
        </w:tc>
        <w:tc>
          <w:tcPr>
            <w:tcW w:w="1327" w:type="dxa"/>
          </w:tcPr>
          <w:p w14:paraId="5F4DD033" w14:textId="77777777" w:rsidR="00024ECE" w:rsidRPr="00DE0A84" w:rsidRDefault="00024ECE" w:rsidP="00CA5013">
            <w:pPr>
              <w:rPr>
                <w:rFonts w:ascii="Helvetica" w:hAnsi="Helvetica" w:cs="Arial"/>
              </w:rPr>
            </w:pPr>
            <w:r w:rsidRPr="00DE0A84">
              <w:rPr>
                <w:rFonts w:ascii="Helvetica" w:hAnsi="Helvetica" w:cs="Arial"/>
              </w:rPr>
              <w:t>t008</w:t>
            </w:r>
          </w:p>
        </w:tc>
        <w:tc>
          <w:tcPr>
            <w:tcW w:w="1350" w:type="dxa"/>
          </w:tcPr>
          <w:p w14:paraId="473924C5" w14:textId="77777777" w:rsidR="00024ECE" w:rsidRPr="00DE0A84" w:rsidRDefault="00024ECE" w:rsidP="00CA5013">
            <w:pPr>
              <w:rPr>
                <w:rFonts w:ascii="Helvetica" w:hAnsi="Helvetica" w:cs="Arial"/>
              </w:rPr>
            </w:pPr>
            <w:r w:rsidRPr="00DE0A84">
              <w:rPr>
                <w:rFonts w:ascii="Helvetica" w:hAnsi="Helvetica" w:cs="Arial"/>
              </w:rPr>
              <w:t>t008</w:t>
            </w:r>
          </w:p>
        </w:tc>
        <w:tc>
          <w:tcPr>
            <w:tcW w:w="1457" w:type="dxa"/>
          </w:tcPr>
          <w:p w14:paraId="76447726" w14:textId="77777777" w:rsidR="00024ECE" w:rsidRPr="00DE0A84" w:rsidRDefault="00024ECE" w:rsidP="00CA5013">
            <w:pPr>
              <w:rPr>
                <w:rFonts w:ascii="Helvetica" w:hAnsi="Helvetica" w:cs="Arial"/>
              </w:rPr>
            </w:pPr>
            <w:r w:rsidRPr="00DE0A84">
              <w:rPr>
                <w:rFonts w:ascii="Helvetica" w:hAnsi="Helvetica" w:cs="Arial"/>
              </w:rPr>
              <w:t>t008 &amp; t179</w:t>
            </w:r>
          </w:p>
        </w:tc>
        <w:tc>
          <w:tcPr>
            <w:tcW w:w="875" w:type="dxa"/>
          </w:tcPr>
          <w:p w14:paraId="3B9BE7FD" w14:textId="77777777" w:rsidR="00024ECE" w:rsidRPr="00DE0A84" w:rsidRDefault="00024ECE" w:rsidP="00CA5013">
            <w:pPr>
              <w:rPr>
                <w:rFonts w:ascii="Helvetica" w:hAnsi="Helvetica" w:cs="Arial"/>
              </w:rPr>
            </w:pPr>
            <w:r w:rsidRPr="00DE0A84">
              <w:rPr>
                <w:rFonts w:ascii="Helvetica" w:hAnsi="Helvetica" w:cs="Arial"/>
              </w:rPr>
              <w:t>0</w:t>
            </w:r>
          </w:p>
        </w:tc>
        <w:tc>
          <w:tcPr>
            <w:tcW w:w="828" w:type="dxa"/>
          </w:tcPr>
          <w:p w14:paraId="671FA010" w14:textId="77777777" w:rsidR="00024ECE" w:rsidRPr="00DE0A84" w:rsidRDefault="00024ECE" w:rsidP="00CA5013">
            <w:pPr>
              <w:rPr>
                <w:rFonts w:ascii="Helvetica" w:hAnsi="Helvetica" w:cs="Arial"/>
              </w:rPr>
            </w:pPr>
            <w:r w:rsidRPr="00DE0A84">
              <w:rPr>
                <w:rFonts w:ascii="Helvetica" w:hAnsi="Helvetica" w:cs="Arial"/>
              </w:rPr>
              <w:t>6</w:t>
            </w:r>
          </w:p>
        </w:tc>
        <w:tc>
          <w:tcPr>
            <w:tcW w:w="904" w:type="dxa"/>
          </w:tcPr>
          <w:p w14:paraId="434C66C5" w14:textId="77777777" w:rsidR="00024ECE" w:rsidRPr="00DE0A84" w:rsidRDefault="00024ECE" w:rsidP="00CA5013">
            <w:pPr>
              <w:rPr>
                <w:rFonts w:ascii="Helvetica" w:hAnsi="Helvetica" w:cs="Arial"/>
              </w:rPr>
            </w:pPr>
            <w:r w:rsidRPr="00DE0A84">
              <w:rPr>
                <w:rFonts w:ascii="Helvetica" w:hAnsi="Helvetica" w:cs="Arial"/>
              </w:rPr>
              <w:t>1</w:t>
            </w:r>
          </w:p>
        </w:tc>
        <w:tc>
          <w:tcPr>
            <w:tcW w:w="976" w:type="dxa"/>
          </w:tcPr>
          <w:p w14:paraId="650F6F0D" w14:textId="77777777" w:rsidR="00024ECE" w:rsidRPr="00DE0A84" w:rsidRDefault="00024ECE" w:rsidP="00CA5013">
            <w:pPr>
              <w:rPr>
                <w:rFonts w:ascii="Helvetica" w:hAnsi="Helvetica" w:cs="Arial"/>
              </w:rPr>
            </w:pPr>
            <w:r w:rsidRPr="00DE0A84">
              <w:rPr>
                <w:rFonts w:ascii="Helvetica" w:hAnsi="Helvetica" w:cs="Arial"/>
              </w:rPr>
              <w:t>1</w:t>
            </w:r>
          </w:p>
        </w:tc>
      </w:tr>
    </w:tbl>
    <w:p w14:paraId="355C5520" w14:textId="77777777" w:rsidR="00024ECE" w:rsidRPr="00DE0A84" w:rsidRDefault="00024ECE" w:rsidP="00024ECE">
      <w:pPr>
        <w:rPr>
          <w:rFonts w:ascii="Helvetica" w:hAnsi="Helvetica" w:cs="Arial"/>
        </w:rPr>
      </w:pPr>
    </w:p>
    <w:p w14:paraId="323A8318" w14:textId="77777777" w:rsidR="00024ECE" w:rsidRPr="00DE0A84" w:rsidRDefault="00024ECE" w:rsidP="00024ECE">
      <w:pPr>
        <w:rPr>
          <w:rFonts w:ascii="Helvetica" w:hAnsi="Helvetica" w:cs="Arial"/>
        </w:rPr>
      </w:pPr>
      <w:r w:rsidRPr="00DE0A84">
        <w:rPr>
          <w:rFonts w:ascii="Helvetica" w:hAnsi="Helvetica" w:cs="Arial"/>
        </w:rPr>
        <w:t>*No positive housemate pets were discordant with each other</w:t>
      </w:r>
    </w:p>
    <w:p w14:paraId="3E765E3A" w14:textId="5646A8F1" w:rsidR="00024ECE" w:rsidRPr="00DE0A84" w:rsidRDefault="00024ECE" w:rsidP="00024ECE">
      <w:pPr>
        <w:rPr>
          <w:rFonts w:ascii="Helvetica" w:hAnsi="Helvetica" w:cs="Arial"/>
        </w:rPr>
      </w:pPr>
      <w:r w:rsidRPr="00DE0A84">
        <w:rPr>
          <w:rFonts w:ascii="Helvetica" w:hAnsi="Helvetica" w:cs="Arial"/>
        </w:rPr>
        <w:t>UTBT</w:t>
      </w:r>
      <w:r w:rsidR="003178AC" w:rsidRPr="00DE0A84">
        <w:rPr>
          <w:rFonts w:ascii="Helvetica" w:hAnsi="Helvetica" w:cs="Arial"/>
        </w:rPr>
        <w:t xml:space="preserve">, unable </w:t>
      </w:r>
      <w:r w:rsidRPr="00DE0A84">
        <w:rPr>
          <w:rFonts w:ascii="Helvetica" w:hAnsi="Helvetica" w:cs="Arial"/>
        </w:rPr>
        <w:t>to be typed</w:t>
      </w:r>
      <w:r w:rsidR="003178AC" w:rsidRPr="00DE0A84">
        <w:rPr>
          <w:rFonts w:ascii="Helvetica" w:hAnsi="Helvetica" w:cs="Arial"/>
        </w:rPr>
        <w:t xml:space="preserve">; </w:t>
      </w:r>
      <w:r w:rsidRPr="00DE0A84">
        <w:rPr>
          <w:rFonts w:ascii="Helvetica" w:hAnsi="Helvetica" w:cs="Arial"/>
        </w:rPr>
        <w:t>NT</w:t>
      </w:r>
      <w:r w:rsidR="003178AC" w:rsidRPr="00DE0A84">
        <w:rPr>
          <w:rFonts w:ascii="Helvetica" w:hAnsi="Helvetica" w:cs="Arial"/>
        </w:rPr>
        <w:t xml:space="preserve">, not </w:t>
      </w:r>
      <w:r w:rsidRPr="00DE0A84">
        <w:rPr>
          <w:rFonts w:ascii="Helvetica" w:hAnsi="Helvetica" w:cs="Arial"/>
        </w:rPr>
        <w:t>tested</w:t>
      </w:r>
    </w:p>
    <w:p w14:paraId="5E09BACC" w14:textId="77777777" w:rsidR="00024ECE" w:rsidRPr="00DE0A84" w:rsidRDefault="00024ECE" w:rsidP="00024ECE">
      <w:pPr>
        <w:rPr>
          <w:rFonts w:ascii="Helvetica" w:hAnsi="Helvetica" w:cs="Arial"/>
          <w:b/>
          <w:bCs/>
        </w:rPr>
      </w:pPr>
    </w:p>
    <w:p w14:paraId="36501B3F" w14:textId="77777777" w:rsidR="00024ECE" w:rsidRPr="00DE0A84" w:rsidRDefault="00024ECE" w:rsidP="00024ECE">
      <w:pPr>
        <w:rPr>
          <w:rFonts w:ascii="Helvetica" w:hAnsi="Helvetica" w:cs="Arial"/>
          <w:b/>
          <w:bCs/>
        </w:rPr>
      </w:pPr>
    </w:p>
    <w:p w14:paraId="3A321262" w14:textId="77777777" w:rsidR="00024ECE" w:rsidRPr="00DE0A84" w:rsidRDefault="00024ECE" w:rsidP="00024ECE">
      <w:pPr>
        <w:rPr>
          <w:rFonts w:ascii="Helvetica" w:hAnsi="Helvetica" w:cs="Arial"/>
          <w:b/>
          <w:bCs/>
        </w:rPr>
      </w:pPr>
    </w:p>
    <w:p w14:paraId="2DF812EB" w14:textId="77777777" w:rsidR="00024ECE" w:rsidRPr="00DE0A84" w:rsidRDefault="00024ECE" w:rsidP="00024ECE">
      <w:pPr>
        <w:rPr>
          <w:rFonts w:ascii="Helvetica" w:hAnsi="Helvetica" w:cs="Arial"/>
          <w:b/>
          <w:bCs/>
        </w:rPr>
      </w:pPr>
    </w:p>
    <w:p w14:paraId="20FA88A1" w14:textId="77777777" w:rsidR="00024ECE" w:rsidRPr="00DE0A84" w:rsidRDefault="00024ECE" w:rsidP="00024ECE">
      <w:pPr>
        <w:rPr>
          <w:rFonts w:ascii="Helvetica" w:hAnsi="Helvetica" w:cs="Arial"/>
          <w:b/>
          <w:bCs/>
        </w:rPr>
      </w:pPr>
    </w:p>
    <w:p w14:paraId="4658585D" w14:textId="77777777" w:rsidR="00024ECE" w:rsidRPr="00DE0A84" w:rsidRDefault="00024ECE" w:rsidP="00024ECE">
      <w:pPr>
        <w:rPr>
          <w:rFonts w:ascii="Helvetica" w:hAnsi="Helvetica" w:cs="Arial"/>
          <w:b/>
          <w:bCs/>
        </w:rPr>
      </w:pPr>
    </w:p>
    <w:p w14:paraId="4642B363" w14:textId="77777777" w:rsidR="00024ECE" w:rsidRPr="00DE0A84" w:rsidRDefault="00024ECE" w:rsidP="00024ECE">
      <w:pPr>
        <w:rPr>
          <w:rFonts w:ascii="Helvetica" w:hAnsi="Helvetica" w:cs="Arial"/>
          <w:b/>
          <w:bCs/>
        </w:rPr>
      </w:pPr>
    </w:p>
    <w:p w14:paraId="07E8C15F" w14:textId="77777777" w:rsidR="00024ECE" w:rsidRPr="00DE0A84" w:rsidRDefault="00024ECE" w:rsidP="00024ECE">
      <w:pPr>
        <w:rPr>
          <w:rFonts w:ascii="Helvetica" w:hAnsi="Helvetica" w:cs="Arial"/>
          <w:b/>
          <w:bCs/>
        </w:rPr>
      </w:pPr>
    </w:p>
    <w:p w14:paraId="074F1C47" w14:textId="77777777" w:rsidR="00024ECE" w:rsidRPr="00DE0A84" w:rsidRDefault="00024ECE" w:rsidP="00024ECE">
      <w:pPr>
        <w:rPr>
          <w:rFonts w:ascii="Helvetica" w:hAnsi="Helvetica" w:cs="Arial"/>
          <w:b/>
          <w:bCs/>
        </w:rPr>
      </w:pPr>
    </w:p>
    <w:p w14:paraId="00FC7D34" w14:textId="77777777" w:rsidR="00024ECE" w:rsidRPr="00DE0A84" w:rsidRDefault="00024ECE" w:rsidP="00024ECE">
      <w:pPr>
        <w:rPr>
          <w:rFonts w:ascii="Helvetica" w:hAnsi="Helvetica" w:cs="Arial"/>
          <w:b/>
          <w:bCs/>
        </w:rPr>
      </w:pPr>
    </w:p>
    <w:p w14:paraId="715BEA36" w14:textId="77777777" w:rsidR="00024ECE" w:rsidRPr="00DE0A84" w:rsidRDefault="00024ECE" w:rsidP="00024ECE">
      <w:pPr>
        <w:rPr>
          <w:rFonts w:ascii="Helvetica" w:hAnsi="Helvetica" w:cs="Arial"/>
          <w:b/>
          <w:bCs/>
        </w:rPr>
      </w:pPr>
    </w:p>
    <w:p w14:paraId="6E350DE8" w14:textId="77777777" w:rsidR="00024ECE" w:rsidRPr="00DE0A84" w:rsidRDefault="00024ECE" w:rsidP="00024ECE">
      <w:pPr>
        <w:rPr>
          <w:rFonts w:ascii="Helvetica" w:hAnsi="Helvetica" w:cs="Arial"/>
          <w:b/>
          <w:bCs/>
        </w:rPr>
      </w:pPr>
    </w:p>
    <w:p w14:paraId="04635F11" w14:textId="77777777" w:rsidR="00024ECE" w:rsidRPr="00DE0A84" w:rsidRDefault="00024ECE" w:rsidP="00024ECE">
      <w:pPr>
        <w:rPr>
          <w:rFonts w:ascii="Helvetica" w:hAnsi="Helvetica" w:cs="Arial"/>
          <w:b/>
          <w:bCs/>
        </w:rPr>
      </w:pPr>
    </w:p>
    <w:p w14:paraId="7342C44C" w14:textId="77777777" w:rsidR="00024ECE" w:rsidRPr="00DE0A84" w:rsidRDefault="00024ECE" w:rsidP="00024ECE">
      <w:pPr>
        <w:rPr>
          <w:rFonts w:ascii="Helvetica" w:hAnsi="Helvetica" w:cs="Arial"/>
          <w:b/>
          <w:bCs/>
        </w:rPr>
      </w:pPr>
    </w:p>
    <w:p w14:paraId="63718F7E" w14:textId="77777777" w:rsidR="00024ECE" w:rsidRPr="00DE0A84" w:rsidRDefault="00024ECE" w:rsidP="00024ECE">
      <w:pPr>
        <w:rPr>
          <w:rFonts w:ascii="Helvetica" w:hAnsi="Helvetica" w:cs="Arial"/>
          <w:b/>
          <w:bCs/>
        </w:rPr>
      </w:pPr>
    </w:p>
    <w:p w14:paraId="169AC698" w14:textId="77777777" w:rsidR="00024ECE" w:rsidRPr="00DE0A84" w:rsidRDefault="00024ECE" w:rsidP="00024ECE">
      <w:pPr>
        <w:rPr>
          <w:rFonts w:ascii="Helvetica" w:hAnsi="Helvetica" w:cs="Arial"/>
          <w:b/>
          <w:bCs/>
        </w:rPr>
      </w:pPr>
    </w:p>
    <w:p w14:paraId="4AC16553" w14:textId="77777777" w:rsidR="00024ECE" w:rsidRPr="00DE0A84" w:rsidRDefault="00024ECE" w:rsidP="00024ECE">
      <w:pPr>
        <w:rPr>
          <w:rFonts w:ascii="Helvetica" w:hAnsi="Helvetica" w:cs="Arial"/>
          <w:b/>
          <w:bCs/>
        </w:rPr>
      </w:pPr>
    </w:p>
    <w:p w14:paraId="7858EC27" w14:textId="77777777" w:rsidR="00024ECE" w:rsidRPr="00DE0A84" w:rsidRDefault="00024ECE" w:rsidP="00024ECE">
      <w:pPr>
        <w:rPr>
          <w:rFonts w:ascii="Helvetica" w:hAnsi="Helvetica" w:cs="Arial"/>
          <w:b/>
          <w:bCs/>
        </w:rPr>
      </w:pPr>
    </w:p>
    <w:p w14:paraId="06688D8E" w14:textId="77777777" w:rsidR="00024ECE" w:rsidRPr="00DE0A84" w:rsidRDefault="00024ECE" w:rsidP="00024ECE">
      <w:pPr>
        <w:rPr>
          <w:rFonts w:ascii="Helvetica" w:hAnsi="Helvetica" w:cs="Arial"/>
          <w:b/>
          <w:bCs/>
        </w:rPr>
      </w:pPr>
    </w:p>
    <w:p w14:paraId="740B3DF3" w14:textId="77777777" w:rsidR="00024ECE" w:rsidRPr="00DE0A84" w:rsidRDefault="00024ECE" w:rsidP="00024ECE">
      <w:pPr>
        <w:rPr>
          <w:rFonts w:ascii="Helvetica" w:hAnsi="Helvetica" w:cs="Arial"/>
          <w:b/>
          <w:bCs/>
        </w:rPr>
      </w:pPr>
    </w:p>
    <w:p w14:paraId="6E548A69" w14:textId="77777777" w:rsidR="00024ECE" w:rsidRPr="00DE0A84" w:rsidRDefault="00024ECE" w:rsidP="00024ECE">
      <w:pPr>
        <w:rPr>
          <w:rFonts w:ascii="Helvetica" w:hAnsi="Helvetica" w:cs="Arial"/>
          <w:b/>
          <w:bCs/>
        </w:rPr>
      </w:pPr>
    </w:p>
    <w:p w14:paraId="3C4ED727" w14:textId="77777777" w:rsidR="00024ECE" w:rsidRPr="00DE0A84" w:rsidRDefault="00024ECE" w:rsidP="00024ECE">
      <w:pPr>
        <w:rPr>
          <w:rFonts w:ascii="Helvetica" w:hAnsi="Helvetica" w:cs="Arial"/>
          <w:b/>
          <w:bCs/>
        </w:rPr>
      </w:pPr>
    </w:p>
    <w:p w14:paraId="37A0DA7F" w14:textId="77777777" w:rsidR="00024ECE" w:rsidRPr="00DE0A84" w:rsidRDefault="00024ECE" w:rsidP="00024ECE">
      <w:pPr>
        <w:rPr>
          <w:rFonts w:ascii="Helvetica" w:hAnsi="Helvetica" w:cs="Arial"/>
          <w:b/>
          <w:bCs/>
        </w:rPr>
      </w:pPr>
    </w:p>
    <w:p w14:paraId="30EB001F" w14:textId="77777777" w:rsidR="00024ECE" w:rsidRPr="00DE0A84" w:rsidRDefault="00024ECE" w:rsidP="00024ECE">
      <w:pPr>
        <w:rPr>
          <w:rFonts w:ascii="Helvetica" w:hAnsi="Helvetica" w:cs="Arial"/>
          <w:b/>
          <w:bCs/>
        </w:rPr>
      </w:pPr>
    </w:p>
    <w:p w14:paraId="427071C4" w14:textId="77777777" w:rsidR="00024ECE" w:rsidRPr="00DE0A84" w:rsidRDefault="00024ECE" w:rsidP="00024ECE">
      <w:pPr>
        <w:rPr>
          <w:rFonts w:ascii="Helvetica" w:hAnsi="Helvetica" w:cs="Arial"/>
          <w:b/>
          <w:bCs/>
        </w:rPr>
      </w:pPr>
    </w:p>
    <w:p w14:paraId="6EC93122" w14:textId="136BE796" w:rsidR="00024ECE" w:rsidRPr="00DE0A84" w:rsidRDefault="00105108" w:rsidP="00024ECE">
      <w:pPr>
        <w:rPr>
          <w:rFonts w:ascii="Helvetica" w:hAnsi="Helvetica" w:cs="Arial"/>
          <w:b/>
          <w:bCs/>
        </w:rPr>
      </w:pPr>
      <w:r w:rsidRPr="00DE0A84">
        <w:rPr>
          <w:rFonts w:ascii="Helvetica" w:hAnsi="Helvetica" w:cs="Arial"/>
          <w:b/>
          <w:bCs/>
        </w:rPr>
        <w:t xml:space="preserve">TABLE </w:t>
      </w:r>
      <w:r w:rsidR="00024ECE" w:rsidRPr="00DE0A84">
        <w:rPr>
          <w:rFonts w:ascii="Helvetica" w:hAnsi="Helvetica" w:cs="Arial"/>
          <w:b/>
          <w:bCs/>
        </w:rPr>
        <w:t>S4. Dog and Cat 3-month Risk Factors, Unadjusted and Adjusted</w:t>
      </w:r>
    </w:p>
    <w:p w14:paraId="376EE9C0" w14:textId="77777777" w:rsidR="00024ECE" w:rsidRPr="00DE0A84" w:rsidRDefault="00024ECE" w:rsidP="00024ECE">
      <w:pPr>
        <w:rPr>
          <w:rFonts w:ascii="Helvetica" w:hAnsi="Helvetica" w:cs="Arial"/>
        </w:rPr>
      </w:pPr>
    </w:p>
    <w:tbl>
      <w:tblPr>
        <w:tblW w:w="0" w:type="auto"/>
        <w:tblLook w:val="04A0" w:firstRow="1" w:lastRow="0" w:firstColumn="1" w:lastColumn="0" w:noHBand="0" w:noVBand="1"/>
      </w:tblPr>
      <w:tblGrid>
        <w:gridCol w:w="3116"/>
        <w:gridCol w:w="3117"/>
        <w:gridCol w:w="3117"/>
      </w:tblGrid>
      <w:tr w:rsidR="00DE0A84" w:rsidRPr="00DE0A84" w14:paraId="3F75467F" w14:textId="77777777" w:rsidTr="00CA5013">
        <w:tc>
          <w:tcPr>
            <w:tcW w:w="3116" w:type="dxa"/>
            <w:vAlign w:val="bottom"/>
          </w:tcPr>
          <w:p w14:paraId="350A4317" w14:textId="77777777" w:rsidR="00024ECE" w:rsidRPr="00DE0A84" w:rsidRDefault="00024ECE" w:rsidP="00CA5013">
            <w:pPr>
              <w:rPr>
                <w:rFonts w:ascii="Helvetica" w:hAnsi="Helvetica" w:cs="Arial"/>
              </w:rPr>
            </w:pPr>
            <w:r w:rsidRPr="00DE0A84">
              <w:rPr>
                <w:rFonts w:ascii="Helvetica" w:hAnsi="Helvetica" w:cs="Arial"/>
                <w:b/>
                <w:bCs/>
              </w:rPr>
              <w:t xml:space="preserve"> Risk Factors</w:t>
            </w:r>
          </w:p>
        </w:tc>
        <w:tc>
          <w:tcPr>
            <w:tcW w:w="3117" w:type="dxa"/>
            <w:vAlign w:val="bottom"/>
          </w:tcPr>
          <w:p w14:paraId="65BCA91D" w14:textId="77777777" w:rsidR="00024ECE" w:rsidRPr="00DE0A84" w:rsidRDefault="00024ECE" w:rsidP="00CA5013">
            <w:pPr>
              <w:rPr>
                <w:rFonts w:ascii="Helvetica" w:hAnsi="Helvetica" w:cs="Arial"/>
              </w:rPr>
            </w:pPr>
            <w:r w:rsidRPr="00DE0A84">
              <w:rPr>
                <w:rFonts w:ascii="Helvetica" w:hAnsi="Helvetica" w:cs="Arial"/>
                <w:b/>
                <w:bCs/>
              </w:rPr>
              <w:t>Unadjusted Logistic Regression</w:t>
            </w:r>
          </w:p>
        </w:tc>
        <w:tc>
          <w:tcPr>
            <w:tcW w:w="3117" w:type="dxa"/>
            <w:vAlign w:val="bottom"/>
          </w:tcPr>
          <w:p w14:paraId="11B09C9F" w14:textId="77777777" w:rsidR="00024ECE" w:rsidRPr="00DE0A84" w:rsidRDefault="00024ECE" w:rsidP="00CA5013">
            <w:pPr>
              <w:rPr>
                <w:rFonts w:ascii="Helvetica" w:hAnsi="Helvetica" w:cs="Arial"/>
              </w:rPr>
            </w:pPr>
            <w:r w:rsidRPr="00DE0A84">
              <w:rPr>
                <w:rFonts w:ascii="Helvetica" w:hAnsi="Helvetica" w:cs="Arial"/>
                <w:b/>
                <w:bCs/>
              </w:rPr>
              <w:t>Adjusted, Multiple Logistic Regression</w:t>
            </w:r>
          </w:p>
        </w:tc>
      </w:tr>
      <w:tr w:rsidR="00DE0A84" w:rsidRPr="00DE0A84" w14:paraId="779CAD84" w14:textId="77777777" w:rsidTr="00CA5013">
        <w:tc>
          <w:tcPr>
            <w:tcW w:w="3116" w:type="dxa"/>
            <w:tcBorders>
              <w:bottom w:val="single" w:sz="4" w:space="0" w:color="auto"/>
            </w:tcBorders>
            <w:vAlign w:val="center"/>
          </w:tcPr>
          <w:p w14:paraId="111E3B99" w14:textId="77777777" w:rsidR="00024ECE" w:rsidRPr="00DE0A84" w:rsidRDefault="00024ECE" w:rsidP="00CA5013">
            <w:pPr>
              <w:rPr>
                <w:rFonts w:ascii="Helvetica" w:hAnsi="Helvetica" w:cs="Arial"/>
                <w:b/>
                <w:bCs/>
              </w:rPr>
            </w:pPr>
            <w:r w:rsidRPr="00DE0A84">
              <w:rPr>
                <w:rFonts w:ascii="Helvetica" w:hAnsi="Helvetica" w:cs="Arial"/>
                <w:b/>
                <w:bCs/>
              </w:rPr>
              <w:lastRenderedPageBreak/>
              <w:t>n=134</w:t>
            </w:r>
          </w:p>
          <w:p w14:paraId="4FE11EAB" w14:textId="77777777" w:rsidR="00024ECE" w:rsidRPr="00DE0A84" w:rsidRDefault="00024ECE" w:rsidP="00CA5013">
            <w:pPr>
              <w:rPr>
                <w:rFonts w:ascii="Helvetica" w:hAnsi="Helvetica" w:cs="Arial"/>
              </w:rPr>
            </w:pPr>
          </w:p>
        </w:tc>
        <w:tc>
          <w:tcPr>
            <w:tcW w:w="3117" w:type="dxa"/>
            <w:tcBorders>
              <w:bottom w:val="single" w:sz="4" w:space="0" w:color="auto"/>
            </w:tcBorders>
            <w:vAlign w:val="bottom"/>
          </w:tcPr>
          <w:p w14:paraId="0A6267E8" w14:textId="77777777" w:rsidR="00024ECE" w:rsidRPr="00DE0A84" w:rsidRDefault="00024ECE" w:rsidP="00CA5013">
            <w:pPr>
              <w:rPr>
                <w:rFonts w:ascii="Helvetica" w:hAnsi="Helvetica" w:cs="Arial"/>
                <w:b/>
                <w:bCs/>
              </w:rPr>
            </w:pPr>
            <w:r w:rsidRPr="00DE0A84">
              <w:rPr>
                <w:rFonts w:ascii="Helvetica" w:hAnsi="Helvetica" w:cs="Arial"/>
                <w:b/>
                <w:bCs/>
              </w:rPr>
              <w:t>OR (95% CI)</w:t>
            </w:r>
          </w:p>
          <w:p w14:paraId="7C38E454" w14:textId="77777777" w:rsidR="00024ECE" w:rsidRPr="00DE0A84" w:rsidRDefault="00024ECE" w:rsidP="00CA5013">
            <w:pPr>
              <w:rPr>
                <w:rFonts w:ascii="Helvetica" w:hAnsi="Helvetica" w:cs="Arial"/>
              </w:rPr>
            </w:pPr>
          </w:p>
        </w:tc>
        <w:tc>
          <w:tcPr>
            <w:tcW w:w="3117" w:type="dxa"/>
            <w:tcBorders>
              <w:bottom w:val="single" w:sz="4" w:space="0" w:color="auto"/>
            </w:tcBorders>
            <w:vAlign w:val="bottom"/>
          </w:tcPr>
          <w:p w14:paraId="2D9C5B6F" w14:textId="77777777" w:rsidR="00024ECE" w:rsidRPr="00DE0A84" w:rsidRDefault="00024ECE" w:rsidP="00CA5013">
            <w:pPr>
              <w:rPr>
                <w:rFonts w:ascii="Helvetica" w:hAnsi="Helvetica" w:cs="Arial"/>
                <w:b/>
                <w:bCs/>
              </w:rPr>
            </w:pPr>
            <w:r w:rsidRPr="00DE0A84">
              <w:rPr>
                <w:rFonts w:ascii="Helvetica" w:hAnsi="Helvetica" w:cs="Arial"/>
                <w:b/>
                <w:bCs/>
              </w:rPr>
              <w:t>OR (95% CI)</w:t>
            </w:r>
          </w:p>
          <w:p w14:paraId="626C80F9" w14:textId="77777777" w:rsidR="00024ECE" w:rsidRPr="00DE0A84" w:rsidRDefault="00024ECE" w:rsidP="00CA5013">
            <w:pPr>
              <w:rPr>
                <w:rFonts w:ascii="Helvetica" w:hAnsi="Helvetica" w:cs="Arial"/>
              </w:rPr>
            </w:pPr>
          </w:p>
        </w:tc>
      </w:tr>
      <w:tr w:rsidR="00DE0A84" w:rsidRPr="00DE0A84" w14:paraId="5E96FA8B" w14:textId="77777777" w:rsidTr="00CA5013">
        <w:tc>
          <w:tcPr>
            <w:tcW w:w="3116" w:type="dxa"/>
            <w:tcBorders>
              <w:top w:val="single" w:sz="4" w:space="0" w:color="auto"/>
            </w:tcBorders>
            <w:vAlign w:val="bottom"/>
          </w:tcPr>
          <w:p w14:paraId="50B991B8" w14:textId="77777777" w:rsidR="00024ECE" w:rsidRPr="00DE0A84" w:rsidRDefault="00024ECE" w:rsidP="00CA5013">
            <w:pPr>
              <w:rPr>
                <w:rFonts w:ascii="Helvetica" w:hAnsi="Helvetica" w:cs="Arial"/>
                <w:b/>
                <w:bCs/>
              </w:rPr>
            </w:pPr>
          </w:p>
          <w:p w14:paraId="7A1827EA" w14:textId="77777777" w:rsidR="00024ECE" w:rsidRPr="00DE0A84" w:rsidRDefault="00024ECE" w:rsidP="00CA5013">
            <w:pPr>
              <w:rPr>
                <w:rFonts w:ascii="Helvetica" w:hAnsi="Helvetica" w:cs="Arial"/>
              </w:rPr>
            </w:pPr>
            <w:r w:rsidRPr="00DE0A84">
              <w:rPr>
                <w:rFonts w:ascii="Helvetica" w:hAnsi="Helvetica" w:cs="Arial"/>
                <w:b/>
                <w:bCs/>
              </w:rPr>
              <w:t>Species (cat v. dog)</w:t>
            </w:r>
          </w:p>
        </w:tc>
        <w:tc>
          <w:tcPr>
            <w:tcW w:w="3117" w:type="dxa"/>
            <w:tcBorders>
              <w:top w:val="single" w:sz="4" w:space="0" w:color="auto"/>
            </w:tcBorders>
            <w:vAlign w:val="bottom"/>
          </w:tcPr>
          <w:p w14:paraId="0BC047AD" w14:textId="77777777" w:rsidR="00024ECE" w:rsidRPr="00DE0A84" w:rsidRDefault="00024ECE" w:rsidP="00CA5013">
            <w:pPr>
              <w:rPr>
                <w:rFonts w:ascii="Helvetica" w:hAnsi="Helvetica" w:cs="Arial"/>
              </w:rPr>
            </w:pPr>
            <w:r w:rsidRPr="00DE0A84">
              <w:rPr>
                <w:rFonts w:ascii="Helvetica" w:hAnsi="Helvetica" w:cs="Arial"/>
              </w:rPr>
              <w:t>0.57 (0.07, 4.53)</w:t>
            </w:r>
          </w:p>
        </w:tc>
        <w:tc>
          <w:tcPr>
            <w:tcW w:w="3117" w:type="dxa"/>
            <w:tcBorders>
              <w:top w:val="single" w:sz="4" w:space="0" w:color="auto"/>
            </w:tcBorders>
            <w:vAlign w:val="bottom"/>
          </w:tcPr>
          <w:p w14:paraId="6A8A8180" w14:textId="77777777" w:rsidR="00024ECE" w:rsidRPr="00DE0A84" w:rsidRDefault="00024ECE" w:rsidP="00CA5013">
            <w:pPr>
              <w:rPr>
                <w:rFonts w:ascii="Helvetica" w:hAnsi="Helvetica" w:cs="Arial"/>
              </w:rPr>
            </w:pPr>
            <w:r w:rsidRPr="00DE0A84">
              <w:rPr>
                <w:rFonts w:ascii="Helvetica" w:hAnsi="Helvetica" w:cs="Arial"/>
              </w:rPr>
              <w:t>0.55 (0.60, 5.08)</w:t>
            </w:r>
          </w:p>
        </w:tc>
      </w:tr>
      <w:tr w:rsidR="00DE0A84" w:rsidRPr="00DE0A84" w14:paraId="61F9A126" w14:textId="77777777" w:rsidTr="00CA5013">
        <w:tc>
          <w:tcPr>
            <w:tcW w:w="3116" w:type="dxa"/>
            <w:vAlign w:val="bottom"/>
          </w:tcPr>
          <w:p w14:paraId="611687AD" w14:textId="77777777" w:rsidR="00024ECE" w:rsidRPr="00DE0A84" w:rsidRDefault="00024ECE" w:rsidP="00CA5013">
            <w:pPr>
              <w:rPr>
                <w:rFonts w:ascii="Helvetica" w:hAnsi="Helvetica" w:cs="Arial"/>
              </w:rPr>
            </w:pPr>
            <w:r w:rsidRPr="00DE0A84">
              <w:rPr>
                <w:rFonts w:ascii="Helvetica" w:hAnsi="Helvetica" w:cs="Arial"/>
                <w:b/>
                <w:bCs/>
              </w:rPr>
              <w:t>Pet Age</w:t>
            </w:r>
          </w:p>
        </w:tc>
        <w:tc>
          <w:tcPr>
            <w:tcW w:w="3117" w:type="dxa"/>
            <w:vAlign w:val="bottom"/>
          </w:tcPr>
          <w:p w14:paraId="385FE83E" w14:textId="77777777" w:rsidR="00024ECE" w:rsidRPr="00DE0A84" w:rsidRDefault="00024ECE" w:rsidP="00CA5013">
            <w:pPr>
              <w:rPr>
                <w:rFonts w:ascii="Helvetica" w:hAnsi="Helvetica" w:cs="Arial"/>
              </w:rPr>
            </w:pPr>
            <w:r w:rsidRPr="00DE0A84">
              <w:rPr>
                <w:rFonts w:ascii="Helvetica" w:hAnsi="Helvetica" w:cs="Arial"/>
              </w:rPr>
              <w:t>0.69 (0.11, 4.35)</w:t>
            </w:r>
          </w:p>
        </w:tc>
        <w:tc>
          <w:tcPr>
            <w:tcW w:w="3117" w:type="dxa"/>
            <w:vAlign w:val="bottom"/>
          </w:tcPr>
          <w:p w14:paraId="525D57AE" w14:textId="77777777" w:rsidR="00024ECE" w:rsidRPr="00DE0A84" w:rsidRDefault="00024ECE" w:rsidP="00CA5013">
            <w:pPr>
              <w:rPr>
                <w:rFonts w:ascii="Helvetica" w:hAnsi="Helvetica" w:cs="Arial"/>
              </w:rPr>
            </w:pPr>
            <w:r w:rsidRPr="00DE0A84">
              <w:rPr>
                <w:rFonts w:ascii="Helvetica" w:hAnsi="Helvetica" w:cs="Arial"/>
              </w:rPr>
              <w:t>0.45 (0.98, 2.09)</w:t>
            </w:r>
          </w:p>
        </w:tc>
      </w:tr>
      <w:tr w:rsidR="00DE0A84" w:rsidRPr="00DE0A84" w14:paraId="6F6370EC" w14:textId="77777777" w:rsidTr="00CA5013">
        <w:tc>
          <w:tcPr>
            <w:tcW w:w="3116" w:type="dxa"/>
            <w:vAlign w:val="bottom"/>
          </w:tcPr>
          <w:p w14:paraId="40A82112" w14:textId="77777777" w:rsidR="00024ECE" w:rsidRPr="00DE0A84" w:rsidRDefault="00024ECE" w:rsidP="00CA5013">
            <w:pPr>
              <w:rPr>
                <w:rFonts w:ascii="Helvetica" w:hAnsi="Helvetica" w:cs="Arial"/>
              </w:rPr>
            </w:pPr>
            <w:r w:rsidRPr="00DE0A84">
              <w:rPr>
                <w:rFonts w:ascii="Helvetica" w:hAnsi="Helvetica" w:cs="Arial"/>
                <w:b/>
                <w:bCs/>
              </w:rPr>
              <w:t>Pet Sex</w:t>
            </w:r>
          </w:p>
        </w:tc>
        <w:tc>
          <w:tcPr>
            <w:tcW w:w="3117" w:type="dxa"/>
            <w:vAlign w:val="bottom"/>
          </w:tcPr>
          <w:p w14:paraId="0D098975" w14:textId="77777777" w:rsidR="00024ECE" w:rsidRPr="00DE0A84" w:rsidRDefault="00024ECE" w:rsidP="00CA5013">
            <w:pPr>
              <w:rPr>
                <w:rFonts w:ascii="Helvetica" w:hAnsi="Helvetica" w:cs="Arial"/>
              </w:rPr>
            </w:pPr>
            <w:r w:rsidRPr="00DE0A84">
              <w:rPr>
                <w:rFonts w:ascii="Helvetica" w:hAnsi="Helvetica" w:cs="Arial"/>
              </w:rPr>
              <w:t>6.15 (0.71, 53.58)</w:t>
            </w:r>
          </w:p>
        </w:tc>
        <w:tc>
          <w:tcPr>
            <w:tcW w:w="3117" w:type="dxa"/>
            <w:vAlign w:val="bottom"/>
          </w:tcPr>
          <w:p w14:paraId="41EAFFC8" w14:textId="77777777" w:rsidR="00024ECE" w:rsidRPr="00DE0A84" w:rsidRDefault="00024ECE" w:rsidP="00CA5013">
            <w:pPr>
              <w:rPr>
                <w:rFonts w:ascii="Helvetica" w:hAnsi="Helvetica" w:cs="Arial"/>
              </w:rPr>
            </w:pPr>
            <w:r w:rsidRPr="00DE0A84">
              <w:rPr>
                <w:rFonts w:ascii="Helvetica" w:hAnsi="Helvetica" w:cs="Arial"/>
              </w:rPr>
              <w:t>21.72 (3.24, 145.32)</w:t>
            </w:r>
          </w:p>
        </w:tc>
      </w:tr>
      <w:tr w:rsidR="00DE0A84" w:rsidRPr="00DE0A84" w14:paraId="46206CC3" w14:textId="77777777" w:rsidTr="00CA5013">
        <w:tc>
          <w:tcPr>
            <w:tcW w:w="3116" w:type="dxa"/>
            <w:vAlign w:val="bottom"/>
          </w:tcPr>
          <w:p w14:paraId="54F002B2" w14:textId="77777777" w:rsidR="00024ECE" w:rsidRPr="00DE0A84" w:rsidRDefault="00024ECE" w:rsidP="00CA5013">
            <w:pPr>
              <w:rPr>
                <w:rFonts w:ascii="Helvetica" w:hAnsi="Helvetica" w:cs="Arial"/>
              </w:rPr>
            </w:pPr>
            <w:r w:rsidRPr="00DE0A84">
              <w:rPr>
                <w:rFonts w:ascii="Helvetica" w:hAnsi="Helvetica" w:cs="Arial"/>
                <w:b/>
                <w:bCs/>
              </w:rPr>
              <w:t>Environmental MRSA positivity</w:t>
            </w:r>
          </w:p>
        </w:tc>
        <w:tc>
          <w:tcPr>
            <w:tcW w:w="3117" w:type="dxa"/>
            <w:vAlign w:val="bottom"/>
          </w:tcPr>
          <w:p w14:paraId="16A45556" w14:textId="77777777" w:rsidR="00024ECE" w:rsidRPr="00DE0A84" w:rsidRDefault="00024ECE" w:rsidP="00CA5013">
            <w:pPr>
              <w:rPr>
                <w:rFonts w:ascii="Helvetica" w:hAnsi="Helvetica" w:cs="Arial"/>
              </w:rPr>
            </w:pPr>
            <w:r w:rsidRPr="00DE0A84">
              <w:rPr>
                <w:rFonts w:ascii="Helvetica" w:hAnsi="Helvetica" w:cs="Arial"/>
              </w:rPr>
              <w:t>4.77 (0.48, 47.76)</w:t>
            </w:r>
          </w:p>
        </w:tc>
        <w:tc>
          <w:tcPr>
            <w:tcW w:w="3117" w:type="dxa"/>
            <w:vAlign w:val="bottom"/>
          </w:tcPr>
          <w:p w14:paraId="396A8295" w14:textId="77777777" w:rsidR="00024ECE" w:rsidRPr="00DE0A84" w:rsidRDefault="00024ECE" w:rsidP="00CA5013">
            <w:pPr>
              <w:rPr>
                <w:rFonts w:ascii="Helvetica" w:hAnsi="Helvetica" w:cs="Arial"/>
              </w:rPr>
            </w:pPr>
            <w:r w:rsidRPr="00DE0A84">
              <w:rPr>
                <w:rFonts w:ascii="Helvetica" w:hAnsi="Helvetica" w:cs="Arial"/>
              </w:rPr>
              <w:t>12.92 (0.57, 290.89)</w:t>
            </w:r>
          </w:p>
        </w:tc>
      </w:tr>
      <w:tr w:rsidR="00DE0A84" w:rsidRPr="00DE0A84" w14:paraId="4DD3CFC8" w14:textId="77777777" w:rsidTr="00CA5013">
        <w:tc>
          <w:tcPr>
            <w:tcW w:w="3116" w:type="dxa"/>
            <w:vAlign w:val="bottom"/>
          </w:tcPr>
          <w:p w14:paraId="64F95E7D" w14:textId="77777777" w:rsidR="00024ECE" w:rsidRPr="00DE0A84" w:rsidRDefault="00024ECE" w:rsidP="00CA5013">
            <w:pPr>
              <w:rPr>
                <w:rFonts w:ascii="Helvetica" w:hAnsi="Helvetica" w:cs="Arial"/>
              </w:rPr>
            </w:pPr>
            <w:r w:rsidRPr="00DE0A84">
              <w:rPr>
                <w:rFonts w:ascii="Helvetica" w:hAnsi="Helvetica" w:cs="Arial"/>
                <w:b/>
                <w:bCs/>
              </w:rPr>
              <w:t>Pet bed MRSA positivity</w:t>
            </w:r>
          </w:p>
        </w:tc>
        <w:tc>
          <w:tcPr>
            <w:tcW w:w="3117" w:type="dxa"/>
            <w:vAlign w:val="bottom"/>
          </w:tcPr>
          <w:p w14:paraId="4DAABF98" w14:textId="77777777" w:rsidR="00024ECE" w:rsidRPr="00DE0A84" w:rsidRDefault="00024ECE" w:rsidP="00CA5013">
            <w:pPr>
              <w:rPr>
                <w:rFonts w:ascii="Helvetica" w:hAnsi="Helvetica" w:cs="Arial"/>
              </w:rPr>
            </w:pPr>
            <w:r w:rsidRPr="00DE0A84">
              <w:rPr>
                <w:rFonts w:ascii="Helvetica" w:hAnsi="Helvetica" w:cs="Arial"/>
              </w:rPr>
              <w:t>2.03 (0.21, 19.77)</w:t>
            </w:r>
          </w:p>
        </w:tc>
        <w:tc>
          <w:tcPr>
            <w:tcW w:w="3117" w:type="dxa"/>
            <w:vAlign w:val="bottom"/>
          </w:tcPr>
          <w:p w14:paraId="2A85106C" w14:textId="77777777" w:rsidR="00024ECE" w:rsidRPr="00DE0A84" w:rsidRDefault="00024ECE" w:rsidP="00CA5013">
            <w:pPr>
              <w:rPr>
                <w:rFonts w:ascii="Helvetica" w:hAnsi="Helvetica" w:cs="Arial"/>
              </w:rPr>
            </w:pPr>
            <w:r w:rsidRPr="00DE0A84">
              <w:rPr>
                <w:rFonts w:ascii="Helvetica" w:hAnsi="Helvetica" w:cs="Arial"/>
              </w:rPr>
              <w:t>2.45 (0.23, 26.67)</w:t>
            </w:r>
          </w:p>
        </w:tc>
      </w:tr>
      <w:tr w:rsidR="00DE0A84" w:rsidRPr="00DE0A84" w14:paraId="2496DA75" w14:textId="77777777" w:rsidTr="00CA5013">
        <w:tc>
          <w:tcPr>
            <w:tcW w:w="3116" w:type="dxa"/>
            <w:vAlign w:val="bottom"/>
          </w:tcPr>
          <w:p w14:paraId="51D70F9C" w14:textId="77777777" w:rsidR="00024ECE" w:rsidRPr="00DE0A84" w:rsidRDefault="00024ECE" w:rsidP="00CA5013">
            <w:pPr>
              <w:rPr>
                <w:rFonts w:ascii="Helvetica" w:hAnsi="Helvetica" w:cs="Arial"/>
              </w:rPr>
            </w:pPr>
            <w:r w:rsidRPr="00DE0A84">
              <w:rPr>
                <w:rFonts w:ascii="Helvetica" w:hAnsi="Helvetica" w:cs="Arial"/>
                <w:b/>
                <w:bCs/>
              </w:rPr>
              <w:t xml:space="preserve">Pet antibiotic use </w:t>
            </w:r>
          </w:p>
        </w:tc>
        <w:tc>
          <w:tcPr>
            <w:tcW w:w="3117" w:type="dxa"/>
            <w:vAlign w:val="bottom"/>
          </w:tcPr>
          <w:p w14:paraId="427EB95A" w14:textId="77777777" w:rsidR="00024ECE" w:rsidRPr="00DE0A84" w:rsidRDefault="00024ECE" w:rsidP="00CA5013">
            <w:pPr>
              <w:rPr>
                <w:rFonts w:ascii="Helvetica" w:hAnsi="Helvetica" w:cs="Arial"/>
              </w:rPr>
            </w:pPr>
            <w:r w:rsidRPr="00DE0A84">
              <w:rPr>
                <w:rFonts w:ascii="Helvetica" w:hAnsi="Helvetica" w:cs="Arial"/>
              </w:rPr>
              <w:t>3.13 (0.21, 45.73)</w:t>
            </w:r>
          </w:p>
        </w:tc>
        <w:tc>
          <w:tcPr>
            <w:tcW w:w="3117" w:type="dxa"/>
            <w:vAlign w:val="bottom"/>
          </w:tcPr>
          <w:p w14:paraId="129977D5" w14:textId="77777777" w:rsidR="00024ECE" w:rsidRPr="00DE0A84" w:rsidRDefault="00024ECE" w:rsidP="00CA5013">
            <w:pPr>
              <w:rPr>
                <w:rFonts w:ascii="Helvetica" w:hAnsi="Helvetica" w:cs="Arial"/>
              </w:rPr>
            </w:pPr>
            <w:r w:rsidRPr="00DE0A84">
              <w:rPr>
                <w:rFonts w:ascii="Helvetica" w:hAnsi="Helvetica" w:cs="Arial"/>
              </w:rPr>
              <w:t>10.08 (0.38, 265.01)</w:t>
            </w:r>
          </w:p>
        </w:tc>
      </w:tr>
      <w:tr w:rsidR="00000000" w:rsidRPr="00DE0A84" w14:paraId="170A0272" w14:textId="77777777" w:rsidTr="00CA5013">
        <w:tc>
          <w:tcPr>
            <w:tcW w:w="3116" w:type="dxa"/>
            <w:vAlign w:val="bottom"/>
          </w:tcPr>
          <w:p w14:paraId="4A477732" w14:textId="77777777" w:rsidR="00024ECE" w:rsidRPr="00DE0A84" w:rsidRDefault="00024ECE" w:rsidP="00CA5013">
            <w:pPr>
              <w:rPr>
                <w:rFonts w:ascii="Helvetica" w:hAnsi="Helvetica" w:cs="Arial"/>
              </w:rPr>
            </w:pPr>
            <w:r w:rsidRPr="00DE0A84">
              <w:rPr>
                <w:rFonts w:ascii="Helvetica" w:hAnsi="Helvetica" w:cs="Arial"/>
                <w:b/>
                <w:bCs/>
              </w:rPr>
              <w:t>Fleas on pet exam</w:t>
            </w:r>
          </w:p>
        </w:tc>
        <w:tc>
          <w:tcPr>
            <w:tcW w:w="3117" w:type="dxa"/>
            <w:vAlign w:val="bottom"/>
          </w:tcPr>
          <w:p w14:paraId="32B497F3" w14:textId="77777777" w:rsidR="00024ECE" w:rsidRPr="00DE0A84" w:rsidRDefault="00024ECE" w:rsidP="00CA5013">
            <w:pPr>
              <w:rPr>
                <w:rFonts w:ascii="Helvetica" w:hAnsi="Helvetica" w:cs="Arial"/>
              </w:rPr>
            </w:pPr>
            <w:r w:rsidRPr="00DE0A84">
              <w:rPr>
                <w:rFonts w:ascii="Helvetica" w:hAnsi="Helvetica" w:cs="Arial"/>
              </w:rPr>
              <w:t>1.03 (0.17, 6.14)</w:t>
            </w:r>
          </w:p>
        </w:tc>
        <w:tc>
          <w:tcPr>
            <w:tcW w:w="3117" w:type="dxa"/>
            <w:vAlign w:val="bottom"/>
          </w:tcPr>
          <w:p w14:paraId="55361680" w14:textId="77777777" w:rsidR="00024ECE" w:rsidRPr="00DE0A84" w:rsidRDefault="00024ECE" w:rsidP="00CA5013">
            <w:pPr>
              <w:rPr>
                <w:rFonts w:ascii="Helvetica" w:hAnsi="Helvetica" w:cs="Arial"/>
              </w:rPr>
            </w:pPr>
            <w:r w:rsidRPr="00DE0A84">
              <w:rPr>
                <w:rFonts w:ascii="Helvetica" w:hAnsi="Helvetica" w:cs="Arial"/>
              </w:rPr>
              <w:t>0.47 (0.00, 0.09)</w:t>
            </w:r>
          </w:p>
        </w:tc>
      </w:tr>
    </w:tbl>
    <w:p w14:paraId="760C9000" w14:textId="77777777" w:rsidR="00024ECE" w:rsidRPr="00DE0A84" w:rsidRDefault="00024ECE" w:rsidP="00024ECE">
      <w:pPr>
        <w:rPr>
          <w:rFonts w:ascii="Helvetica" w:hAnsi="Helvetica" w:cs="Arial"/>
        </w:rPr>
      </w:pPr>
    </w:p>
    <w:p w14:paraId="5AFD3FDE" w14:textId="77777777" w:rsidR="00024ECE" w:rsidRPr="00DE0A84" w:rsidRDefault="00024ECE" w:rsidP="00024ECE">
      <w:pPr>
        <w:rPr>
          <w:rFonts w:ascii="Helvetica" w:hAnsi="Helvetica" w:cs="Arial"/>
        </w:rPr>
      </w:pPr>
      <w:r w:rsidRPr="00DE0A84">
        <w:rPr>
          <w:rFonts w:ascii="Helvetica" w:hAnsi="Helvetica" w:cs="Arial"/>
        </w:rPr>
        <w:t xml:space="preserve">*  p&lt;0.05   </w:t>
      </w:r>
      <w:r w:rsidRPr="00DE0A84">
        <w:rPr>
          <w:rFonts w:ascii="Helvetica" w:hAnsi="Helvetica" w:cs="Arial"/>
        </w:rPr>
        <w:br/>
        <w:t xml:space="preserve">**   p&lt;0.01  </w:t>
      </w:r>
      <w:r w:rsidRPr="00DE0A84">
        <w:rPr>
          <w:rFonts w:ascii="Helvetica" w:hAnsi="Helvetica" w:cs="Arial"/>
        </w:rPr>
        <w:br/>
        <w:t xml:space="preserve">***  p&lt;0.001  </w:t>
      </w:r>
    </w:p>
    <w:p w14:paraId="408808D5" w14:textId="77777777" w:rsidR="00024ECE" w:rsidRPr="00DE0A84" w:rsidRDefault="00024ECE" w:rsidP="00024ECE">
      <w:pPr>
        <w:rPr>
          <w:rFonts w:ascii="Helvetica" w:hAnsi="Helvetica" w:cs="Arial"/>
          <w:b/>
          <w:bCs/>
        </w:rPr>
      </w:pPr>
    </w:p>
    <w:p w14:paraId="3DC79D69" w14:textId="77777777" w:rsidR="00024ECE" w:rsidRPr="00DE0A84" w:rsidRDefault="00024ECE" w:rsidP="00024ECE">
      <w:pPr>
        <w:rPr>
          <w:rFonts w:ascii="Helvetica" w:hAnsi="Helvetica" w:cs="Arial"/>
          <w:b/>
          <w:bCs/>
        </w:rPr>
      </w:pPr>
    </w:p>
    <w:p w14:paraId="2DEE8A4E" w14:textId="77777777" w:rsidR="00024ECE" w:rsidRPr="00DE0A84" w:rsidRDefault="00024ECE" w:rsidP="00024ECE">
      <w:pPr>
        <w:rPr>
          <w:rFonts w:ascii="Helvetica" w:hAnsi="Helvetica" w:cs="Arial"/>
          <w:b/>
          <w:bCs/>
        </w:rPr>
      </w:pPr>
    </w:p>
    <w:p w14:paraId="333C9EEA" w14:textId="77777777" w:rsidR="00024ECE" w:rsidRPr="00DE0A84" w:rsidRDefault="00024ECE" w:rsidP="00024ECE">
      <w:pPr>
        <w:rPr>
          <w:rFonts w:ascii="Helvetica" w:hAnsi="Helvetica" w:cs="Arial"/>
          <w:b/>
          <w:bCs/>
        </w:rPr>
      </w:pPr>
    </w:p>
    <w:p w14:paraId="37A942E9" w14:textId="77777777" w:rsidR="00024ECE" w:rsidRPr="00DE0A84" w:rsidRDefault="00024ECE" w:rsidP="00024ECE">
      <w:pPr>
        <w:rPr>
          <w:rFonts w:ascii="Helvetica" w:hAnsi="Helvetica" w:cs="Arial"/>
          <w:b/>
          <w:bCs/>
        </w:rPr>
      </w:pPr>
    </w:p>
    <w:p w14:paraId="7378BE8E" w14:textId="77777777" w:rsidR="00024ECE" w:rsidRPr="00DE0A84" w:rsidRDefault="00024ECE" w:rsidP="00024ECE">
      <w:pPr>
        <w:rPr>
          <w:rFonts w:ascii="Helvetica" w:hAnsi="Helvetica" w:cs="Arial"/>
          <w:b/>
          <w:bCs/>
        </w:rPr>
      </w:pPr>
    </w:p>
    <w:p w14:paraId="7A334C96" w14:textId="77777777" w:rsidR="00024ECE" w:rsidRPr="00DE0A84" w:rsidRDefault="00024ECE" w:rsidP="00024ECE">
      <w:pPr>
        <w:rPr>
          <w:rFonts w:ascii="Helvetica" w:hAnsi="Helvetica" w:cs="Arial"/>
          <w:b/>
          <w:bCs/>
        </w:rPr>
      </w:pPr>
    </w:p>
    <w:p w14:paraId="1D0E1234" w14:textId="77777777" w:rsidR="00024ECE" w:rsidRPr="00DE0A84" w:rsidRDefault="00024ECE" w:rsidP="00024ECE">
      <w:pPr>
        <w:rPr>
          <w:rFonts w:ascii="Helvetica" w:hAnsi="Helvetica" w:cs="Arial"/>
          <w:b/>
          <w:bCs/>
        </w:rPr>
      </w:pPr>
    </w:p>
    <w:p w14:paraId="3FDD042C" w14:textId="77777777" w:rsidR="00024ECE" w:rsidRPr="00DE0A84" w:rsidRDefault="00024ECE" w:rsidP="00024ECE">
      <w:pPr>
        <w:rPr>
          <w:rFonts w:ascii="Helvetica" w:hAnsi="Helvetica" w:cs="Arial"/>
          <w:b/>
          <w:bCs/>
        </w:rPr>
      </w:pPr>
    </w:p>
    <w:p w14:paraId="1CF5D711" w14:textId="77777777" w:rsidR="00024ECE" w:rsidRPr="00DE0A84" w:rsidRDefault="00024ECE" w:rsidP="00024ECE">
      <w:pPr>
        <w:rPr>
          <w:rFonts w:ascii="Helvetica" w:hAnsi="Helvetica" w:cs="Arial"/>
          <w:b/>
          <w:bCs/>
        </w:rPr>
      </w:pPr>
    </w:p>
    <w:p w14:paraId="1E485ACE" w14:textId="77777777" w:rsidR="00024ECE" w:rsidRPr="00DE0A84" w:rsidRDefault="00024ECE" w:rsidP="00024ECE">
      <w:pPr>
        <w:rPr>
          <w:rFonts w:ascii="Helvetica" w:hAnsi="Helvetica" w:cs="Arial"/>
          <w:b/>
          <w:bCs/>
        </w:rPr>
      </w:pPr>
    </w:p>
    <w:p w14:paraId="58D04A14" w14:textId="77777777" w:rsidR="00024ECE" w:rsidRPr="00DE0A84" w:rsidRDefault="00024ECE" w:rsidP="00024ECE">
      <w:pPr>
        <w:rPr>
          <w:rFonts w:ascii="Helvetica" w:hAnsi="Helvetica" w:cs="Arial"/>
          <w:b/>
          <w:bCs/>
        </w:rPr>
      </w:pPr>
    </w:p>
    <w:p w14:paraId="49B6D8C7" w14:textId="77777777" w:rsidR="00024ECE" w:rsidRPr="00DE0A84" w:rsidRDefault="00024ECE" w:rsidP="00024ECE">
      <w:pPr>
        <w:rPr>
          <w:rFonts w:ascii="Helvetica" w:hAnsi="Helvetica" w:cs="Arial"/>
          <w:b/>
          <w:bCs/>
        </w:rPr>
      </w:pPr>
    </w:p>
    <w:p w14:paraId="06A71945" w14:textId="77777777" w:rsidR="00024ECE" w:rsidRPr="00DE0A84" w:rsidRDefault="00024ECE" w:rsidP="00024ECE">
      <w:pPr>
        <w:rPr>
          <w:rFonts w:ascii="Helvetica" w:hAnsi="Helvetica" w:cs="Arial"/>
          <w:b/>
          <w:bCs/>
        </w:rPr>
      </w:pPr>
    </w:p>
    <w:p w14:paraId="538130C6" w14:textId="77777777" w:rsidR="00024ECE" w:rsidRPr="00DE0A84" w:rsidRDefault="00024ECE" w:rsidP="00024ECE">
      <w:pPr>
        <w:rPr>
          <w:rFonts w:ascii="Helvetica" w:hAnsi="Helvetica" w:cs="Arial"/>
          <w:b/>
          <w:bCs/>
        </w:rPr>
      </w:pPr>
    </w:p>
    <w:p w14:paraId="1E390B6D" w14:textId="77777777" w:rsidR="00024ECE" w:rsidRPr="00DE0A84" w:rsidRDefault="00024ECE" w:rsidP="00024ECE">
      <w:pPr>
        <w:rPr>
          <w:rFonts w:ascii="Helvetica" w:hAnsi="Helvetica" w:cs="Arial"/>
          <w:b/>
          <w:bCs/>
        </w:rPr>
      </w:pPr>
    </w:p>
    <w:p w14:paraId="0D7812DE" w14:textId="77777777" w:rsidR="00024ECE" w:rsidRPr="00DE0A84" w:rsidRDefault="00024ECE" w:rsidP="00024ECE">
      <w:pPr>
        <w:rPr>
          <w:rFonts w:ascii="Helvetica" w:hAnsi="Helvetica" w:cs="Arial"/>
          <w:b/>
          <w:bCs/>
        </w:rPr>
      </w:pPr>
    </w:p>
    <w:p w14:paraId="52787FF3" w14:textId="77777777" w:rsidR="00024ECE" w:rsidRPr="00DE0A84" w:rsidRDefault="00024ECE" w:rsidP="00024ECE">
      <w:pPr>
        <w:rPr>
          <w:rFonts w:ascii="Helvetica" w:hAnsi="Helvetica" w:cs="Arial"/>
          <w:b/>
          <w:bCs/>
        </w:rPr>
      </w:pPr>
    </w:p>
    <w:p w14:paraId="73D17B0B" w14:textId="77777777" w:rsidR="00024ECE" w:rsidRPr="00DE0A84" w:rsidRDefault="00024ECE" w:rsidP="00024ECE">
      <w:pPr>
        <w:rPr>
          <w:rFonts w:ascii="Helvetica" w:hAnsi="Helvetica" w:cs="Arial"/>
          <w:b/>
          <w:bCs/>
        </w:rPr>
      </w:pPr>
    </w:p>
    <w:p w14:paraId="466A592B" w14:textId="77777777" w:rsidR="00024ECE" w:rsidRPr="00DE0A84" w:rsidRDefault="00024ECE" w:rsidP="00024ECE">
      <w:pPr>
        <w:rPr>
          <w:rFonts w:ascii="Helvetica" w:hAnsi="Helvetica" w:cs="Arial"/>
          <w:b/>
          <w:bCs/>
        </w:rPr>
      </w:pPr>
    </w:p>
    <w:p w14:paraId="78EBB057" w14:textId="77777777" w:rsidR="00024ECE" w:rsidRPr="00DE0A84" w:rsidRDefault="00024ECE" w:rsidP="00024ECE">
      <w:pPr>
        <w:rPr>
          <w:rFonts w:ascii="Helvetica" w:hAnsi="Helvetica" w:cs="Arial"/>
          <w:b/>
          <w:bCs/>
        </w:rPr>
      </w:pPr>
    </w:p>
    <w:p w14:paraId="04D90520" w14:textId="77777777" w:rsidR="00024ECE" w:rsidRPr="00DE0A84" w:rsidRDefault="00024ECE" w:rsidP="00024ECE">
      <w:pPr>
        <w:rPr>
          <w:rFonts w:ascii="Helvetica" w:hAnsi="Helvetica" w:cs="Arial"/>
          <w:b/>
          <w:bCs/>
        </w:rPr>
      </w:pPr>
    </w:p>
    <w:p w14:paraId="14A6587F" w14:textId="77777777" w:rsidR="00024ECE" w:rsidRPr="00DE0A84" w:rsidRDefault="00024ECE" w:rsidP="00024ECE">
      <w:pPr>
        <w:rPr>
          <w:rFonts w:ascii="Helvetica" w:hAnsi="Helvetica" w:cs="Arial"/>
          <w:b/>
          <w:bCs/>
        </w:rPr>
      </w:pPr>
    </w:p>
    <w:p w14:paraId="4C9DB8A2" w14:textId="77777777" w:rsidR="00024ECE" w:rsidRPr="00DE0A84" w:rsidRDefault="00024ECE" w:rsidP="00024ECE">
      <w:pPr>
        <w:rPr>
          <w:rFonts w:ascii="Helvetica" w:hAnsi="Helvetica" w:cs="Arial"/>
          <w:b/>
          <w:bCs/>
        </w:rPr>
      </w:pPr>
    </w:p>
    <w:p w14:paraId="59C0F70A" w14:textId="77777777" w:rsidR="00024ECE" w:rsidRPr="00DE0A84" w:rsidRDefault="00024ECE" w:rsidP="00024ECE">
      <w:pPr>
        <w:rPr>
          <w:rFonts w:ascii="Helvetica" w:hAnsi="Helvetica" w:cs="Arial"/>
          <w:b/>
          <w:bCs/>
        </w:rPr>
      </w:pPr>
    </w:p>
    <w:p w14:paraId="4CF46340" w14:textId="7A803C0E" w:rsidR="00024ECE" w:rsidRPr="00DE0A84" w:rsidRDefault="00105108" w:rsidP="00024ECE">
      <w:pPr>
        <w:rPr>
          <w:rFonts w:ascii="Helvetica" w:hAnsi="Helvetica" w:cs="Arial"/>
          <w:b/>
          <w:bCs/>
        </w:rPr>
      </w:pPr>
      <w:r w:rsidRPr="00DE0A84">
        <w:rPr>
          <w:rFonts w:ascii="Helvetica" w:hAnsi="Helvetica" w:cs="Arial"/>
          <w:b/>
          <w:bCs/>
        </w:rPr>
        <w:t xml:space="preserve">TABLE </w:t>
      </w:r>
      <w:r w:rsidR="00024ECE" w:rsidRPr="00DE0A84">
        <w:rPr>
          <w:rFonts w:ascii="Helvetica" w:hAnsi="Helvetica" w:cs="Arial"/>
          <w:b/>
          <w:bCs/>
        </w:rPr>
        <w:t>S5. Longitudinal Comparisons of Pet MRSA Isolates</w:t>
      </w:r>
    </w:p>
    <w:p w14:paraId="56907A98" w14:textId="77777777" w:rsidR="00024ECE" w:rsidRPr="00DE0A84" w:rsidRDefault="00024ECE" w:rsidP="00024ECE">
      <w:pPr>
        <w:rPr>
          <w:rFonts w:ascii="Helvetica" w:hAnsi="Helvetica"/>
        </w:rPr>
      </w:pPr>
    </w:p>
    <w:p w14:paraId="7FBC0C15" w14:textId="77777777" w:rsidR="00024ECE" w:rsidRPr="00DE0A84" w:rsidRDefault="00024ECE" w:rsidP="00024ECE">
      <w:pPr>
        <w:rPr>
          <w:rFonts w:ascii="Helvetica" w:hAnsi="Helvetica"/>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435"/>
        <w:gridCol w:w="2070"/>
        <w:gridCol w:w="2160"/>
        <w:gridCol w:w="1965"/>
      </w:tblGrid>
      <w:tr w:rsidR="00DE0A84" w:rsidRPr="00DE0A84" w14:paraId="0BBEB28A" w14:textId="77777777" w:rsidTr="00CA5013">
        <w:trPr>
          <w:trHeight w:val="882"/>
        </w:trPr>
        <w:tc>
          <w:tcPr>
            <w:tcW w:w="2435" w:type="dxa"/>
          </w:tcPr>
          <w:p w14:paraId="6C286CED"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
                <w:bCs/>
                <w:sz w:val="20"/>
                <w:szCs w:val="20"/>
              </w:rPr>
            </w:pPr>
          </w:p>
        </w:tc>
        <w:tc>
          <w:tcPr>
            <w:tcW w:w="2070" w:type="dxa"/>
          </w:tcPr>
          <w:p w14:paraId="65E79E21"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
                <w:bCs/>
                <w:vertAlign w:val="superscript"/>
              </w:rPr>
            </w:pPr>
            <w:r w:rsidRPr="00DE0A84">
              <w:rPr>
                <w:rFonts w:ascii="Helvetica" w:hAnsi="Helvetica" w:cs="Arial"/>
                <w:b/>
                <w:bCs/>
              </w:rPr>
              <w:t>All Pets, 74*</w:t>
            </w:r>
          </w:p>
        </w:tc>
        <w:tc>
          <w:tcPr>
            <w:tcW w:w="2160" w:type="dxa"/>
          </w:tcPr>
          <w:p w14:paraId="01AA56B2"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
                <w:bCs/>
              </w:rPr>
            </w:pPr>
            <w:r w:rsidRPr="00DE0A84">
              <w:rPr>
                <w:rFonts w:ascii="Helvetica" w:hAnsi="Helvetica" w:cs="Arial"/>
                <w:b/>
                <w:bCs/>
              </w:rPr>
              <w:t>Dogs, 38</w:t>
            </w:r>
          </w:p>
        </w:tc>
        <w:tc>
          <w:tcPr>
            <w:tcW w:w="1965" w:type="dxa"/>
          </w:tcPr>
          <w:p w14:paraId="7ECCA40E"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
                <w:bCs/>
              </w:rPr>
            </w:pPr>
            <w:r w:rsidRPr="00DE0A84">
              <w:rPr>
                <w:rFonts w:ascii="Helvetica" w:hAnsi="Helvetica" w:cs="Arial"/>
                <w:b/>
                <w:bCs/>
              </w:rPr>
              <w:t>Cats, 36</w:t>
            </w:r>
          </w:p>
        </w:tc>
      </w:tr>
      <w:tr w:rsidR="00DE0A84" w:rsidRPr="00DE0A84" w14:paraId="25C96C29" w14:textId="77777777" w:rsidTr="00CA5013">
        <w:tc>
          <w:tcPr>
            <w:tcW w:w="2435" w:type="dxa"/>
          </w:tcPr>
          <w:p w14:paraId="2DD4041E"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
                <w:bCs/>
                <w:sz w:val="20"/>
                <w:szCs w:val="20"/>
              </w:rPr>
            </w:pPr>
            <w:r w:rsidRPr="00DE0A84">
              <w:rPr>
                <w:rFonts w:ascii="Helvetica" w:hAnsi="Helvetica" w:cs="Arial"/>
                <w:b/>
                <w:bCs/>
                <w:sz w:val="20"/>
                <w:szCs w:val="20"/>
              </w:rPr>
              <w:lastRenderedPageBreak/>
              <w:t>Negative - Negative</w:t>
            </w:r>
          </w:p>
        </w:tc>
        <w:tc>
          <w:tcPr>
            <w:tcW w:w="2070" w:type="dxa"/>
          </w:tcPr>
          <w:p w14:paraId="39AEBE47" w14:textId="320BA62B"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rPr>
            </w:pPr>
            <w:r w:rsidRPr="00DE0A84">
              <w:rPr>
                <w:rFonts w:ascii="Helvetica" w:hAnsi="Helvetica" w:cs="Arial"/>
              </w:rPr>
              <w:t>61</w:t>
            </w:r>
            <w:r w:rsidR="00035056" w:rsidRPr="00DE0A84">
              <w:rPr>
                <w:rFonts w:ascii="Helvetica" w:hAnsi="Helvetica" w:cs="Arial"/>
              </w:rPr>
              <w:t>(82.4%)</w:t>
            </w:r>
          </w:p>
        </w:tc>
        <w:tc>
          <w:tcPr>
            <w:tcW w:w="2160" w:type="dxa"/>
          </w:tcPr>
          <w:p w14:paraId="7FC6794A"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rPr>
            </w:pPr>
            <w:r w:rsidRPr="00DE0A84">
              <w:rPr>
                <w:rFonts w:ascii="Helvetica" w:hAnsi="Helvetica" w:cs="Arial"/>
              </w:rPr>
              <w:t>30</w:t>
            </w:r>
          </w:p>
        </w:tc>
        <w:tc>
          <w:tcPr>
            <w:tcW w:w="1965" w:type="dxa"/>
          </w:tcPr>
          <w:p w14:paraId="7C28015E"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rPr>
            </w:pPr>
            <w:r w:rsidRPr="00DE0A84">
              <w:rPr>
                <w:rFonts w:ascii="Helvetica" w:hAnsi="Helvetica" w:cs="Arial"/>
              </w:rPr>
              <w:t>31</w:t>
            </w:r>
          </w:p>
        </w:tc>
      </w:tr>
      <w:tr w:rsidR="00DE0A84" w:rsidRPr="00DE0A84" w14:paraId="5098A01D" w14:textId="77777777" w:rsidTr="00CA5013">
        <w:tc>
          <w:tcPr>
            <w:tcW w:w="2435" w:type="dxa"/>
          </w:tcPr>
          <w:p w14:paraId="3B4721DC"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
                <w:bCs/>
                <w:sz w:val="20"/>
                <w:szCs w:val="20"/>
              </w:rPr>
            </w:pPr>
            <w:r w:rsidRPr="00DE0A84">
              <w:rPr>
                <w:rFonts w:ascii="Helvetica" w:hAnsi="Helvetica" w:cs="Arial"/>
                <w:b/>
                <w:bCs/>
                <w:sz w:val="20"/>
                <w:szCs w:val="20"/>
              </w:rPr>
              <w:t>Negative - Positive</w:t>
            </w:r>
          </w:p>
          <w:p w14:paraId="32EABAE8"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
                <w:bCs/>
                <w:sz w:val="20"/>
                <w:szCs w:val="20"/>
              </w:rPr>
            </w:pPr>
            <w:r w:rsidRPr="00DE0A84">
              <w:rPr>
                <w:rFonts w:ascii="Helvetica" w:hAnsi="Helvetica" w:cs="Arial"/>
                <w:b/>
                <w:bCs/>
                <w:sz w:val="20"/>
                <w:szCs w:val="20"/>
              </w:rPr>
              <w:t>(Incident)</w:t>
            </w:r>
          </w:p>
        </w:tc>
        <w:tc>
          <w:tcPr>
            <w:tcW w:w="2070" w:type="dxa"/>
          </w:tcPr>
          <w:p w14:paraId="721122C8" w14:textId="0BEE0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vertAlign w:val="superscript"/>
              </w:rPr>
            </w:pPr>
            <w:r w:rsidRPr="00DE0A84">
              <w:rPr>
                <w:rFonts w:ascii="Helvetica" w:hAnsi="Helvetica" w:cs="Arial"/>
              </w:rPr>
              <w:t xml:space="preserve">4 </w:t>
            </w:r>
            <w:r w:rsidR="00035056" w:rsidRPr="00DE0A84">
              <w:rPr>
                <w:rFonts w:ascii="Helvetica" w:hAnsi="Helvetica" w:cs="Arial"/>
              </w:rPr>
              <w:t>(5.4%)</w:t>
            </w:r>
            <w:r w:rsidR="00D646C7" w:rsidRPr="00DE0A84">
              <w:rPr>
                <w:rFonts w:ascii="Tahoma" w:hAnsi="Tahoma" w:cs="Tahoma"/>
                <w:vertAlign w:val="superscript"/>
              </w:rPr>
              <w:t>†</w:t>
            </w:r>
          </w:p>
        </w:tc>
        <w:tc>
          <w:tcPr>
            <w:tcW w:w="2160" w:type="dxa"/>
          </w:tcPr>
          <w:p w14:paraId="16703DF5"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rPr>
            </w:pPr>
            <w:r w:rsidRPr="00DE0A84">
              <w:rPr>
                <w:rFonts w:ascii="Helvetica" w:hAnsi="Helvetica" w:cs="Arial"/>
              </w:rPr>
              <w:t>3</w:t>
            </w:r>
          </w:p>
        </w:tc>
        <w:tc>
          <w:tcPr>
            <w:tcW w:w="1965" w:type="dxa"/>
          </w:tcPr>
          <w:p w14:paraId="6B0597AC"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rPr>
            </w:pPr>
            <w:r w:rsidRPr="00DE0A84">
              <w:rPr>
                <w:rFonts w:ascii="Helvetica" w:hAnsi="Helvetica" w:cs="Arial"/>
              </w:rPr>
              <w:t>1</w:t>
            </w:r>
          </w:p>
        </w:tc>
      </w:tr>
      <w:tr w:rsidR="00DE0A84" w:rsidRPr="00DE0A84" w14:paraId="43E516A5" w14:textId="77777777" w:rsidTr="00CA5013">
        <w:tc>
          <w:tcPr>
            <w:tcW w:w="2435" w:type="dxa"/>
          </w:tcPr>
          <w:p w14:paraId="0A43517B"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
                <w:bCs/>
                <w:sz w:val="20"/>
                <w:szCs w:val="20"/>
              </w:rPr>
            </w:pPr>
            <w:r w:rsidRPr="00DE0A84">
              <w:rPr>
                <w:rFonts w:ascii="Helvetica" w:hAnsi="Helvetica" w:cs="Arial"/>
                <w:b/>
                <w:bCs/>
                <w:sz w:val="20"/>
                <w:szCs w:val="20"/>
              </w:rPr>
              <w:t>Positive - Negative (Cleared)</w:t>
            </w:r>
          </w:p>
        </w:tc>
        <w:tc>
          <w:tcPr>
            <w:tcW w:w="2070" w:type="dxa"/>
          </w:tcPr>
          <w:p w14:paraId="53998019" w14:textId="45A12204"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vertAlign w:val="superscript"/>
              </w:rPr>
            </w:pPr>
            <w:r w:rsidRPr="00DE0A84">
              <w:rPr>
                <w:rFonts w:ascii="Helvetica" w:hAnsi="Helvetica" w:cs="Arial"/>
              </w:rPr>
              <w:t xml:space="preserve">5 </w:t>
            </w:r>
            <w:r w:rsidR="005B4473" w:rsidRPr="00DE0A84">
              <w:rPr>
                <w:rFonts w:ascii="Helvetica" w:hAnsi="Helvetica" w:cs="Arial"/>
              </w:rPr>
              <w:t>(6.8%)</w:t>
            </w:r>
            <w:r w:rsidR="00D646C7" w:rsidRPr="00DE0A84">
              <w:rPr>
                <w:rFonts w:ascii="Helvetica" w:hAnsi="Helvetica" w:cs="Arial"/>
                <w:vertAlign w:val="superscript"/>
              </w:rPr>
              <w:t>‡</w:t>
            </w:r>
          </w:p>
        </w:tc>
        <w:tc>
          <w:tcPr>
            <w:tcW w:w="2160" w:type="dxa"/>
          </w:tcPr>
          <w:p w14:paraId="42D42390"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rPr>
            </w:pPr>
            <w:r w:rsidRPr="00DE0A84">
              <w:rPr>
                <w:rFonts w:ascii="Helvetica" w:hAnsi="Helvetica" w:cs="Arial"/>
              </w:rPr>
              <w:t>3</w:t>
            </w:r>
          </w:p>
        </w:tc>
        <w:tc>
          <w:tcPr>
            <w:tcW w:w="1965" w:type="dxa"/>
          </w:tcPr>
          <w:p w14:paraId="5F65150A"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rPr>
            </w:pPr>
            <w:r w:rsidRPr="00DE0A84">
              <w:rPr>
                <w:rFonts w:ascii="Helvetica" w:hAnsi="Helvetica" w:cs="Arial"/>
              </w:rPr>
              <w:t>2</w:t>
            </w:r>
          </w:p>
        </w:tc>
      </w:tr>
      <w:tr w:rsidR="00DE0A84" w:rsidRPr="00DE0A84" w14:paraId="2C091F24" w14:textId="77777777" w:rsidTr="00CA5013">
        <w:tc>
          <w:tcPr>
            <w:tcW w:w="2435" w:type="dxa"/>
          </w:tcPr>
          <w:p w14:paraId="46A29501"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
                <w:bCs/>
                <w:sz w:val="20"/>
                <w:szCs w:val="20"/>
                <w:lang w:val="fr-FR"/>
              </w:rPr>
            </w:pPr>
            <w:r w:rsidRPr="00DE0A84">
              <w:rPr>
                <w:rFonts w:ascii="Helvetica" w:hAnsi="Helvetica" w:cs="Arial"/>
                <w:b/>
                <w:bCs/>
                <w:sz w:val="20"/>
                <w:szCs w:val="20"/>
                <w:lang w:val="fr-FR"/>
              </w:rPr>
              <w:t xml:space="preserve">Positive – Positive, </w:t>
            </w:r>
            <w:r w:rsidRPr="00DE0A84">
              <w:rPr>
                <w:rFonts w:ascii="Helvetica" w:hAnsi="Helvetica" w:cs="Arial"/>
                <w:b/>
                <w:bCs/>
                <w:i/>
                <w:iCs/>
                <w:sz w:val="20"/>
                <w:szCs w:val="20"/>
                <w:lang w:val="fr-FR"/>
              </w:rPr>
              <w:t>Spa</w:t>
            </w:r>
            <w:r w:rsidRPr="00DE0A84">
              <w:rPr>
                <w:rFonts w:ascii="Helvetica" w:hAnsi="Helvetica" w:cs="Arial"/>
                <w:b/>
                <w:bCs/>
                <w:sz w:val="20"/>
                <w:szCs w:val="20"/>
                <w:lang w:val="fr-FR"/>
              </w:rPr>
              <w:t>-type concordant</w:t>
            </w:r>
          </w:p>
          <w:p w14:paraId="663B11C4"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
                <w:bCs/>
                <w:sz w:val="20"/>
                <w:szCs w:val="20"/>
                <w:lang w:val="fr-FR"/>
              </w:rPr>
            </w:pPr>
            <w:r w:rsidRPr="00DE0A84">
              <w:rPr>
                <w:rFonts w:ascii="Helvetica" w:hAnsi="Helvetica" w:cs="Arial"/>
                <w:b/>
                <w:bCs/>
                <w:sz w:val="20"/>
                <w:szCs w:val="20"/>
                <w:lang w:val="fr-FR"/>
              </w:rPr>
              <w:t xml:space="preserve"> (Persistent carriage)</w:t>
            </w:r>
          </w:p>
        </w:tc>
        <w:tc>
          <w:tcPr>
            <w:tcW w:w="2070" w:type="dxa"/>
          </w:tcPr>
          <w:p w14:paraId="03257435" w14:textId="51A2DFB9"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vertAlign w:val="superscript"/>
              </w:rPr>
            </w:pPr>
            <w:r w:rsidRPr="00DE0A84">
              <w:rPr>
                <w:rFonts w:ascii="Helvetica" w:hAnsi="Helvetica" w:cs="Arial"/>
              </w:rPr>
              <w:t>4</w:t>
            </w:r>
            <w:r w:rsidR="005B4473" w:rsidRPr="00DE0A84">
              <w:rPr>
                <w:rFonts w:ascii="Helvetica" w:hAnsi="Helvetica" w:cs="Arial"/>
              </w:rPr>
              <w:t xml:space="preserve"> (5.4%)</w:t>
            </w:r>
            <w:r w:rsidR="00D646C7" w:rsidRPr="00DE0A84">
              <w:rPr>
                <w:rFonts w:ascii="Helvetica" w:hAnsi="Helvetica" w:cs="Arial"/>
                <w:vertAlign w:val="superscript"/>
              </w:rPr>
              <w:t>§</w:t>
            </w:r>
          </w:p>
        </w:tc>
        <w:tc>
          <w:tcPr>
            <w:tcW w:w="2160" w:type="dxa"/>
          </w:tcPr>
          <w:p w14:paraId="4EE7CD3A"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rPr>
            </w:pPr>
            <w:r w:rsidRPr="00DE0A84">
              <w:rPr>
                <w:rFonts w:ascii="Helvetica" w:hAnsi="Helvetica" w:cs="Arial"/>
              </w:rPr>
              <w:t>2</w:t>
            </w:r>
          </w:p>
        </w:tc>
        <w:tc>
          <w:tcPr>
            <w:tcW w:w="1965" w:type="dxa"/>
          </w:tcPr>
          <w:p w14:paraId="2DB8F7DA"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rPr>
            </w:pPr>
            <w:r w:rsidRPr="00DE0A84">
              <w:rPr>
                <w:rFonts w:ascii="Helvetica" w:hAnsi="Helvetica" w:cs="Arial"/>
              </w:rPr>
              <w:t>2</w:t>
            </w:r>
          </w:p>
        </w:tc>
      </w:tr>
      <w:tr w:rsidR="00DE0A84" w:rsidRPr="00DE0A84" w14:paraId="63777576" w14:textId="77777777" w:rsidTr="00CA5013">
        <w:tc>
          <w:tcPr>
            <w:tcW w:w="2435" w:type="dxa"/>
          </w:tcPr>
          <w:p w14:paraId="74FC83B6"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b/>
                <w:bCs/>
                <w:sz w:val="20"/>
                <w:szCs w:val="20"/>
              </w:rPr>
            </w:pPr>
            <w:r w:rsidRPr="00DE0A84">
              <w:rPr>
                <w:rFonts w:ascii="Helvetica" w:hAnsi="Helvetica" w:cs="Arial"/>
                <w:b/>
                <w:bCs/>
                <w:sz w:val="20"/>
                <w:szCs w:val="20"/>
              </w:rPr>
              <w:t xml:space="preserve">Positive – Positive, </w:t>
            </w:r>
            <w:r w:rsidRPr="00DE0A84">
              <w:rPr>
                <w:rFonts w:ascii="Helvetica" w:hAnsi="Helvetica" w:cs="Arial"/>
                <w:b/>
                <w:bCs/>
                <w:i/>
                <w:iCs/>
                <w:sz w:val="20"/>
                <w:szCs w:val="20"/>
              </w:rPr>
              <w:t>Spa</w:t>
            </w:r>
            <w:r w:rsidRPr="00DE0A84">
              <w:rPr>
                <w:rFonts w:ascii="Helvetica" w:hAnsi="Helvetica" w:cs="Arial"/>
                <w:b/>
                <w:bCs/>
                <w:i/>
                <w:iCs/>
                <w:sz w:val="20"/>
                <w:szCs w:val="20"/>
              </w:rPr>
              <w:softHyphen/>
            </w:r>
            <w:r w:rsidRPr="00DE0A84">
              <w:rPr>
                <w:rFonts w:ascii="Helvetica" w:hAnsi="Helvetica" w:cs="Arial"/>
                <w:b/>
                <w:bCs/>
                <w:sz w:val="20"/>
                <w:szCs w:val="20"/>
              </w:rPr>
              <w:t>-type discordant</w:t>
            </w:r>
          </w:p>
        </w:tc>
        <w:tc>
          <w:tcPr>
            <w:tcW w:w="2070" w:type="dxa"/>
          </w:tcPr>
          <w:p w14:paraId="1655E2F1" w14:textId="04D1A149"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rPr>
            </w:pPr>
            <w:r w:rsidRPr="00DE0A84">
              <w:rPr>
                <w:rFonts w:ascii="Helvetica" w:hAnsi="Helvetica" w:cs="Arial"/>
              </w:rPr>
              <w:t>0</w:t>
            </w:r>
            <w:r w:rsidR="005B4473" w:rsidRPr="00DE0A84">
              <w:rPr>
                <w:rFonts w:ascii="Helvetica" w:hAnsi="Helvetica" w:cs="Arial"/>
              </w:rPr>
              <w:t xml:space="preserve"> (0.0%)</w:t>
            </w:r>
          </w:p>
        </w:tc>
        <w:tc>
          <w:tcPr>
            <w:tcW w:w="2160" w:type="dxa"/>
          </w:tcPr>
          <w:p w14:paraId="77EFFAE9"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rPr>
            </w:pPr>
            <w:r w:rsidRPr="00DE0A84">
              <w:rPr>
                <w:rFonts w:ascii="Helvetica" w:hAnsi="Helvetica" w:cs="Arial"/>
              </w:rPr>
              <w:t>0</w:t>
            </w:r>
          </w:p>
          <w:p w14:paraId="4C79A1CC"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rPr>
            </w:pPr>
          </w:p>
        </w:tc>
        <w:tc>
          <w:tcPr>
            <w:tcW w:w="1965" w:type="dxa"/>
          </w:tcPr>
          <w:p w14:paraId="7140F156" w14:textId="77777777" w:rsidR="00024ECE" w:rsidRPr="00DE0A84" w:rsidRDefault="00024ECE" w:rsidP="00CA5013">
            <w:pPr>
              <w:pStyle w:val="ListParagraph"/>
              <w:autoSpaceDE w:val="0"/>
              <w:autoSpaceDN w:val="0"/>
              <w:adjustRightInd w:val="0"/>
              <w:spacing w:afterLines="120" w:after="288" w:line="360" w:lineRule="auto"/>
              <w:ind w:left="0"/>
              <w:rPr>
                <w:rFonts w:ascii="Helvetica" w:hAnsi="Helvetica" w:cs="Arial"/>
              </w:rPr>
            </w:pPr>
            <w:r w:rsidRPr="00DE0A84">
              <w:rPr>
                <w:rFonts w:ascii="Helvetica" w:hAnsi="Helvetica" w:cs="Arial"/>
              </w:rPr>
              <w:t>0</w:t>
            </w:r>
          </w:p>
        </w:tc>
      </w:tr>
    </w:tbl>
    <w:p w14:paraId="78E22E91" w14:textId="02E3E806" w:rsidR="00024ECE" w:rsidRPr="00DE0A84" w:rsidRDefault="00024ECE" w:rsidP="00024ECE">
      <w:pPr>
        <w:rPr>
          <w:rFonts w:ascii="Helvetica" w:hAnsi="Helvetica" w:cs="Arial"/>
          <w:sz w:val="20"/>
          <w:szCs w:val="20"/>
        </w:rPr>
      </w:pPr>
      <w:r w:rsidRPr="00DE0A84">
        <w:rPr>
          <w:rFonts w:ascii="Helvetica" w:hAnsi="Helvetica" w:cs="Arial"/>
          <w:sz w:val="20"/>
          <w:szCs w:val="20"/>
        </w:rPr>
        <w:t>*All pets represented in this table were sampled longitudinally, at both baseline and 3-month visits.</w:t>
      </w:r>
    </w:p>
    <w:p w14:paraId="7C48EA92" w14:textId="4D3EF0C1" w:rsidR="00D646C7" w:rsidRPr="00DE0A84" w:rsidRDefault="00D646C7" w:rsidP="00024ECE">
      <w:pPr>
        <w:rPr>
          <w:rFonts w:ascii="Helvetica" w:hAnsi="Helvetica" w:cs="Tahoma"/>
          <w:sz w:val="20"/>
          <w:szCs w:val="20"/>
        </w:rPr>
      </w:pPr>
      <w:r w:rsidRPr="00DE0A84">
        <w:rPr>
          <w:rFonts w:ascii="Helvetica" w:hAnsi="Helvetica" w:cs="Tahoma"/>
          <w:sz w:val="20"/>
          <w:szCs w:val="20"/>
        </w:rPr>
        <w:t xml:space="preserve">† </w:t>
      </w:r>
      <w:r w:rsidRPr="00DE0A84">
        <w:rPr>
          <w:rFonts w:ascii="Helvetica" w:hAnsi="Helvetica" w:cs="Tahoma"/>
          <w:i/>
          <w:iCs/>
          <w:sz w:val="20"/>
          <w:szCs w:val="20"/>
        </w:rPr>
        <w:t>spa</w:t>
      </w:r>
      <w:r w:rsidRPr="00DE0A84">
        <w:rPr>
          <w:rFonts w:ascii="Helvetica" w:hAnsi="Helvetica" w:cs="Tahoma"/>
          <w:sz w:val="20"/>
          <w:szCs w:val="20"/>
        </w:rPr>
        <w:t xml:space="preserve">-types </w:t>
      </w:r>
      <w:r w:rsidR="00270226" w:rsidRPr="00DE0A84">
        <w:rPr>
          <w:rFonts w:ascii="Helvetica" w:hAnsi="Helvetica" w:cs="Tahoma"/>
          <w:sz w:val="20"/>
          <w:szCs w:val="20"/>
        </w:rPr>
        <w:t>t12500 and t008</w:t>
      </w:r>
    </w:p>
    <w:p w14:paraId="16C985A8" w14:textId="62851872" w:rsidR="00D646C7" w:rsidRPr="00DE0A84" w:rsidRDefault="00D646C7" w:rsidP="00024ECE">
      <w:pPr>
        <w:rPr>
          <w:rFonts w:ascii="Helvetica" w:hAnsi="Helvetica" w:cs="Arial"/>
          <w:sz w:val="20"/>
          <w:szCs w:val="20"/>
        </w:rPr>
      </w:pPr>
      <w:r w:rsidRPr="00DE0A84">
        <w:rPr>
          <w:rFonts w:ascii="Helvetica" w:hAnsi="Helvetica" w:cs="Arial"/>
          <w:sz w:val="20"/>
          <w:szCs w:val="20"/>
        </w:rPr>
        <w:t>‡</w:t>
      </w:r>
      <w:r w:rsidR="00270226" w:rsidRPr="00DE0A84">
        <w:rPr>
          <w:rFonts w:ascii="Helvetica" w:hAnsi="Helvetica" w:cs="Arial"/>
          <w:sz w:val="20"/>
          <w:szCs w:val="20"/>
        </w:rPr>
        <w:t xml:space="preserve"> </w:t>
      </w:r>
      <w:r w:rsidR="00270226" w:rsidRPr="00DE0A84">
        <w:rPr>
          <w:rFonts w:ascii="Helvetica" w:hAnsi="Helvetica" w:cs="Arial"/>
          <w:i/>
          <w:iCs/>
          <w:sz w:val="20"/>
          <w:szCs w:val="20"/>
        </w:rPr>
        <w:t>spa</w:t>
      </w:r>
      <w:r w:rsidR="00270226" w:rsidRPr="00DE0A84">
        <w:rPr>
          <w:rFonts w:ascii="Helvetica" w:hAnsi="Helvetica" w:cs="Arial"/>
          <w:sz w:val="20"/>
          <w:szCs w:val="20"/>
        </w:rPr>
        <w:t xml:space="preserve">-types </w:t>
      </w:r>
      <w:r w:rsidR="00CC0C43" w:rsidRPr="00DE0A84">
        <w:rPr>
          <w:rFonts w:ascii="Helvetica" w:hAnsi="Helvetica" w:cs="Arial"/>
          <w:sz w:val="20"/>
          <w:szCs w:val="20"/>
        </w:rPr>
        <w:t>t008, t216 and t334</w:t>
      </w:r>
    </w:p>
    <w:p w14:paraId="2707CBBF" w14:textId="5BE5AC27" w:rsidR="00F504F1" w:rsidRPr="00DE0A84" w:rsidRDefault="00F504F1" w:rsidP="00024ECE">
      <w:pPr>
        <w:rPr>
          <w:rFonts w:ascii="Helvetica" w:hAnsi="Helvetica" w:cs="Arial"/>
          <w:sz w:val="20"/>
          <w:szCs w:val="20"/>
        </w:rPr>
      </w:pPr>
      <w:r w:rsidRPr="00DE0A84">
        <w:rPr>
          <w:rFonts w:ascii="Helvetica" w:hAnsi="Helvetica" w:cs="Arial"/>
          <w:sz w:val="20"/>
          <w:szCs w:val="20"/>
        </w:rPr>
        <w:t>§ spa-types t12500, t008, t216 and t121</w:t>
      </w:r>
    </w:p>
    <w:p w14:paraId="0C3D0A79" w14:textId="77777777" w:rsidR="00024ECE" w:rsidRPr="00DE0A84" w:rsidRDefault="00024ECE" w:rsidP="00DB08D6">
      <w:pPr>
        <w:autoSpaceDE w:val="0"/>
        <w:autoSpaceDN w:val="0"/>
        <w:adjustRightInd w:val="0"/>
        <w:spacing w:afterLines="120" w:after="288" w:line="360" w:lineRule="auto"/>
        <w:rPr>
          <w:rFonts w:ascii="Helvetica" w:hAnsi="Helvetica" w:cs="Arial"/>
        </w:rPr>
      </w:pPr>
    </w:p>
    <w:p w14:paraId="7DC6E382" w14:textId="07542843" w:rsidR="007B2CC4" w:rsidRPr="00DE0A84" w:rsidRDefault="007B2CC4" w:rsidP="00DB08D6">
      <w:pPr>
        <w:autoSpaceDE w:val="0"/>
        <w:autoSpaceDN w:val="0"/>
        <w:adjustRightInd w:val="0"/>
        <w:spacing w:afterLines="120" w:after="288" w:line="360" w:lineRule="auto"/>
        <w:rPr>
          <w:rFonts w:ascii="Helvetica" w:hAnsi="Helvetica" w:cs="Arial"/>
        </w:rPr>
      </w:pPr>
    </w:p>
    <w:p w14:paraId="4771562C" w14:textId="77777777" w:rsidR="0029278E" w:rsidRPr="00DE0A84" w:rsidRDefault="0029278E" w:rsidP="00DB08D6">
      <w:pPr>
        <w:autoSpaceDE w:val="0"/>
        <w:autoSpaceDN w:val="0"/>
        <w:adjustRightInd w:val="0"/>
        <w:spacing w:afterLines="120" w:after="288" w:line="360" w:lineRule="auto"/>
        <w:rPr>
          <w:rFonts w:ascii="Helvetica" w:hAnsi="Helvetica" w:cs="Arial"/>
        </w:rPr>
      </w:pPr>
    </w:p>
    <w:p w14:paraId="451AC531" w14:textId="77777777" w:rsidR="0029278E" w:rsidRPr="00DE0A84" w:rsidRDefault="0029278E" w:rsidP="00DB08D6">
      <w:pPr>
        <w:autoSpaceDE w:val="0"/>
        <w:autoSpaceDN w:val="0"/>
        <w:adjustRightInd w:val="0"/>
        <w:spacing w:afterLines="120" w:after="288" w:line="360" w:lineRule="auto"/>
        <w:rPr>
          <w:rFonts w:ascii="Helvetica" w:hAnsi="Helvetica" w:cs="Arial"/>
        </w:rPr>
      </w:pPr>
    </w:p>
    <w:p w14:paraId="7540183F" w14:textId="77777777" w:rsidR="00024ECE" w:rsidRPr="00DE0A84" w:rsidRDefault="00024ECE" w:rsidP="00DB08D6">
      <w:pPr>
        <w:autoSpaceDE w:val="0"/>
        <w:autoSpaceDN w:val="0"/>
        <w:adjustRightInd w:val="0"/>
        <w:spacing w:afterLines="120" w:after="288" w:line="360" w:lineRule="auto"/>
        <w:rPr>
          <w:rFonts w:ascii="Helvetica" w:hAnsi="Helvetica" w:cs="Arial"/>
        </w:rPr>
      </w:pPr>
    </w:p>
    <w:p w14:paraId="115B59D8" w14:textId="77777777" w:rsidR="00024ECE" w:rsidRPr="00DE0A84" w:rsidRDefault="00024ECE" w:rsidP="00DB08D6">
      <w:pPr>
        <w:autoSpaceDE w:val="0"/>
        <w:autoSpaceDN w:val="0"/>
        <w:adjustRightInd w:val="0"/>
        <w:spacing w:afterLines="120" w:after="288" w:line="360" w:lineRule="auto"/>
        <w:rPr>
          <w:rFonts w:ascii="Helvetica" w:hAnsi="Helvetica" w:cs="Arial"/>
        </w:rPr>
      </w:pPr>
    </w:p>
    <w:p w14:paraId="265B62DE" w14:textId="77777777" w:rsidR="00024ECE" w:rsidRPr="00DE0A84" w:rsidRDefault="00024ECE" w:rsidP="00DB08D6">
      <w:pPr>
        <w:autoSpaceDE w:val="0"/>
        <w:autoSpaceDN w:val="0"/>
        <w:adjustRightInd w:val="0"/>
        <w:spacing w:afterLines="120" w:after="288" w:line="360" w:lineRule="auto"/>
        <w:rPr>
          <w:rFonts w:ascii="Helvetica" w:hAnsi="Helvetica" w:cs="Arial"/>
        </w:rPr>
      </w:pPr>
    </w:p>
    <w:p w14:paraId="055A7180" w14:textId="77777777" w:rsidR="00024ECE" w:rsidRPr="00DE0A84" w:rsidRDefault="00024ECE" w:rsidP="00DB08D6">
      <w:pPr>
        <w:autoSpaceDE w:val="0"/>
        <w:autoSpaceDN w:val="0"/>
        <w:adjustRightInd w:val="0"/>
        <w:spacing w:afterLines="120" w:after="288" w:line="360" w:lineRule="auto"/>
        <w:rPr>
          <w:rFonts w:ascii="Helvetica" w:hAnsi="Helvetica" w:cs="Arial"/>
        </w:rPr>
      </w:pPr>
    </w:p>
    <w:p w14:paraId="05EDEB17" w14:textId="77777777" w:rsidR="005B2CAE" w:rsidRPr="00DE0A84" w:rsidRDefault="005B2CAE" w:rsidP="00DB08D6">
      <w:pPr>
        <w:autoSpaceDE w:val="0"/>
        <w:autoSpaceDN w:val="0"/>
        <w:adjustRightInd w:val="0"/>
        <w:spacing w:afterLines="120" w:after="288" w:line="360" w:lineRule="auto"/>
        <w:rPr>
          <w:rFonts w:ascii="Helvetica" w:hAnsi="Helvetica" w:cs="Arial"/>
        </w:rPr>
      </w:pPr>
    </w:p>
    <w:p w14:paraId="5695BF0D" w14:textId="1802CF3C" w:rsidR="00DB08D6" w:rsidRPr="00DE0A84" w:rsidRDefault="00DB08D6" w:rsidP="005B2CAE">
      <w:pPr>
        <w:widowControl w:val="0"/>
        <w:autoSpaceDE w:val="0"/>
        <w:autoSpaceDN w:val="0"/>
        <w:adjustRightInd w:val="0"/>
        <w:ind w:left="640" w:hanging="640"/>
        <w:rPr>
          <w:rFonts w:ascii="Helvetica" w:hAnsi="Helvetica" w:cs="Arial"/>
          <w:b/>
          <w:bCs/>
        </w:rPr>
      </w:pPr>
    </w:p>
    <w:p w14:paraId="2DD3484E" w14:textId="77777777" w:rsidR="00DB08D6" w:rsidRPr="00DE0A84" w:rsidRDefault="00DB08D6" w:rsidP="00111968">
      <w:pPr>
        <w:rPr>
          <w:rFonts w:ascii="Helvetica" w:hAnsi="Helvetica" w:cs="Arial"/>
          <w:b/>
          <w:bCs/>
        </w:rPr>
      </w:pPr>
    </w:p>
    <w:p w14:paraId="1CD8019F" w14:textId="77777777" w:rsidR="009B0D9A" w:rsidRPr="00DE0A84" w:rsidRDefault="009B0D9A" w:rsidP="00111968">
      <w:pPr>
        <w:rPr>
          <w:rFonts w:ascii="Helvetica" w:hAnsi="Helvetica" w:cs="Arial"/>
          <w:b/>
          <w:bCs/>
        </w:rPr>
      </w:pPr>
    </w:p>
    <w:p w14:paraId="43612B50" w14:textId="77777777" w:rsidR="009B0D9A" w:rsidRPr="00DE0A84" w:rsidRDefault="009B0D9A" w:rsidP="00111968">
      <w:pPr>
        <w:rPr>
          <w:rFonts w:ascii="Helvetica" w:hAnsi="Helvetica" w:cs="Arial"/>
          <w:b/>
          <w:bCs/>
        </w:rPr>
      </w:pPr>
    </w:p>
    <w:p w14:paraId="59EC48A5" w14:textId="77777777" w:rsidR="009B0D9A" w:rsidRPr="00DE0A84" w:rsidRDefault="009B0D9A" w:rsidP="00111968">
      <w:pPr>
        <w:rPr>
          <w:rFonts w:ascii="Helvetica" w:hAnsi="Helvetica" w:cs="Arial"/>
          <w:b/>
          <w:bCs/>
        </w:rPr>
      </w:pPr>
    </w:p>
    <w:p w14:paraId="4F21D266" w14:textId="77777777" w:rsidR="009B0D9A" w:rsidRPr="00DE0A84" w:rsidRDefault="009B0D9A" w:rsidP="00111968">
      <w:pPr>
        <w:rPr>
          <w:rFonts w:ascii="Helvetica" w:hAnsi="Helvetica" w:cs="Arial"/>
          <w:b/>
          <w:bCs/>
        </w:rPr>
      </w:pPr>
    </w:p>
    <w:p w14:paraId="6BC01FB2" w14:textId="77777777" w:rsidR="009B0D9A" w:rsidRPr="00DE0A84" w:rsidRDefault="009B0D9A" w:rsidP="00111968">
      <w:pPr>
        <w:rPr>
          <w:rFonts w:ascii="Helvetica" w:hAnsi="Helvetica" w:cs="Arial"/>
          <w:b/>
          <w:bCs/>
        </w:rPr>
      </w:pPr>
    </w:p>
    <w:p w14:paraId="68ADC516" w14:textId="77777777" w:rsidR="009B0D9A" w:rsidRPr="00DE0A84" w:rsidRDefault="009B0D9A" w:rsidP="00111968">
      <w:pPr>
        <w:rPr>
          <w:rFonts w:ascii="Helvetica" w:hAnsi="Helvetica" w:cs="Arial"/>
          <w:b/>
          <w:bCs/>
        </w:rPr>
      </w:pPr>
    </w:p>
    <w:p w14:paraId="506DC13E" w14:textId="77777777" w:rsidR="009B0D9A" w:rsidRPr="00DE0A84" w:rsidRDefault="009B0D9A" w:rsidP="00111968">
      <w:pPr>
        <w:rPr>
          <w:rFonts w:ascii="Helvetica" w:hAnsi="Helvetica" w:cs="Arial"/>
          <w:b/>
          <w:bCs/>
        </w:rPr>
      </w:pPr>
    </w:p>
    <w:p w14:paraId="67FF2044" w14:textId="77777777" w:rsidR="009B0D9A" w:rsidRPr="00DE0A84" w:rsidRDefault="009B0D9A" w:rsidP="00111968">
      <w:pPr>
        <w:rPr>
          <w:rFonts w:ascii="Helvetica" w:hAnsi="Helvetica" w:cs="Arial"/>
          <w:b/>
          <w:bCs/>
        </w:rPr>
      </w:pPr>
    </w:p>
    <w:p w14:paraId="42C0C794" w14:textId="77777777" w:rsidR="009B0D9A" w:rsidRPr="00DE0A84" w:rsidRDefault="009B0D9A" w:rsidP="00111968">
      <w:pPr>
        <w:rPr>
          <w:rFonts w:ascii="Helvetica" w:hAnsi="Helvetica" w:cs="Arial"/>
          <w:b/>
          <w:bCs/>
        </w:rPr>
      </w:pPr>
    </w:p>
    <w:p w14:paraId="5EB61B69" w14:textId="77777777" w:rsidR="009B0D9A" w:rsidRPr="00DE0A84" w:rsidRDefault="009B0D9A" w:rsidP="00111968">
      <w:pPr>
        <w:rPr>
          <w:rFonts w:ascii="Helvetica" w:hAnsi="Helvetica" w:cs="Arial"/>
          <w:b/>
          <w:bCs/>
        </w:rPr>
      </w:pPr>
    </w:p>
    <w:p w14:paraId="1A644A27" w14:textId="483B3B76" w:rsidR="00526322" w:rsidRPr="00DE0A84" w:rsidRDefault="00526322" w:rsidP="00526322">
      <w:pPr>
        <w:rPr>
          <w:rFonts w:ascii="Helvetica" w:hAnsi="Helvetica"/>
        </w:rPr>
      </w:pPr>
    </w:p>
    <w:sectPr w:rsidR="00526322" w:rsidRPr="00DE0A84" w:rsidSect="00CC3CA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 S" w:date="2022-09-06T16:06:00Z" w:initials="RS">
    <w:p w14:paraId="57AB6608" w14:textId="732C6FBE" w:rsidR="00E6243F" w:rsidRDefault="00E6243F">
      <w:pPr>
        <w:pStyle w:val="CommentText"/>
      </w:pPr>
      <w:r>
        <w:rPr>
          <w:rStyle w:val="CommentReference"/>
        </w:rPr>
        <w:annotationRef/>
      </w:r>
      <w:r>
        <w:t>AUTHOR;</w:t>
      </w:r>
      <w:r w:rsidRPr="00E03195">
        <w:rPr>
          <w:rFonts w:ascii="Helvetica" w:hAnsi="Helvetica" w:cs="Arial"/>
          <w:bCs/>
        </w:rPr>
        <w:t xml:space="preserve"> </w:t>
      </w:r>
      <w:r w:rsidRPr="009D2E34">
        <w:rPr>
          <w:rFonts w:ascii="Helvetica" w:hAnsi="Helvetica" w:cs="Arial"/>
          <w:bCs/>
        </w:rPr>
        <w:t>Results</w:t>
      </w:r>
      <w:r>
        <w:rPr>
          <w:rFonts w:ascii="Helvetica" w:hAnsi="Helvetica" w:cs="Arial"/>
          <w:bCs/>
        </w:rPr>
        <w:t xml:space="preserve"> S1: the seciton this is cited in IS the Results S1--can this be deleted?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7AB66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AB6608" w16cid:durableId="26F2258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00000000"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D25"/>
    <w:rsid w:val="00002E62"/>
    <w:rsid w:val="000173BB"/>
    <w:rsid w:val="00024ECE"/>
    <w:rsid w:val="00035056"/>
    <w:rsid w:val="000427CE"/>
    <w:rsid w:val="000A305C"/>
    <w:rsid w:val="000B3203"/>
    <w:rsid w:val="000C7594"/>
    <w:rsid w:val="000E684B"/>
    <w:rsid w:val="000F50DF"/>
    <w:rsid w:val="00100A52"/>
    <w:rsid w:val="00105108"/>
    <w:rsid w:val="00111968"/>
    <w:rsid w:val="00122FF6"/>
    <w:rsid w:val="0012682D"/>
    <w:rsid w:val="001528EB"/>
    <w:rsid w:val="00184ECF"/>
    <w:rsid w:val="001871BA"/>
    <w:rsid w:val="0019652E"/>
    <w:rsid w:val="001A20F3"/>
    <w:rsid w:val="001B381D"/>
    <w:rsid w:val="001B4B34"/>
    <w:rsid w:val="001B6E11"/>
    <w:rsid w:val="001C42A0"/>
    <w:rsid w:val="001D46AE"/>
    <w:rsid w:val="001E47D4"/>
    <w:rsid w:val="001E6F84"/>
    <w:rsid w:val="001E7821"/>
    <w:rsid w:val="002208ED"/>
    <w:rsid w:val="002437FB"/>
    <w:rsid w:val="002631C9"/>
    <w:rsid w:val="00270226"/>
    <w:rsid w:val="00287168"/>
    <w:rsid w:val="0029278E"/>
    <w:rsid w:val="002952B8"/>
    <w:rsid w:val="0029584F"/>
    <w:rsid w:val="0029693D"/>
    <w:rsid w:val="002E4F3F"/>
    <w:rsid w:val="002F1EAA"/>
    <w:rsid w:val="002F3CAC"/>
    <w:rsid w:val="003118CA"/>
    <w:rsid w:val="0031459F"/>
    <w:rsid w:val="003178AC"/>
    <w:rsid w:val="00324C49"/>
    <w:rsid w:val="00366B43"/>
    <w:rsid w:val="003A3902"/>
    <w:rsid w:val="003C25E8"/>
    <w:rsid w:val="003D4CC7"/>
    <w:rsid w:val="003E7398"/>
    <w:rsid w:val="004028AE"/>
    <w:rsid w:val="004033BF"/>
    <w:rsid w:val="0041724B"/>
    <w:rsid w:val="00417AB3"/>
    <w:rsid w:val="00421B2F"/>
    <w:rsid w:val="00427F1B"/>
    <w:rsid w:val="0044190E"/>
    <w:rsid w:val="004454BA"/>
    <w:rsid w:val="004454BD"/>
    <w:rsid w:val="00445C08"/>
    <w:rsid w:val="004468D0"/>
    <w:rsid w:val="00457DC3"/>
    <w:rsid w:val="00471F71"/>
    <w:rsid w:val="00487C8B"/>
    <w:rsid w:val="004D46B9"/>
    <w:rsid w:val="004E521E"/>
    <w:rsid w:val="004F05F1"/>
    <w:rsid w:val="004F21D9"/>
    <w:rsid w:val="00501734"/>
    <w:rsid w:val="00503C37"/>
    <w:rsid w:val="00510B94"/>
    <w:rsid w:val="00522C49"/>
    <w:rsid w:val="00526322"/>
    <w:rsid w:val="00527A2B"/>
    <w:rsid w:val="00531144"/>
    <w:rsid w:val="005515F9"/>
    <w:rsid w:val="0055786B"/>
    <w:rsid w:val="0056022B"/>
    <w:rsid w:val="005811A9"/>
    <w:rsid w:val="00581577"/>
    <w:rsid w:val="005968F9"/>
    <w:rsid w:val="005B2CAE"/>
    <w:rsid w:val="005B4473"/>
    <w:rsid w:val="005D55F9"/>
    <w:rsid w:val="005F2496"/>
    <w:rsid w:val="005F4773"/>
    <w:rsid w:val="005F48B8"/>
    <w:rsid w:val="005F6996"/>
    <w:rsid w:val="006127AF"/>
    <w:rsid w:val="00612F9C"/>
    <w:rsid w:val="00623D92"/>
    <w:rsid w:val="006445BB"/>
    <w:rsid w:val="0064624F"/>
    <w:rsid w:val="00654627"/>
    <w:rsid w:val="00656C71"/>
    <w:rsid w:val="006914B0"/>
    <w:rsid w:val="006A089E"/>
    <w:rsid w:val="006B5FC1"/>
    <w:rsid w:val="006D27FA"/>
    <w:rsid w:val="006D704C"/>
    <w:rsid w:val="006D7540"/>
    <w:rsid w:val="006F0A0A"/>
    <w:rsid w:val="006F6935"/>
    <w:rsid w:val="006F6B08"/>
    <w:rsid w:val="00727748"/>
    <w:rsid w:val="00761993"/>
    <w:rsid w:val="0076221F"/>
    <w:rsid w:val="007661BA"/>
    <w:rsid w:val="0078289F"/>
    <w:rsid w:val="00785B9B"/>
    <w:rsid w:val="007939ED"/>
    <w:rsid w:val="007B2CC4"/>
    <w:rsid w:val="007B5891"/>
    <w:rsid w:val="007E1594"/>
    <w:rsid w:val="00811946"/>
    <w:rsid w:val="00815960"/>
    <w:rsid w:val="00825F8C"/>
    <w:rsid w:val="00844153"/>
    <w:rsid w:val="0084615D"/>
    <w:rsid w:val="00855506"/>
    <w:rsid w:val="00857C18"/>
    <w:rsid w:val="008664B6"/>
    <w:rsid w:val="00883AAA"/>
    <w:rsid w:val="008956B6"/>
    <w:rsid w:val="00895990"/>
    <w:rsid w:val="008B4179"/>
    <w:rsid w:val="008D5856"/>
    <w:rsid w:val="008E7D25"/>
    <w:rsid w:val="008F6664"/>
    <w:rsid w:val="009445D8"/>
    <w:rsid w:val="00945125"/>
    <w:rsid w:val="00964D55"/>
    <w:rsid w:val="00973BE3"/>
    <w:rsid w:val="00985482"/>
    <w:rsid w:val="009A13D1"/>
    <w:rsid w:val="009B0D9A"/>
    <w:rsid w:val="009B4E09"/>
    <w:rsid w:val="009D2E34"/>
    <w:rsid w:val="009D72C2"/>
    <w:rsid w:val="009F1AFA"/>
    <w:rsid w:val="00A162E5"/>
    <w:rsid w:val="00A20271"/>
    <w:rsid w:val="00A2681B"/>
    <w:rsid w:val="00A36031"/>
    <w:rsid w:val="00A42F29"/>
    <w:rsid w:val="00A81D07"/>
    <w:rsid w:val="00A82A7B"/>
    <w:rsid w:val="00A86B0C"/>
    <w:rsid w:val="00AC186C"/>
    <w:rsid w:val="00AE5782"/>
    <w:rsid w:val="00AF4E61"/>
    <w:rsid w:val="00B12433"/>
    <w:rsid w:val="00B337AB"/>
    <w:rsid w:val="00B37828"/>
    <w:rsid w:val="00B40802"/>
    <w:rsid w:val="00B97B9E"/>
    <w:rsid w:val="00BF0048"/>
    <w:rsid w:val="00C3623A"/>
    <w:rsid w:val="00C738A4"/>
    <w:rsid w:val="00C73992"/>
    <w:rsid w:val="00C85FF2"/>
    <w:rsid w:val="00C86398"/>
    <w:rsid w:val="00C874C2"/>
    <w:rsid w:val="00C93D46"/>
    <w:rsid w:val="00CA5013"/>
    <w:rsid w:val="00CC0C43"/>
    <w:rsid w:val="00CC3CAF"/>
    <w:rsid w:val="00CC4897"/>
    <w:rsid w:val="00CD396A"/>
    <w:rsid w:val="00CE3F56"/>
    <w:rsid w:val="00CF4B6D"/>
    <w:rsid w:val="00D02277"/>
    <w:rsid w:val="00D112E3"/>
    <w:rsid w:val="00D177E6"/>
    <w:rsid w:val="00D41577"/>
    <w:rsid w:val="00D51874"/>
    <w:rsid w:val="00D61AE5"/>
    <w:rsid w:val="00D646C7"/>
    <w:rsid w:val="00D824B5"/>
    <w:rsid w:val="00DA0ADE"/>
    <w:rsid w:val="00DA2821"/>
    <w:rsid w:val="00DA7520"/>
    <w:rsid w:val="00DB08D6"/>
    <w:rsid w:val="00DB3C86"/>
    <w:rsid w:val="00DC620D"/>
    <w:rsid w:val="00DC715D"/>
    <w:rsid w:val="00DE0A84"/>
    <w:rsid w:val="00DE701C"/>
    <w:rsid w:val="00DF6E50"/>
    <w:rsid w:val="00E03195"/>
    <w:rsid w:val="00E246EE"/>
    <w:rsid w:val="00E444A5"/>
    <w:rsid w:val="00E45360"/>
    <w:rsid w:val="00E4657B"/>
    <w:rsid w:val="00E537C7"/>
    <w:rsid w:val="00E6243F"/>
    <w:rsid w:val="00E64D87"/>
    <w:rsid w:val="00E70EC8"/>
    <w:rsid w:val="00E828A3"/>
    <w:rsid w:val="00E82B44"/>
    <w:rsid w:val="00E87D42"/>
    <w:rsid w:val="00E969DD"/>
    <w:rsid w:val="00EA1562"/>
    <w:rsid w:val="00EA4CFD"/>
    <w:rsid w:val="00EB5F4E"/>
    <w:rsid w:val="00EC4A93"/>
    <w:rsid w:val="00EE069B"/>
    <w:rsid w:val="00EE1E39"/>
    <w:rsid w:val="00F05465"/>
    <w:rsid w:val="00F1749A"/>
    <w:rsid w:val="00F17B21"/>
    <w:rsid w:val="00F504F1"/>
    <w:rsid w:val="00F86811"/>
    <w:rsid w:val="00FB38C1"/>
    <w:rsid w:val="00FB7D21"/>
    <w:rsid w:val="00FC269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73A33"/>
  <w15:docId w15:val="{8C9836B9-60CA-42F8-A94E-8AEE88122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D2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7D2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E7D25"/>
    <w:rPr>
      <w:rFonts w:ascii="Times New Roman" w:eastAsiaTheme="minorEastAsia" w:hAnsi="Times New Roman" w:cs="Times New Roman"/>
      <w:sz w:val="18"/>
      <w:szCs w:val="18"/>
    </w:rPr>
  </w:style>
  <w:style w:type="character" w:styleId="CommentReference">
    <w:name w:val="annotation reference"/>
    <w:basedOn w:val="DefaultParagraphFont"/>
    <w:uiPriority w:val="99"/>
    <w:semiHidden/>
    <w:unhideWhenUsed/>
    <w:rsid w:val="005F4773"/>
    <w:rPr>
      <w:sz w:val="18"/>
      <w:szCs w:val="18"/>
    </w:rPr>
  </w:style>
  <w:style w:type="paragraph" w:styleId="CommentText">
    <w:name w:val="annotation text"/>
    <w:basedOn w:val="Normal"/>
    <w:link w:val="CommentTextChar"/>
    <w:uiPriority w:val="99"/>
    <w:unhideWhenUsed/>
    <w:rsid w:val="005F4773"/>
  </w:style>
  <w:style w:type="character" w:customStyle="1" w:styleId="CommentTextChar">
    <w:name w:val="Comment Text Char"/>
    <w:basedOn w:val="DefaultParagraphFont"/>
    <w:link w:val="CommentText"/>
    <w:uiPriority w:val="99"/>
    <w:rsid w:val="005F4773"/>
    <w:rPr>
      <w:rFonts w:eastAsiaTheme="minorEastAsia"/>
    </w:rPr>
  </w:style>
  <w:style w:type="paragraph" w:styleId="ListParagraph">
    <w:name w:val="List Paragraph"/>
    <w:basedOn w:val="Normal"/>
    <w:uiPriority w:val="34"/>
    <w:qFormat/>
    <w:rsid w:val="005F4773"/>
    <w:pPr>
      <w:ind w:left="720"/>
      <w:contextualSpacing/>
    </w:pPr>
  </w:style>
  <w:style w:type="table" w:styleId="TableGrid">
    <w:name w:val="Table Grid"/>
    <w:basedOn w:val="TableNormal"/>
    <w:uiPriority w:val="39"/>
    <w:rsid w:val="005F4773"/>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EA4CFD"/>
    <w:rPr>
      <w:b/>
      <w:bCs/>
      <w:sz w:val="20"/>
      <w:szCs w:val="20"/>
    </w:rPr>
  </w:style>
  <w:style w:type="character" w:customStyle="1" w:styleId="CommentSubjectChar">
    <w:name w:val="Comment Subject Char"/>
    <w:basedOn w:val="CommentTextChar"/>
    <w:link w:val="CommentSubject"/>
    <w:uiPriority w:val="99"/>
    <w:semiHidden/>
    <w:rsid w:val="00EA4CFD"/>
    <w:rPr>
      <w:rFonts w:eastAsiaTheme="minorEastAsia"/>
      <w:b/>
      <w:bCs/>
      <w:sz w:val="20"/>
      <w:szCs w:val="20"/>
    </w:rPr>
  </w:style>
  <w:style w:type="paragraph" w:styleId="Revision">
    <w:name w:val="Revision"/>
    <w:hidden/>
    <w:uiPriority w:val="99"/>
    <w:semiHidden/>
    <w:rsid w:val="006D27FA"/>
    <w:rPr>
      <w:rFonts w:eastAsiaTheme="minorEastAsia"/>
    </w:rPr>
  </w:style>
  <w:style w:type="paragraph" w:customStyle="1" w:styleId="Default">
    <w:name w:val="Default"/>
    <w:rsid w:val="001D46AE"/>
    <w:pPr>
      <w:widowControl w:val="0"/>
      <w:autoSpaceDE w:val="0"/>
      <w:autoSpaceDN w:val="0"/>
      <w:adjustRightInd w:val="0"/>
    </w:pPr>
    <w:rPr>
      <w:rFonts w:ascii="Arial" w:eastAsiaTheme="minorEastAsia" w:hAnsi="Arial" w:cs="Arial"/>
      <w:color w:val="000000"/>
    </w:rPr>
  </w:style>
  <w:style w:type="paragraph" w:customStyle="1" w:styleId="m8528626393460002240msolistparagraph">
    <w:name w:val="m_8528626393460002240msolistparagraph"/>
    <w:basedOn w:val="Normal"/>
    <w:rsid w:val="005811A9"/>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32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915FA-77AF-488E-8953-D6716BC1C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13630</Words>
  <Characters>77695</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Caitlin Cotter</dc:creator>
  <cp:lastModifiedBy>Karthikeyan, Roopini -</cp:lastModifiedBy>
  <cp:revision>2</cp:revision>
  <dcterms:created xsi:type="dcterms:W3CDTF">2022-10-13T00:20:00Z</dcterms:created>
  <dcterms:modified xsi:type="dcterms:W3CDTF">2022-10-13T00:20:00Z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http://www.zotero.org/styles/national-library-of-medicine</vt:lpwstr>
  </property>
  <property fmtid="{D5CDD505-2E9C-101B-9397-08002B2CF9AE}" pid="19" name="Mendeley Recent Style Name 8_1">
    <vt:lpwstr>National Library of Medicine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bccc6eba-4321-370f-acaf-80f282229650</vt:lpwstr>
  </property>
  <property fmtid="{D5CDD505-2E9C-101B-9397-08002B2CF9AE}" pid="24" name="Mendeley Citation Style_1">
    <vt:lpwstr>http://www.zotero.org/styles/american-medical-association</vt:lpwstr>
  </property>
</Properties>
</file>