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1E4B5" w14:textId="77777777" w:rsidR="0086108C" w:rsidRDefault="0086108C" w:rsidP="0086108C">
      <w:pPr>
        <w:spacing w:after="0" w:line="48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  <w:lang w:val="en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  <w:lang w:val="en"/>
        </w:rPr>
        <w:t>APPENDIX</w:t>
      </w:r>
    </w:p>
    <w:p w14:paraId="7DFFC19A" w14:textId="77777777" w:rsidR="0086108C" w:rsidRDefault="0086108C" w:rsidP="0086108C">
      <w:pPr>
        <w:spacing w:after="0" w:line="48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  <w:lang w:val="en"/>
        </w:rPr>
      </w:pPr>
    </w:p>
    <w:p w14:paraId="57B32695" w14:textId="77777777" w:rsidR="0086108C" w:rsidRDefault="0086108C" w:rsidP="0086108C">
      <w:pPr>
        <w:spacing w:after="0" w:line="480" w:lineRule="auto"/>
        <w:ind w:firstLine="720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  <w:lang w:val="en"/>
        </w:rPr>
      </w:pPr>
      <w:r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>Figure 1 and 2 (suppl.) describes the 2015 and 2016, respectively, agreement between BRFSS model-based estimates and ACS 1-year reports of county-level DDRS based on 225 selected counties. The reference line denotes if model-based estimates and standard references (e.g., ACS 1-year report) were identical. Among the four models (BHBI, BZBI, BPLW and BBZ), estimates of BHBI and BZBI present both large variances and bias; Most counties have a positive estimated bias.</w:t>
      </w:r>
      <w:r w:rsidRPr="0090761D"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Cs/>
          <w:color w:val="000000"/>
          <w:kern w:val="24"/>
          <w:sz w:val="24"/>
          <w:szCs w:val="24"/>
        </w:rPr>
        <w:t xml:space="preserve">Estimates of BBZ tend to stay closer to the reference line with least bias and variance. These results are matched with those in 2019.   </w:t>
      </w:r>
    </w:p>
    <w:tbl>
      <w:tblPr>
        <w:tblStyle w:val="TableGrid"/>
        <w:tblpPr w:leftFromText="180" w:rightFromText="180" w:vertAnchor="text" w:horzAnchor="margin" w:tblpXSpec="center" w:tblpY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726"/>
        <w:gridCol w:w="3726"/>
      </w:tblGrid>
      <w:tr w:rsidR="0086108C" w14:paraId="7A27BA18" w14:textId="77777777" w:rsidTr="00957C95">
        <w:trPr>
          <w:cantSplit/>
          <w:trHeight w:val="1134"/>
        </w:trPr>
        <w:tc>
          <w:tcPr>
            <w:tcW w:w="540" w:type="dxa"/>
            <w:textDirection w:val="btLr"/>
          </w:tcPr>
          <w:p w14:paraId="0EDC02DD" w14:textId="77777777" w:rsidR="0086108C" w:rsidRPr="00BA4D68" w:rsidRDefault="0086108C" w:rsidP="00957C95">
            <w:pPr>
              <w:ind w:right="113"/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BRFSS Model-Based Estimates</w:t>
            </w:r>
          </w:p>
        </w:tc>
        <w:tc>
          <w:tcPr>
            <w:tcW w:w="3726" w:type="dxa"/>
          </w:tcPr>
          <w:p w14:paraId="29669EDF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2512F06" wp14:editId="7F85B857">
                  <wp:extent cx="2228850" cy="1671955"/>
                  <wp:effectExtent l="0" t="0" r="0" b="444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</w:tcPr>
          <w:p w14:paraId="60E98888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7FDE688" wp14:editId="7281C2CC">
                  <wp:extent cx="2228850" cy="1671955"/>
                  <wp:effectExtent l="0" t="0" r="0" b="444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08C" w14:paraId="10A5EFB8" w14:textId="77777777" w:rsidTr="00957C95">
        <w:trPr>
          <w:cantSplit/>
          <w:trHeight w:val="1134"/>
        </w:trPr>
        <w:tc>
          <w:tcPr>
            <w:tcW w:w="540" w:type="dxa"/>
            <w:textDirection w:val="btLr"/>
          </w:tcPr>
          <w:p w14:paraId="611B321D" w14:textId="77777777" w:rsidR="0086108C" w:rsidRPr="00BA4D68" w:rsidRDefault="0086108C" w:rsidP="00957C95">
            <w:pPr>
              <w:ind w:right="113"/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BRFSS Model-Based Estimates</w:t>
            </w:r>
          </w:p>
        </w:tc>
        <w:tc>
          <w:tcPr>
            <w:tcW w:w="3726" w:type="dxa"/>
          </w:tcPr>
          <w:p w14:paraId="6B5E6510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1B12AD" wp14:editId="64A87FBD">
                  <wp:extent cx="2228850" cy="1671955"/>
                  <wp:effectExtent l="0" t="0" r="0" b="444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</w:tcPr>
          <w:p w14:paraId="1F58118C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397078" wp14:editId="499C7A45">
                  <wp:extent cx="2228850" cy="1671955"/>
                  <wp:effectExtent l="0" t="0" r="0" b="444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08C" w14:paraId="23A0CE47" w14:textId="77777777" w:rsidTr="00957C95">
        <w:trPr>
          <w:trHeight w:val="315"/>
        </w:trPr>
        <w:tc>
          <w:tcPr>
            <w:tcW w:w="540" w:type="dxa"/>
          </w:tcPr>
          <w:p w14:paraId="48EA20BD" w14:textId="77777777" w:rsidR="0086108C" w:rsidRDefault="0086108C" w:rsidP="00957C95">
            <w:pPr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726" w:type="dxa"/>
          </w:tcPr>
          <w:p w14:paraId="58F6C3A8" w14:textId="77777777" w:rsidR="0086108C" w:rsidRPr="00BA4D68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ACS 1-year Estimates</w:t>
            </w:r>
          </w:p>
        </w:tc>
        <w:tc>
          <w:tcPr>
            <w:tcW w:w="3726" w:type="dxa"/>
          </w:tcPr>
          <w:p w14:paraId="0DBCEB70" w14:textId="77777777" w:rsidR="0086108C" w:rsidRPr="00BA4D68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ACS 1-year Estimates</w:t>
            </w:r>
          </w:p>
        </w:tc>
      </w:tr>
    </w:tbl>
    <w:p w14:paraId="6B16422C" w14:textId="77777777" w:rsidR="0086108C" w:rsidRDefault="0086108C" w:rsidP="0086108C">
      <w:pPr>
        <w:spacing w:before="120" w:after="120" w:line="24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24"/>
          <w:szCs w:val="24"/>
          <w:lang w:val="en"/>
        </w:rPr>
      </w:pPr>
    </w:p>
    <w:p w14:paraId="4FF57DA8" w14:textId="77777777" w:rsidR="0086108C" w:rsidRDefault="0086108C" w:rsidP="0086108C">
      <w:pPr>
        <w:ind w:firstLine="540"/>
        <w:rPr>
          <w:rFonts w:ascii="Times New Roman" w:eastAsiaTheme="minorEastAsia" w:hAnsi="Times New Roman" w:cs="Times New Roman"/>
          <w:iCs/>
          <w:color w:val="000000"/>
          <w:kern w:val="24"/>
          <w:sz w:val="20"/>
          <w:szCs w:val="20"/>
        </w:rPr>
      </w:pPr>
    </w:p>
    <w:p w14:paraId="17E2709F" w14:textId="77777777" w:rsidR="0086108C" w:rsidRDefault="0086108C" w:rsidP="0086108C">
      <w:pPr>
        <w:spacing w:after="0" w:line="480" w:lineRule="auto"/>
        <w:ind w:firstLine="547"/>
        <w:rPr>
          <w:rFonts w:ascii="Times New Roman" w:hAnsi="Times New Roman" w:cs="Times New Roman"/>
          <w:sz w:val="20"/>
          <w:szCs w:val="20"/>
        </w:rPr>
      </w:pPr>
      <w:r w:rsidRPr="00FB231F">
        <w:rPr>
          <w:rFonts w:ascii="Times New Roman" w:eastAsiaTheme="minorEastAsia" w:hAnsi="Times New Roman" w:cs="Times New Roman"/>
          <w:iCs/>
          <w:color w:val="000000"/>
          <w:kern w:val="24"/>
          <w:sz w:val="20"/>
          <w:szCs w:val="20"/>
        </w:rPr>
        <w:t>Figure</w:t>
      </w:r>
      <w:r>
        <w:rPr>
          <w:rFonts w:ascii="Times New Roman" w:eastAsiaTheme="minorEastAsia" w:hAnsi="Times New Roman" w:cs="Times New Roman"/>
          <w:iCs/>
          <w:color w:val="000000"/>
          <w:kern w:val="24"/>
          <w:sz w:val="20"/>
          <w:szCs w:val="20"/>
        </w:rPr>
        <w:t xml:space="preserve"> 1(suppl)</w:t>
      </w:r>
      <w:r w:rsidRPr="00FB231F">
        <w:rPr>
          <w:rFonts w:ascii="Times New Roman" w:eastAsiaTheme="minorEastAsia" w:hAnsi="Times New Roman" w:cs="Times New Roman"/>
          <w:iCs/>
          <w:color w:val="000000"/>
          <w:kern w:val="24"/>
          <w:sz w:val="20"/>
          <w:szCs w:val="20"/>
        </w:rPr>
        <w:t xml:space="preserve">. Scatter plots of agreements between model-based </w:t>
      </w:r>
      <w:r w:rsidRPr="00FB231F">
        <w:rPr>
          <w:rFonts w:ascii="Times New Roman" w:hAnsi="Times New Roman" w:cs="Times New Roman"/>
          <w:sz w:val="20"/>
          <w:szCs w:val="20"/>
        </w:rPr>
        <w:t xml:space="preserve">estimates with ACS 1-year reports of DDRS in </w:t>
      </w:r>
      <w:r>
        <w:rPr>
          <w:rFonts w:ascii="Times New Roman" w:hAnsi="Times New Roman" w:cs="Times New Roman"/>
          <w:sz w:val="20"/>
          <w:szCs w:val="20"/>
        </w:rPr>
        <w:t>2015</w:t>
      </w:r>
      <w:r w:rsidRPr="00FB231F">
        <w:rPr>
          <w:rFonts w:ascii="Times New Roman" w:hAnsi="Times New Roman" w:cs="Times New Roman"/>
          <w:sz w:val="20"/>
          <w:szCs w:val="20"/>
        </w:rPr>
        <w:t xml:space="preserve"> (BHBI: Bayesian hierarchical binomial regression; BZBI: Bayesian hierarchical zero-inflated binomial regression; BPLW: Bayesian hierarchical binomial regression with PLOW (Power prior sampling </w:t>
      </w:r>
      <w:proofErr w:type="spellStart"/>
      <w:r w:rsidRPr="00FB231F">
        <w:rPr>
          <w:rFonts w:ascii="Times New Roman" w:hAnsi="Times New Roman" w:cs="Times New Roman"/>
          <w:sz w:val="20"/>
          <w:szCs w:val="20"/>
        </w:rPr>
        <w:t>LOg</w:t>
      </w:r>
      <w:proofErr w:type="spellEnd"/>
      <w:r w:rsidRPr="00FB231F">
        <w:rPr>
          <w:rFonts w:ascii="Times New Roman" w:hAnsi="Times New Roman" w:cs="Times New Roman"/>
          <w:sz w:val="20"/>
          <w:szCs w:val="20"/>
        </w:rPr>
        <w:t>-Weight Adjustment); BBZ: Bayesian hierarchical weighted zero-inflated binomial regression)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726"/>
        <w:gridCol w:w="3726"/>
      </w:tblGrid>
      <w:tr w:rsidR="0086108C" w14:paraId="50DCC672" w14:textId="77777777" w:rsidTr="00957C95">
        <w:trPr>
          <w:cantSplit/>
          <w:trHeight w:val="1134"/>
          <w:jc w:val="center"/>
        </w:trPr>
        <w:tc>
          <w:tcPr>
            <w:tcW w:w="540" w:type="dxa"/>
            <w:textDirection w:val="btLr"/>
          </w:tcPr>
          <w:p w14:paraId="65074E63" w14:textId="77777777" w:rsidR="0086108C" w:rsidRPr="00BA4D68" w:rsidRDefault="0086108C" w:rsidP="00957C95">
            <w:pPr>
              <w:ind w:right="113"/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lastRenderedPageBreak/>
              <w:t>BRFSS Model-Based Estimates</w:t>
            </w:r>
          </w:p>
        </w:tc>
        <w:tc>
          <w:tcPr>
            <w:tcW w:w="3726" w:type="dxa"/>
          </w:tcPr>
          <w:p w14:paraId="645728DE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30B7845" wp14:editId="3A11A251">
                  <wp:extent cx="2228850" cy="1671955"/>
                  <wp:effectExtent l="0" t="0" r="0" b="444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</w:tcPr>
          <w:p w14:paraId="7EC7C4FB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8CE08E" wp14:editId="248F8D57">
                  <wp:extent cx="2228850" cy="1671955"/>
                  <wp:effectExtent l="0" t="0" r="0" b="444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08C" w14:paraId="5E4B91DA" w14:textId="77777777" w:rsidTr="00957C95">
        <w:trPr>
          <w:cantSplit/>
          <w:trHeight w:val="1134"/>
          <w:jc w:val="center"/>
        </w:trPr>
        <w:tc>
          <w:tcPr>
            <w:tcW w:w="540" w:type="dxa"/>
            <w:textDirection w:val="btLr"/>
          </w:tcPr>
          <w:p w14:paraId="40B5E798" w14:textId="77777777" w:rsidR="0086108C" w:rsidRPr="00BA4D68" w:rsidRDefault="0086108C" w:rsidP="00957C95">
            <w:pPr>
              <w:ind w:right="113"/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BRFSS Model-Based Estimates</w:t>
            </w:r>
          </w:p>
        </w:tc>
        <w:tc>
          <w:tcPr>
            <w:tcW w:w="3726" w:type="dxa"/>
          </w:tcPr>
          <w:p w14:paraId="1D828671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2E0FB5" wp14:editId="2C1D6913">
                  <wp:extent cx="2228850" cy="1671955"/>
                  <wp:effectExtent l="0" t="0" r="0" b="444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</w:tcPr>
          <w:p w14:paraId="336C56D2" w14:textId="77777777" w:rsidR="0086108C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54BAF7" wp14:editId="7095975B">
                  <wp:extent cx="2228850" cy="167195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08C" w14:paraId="48159A20" w14:textId="77777777" w:rsidTr="00957C95">
        <w:trPr>
          <w:trHeight w:val="315"/>
          <w:jc w:val="center"/>
        </w:trPr>
        <w:tc>
          <w:tcPr>
            <w:tcW w:w="540" w:type="dxa"/>
          </w:tcPr>
          <w:p w14:paraId="142730B0" w14:textId="77777777" w:rsidR="0086108C" w:rsidRDefault="0086108C" w:rsidP="00957C95">
            <w:pPr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726" w:type="dxa"/>
          </w:tcPr>
          <w:p w14:paraId="3E839745" w14:textId="77777777" w:rsidR="0086108C" w:rsidRPr="00BA4D68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ACS 1-year Estimates</w:t>
            </w:r>
          </w:p>
        </w:tc>
        <w:tc>
          <w:tcPr>
            <w:tcW w:w="3726" w:type="dxa"/>
          </w:tcPr>
          <w:p w14:paraId="594F08E8" w14:textId="77777777" w:rsidR="0086108C" w:rsidRPr="00BA4D68" w:rsidRDefault="0086108C" w:rsidP="00957C95">
            <w:pPr>
              <w:jc w:val="center"/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</w:pPr>
            <w:r w:rsidRPr="00BA4D68">
              <w:rPr>
                <w:rFonts w:ascii="Times New Roman" w:eastAsiaTheme="minorEastAsia" w:hAnsi="Times New Roman" w:cs="Times New Roman"/>
                <w:iCs/>
                <w:color w:val="000000"/>
                <w:kern w:val="24"/>
                <w:sz w:val="20"/>
                <w:szCs w:val="20"/>
              </w:rPr>
              <w:t>ACS 1-year Estimates</w:t>
            </w:r>
          </w:p>
        </w:tc>
      </w:tr>
    </w:tbl>
    <w:p w14:paraId="7FC6A266" w14:textId="77777777" w:rsidR="0086108C" w:rsidRPr="00373A98" w:rsidRDefault="0086108C" w:rsidP="0086108C">
      <w:pPr>
        <w:spacing w:after="0" w:line="480" w:lineRule="auto"/>
        <w:ind w:firstLine="547"/>
        <w:rPr>
          <w:rFonts w:ascii="Times New Roman" w:hAnsi="Times New Roman" w:cs="Times New Roman"/>
          <w:sz w:val="20"/>
          <w:szCs w:val="20"/>
        </w:rPr>
      </w:pPr>
      <w:r w:rsidRPr="00373A98">
        <w:rPr>
          <w:rFonts w:ascii="Times New Roman" w:eastAsiaTheme="minorEastAsia" w:hAnsi="Times New Roman" w:cs="Times New Roman"/>
          <w:iCs/>
          <w:color w:val="000000"/>
          <w:kern w:val="24"/>
          <w:sz w:val="20"/>
          <w:szCs w:val="20"/>
        </w:rPr>
        <w:t xml:space="preserve">Figure 2 (suppl). Scatter plots of agreements between model-based </w:t>
      </w:r>
      <w:r w:rsidRPr="00373A98">
        <w:rPr>
          <w:rFonts w:ascii="Times New Roman" w:hAnsi="Times New Roman" w:cs="Times New Roman"/>
          <w:sz w:val="20"/>
          <w:szCs w:val="20"/>
        </w:rPr>
        <w:t xml:space="preserve">estimates with ACS 1-year reports of DDRS in 2016 (BHBI: Bayesian hierarchical binomial regression; BZBI: Bayesian hierarchical zero-inflated binomial regression; BPLW: Bayesian hierarchical binomial regression with PLOW (Power prior sampling </w:t>
      </w:r>
      <w:proofErr w:type="spellStart"/>
      <w:r w:rsidRPr="00373A98">
        <w:rPr>
          <w:rFonts w:ascii="Times New Roman" w:hAnsi="Times New Roman" w:cs="Times New Roman"/>
          <w:sz w:val="20"/>
          <w:szCs w:val="20"/>
        </w:rPr>
        <w:t>LOg</w:t>
      </w:r>
      <w:proofErr w:type="spellEnd"/>
      <w:r w:rsidRPr="00373A98">
        <w:rPr>
          <w:rFonts w:ascii="Times New Roman" w:hAnsi="Times New Roman" w:cs="Times New Roman"/>
          <w:sz w:val="20"/>
          <w:szCs w:val="20"/>
        </w:rPr>
        <w:t>-Weight Adjustment); BBZ: Bayesian hierarchical weighted zero-inflated binomial regression)</w:t>
      </w:r>
    </w:p>
    <w:p w14:paraId="42ED4092" w14:textId="77777777" w:rsidR="00CF0F9D" w:rsidRDefault="00CF0F9D"/>
    <w:sectPr w:rsidR="00CF0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czsjQ1MbA0MLYwtTRU0lEKTi0uzszPAykwrAUAFODTjiwAAAA="/>
  </w:docVars>
  <w:rsids>
    <w:rsidRoot w:val="0086108C"/>
    <w:rsid w:val="0086108C"/>
    <w:rsid w:val="00C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FAAF63"/>
  <w15:chartTrackingRefBased/>
  <w15:docId w15:val="{CA214C7F-956A-4820-A991-74E05024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08C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08C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1432</Characters>
  <Application>Microsoft Office Word</Application>
  <DocSecurity>0</DocSecurity>
  <Lines>51</Lines>
  <Paragraphs>14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Hui (CDC/NCCDPHP/DDT)</dc:creator>
  <cp:keywords/>
  <dc:description/>
  <cp:lastModifiedBy>Xie, Hui (CDC/NCCDPHP/DDT)</cp:lastModifiedBy>
  <cp:revision>1</cp:revision>
  <dcterms:created xsi:type="dcterms:W3CDTF">2024-04-15T04:39:00Z</dcterms:created>
  <dcterms:modified xsi:type="dcterms:W3CDTF">2024-04-15T04:40:00Z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2f5d56ce-e807-4195-aa34-2df3f5448524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2024-04-15T04:40:02Z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237d15ad-b55b-42bd-9a67-85041ed91ad8</vt:lpwstr>
  </property>
  <property fmtid="{D5CDD505-2E9C-101B-9397-08002B2CF9AE}" pid="9" name="MSIP_Label_7b94a7b8-f06c-4dfe-bdcc-9b548fd58c31_ContentBits">
    <vt:lpwstr>0</vt:lpwstr>
  </property>
</Properties>
</file>