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27E" w14:textId="61BAA930" w:rsidR="00693E24" w:rsidRPr="00940CF9" w:rsidRDefault="00693E24" w:rsidP="00693E24">
      <w:pPr>
        <w:rPr>
          <w:b/>
          <w:bCs/>
        </w:rPr>
      </w:pPr>
      <w:r w:rsidRPr="00940CF9">
        <w:rPr>
          <w:b/>
          <w:bCs/>
        </w:rPr>
        <w:t>Supplement 2. Nonresponse bias analysis</w:t>
      </w:r>
      <w:r w:rsidRPr="00940CF9">
        <w:rPr>
          <w:b/>
          <w:bCs/>
        </w:rPr>
        <w:br/>
      </w:r>
    </w:p>
    <w:p w14:paraId="0B7C8C22" w14:textId="77777777" w:rsidR="00693E24" w:rsidRPr="00693E24" w:rsidRDefault="00693E24" w:rsidP="00693E24">
      <w:r w:rsidRPr="00693E24">
        <w:t>Overview</w:t>
      </w:r>
    </w:p>
    <w:p w14:paraId="44189E3D" w14:textId="77777777" w:rsidR="00693E24" w:rsidRPr="00693E24" w:rsidRDefault="00693E24" w:rsidP="00693E24">
      <w:r w:rsidRPr="00693E24">
        <w:t>In all survey-only based studies, final estimates are based solely on the survey’s respondents. Errors may arise in the estimates resulting from nonresponse if there are systematic differences between individuals who respond to a survey and those who do not. Nonresponse-adjusted weights attempt to account for these differences by identifying characteristics available for both respondents and nonrespondents that are associated both with the likelihood of responding and key outcomes. This is done by adjusting the weights of the respondents to compensate for the nonrespondents using these characteristics. In studies where these adjustments can successfully account for differences between nonrespondents and respondents, the survey estimates would have minimal potential for nonresponse bias.</w:t>
      </w:r>
    </w:p>
    <w:p w14:paraId="7F7B523D" w14:textId="77777777" w:rsidR="00693E24" w:rsidRPr="00693E24" w:rsidRDefault="00693E24" w:rsidP="00693E24">
      <w:r w:rsidRPr="00693E24">
        <w:t>The nonresponse adjustments applied to the sampling weights in the National Survey of Health in America, 2022 appear to have effectively accounted for differences between respondents and nonrespondents, thereby minimizing the potential for nonresponse bias. The study team cannot directly measure nonresponse bias without knowing how nonrespondents would have answered survey items; however, we can examine variables available for both respondents and nonrespondents that we believe are correlated with responses to survey items.</w:t>
      </w:r>
    </w:p>
    <w:p w14:paraId="390EE453" w14:textId="77777777" w:rsidR="00693E24" w:rsidRPr="00693E24" w:rsidRDefault="00693E24" w:rsidP="00693E24">
      <w:r w:rsidRPr="00693E24">
        <w:t>Our analysis indicates that the nonresponse adjustment alleviated differences observed between respondents and nonrespondents in the sample for the variables that we had at our disposal. The largest relative differences that did exist occurred with age by sex by race/ethnicity, education by race/ethnicity, income by race/ethnicity, Metropolitan Statistical Areas (MSA) by race/ethnicity, and race/ethnicity.</w:t>
      </w:r>
    </w:p>
    <w:p w14:paraId="0B5A08DD" w14:textId="77777777" w:rsidR="00693E24" w:rsidRPr="00693E24" w:rsidRDefault="00693E24" w:rsidP="00693E24">
      <w:r w:rsidRPr="00693E24">
        <w:t>Results</w:t>
      </w:r>
    </w:p>
    <w:p w14:paraId="1812CF6B" w14:textId="77777777" w:rsidR="00693E24" w:rsidRPr="00693E24" w:rsidRDefault="00693E24" w:rsidP="00693E24">
      <w:r w:rsidRPr="00693E24">
        <w:t xml:space="preserve">We used the initial weights to compare the distributions of the variables across the frame and the total sample. We also compared the distributions of variables between the respondents and nonrespondents, to establish how respondents and nonrespondents differed. We then compared estimates using respondents only (using nonresponse-adjusted weights) and the Current Population Survey (CPS) estimates in Table 1. We used SAS survey procedures </w:t>
      </w:r>
      <w:bookmarkStart w:id="0" w:name="_Hlk105746324"/>
      <w:r w:rsidRPr="00693E24">
        <w:t xml:space="preserve">to calculate standard errors to properly account for unequal weights. </w:t>
      </w:r>
      <w:bookmarkEnd w:id="0"/>
      <w:r w:rsidRPr="00693E24">
        <w:t xml:space="preserve">The sample statistics consist of proportions with an attribute (presented as percentages). The variables have trivial numbers of missing, and in each case, the proportions with each attribute that were used in the following analyses were calculated among cases without missing data.  The values are percentages for each level of the categorical variables, with the associated standard errors (se). </w:t>
      </w:r>
    </w:p>
    <w:p w14:paraId="24ABFA23" w14:textId="77777777" w:rsidR="00693E24" w:rsidRPr="00693E24" w:rsidRDefault="00693E24" w:rsidP="00693E24">
      <w:r w:rsidRPr="00693E24">
        <w:t>Comparison of entire sample with frame</w:t>
      </w:r>
    </w:p>
    <w:p w14:paraId="74A7E861" w14:textId="77777777" w:rsidR="00693E24" w:rsidRPr="00693E24" w:rsidRDefault="00693E24" w:rsidP="00693E24">
      <w:r w:rsidRPr="00693E24">
        <w:t xml:space="preserve">Before conducting a nonresponse analysis, the first step is to check whether the sample distribution adequately matches the frame distribution on important variables that may not have been controlled for in the sampling process. This is necessary to ascertain whether the estimates using the sampling weights produce estimates that are consistent with population values. Statistics estimated from the entire sample (using the initial sampling weight) among all adults are close to those computed with the full frame but are not exact. The sample somewhat underrepresents young, black men (18–29 Male Non-Hispanic Black) and overrepresents young, non-Hispanic women (18–29 Female Non-Hispanic White). The sample also somewhat overrepresents lower income whites (Under $24,999, Non-Hispanic White, $25,000–$49,999 Non-Hispanic White) and underrepresents high income adults regardless of race/ethnicity (income $150,000 and over) (not shown). </w:t>
      </w:r>
    </w:p>
    <w:p w14:paraId="688ABF02" w14:textId="77777777" w:rsidR="00693E24" w:rsidRPr="00693E24" w:rsidRDefault="00693E24" w:rsidP="00693E24">
      <w:r w:rsidRPr="00693E24">
        <w:lastRenderedPageBreak/>
        <w:t xml:space="preserve">Assessment of differences between respondents and nonrespondents before nonresponse adjustment </w:t>
      </w:r>
    </w:p>
    <w:p w14:paraId="2DCE8D9D" w14:textId="77777777" w:rsidR="00693E24" w:rsidRPr="00693E24" w:rsidRDefault="00693E24" w:rsidP="00693E24">
      <w:r w:rsidRPr="00693E24">
        <w:t>We then compared respondents and nonrespondents. We calculated the t-statistic by calculating the differences between the proportions within the levels of each demographic covariate and creating an estimate of the variance of the difference by combining the standard error estimates obtained from the SAS survey procedure. Respondents were very different from nonrespondents on every variable we looked at. The biggest drivers of nonresponse appear to be that (1) age is very highly correlated with response, with the highest response rate among adults over 60, and (2) response among blacks and Hispanics is low relative to all other groups. Respondents were also more likely to be higher educated (bachelor’s degree or higher) (not shown).</w:t>
      </w:r>
    </w:p>
    <w:p w14:paraId="681B8A5D" w14:textId="77777777" w:rsidR="00693E24" w:rsidRPr="00693E24" w:rsidRDefault="00693E24" w:rsidP="00693E24">
      <w:r w:rsidRPr="00693E24">
        <w:t>Nonresponse adjustment</w:t>
      </w:r>
    </w:p>
    <w:p w14:paraId="0397F2D2" w14:textId="77777777" w:rsidR="00693E24" w:rsidRPr="00693E24" w:rsidRDefault="00693E24" w:rsidP="00693E24">
      <w:r w:rsidRPr="00693E24">
        <w:t>Nonresponse adjustments made to initial weights seek to reduce the potential for bias that might result from differential nonresponse based on a set of variables. These variables (1) should be available for both respondents and nonrespondents, (2) be related to the likelihood of responding, and (3) be correlated to key survey outcomes. The sampling design weights for survey respondents—including all who answered the screener questions regardless of case or contact status—were adjusted to represent the 18 and over US population for the geodemographic variables and categories using an iterative proportional fitting (raking) procedure.  The needed benchmarks were obtained from the 2021 March Supplement of the CPS, except language proficiency, which is not available from CPS and was obtained from the 2019 American Community Survey.</w:t>
      </w:r>
    </w:p>
    <w:p w14:paraId="774B1E61" w14:textId="77777777" w:rsidR="00693E24" w:rsidRPr="00693E24" w:rsidRDefault="00693E24" w:rsidP="00693E24">
      <w:r w:rsidRPr="00693E24">
        <w:t>Age (18–29, 30–44, 45–59, 60+) by Gender (Male, Female) by Race-Ethnicity (Non-Hispanic White, Non-Hispanic Black, Non-Hispanic Other/2+ Races, Hispanic)</w:t>
      </w:r>
    </w:p>
    <w:p w14:paraId="17D96301" w14:textId="77777777" w:rsidR="00693E24" w:rsidRPr="00693E24" w:rsidRDefault="00693E24" w:rsidP="00693E24">
      <w:r w:rsidRPr="00693E24">
        <w:t>Education (Less than High School, High School, Some College, Bachelor or Higher) by Race-Ethnicity (Non-Hispanic White, Non-Hispanic Black, Non-Hispanic Other/2+ Races, Hispanic)</w:t>
      </w:r>
    </w:p>
    <w:p w14:paraId="09B7E945" w14:textId="77777777" w:rsidR="00693E24" w:rsidRPr="00693E24" w:rsidRDefault="00693E24" w:rsidP="00693E24">
      <w:r w:rsidRPr="00693E24">
        <w:t>Household Income (Under $24,999, $25,000–$49,999, $50,000–$74,999, $75,000–$99,999, $100,000–$149,999, $150,000 and over) by Race-Ethnicity (Non-Hispanic White, Non-Hispanic Black, Non-Hispanic Other/2+ Races, Hispanic)</w:t>
      </w:r>
    </w:p>
    <w:p w14:paraId="6F7CAF9D" w14:textId="77777777" w:rsidR="00693E24" w:rsidRPr="00693E24" w:rsidRDefault="00693E24" w:rsidP="00693E24">
      <w:r w:rsidRPr="00693E24">
        <w:t>Census Region (Northeast, Midwest, South, and West) by Race-Ethnicity (Non-Hispanic White, Non-Hispanic Black, Non-Hispanic Other/2+ Races, Hispanic)</w:t>
      </w:r>
    </w:p>
    <w:p w14:paraId="1D6A190B" w14:textId="77777777" w:rsidR="00693E24" w:rsidRPr="00693E24" w:rsidRDefault="00693E24" w:rsidP="00693E24">
      <w:r w:rsidRPr="00693E24">
        <w:t>Metropolitan Status (Metro, Non-Metro) by Race-Ethnicity (Non-Hispanic White, Non-Hispanic Black, Non-Hispanic Other/2+ Races, Hispanic)</w:t>
      </w:r>
    </w:p>
    <w:p w14:paraId="0A4F69FB" w14:textId="77777777" w:rsidR="00693E24" w:rsidRPr="00693E24" w:rsidRDefault="00693E24" w:rsidP="00693E24">
      <w:r w:rsidRPr="00693E24">
        <w:t>Race-Ethnicity (Non-Hispanic White, Non-Hispanic Black, Non-Hispanic American Indian or Alaska Native, Non-Hispanic Asian, Native Hawaiian, Pacific Islander, Non-Hispanic Other Race/2+ Races, Hispanic)</w:t>
      </w:r>
    </w:p>
    <w:p w14:paraId="23A17164" w14:textId="77777777" w:rsidR="00693E24" w:rsidRPr="00693E24" w:rsidRDefault="00693E24" w:rsidP="00693E24">
      <w:r w:rsidRPr="00693E24">
        <w:t>Hispanic Origin (Non-Hispanic, Mexican Hispanic, Puerto Rican Hispanic, Cuban Hispanic, Other Hispanic Origins)</w:t>
      </w:r>
    </w:p>
    <w:p w14:paraId="0387CD71" w14:textId="77777777" w:rsidR="00693E24" w:rsidRPr="00693E24" w:rsidRDefault="00693E24" w:rsidP="00693E24">
      <w:r w:rsidRPr="00693E24">
        <w:t>Language Proficiency within Hispanic (English Proficient Hispanic, Bilingual Hispanic, Spanish Proficient Hispanic, Non-Hispanic)</w:t>
      </w:r>
    </w:p>
    <w:p w14:paraId="0BE11FCD" w14:textId="77777777" w:rsidR="00693E24" w:rsidRPr="00693E24" w:rsidRDefault="00693E24" w:rsidP="00693E24">
      <w:r w:rsidRPr="00693E24">
        <w:t>In the final step, the resulting weights were trimmed as needed and scaled to sum to the 18 and over US population size.</w:t>
      </w:r>
    </w:p>
    <w:p w14:paraId="568DB458" w14:textId="77777777" w:rsidR="00693E24" w:rsidRPr="00693E24" w:rsidRDefault="00693E24" w:rsidP="00693E24">
      <w:r w:rsidRPr="00693E24">
        <w:t xml:space="preserve">Comparison of respondents and ineligibles to the sampling frame after nonresponse adjustment </w:t>
      </w:r>
    </w:p>
    <w:p w14:paraId="154C68A4" w14:textId="77777777" w:rsidR="00693E24" w:rsidRPr="00693E24" w:rsidRDefault="00693E24" w:rsidP="00693E24">
      <w:r w:rsidRPr="00693E24">
        <w:t xml:space="preserve">The purpose of nonresponse adjustments is to account for any differences between respondents and nonrespondents, to make respondents look like the original sample as much as possible. In this section, we evaluate how well the nonresponse adjustments accounted for those differences. </w:t>
      </w:r>
    </w:p>
    <w:p w14:paraId="2F5718CC" w14:textId="77777777" w:rsidR="00693E24" w:rsidRPr="00693E24" w:rsidRDefault="00693E24" w:rsidP="00693E24">
      <w:r w:rsidRPr="00693E24">
        <w:lastRenderedPageBreak/>
        <w:t>Below, we included percentages from the CPS, estimated percentages from the entire sample (using initial sampling weights), and nonresponse-adjusted weighted estimated percentages among respondents. We compare estimates using nonresponse-adjusted weights to the CPS because the survey panel distribution should match the CPS distributions. As Supplement 2 Table 1 indicates, the nonresponse adjustments to the sampling weights alleviated most of the differences observed between respondents and nonrespondents. When compared to CPS there are no differences. As described above, the weights are adjusted to CPS distributions and the final nonresponse adjustments result in no differences between the weighted estimates and CPS distributions.</w:t>
      </w:r>
    </w:p>
    <w:p w14:paraId="3B5F0CF2" w14:textId="77777777" w:rsidR="00693E24" w:rsidRPr="00693E24" w:rsidRDefault="00693E24" w:rsidP="00693E24">
      <w:r w:rsidRPr="00693E24">
        <w:t>Summary and implications for analyses</w:t>
      </w:r>
    </w:p>
    <w:p w14:paraId="48807AA7" w14:textId="77777777" w:rsidR="00693E24" w:rsidRPr="00693E24" w:rsidRDefault="00693E24" w:rsidP="00693E24">
      <w:r w:rsidRPr="00693E24">
        <w:t>Our analysis has shown that the selected sample for the National Survey of Health in America, 2022 was representative of the populations of interest among variables used for selection. Because we did not achieve an 80% response rate,</w:t>
      </w:r>
      <w:r w:rsidRPr="00693E24">
        <w:footnoteReference w:id="1"/>
      </w:r>
      <w:r w:rsidRPr="00693E24">
        <w:t xml:space="preserve"> the main purpose of this nonresponse bias analysis was to determine if systematic differences between respondents and nonrespondents were alleviated by nonresponse adjustments to the weights, or if the potential for nonresponse bias was still likely in the weighted estimates. </w:t>
      </w:r>
    </w:p>
    <w:p w14:paraId="03EE313D" w14:textId="77777777" w:rsidR="00693E24" w:rsidRPr="00693E24" w:rsidRDefault="00693E24" w:rsidP="00693E24">
      <w:r w:rsidRPr="00693E24">
        <w:t xml:space="preserve">We found that the nonresponse adjustments alleviated most of the differences observed between respondents and nonrespondents. In addition, it does not appear that the nonresponse adjustments created new biases. </w:t>
      </w:r>
    </w:p>
    <w:p w14:paraId="63E39918" w14:textId="77777777" w:rsidR="00693E24" w:rsidRPr="00693E24" w:rsidRDefault="00693E24" w:rsidP="00693E24">
      <w:r w:rsidRPr="00693E24">
        <w:br w:type="page"/>
      </w:r>
    </w:p>
    <w:p w14:paraId="2D7526CE" w14:textId="77777777" w:rsidR="00693E24" w:rsidRPr="00693E24" w:rsidRDefault="00693E24" w:rsidP="00693E24">
      <w:r w:rsidRPr="00693E24">
        <w:lastRenderedPageBreak/>
        <w:t>Percentages with various attributes (categorical variables measured in CPS), comparing CPS percent with final weighted estimate (using nonresponse-adjusted weights)</w:t>
      </w:r>
    </w:p>
    <w:tbl>
      <w:tblPr>
        <w:tblW w:w="9450" w:type="dxa"/>
        <w:tblLook w:val="04A0" w:firstRow="1" w:lastRow="0" w:firstColumn="1" w:lastColumn="0" w:noHBand="0" w:noVBand="1"/>
      </w:tblPr>
      <w:tblGrid>
        <w:gridCol w:w="3960"/>
        <w:gridCol w:w="923"/>
        <w:gridCol w:w="936"/>
        <w:gridCol w:w="720"/>
        <w:gridCol w:w="1443"/>
        <w:gridCol w:w="989"/>
        <w:gridCol w:w="810"/>
      </w:tblGrid>
      <w:tr w:rsidR="00693E24" w:rsidRPr="00693E24" w14:paraId="4EF0D1EC" w14:textId="77777777" w:rsidTr="00E41CE5">
        <w:trPr>
          <w:trHeight w:val="120"/>
          <w:tblHeader/>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E74B2" w14:textId="77777777" w:rsidR="00693E24" w:rsidRPr="00693E24" w:rsidRDefault="00693E24" w:rsidP="00693E24">
            <w:r w:rsidRPr="00693E24">
              <w:t>Variable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AF8B8E" w14:textId="77777777" w:rsidR="00693E24" w:rsidRPr="00693E24" w:rsidRDefault="00693E24" w:rsidP="00693E24">
            <w:r w:rsidRPr="00693E24">
              <w:t>CPS percent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89BDF2" w14:textId="77777777" w:rsidR="00693E24" w:rsidRPr="00693E24" w:rsidRDefault="00693E24" w:rsidP="00693E24">
            <w:r w:rsidRPr="00693E24">
              <w:t>Entire sample percent using initial weights</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48EB52" w14:textId="77777777" w:rsidR="00693E24" w:rsidRPr="00693E24" w:rsidRDefault="00693E24" w:rsidP="00693E24">
            <w:r w:rsidRPr="00693E24">
              <w:t>Respondents with attribute</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786CC0" w14:textId="77777777" w:rsidR="00693E24" w:rsidRPr="00693E24" w:rsidRDefault="00693E24" w:rsidP="00693E24">
            <w:r w:rsidRPr="00693E24">
              <w:t>Respondents weighted percent using adjusted weights</w:t>
            </w:r>
          </w:p>
        </w:tc>
      </w:tr>
      <w:tr w:rsidR="00693E24" w:rsidRPr="00693E24" w14:paraId="2D19DAB1" w14:textId="77777777" w:rsidTr="00E41CE5">
        <w:trPr>
          <w:trHeight w:val="120"/>
          <w:tblHeader/>
        </w:trPr>
        <w:tc>
          <w:tcPr>
            <w:tcW w:w="396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07B23237" w14:textId="77777777" w:rsidR="00693E24" w:rsidRPr="00693E24" w:rsidRDefault="00693E24" w:rsidP="00693E24"/>
        </w:tc>
        <w:tc>
          <w:tcPr>
            <w:tcW w:w="90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5A3D1589"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4701364" w14:textId="77777777" w:rsidR="00693E24" w:rsidRPr="00693E24" w:rsidRDefault="00693E24" w:rsidP="00693E24">
            <w:r w:rsidRPr="00693E24">
              <w:t>Percent</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AA4CF61" w14:textId="77777777" w:rsidR="00693E24" w:rsidRPr="00693E24" w:rsidRDefault="00693E24" w:rsidP="00693E24">
            <w:r w:rsidRPr="00693E24">
              <w:t>(se)</w:t>
            </w: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6FB46D04"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7C715CE" w14:textId="77777777" w:rsidR="00693E24" w:rsidRPr="00693E24" w:rsidRDefault="00693E24" w:rsidP="00693E24">
            <w:r w:rsidRPr="00693E24">
              <w:t>Percent</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B9C7AA5" w14:textId="77777777" w:rsidR="00693E24" w:rsidRPr="00693E24" w:rsidRDefault="00693E24" w:rsidP="00693E24">
            <w:r w:rsidRPr="00693E24">
              <w:t>(se)</w:t>
            </w:r>
          </w:p>
        </w:tc>
      </w:tr>
      <w:tr w:rsidR="00693E24" w:rsidRPr="00693E24" w14:paraId="2A082D2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3E78E78" w14:textId="77777777" w:rsidR="00693E24" w:rsidRPr="00693E24" w:rsidRDefault="00693E24" w:rsidP="00693E24">
            <w:r w:rsidRPr="00693E24">
              <w:t>Age (in years), Sex, Race/Ethnicity</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5516716"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EEC9A7F"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5EFDC5E"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DE5E102"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6F5E1EB"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1E8C632" w14:textId="77777777" w:rsidR="00693E24" w:rsidRPr="00693E24" w:rsidRDefault="00693E24" w:rsidP="00693E24"/>
        </w:tc>
      </w:tr>
      <w:tr w:rsidR="00693E24" w:rsidRPr="00693E24" w14:paraId="352E9E2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6B810F9" w14:textId="77777777" w:rsidR="00693E24" w:rsidRPr="00693E24" w:rsidRDefault="00693E24" w:rsidP="00693E24">
            <w:r w:rsidRPr="00693E24">
              <w:t>18–29 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E6FECF6" w14:textId="77777777" w:rsidR="00693E24" w:rsidRPr="00693E24" w:rsidRDefault="00693E24" w:rsidP="00693E24">
            <w:r w:rsidRPr="00693E24">
              <w:t>5.5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6E25E4E" w14:textId="77777777" w:rsidR="00693E24" w:rsidRPr="00693E24" w:rsidRDefault="00693E24" w:rsidP="00693E24">
            <w:r w:rsidRPr="00693E24">
              <w:t>5.4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5488E03" w14:textId="77777777" w:rsidR="00693E24" w:rsidRPr="00693E24" w:rsidRDefault="00693E24" w:rsidP="00693E24">
            <w:r w:rsidRPr="00693E24">
              <w:t>0.16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B7CBAFE" w14:textId="77777777" w:rsidR="00693E24" w:rsidRPr="00693E24" w:rsidRDefault="00693E24" w:rsidP="00693E24">
            <w:r w:rsidRPr="00693E24">
              <w:t>601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B1E7B11" w14:textId="77777777" w:rsidR="00693E24" w:rsidRPr="00693E24" w:rsidRDefault="00693E24" w:rsidP="00693E24">
            <w:r w:rsidRPr="00693E24">
              <w:t>5.5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B63F805" w14:textId="77777777" w:rsidR="00693E24" w:rsidRPr="00693E24" w:rsidRDefault="00693E24" w:rsidP="00693E24">
            <w:r w:rsidRPr="00693E24">
              <w:t>0.22</w:t>
            </w:r>
          </w:p>
        </w:tc>
      </w:tr>
      <w:tr w:rsidR="00693E24" w:rsidRPr="00693E24" w14:paraId="235CDBA6"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876ED54" w14:textId="77777777" w:rsidR="00693E24" w:rsidRPr="00693E24" w:rsidRDefault="00693E24" w:rsidP="00693E24">
            <w:r w:rsidRPr="00693E24">
              <w:t>18–29 Female,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57B8635" w14:textId="77777777" w:rsidR="00693E24" w:rsidRPr="00693E24" w:rsidRDefault="00693E24" w:rsidP="00693E24">
            <w:r w:rsidRPr="00693E24">
              <w:t>5.3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ED87F29" w14:textId="77777777" w:rsidR="00693E24" w:rsidRPr="00693E24" w:rsidRDefault="00693E24" w:rsidP="00693E24">
            <w:r w:rsidRPr="00693E24">
              <w:t>6.9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29334EA" w14:textId="77777777" w:rsidR="00693E24" w:rsidRPr="00693E24" w:rsidRDefault="00693E24" w:rsidP="00693E24">
            <w:r w:rsidRPr="00693E24">
              <w:t>0.18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461D9DD" w14:textId="77777777" w:rsidR="00693E24" w:rsidRPr="00693E24" w:rsidRDefault="00693E24" w:rsidP="00693E24">
            <w:r w:rsidRPr="00693E24">
              <w:t>734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8EFB97D" w14:textId="77777777" w:rsidR="00693E24" w:rsidRPr="00693E24" w:rsidRDefault="00693E24" w:rsidP="00693E24">
            <w:r w:rsidRPr="00693E24">
              <w:t>5.3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FABF82F" w14:textId="77777777" w:rsidR="00693E24" w:rsidRPr="00693E24" w:rsidRDefault="00693E24" w:rsidP="00693E24">
            <w:r w:rsidRPr="00693E24">
              <w:t>0.20</w:t>
            </w:r>
          </w:p>
        </w:tc>
      </w:tr>
      <w:tr w:rsidR="00693E24" w:rsidRPr="00693E24" w14:paraId="7FB3892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C63281A" w14:textId="77777777" w:rsidR="00693E24" w:rsidRPr="00693E24" w:rsidRDefault="00693E24" w:rsidP="00693E24">
            <w:r w:rsidRPr="00693E24">
              <w:t>30–44 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3063B25" w14:textId="77777777" w:rsidR="00693E24" w:rsidRPr="00693E24" w:rsidRDefault="00693E24" w:rsidP="00693E24">
            <w:r w:rsidRPr="00693E24">
              <w:t>7.2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117E224" w14:textId="77777777" w:rsidR="00693E24" w:rsidRPr="00693E24" w:rsidRDefault="00693E24" w:rsidP="00693E24">
            <w:r w:rsidRPr="00693E24">
              <w:t>7.4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C4B67E7" w14:textId="77777777" w:rsidR="00693E24" w:rsidRPr="00693E24" w:rsidRDefault="00693E24" w:rsidP="00693E24">
            <w:r w:rsidRPr="00693E24">
              <w:t>0.18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3DDE72E" w14:textId="77777777" w:rsidR="00693E24" w:rsidRPr="00693E24" w:rsidRDefault="00693E24" w:rsidP="00693E24">
            <w:r w:rsidRPr="00693E24">
              <w:t>1139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2FA96AC" w14:textId="77777777" w:rsidR="00693E24" w:rsidRPr="00693E24" w:rsidRDefault="00693E24" w:rsidP="00693E24">
            <w:r w:rsidRPr="00693E24">
              <w:t>7.3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272F87C" w14:textId="77777777" w:rsidR="00693E24" w:rsidRPr="00693E24" w:rsidRDefault="00693E24" w:rsidP="00693E24">
            <w:r w:rsidRPr="00693E24">
              <w:t>0.21</w:t>
            </w:r>
          </w:p>
        </w:tc>
      </w:tr>
      <w:tr w:rsidR="00693E24" w:rsidRPr="00693E24" w14:paraId="74900F1E"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5A0C042" w14:textId="77777777" w:rsidR="00693E24" w:rsidRPr="00693E24" w:rsidRDefault="00693E24" w:rsidP="00693E24">
            <w:r w:rsidRPr="00693E24">
              <w:t>30–44 Female,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2FC74D4" w14:textId="77777777" w:rsidR="00693E24" w:rsidRPr="00693E24" w:rsidRDefault="00693E24" w:rsidP="00693E24">
            <w:r w:rsidRPr="00693E24">
              <w:t>7.2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A1A9C1E" w14:textId="77777777" w:rsidR="00693E24" w:rsidRPr="00693E24" w:rsidRDefault="00693E24" w:rsidP="00693E24">
            <w:r w:rsidRPr="00693E24">
              <w:t>6.7</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9E40017" w14:textId="77777777" w:rsidR="00693E24" w:rsidRPr="00693E24" w:rsidRDefault="00693E24" w:rsidP="00693E24">
            <w:r w:rsidRPr="00693E24">
              <w:t>0.18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AE4605A" w14:textId="77777777" w:rsidR="00693E24" w:rsidRPr="00693E24" w:rsidRDefault="00693E24" w:rsidP="00693E24">
            <w:r w:rsidRPr="00693E24">
              <w:t>977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651290C" w14:textId="77777777" w:rsidR="00693E24" w:rsidRPr="00693E24" w:rsidRDefault="00693E24" w:rsidP="00693E24">
            <w:r w:rsidRPr="00693E24">
              <w:t>7.2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2A08EB8" w14:textId="77777777" w:rsidR="00693E24" w:rsidRPr="00693E24" w:rsidRDefault="00693E24" w:rsidP="00693E24">
            <w:r w:rsidRPr="00693E24">
              <w:t>0.23</w:t>
            </w:r>
          </w:p>
        </w:tc>
      </w:tr>
      <w:tr w:rsidR="00693E24" w:rsidRPr="00693E24" w14:paraId="2AF41EE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5A0EFC7" w14:textId="77777777" w:rsidR="00693E24" w:rsidRPr="00693E24" w:rsidRDefault="00693E24" w:rsidP="00693E24">
            <w:r w:rsidRPr="00693E24">
              <w:t>45–59 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A1B8521" w14:textId="77777777" w:rsidR="00693E24" w:rsidRPr="00693E24" w:rsidRDefault="00693E24" w:rsidP="00693E24">
            <w:r w:rsidRPr="00693E24">
              <w:t>7.3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CCF02AE" w14:textId="77777777" w:rsidR="00693E24" w:rsidRPr="00693E24" w:rsidRDefault="00693E24" w:rsidP="00693E24">
            <w:r w:rsidRPr="00693E24">
              <w:t>7.4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CA68FD3" w14:textId="77777777" w:rsidR="00693E24" w:rsidRPr="00693E24" w:rsidRDefault="00693E24" w:rsidP="00693E24">
            <w:r w:rsidRPr="00693E24">
              <w:t>0.18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CE8577C" w14:textId="77777777" w:rsidR="00693E24" w:rsidRPr="00693E24" w:rsidRDefault="00693E24" w:rsidP="00693E24">
            <w:r w:rsidRPr="00693E24">
              <w:t>1358</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87114FA" w14:textId="77777777" w:rsidR="00693E24" w:rsidRPr="00693E24" w:rsidRDefault="00693E24" w:rsidP="00693E24">
            <w:r w:rsidRPr="00693E24">
              <w:t>7.3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53E87FF" w14:textId="77777777" w:rsidR="00693E24" w:rsidRPr="00693E24" w:rsidRDefault="00693E24" w:rsidP="00693E24">
            <w:r w:rsidRPr="00693E24">
              <w:t>0.20</w:t>
            </w:r>
          </w:p>
        </w:tc>
      </w:tr>
      <w:tr w:rsidR="00693E24" w:rsidRPr="00693E24" w14:paraId="6BE440FF"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253230A" w14:textId="77777777" w:rsidR="00693E24" w:rsidRPr="00693E24" w:rsidRDefault="00693E24" w:rsidP="00693E24">
            <w:r w:rsidRPr="00693E24">
              <w:t>45–59 Female,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A7438A1" w14:textId="77777777" w:rsidR="00693E24" w:rsidRPr="00693E24" w:rsidRDefault="00693E24" w:rsidP="00693E24">
            <w:r w:rsidRPr="00693E24">
              <w:t>7.6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7AD7E62" w14:textId="77777777" w:rsidR="00693E24" w:rsidRPr="00693E24" w:rsidRDefault="00693E24" w:rsidP="00693E24">
            <w:r w:rsidRPr="00693E24">
              <w:t>6.8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5D66638" w14:textId="77777777" w:rsidR="00693E24" w:rsidRPr="00693E24" w:rsidRDefault="00693E24" w:rsidP="00693E24">
            <w:r w:rsidRPr="00693E24">
              <w:t>0.17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D1C4C67" w14:textId="77777777" w:rsidR="00693E24" w:rsidRPr="00693E24" w:rsidRDefault="00693E24" w:rsidP="00693E24">
            <w:r w:rsidRPr="00693E24">
              <w:t>1200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1AC185C" w14:textId="77777777" w:rsidR="00693E24" w:rsidRPr="00693E24" w:rsidRDefault="00693E24" w:rsidP="00693E24">
            <w:r w:rsidRPr="00693E24">
              <w:t>7.6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22F4E87" w14:textId="77777777" w:rsidR="00693E24" w:rsidRPr="00693E24" w:rsidRDefault="00693E24" w:rsidP="00693E24">
            <w:r w:rsidRPr="00693E24">
              <w:t>0.22</w:t>
            </w:r>
          </w:p>
        </w:tc>
      </w:tr>
      <w:tr w:rsidR="00693E24" w:rsidRPr="00693E24" w14:paraId="707B52F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E9E5A12" w14:textId="77777777" w:rsidR="00693E24" w:rsidRPr="00693E24" w:rsidRDefault="00693E24" w:rsidP="00693E24">
            <w:r w:rsidRPr="00693E24">
              <w:t>60+ 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BF23072" w14:textId="77777777" w:rsidR="00693E24" w:rsidRPr="00693E24" w:rsidRDefault="00693E24" w:rsidP="00693E24">
            <w:r w:rsidRPr="00693E24">
              <w:t>10.5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53938F6" w14:textId="77777777" w:rsidR="00693E24" w:rsidRPr="00693E24" w:rsidRDefault="00693E24" w:rsidP="00693E24">
            <w:r w:rsidRPr="00693E24">
              <w:t>11.0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F4B345E" w14:textId="77777777" w:rsidR="00693E24" w:rsidRPr="00693E24" w:rsidRDefault="00693E24" w:rsidP="00693E24">
            <w:r w:rsidRPr="00693E24">
              <w:t>0.21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324F5C7" w14:textId="77777777" w:rsidR="00693E24" w:rsidRPr="00693E24" w:rsidRDefault="00693E24" w:rsidP="00693E24">
            <w:r w:rsidRPr="00693E24">
              <w:t>2346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BF5C842" w14:textId="77777777" w:rsidR="00693E24" w:rsidRPr="00693E24" w:rsidRDefault="00693E24" w:rsidP="00693E24">
            <w:r w:rsidRPr="00693E24">
              <w:t>10.5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F105435" w14:textId="77777777" w:rsidR="00693E24" w:rsidRPr="00693E24" w:rsidRDefault="00693E24" w:rsidP="00693E24">
            <w:r w:rsidRPr="00693E24">
              <w:t>0.22</w:t>
            </w:r>
          </w:p>
        </w:tc>
      </w:tr>
      <w:tr w:rsidR="00693E24" w:rsidRPr="00693E24" w14:paraId="06B3F05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62B96AA" w14:textId="77777777" w:rsidR="00693E24" w:rsidRPr="00693E24" w:rsidRDefault="00693E24" w:rsidP="00693E24">
            <w:r w:rsidRPr="00693E24">
              <w:t>60+ Female,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13FE12F" w14:textId="77777777" w:rsidR="00693E24" w:rsidRPr="00693E24" w:rsidRDefault="00693E24" w:rsidP="00693E24">
            <w:r w:rsidRPr="00693E24">
              <w:t>11.9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AAE915A" w14:textId="77777777" w:rsidR="00693E24" w:rsidRPr="00693E24" w:rsidRDefault="00693E24" w:rsidP="00693E24">
            <w:r w:rsidRPr="00693E24">
              <w:t>11.0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60B1C42" w14:textId="77777777" w:rsidR="00693E24" w:rsidRPr="00693E24" w:rsidRDefault="00693E24" w:rsidP="00693E24">
            <w:r w:rsidRPr="00693E24">
              <w:t>0.21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34805C4" w14:textId="77777777" w:rsidR="00693E24" w:rsidRPr="00693E24" w:rsidRDefault="00693E24" w:rsidP="00693E24">
            <w:r w:rsidRPr="00693E24">
              <w:t>2210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D11F85D" w14:textId="77777777" w:rsidR="00693E24" w:rsidRPr="00693E24" w:rsidRDefault="00693E24" w:rsidP="00693E24">
            <w:r w:rsidRPr="00693E24">
              <w:t>12.0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571B830" w14:textId="77777777" w:rsidR="00693E24" w:rsidRPr="00693E24" w:rsidRDefault="00693E24" w:rsidP="00693E24">
            <w:r w:rsidRPr="00693E24">
              <w:t>0.25</w:t>
            </w:r>
          </w:p>
        </w:tc>
      </w:tr>
      <w:tr w:rsidR="00693E24" w:rsidRPr="00693E24" w14:paraId="18C3CCE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01715F6" w14:textId="77777777" w:rsidR="00693E24" w:rsidRPr="00693E24" w:rsidRDefault="00693E24" w:rsidP="00693E24">
            <w:r w:rsidRPr="00693E24">
              <w:t>18–29 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0B26398" w14:textId="77777777" w:rsidR="00693E24" w:rsidRPr="00693E24" w:rsidRDefault="00693E24" w:rsidP="00693E24">
            <w:r w:rsidRPr="00693E24">
              <w:t>1.4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6A3A744" w14:textId="77777777" w:rsidR="00693E24" w:rsidRPr="00693E24" w:rsidRDefault="00693E24" w:rsidP="00693E24">
            <w:r w:rsidRPr="00693E24">
              <w:t>0.8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F54CEDF" w14:textId="77777777" w:rsidR="00693E24" w:rsidRPr="00693E24" w:rsidRDefault="00693E24" w:rsidP="00693E24">
            <w:r w:rsidRPr="00693E24">
              <w:t>0.06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390FB74" w14:textId="77777777" w:rsidR="00693E24" w:rsidRPr="00693E24" w:rsidRDefault="00693E24" w:rsidP="00693E24">
            <w:r w:rsidRPr="00693E24">
              <w:t>80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C0B850E" w14:textId="77777777" w:rsidR="00693E24" w:rsidRPr="00693E24" w:rsidRDefault="00693E24" w:rsidP="00693E24">
            <w:r w:rsidRPr="00693E24">
              <w:t>1.3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0FC43D9" w14:textId="77777777" w:rsidR="00693E24" w:rsidRPr="00693E24" w:rsidRDefault="00693E24" w:rsidP="00693E24">
            <w:r w:rsidRPr="00693E24">
              <w:t>0.16</w:t>
            </w:r>
          </w:p>
        </w:tc>
      </w:tr>
      <w:tr w:rsidR="00693E24" w:rsidRPr="00693E24" w14:paraId="715BB84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A987124" w14:textId="77777777" w:rsidR="00693E24" w:rsidRPr="00693E24" w:rsidRDefault="00693E24" w:rsidP="00693E24">
            <w:r w:rsidRPr="00693E24">
              <w:t>18–29 Female,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53946E6" w14:textId="77777777" w:rsidR="00693E24" w:rsidRPr="00693E24" w:rsidRDefault="00693E24" w:rsidP="00693E24">
            <w:r w:rsidRPr="00693E24">
              <w:t>1.4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161B0B4" w14:textId="77777777" w:rsidR="00693E24" w:rsidRPr="00693E24" w:rsidRDefault="00693E24" w:rsidP="00693E24">
            <w:r w:rsidRPr="00693E24">
              <w:t>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BC4F0B6"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D5351C1" w14:textId="77777777" w:rsidR="00693E24" w:rsidRPr="00693E24" w:rsidRDefault="00693E24" w:rsidP="00693E24">
            <w:r w:rsidRPr="00693E24">
              <w:t>112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0743892" w14:textId="77777777" w:rsidR="00693E24" w:rsidRPr="00693E24" w:rsidRDefault="00693E24" w:rsidP="00693E24">
            <w:r w:rsidRPr="00693E24">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5AB229C" w14:textId="77777777" w:rsidR="00693E24" w:rsidRPr="00693E24" w:rsidRDefault="00693E24" w:rsidP="00693E24">
            <w:r w:rsidRPr="00693E24">
              <w:t>0.15</w:t>
            </w:r>
          </w:p>
        </w:tc>
      </w:tr>
      <w:tr w:rsidR="00693E24" w:rsidRPr="00693E24" w14:paraId="5CA9A08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6B85992" w14:textId="77777777" w:rsidR="00693E24" w:rsidRPr="00693E24" w:rsidRDefault="00693E24" w:rsidP="00693E24">
            <w:r w:rsidRPr="00693E24">
              <w:t>30–44 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9512CA6" w14:textId="77777777" w:rsidR="00693E24" w:rsidRPr="00693E24" w:rsidRDefault="00693E24" w:rsidP="00693E24">
            <w:r w:rsidRPr="00693E24">
              <w:t>1.5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A2ACAC0" w14:textId="77777777" w:rsidR="00693E24" w:rsidRPr="00693E24" w:rsidRDefault="00693E24" w:rsidP="00693E24">
            <w:r w:rsidRPr="00693E24">
              <w:t>1.3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6B0F78C"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E15A0DC" w14:textId="77777777" w:rsidR="00693E24" w:rsidRPr="00693E24" w:rsidRDefault="00693E24" w:rsidP="00693E24">
            <w:r w:rsidRPr="00693E24">
              <w:t>197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EC8DA16" w14:textId="77777777" w:rsidR="00693E24" w:rsidRPr="00693E24" w:rsidRDefault="00693E24" w:rsidP="00693E24">
            <w:r w:rsidRPr="00693E24">
              <w:t>1.6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A634061" w14:textId="77777777" w:rsidR="00693E24" w:rsidRPr="00693E24" w:rsidRDefault="00693E24" w:rsidP="00693E24">
            <w:r w:rsidRPr="00693E24">
              <w:t>0.12</w:t>
            </w:r>
          </w:p>
        </w:tc>
      </w:tr>
      <w:tr w:rsidR="00693E24" w:rsidRPr="00693E24" w14:paraId="6EA03B8B"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2804C55" w14:textId="77777777" w:rsidR="00693E24" w:rsidRPr="00693E24" w:rsidRDefault="00693E24" w:rsidP="00693E24">
            <w:r w:rsidRPr="00693E24">
              <w:t>30–44 Female,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EFD4B4B" w14:textId="77777777" w:rsidR="00693E24" w:rsidRPr="00693E24" w:rsidRDefault="00693E24" w:rsidP="00693E24">
            <w:r w:rsidRPr="00693E24">
              <w:t>1.7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63E642D" w14:textId="77777777" w:rsidR="00693E24" w:rsidRPr="00693E24" w:rsidRDefault="00693E24" w:rsidP="00693E24">
            <w:r w:rsidRPr="00693E24">
              <w:t>2.0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295C359"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6742597" w14:textId="77777777" w:rsidR="00693E24" w:rsidRPr="00693E24" w:rsidRDefault="00693E24" w:rsidP="00693E24">
            <w:r w:rsidRPr="00693E24">
              <w:t>260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0D30039" w14:textId="77777777" w:rsidR="00693E24" w:rsidRPr="00693E24" w:rsidRDefault="00693E24" w:rsidP="00693E24">
            <w:r w:rsidRPr="00693E24">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9BC79FA" w14:textId="77777777" w:rsidR="00693E24" w:rsidRPr="00693E24" w:rsidRDefault="00693E24" w:rsidP="00693E24">
            <w:r w:rsidRPr="00693E24">
              <w:t>0.11</w:t>
            </w:r>
          </w:p>
        </w:tc>
      </w:tr>
      <w:tr w:rsidR="00693E24" w:rsidRPr="00693E24" w14:paraId="0C75BD2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4192787" w14:textId="77777777" w:rsidR="00693E24" w:rsidRPr="00693E24" w:rsidRDefault="00693E24" w:rsidP="00693E24">
            <w:r w:rsidRPr="00693E24">
              <w:t>45–59 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40E2C67" w14:textId="77777777" w:rsidR="00693E24" w:rsidRPr="00693E24" w:rsidRDefault="00693E24" w:rsidP="00693E24">
            <w:r w:rsidRPr="00693E24">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ECA3466" w14:textId="77777777" w:rsidR="00693E24" w:rsidRPr="00693E24" w:rsidRDefault="00693E24" w:rsidP="00693E24">
            <w:r w:rsidRPr="00693E24">
              <w:t>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E4903BF"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221964C" w14:textId="77777777" w:rsidR="00693E24" w:rsidRPr="00693E24" w:rsidRDefault="00693E24" w:rsidP="00693E24">
            <w:r w:rsidRPr="00693E24">
              <w:t>249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D8FA845" w14:textId="77777777" w:rsidR="00693E24" w:rsidRPr="00693E24" w:rsidRDefault="00693E24" w:rsidP="00693E24">
            <w:r w:rsidRPr="00693E24">
              <w:t>1.3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B371D8E" w14:textId="77777777" w:rsidR="00693E24" w:rsidRPr="00693E24" w:rsidRDefault="00693E24" w:rsidP="00693E24">
            <w:r w:rsidRPr="00693E24">
              <w:t>0.09</w:t>
            </w:r>
          </w:p>
        </w:tc>
      </w:tr>
      <w:tr w:rsidR="00693E24" w:rsidRPr="00693E24" w14:paraId="1B24D8B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BE68904" w14:textId="77777777" w:rsidR="00693E24" w:rsidRPr="00693E24" w:rsidRDefault="00693E24" w:rsidP="00693E24">
            <w:r w:rsidRPr="00693E24">
              <w:t>45–59 Female,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6231DFD" w14:textId="77777777" w:rsidR="00693E24" w:rsidRPr="00693E24" w:rsidRDefault="00693E24" w:rsidP="00693E24">
            <w:r w:rsidRPr="00693E24">
              <w:t>1.6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C427450" w14:textId="77777777" w:rsidR="00693E24" w:rsidRPr="00693E24" w:rsidRDefault="00693E24" w:rsidP="00693E24">
            <w:r w:rsidRPr="00693E24">
              <w:t>1.7</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C74EF36"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D09D5C5" w14:textId="77777777" w:rsidR="00693E24" w:rsidRPr="00693E24" w:rsidRDefault="00693E24" w:rsidP="00693E24">
            <w:r w:rsidRPr="00693E24">
              <w:t>306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D5A904D" w14:textId="77777777" w:rsidR="00693E24" w:rsidRPr="00693E24" w:rsidRDefault="00693E24" w:rsidP="00693E24">
            <w:r w:rsidRPr="00693E24">
              <w:t>1.6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65EBA7B" w14:textId="77777777" w:rsidR="00693E24" w:rsidRPr="00693E24" w:rsidRDefault="00693E24" w:rsidP="00693E24">
            <w:r w:rsidRPr="00693E24">
              <w:t>0.10</w:t>
            </w:r>
          </w:p>
        </w:tc>
      </w:tr>
      <w:tr w:rsidR="00693E24" w:rsidRPr="00693E24" w14:paraId="4ADFFA75"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F9B1B74" w14:textId="77777777" w:rsidR="00693E24" w:rsidRPr="00693E24" w:rsidRDefault="00693E24" w:rsidP="00693E24">
            <w:r w:rsidRPr="00693E24">
              <w:t>60+ 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C7920B6" w14:textId="77777777" w:rsidR="00693E24" w:rsidRPr="00693E24" w:rsidRDefault="00693E24" w:rsidP="00693E24">
            <w:r w:rsidRPr="00693E24">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DE8AB6D" w14:textId="77777777" w:rsidR="00693E24" w:rsidRPr="00693E24" w:rsidRDefault="00693E24" w:rsidP="00693E24">
            <w:r w:rsidRPr="00693E24">
              <w:t>1.5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2054F1D"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0B8CF32" w14:textId="77777777" w:rsidR="00693E24" w:rsidRPr="00693E24" w:rsidRDefault="00693E24" w:rsidP="00693E24">
            <w:r w:rsidRPr="00693E24">
              <w:t>314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CF18BD5" w14:textId="77777777" w:rsidR="00693E24" w:rsidRPr="00693E24" w:rsidRDefault="00693E24" w:rsidP="00693E24">
            <w:r w:rsidRPr="00693E24">
              <w:t>1.3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98E159D" w14:textId="77777777" w:rsidR="00693E24" w:rsidRPr="00693E24" w:rsidRDefault="00693E24" w:rsidP="00693E24">
            <w:r w:rsidRPr="00693E24">
              <w:t>0.08</w:t>
            </w:r>
          </w:p>
        </w:tc>
      </w:tr>
      <w:tr w:rsidR="00693E24" w:rsidRPr="00693E24" w14:paraId="4FBA7E3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D982CDA" w14:textId="77777777" w:rsidR="00693E24" w:rsidRPr="00693E24" w:rsidRDefault="00693E24" w:rsidP="00693E24">
            <w:r w:rsidRPr="00693E24">
              <w:t>60+ Female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1FD7293" w14:textId="77777777" w:rsidR="00693E24" w:rsidRPr="00693E24" w:rsidRDefault="00693E24" w:rsidP="00693E24">
            <w:r w:rsidRPr="00693E24">
              <w:t>1.8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32140E8" w14:textId="77777777" w:rsidR="00693E24" w:rsidRPr="00693E24" w:rsidRDefault="00693E24" w:rsidP="00693E24">
            <w:r w:rsidRPr="00693E24">
              <w:t>1.9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DC3AD0A"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6D251A4" w14:textId="77777777" w:rsidR="00693E24" w:rsidRPr="00693E24" w:rsidRDefault="00693E24" w:rsidP="00693E24">
            <w:r w:rsidRPr="00693E24">
              <w:t>401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D92E7E7" w14:textId="77777777" w:rsidR="00693E24" w:rsidRPr="00693E24" w:rsidRDefault="00693E24" w:rsidP="00693E24">
            <w:r w:rsidRPr="00693E24">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7D77543" w14:textId="77777777" w:rsidR="00693E24" w:rsidRPr="00693E24" w:rsidRDefault="00693E24" w:rsidP="00693E24">
            <w:r w:rsidRPr="00693E24">
              <w:t>0.10</w:t>
            </w:r>
          </w:p>
        </w:tc>
      </w:tr>
      <w:tr w:rsidR="00693E24" w:rsidRPr="00693E24" w14:paraId="5FD7E6B3"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0887C30" w14:textId="77777777" w:rsidR="00693E24" w:rsidRPr="00693E24" w:rsidRDefault="00693E24" w:rsidP="00693E24">
            <w:r w:rsidRPr="00693E24">
              <w:t>18–29 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F111B79" w14:textId="77777777" w:rsidR="00693E24" w:rsidRPr="00693E24" w:rsidRDefault="00693E24" w:rsidP="00693E24">
            <w:r w:rsidRPr="00693E24">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E57C939" w14:textId="77777777" w:rsidR="00693E24" w:rsidRPr="00693E24" w:rsidRDefault="00693E24" w:rsidP="00693E24">
            <w:r w:rsidRPr="00693E24">
              <w:t>0.8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8CF687F"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7E8B357" w14:textId="77777777" w:rsidR="00693E24" w:rsidRPr="00693E24" w:rsidRDefault="00693E24" w:rsidP="00693E24">
            <w:r w:rsidRPr="00693E24">
              <w:t>76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534FD54" w14:textId="77777777" w:rsidR="00693E24" w:rsidRPr="00693E24" w:rsidRDefault="00693E24" w:rsidP="00693E24">
            <w:r w:rsidRPr="00693E24">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CE74892" w14:textId="77777777" w:rsidR="00693E24" w:rsidRPr="00693E24" w:rsidRDefault="00693E24" w:rsidP="00693E24">
            <w:r w:rsidRPr="00693E24">
              <w:t>0.13</w:t>
            </w:r>
          </w:p>
        </w:tc>
      </w:tr>
      <w:tr w:rsidR="00693E24" w:rsidRPr="00693E24" w14:paraId="443F7D82"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8BA3CD0" w14:textId="77777777" w:rsidR="00693E24" w:rsidRPr="00693E24" w:rsidRDefault="00693E24" w:rsidP="00693E24">
            <w:r w:rsidRPr="00693E24">
              <w:t>18–29 Female,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BBBE4F6" w14:textId="77777777" w:rsidR="00693E24" w:rsidRPr="00693E24" w:rsidRDefault="00693E24" w:rsidP="00693E24">
            <w:r w:rsidRPr="00693E24">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24B6C57" w14:textId="77777777" w:rsidR="00693E24" w:rsidRPr="00693E24" w:rsidRDefault="00693E24" w:rsidP="00693E24">
            <w:r w:rsidRPr="00693E24">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287F735"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5238F88" w14:textId="77777777" w:rsidR="00693E24" w:rsidRPr="00693E24" w:rsidRDefault="00693E24" w:rsidP="00693E24">
            <w:r w:rsidRPr="00693E24">
              <w:t>82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046482C" w14:textId="77777777" w:rsidR="00693E24" w:rsidRPr="00693E24" w:rsidRDefault="00693E24" w:rsidP="00693E24">
            <w:r w:rsidRPr="00693E24">
              <w:t>0.9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34B8BD0" w14:textId="77777777" w:rsidR="00693E24" w:rsidRPr="00693E24" w:rsidRDefault="00693E24" w:rsidP="00693E24">
            <w:r w:rsidRPr="00693E24">
              <w:t>0.13</w:t>
            </w:r>
          </w:p>
        </w:tc>
      </w:tr>
      <w:tr w:rsidR="00693E24" w:rsidRPr="00693E24" w14:paraId="0DAD2F96"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2BEC0FD" w14:textId="77777777" w:rsidR="00693E24" w:rsidRPr="00693E24" w:rsidRDefault="00693E24" w:rsidP="00693E24">
            <w:r w:rsidRPr="00693E24">
              <w:t>30-44 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AFE7ECD" w14:textId="77777777" w:rsidR="00693E24" w:rsidRPr="00693E24" w:rsidRDefault="00693E24" w:rsidP="00693E24">
            <w:r w:rsidRPr="00693E24">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05376F6" w14:textId="77777777" w:rsidR="00693E24" w:rsidRPr="00693E24" w:rsidRDefault="00693E24" w:rsidP="00693E24">
            <w:r w:rsidRPr="00693E24">
              <w:t>1.3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D0771D6"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1A720F8" w14:textId="77777777" w:rsidR="00693E24" w:rsidRPr="00693E24" w:rsidRDefault="00693E24" w:rsidP="00693E24">
            <w:r w:rsidRPr="00693E24">
              <w:t>192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3A8983F" w14:textId="77777777" w:rsidR="00693E24" w:rsidRPr="00693E24" w:rsidRDefault="00693E24" w:rsidP="00693E24">
            <w:r w:rsidRPr="00693E24">
              <w:t>1.2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5E56DAC" w14:textId="77777777" w:rsidR="00693E24" w:rsidRPr="00693E24" w:rsidRDefault="00693E24" w:rsidP="00693E24">
            <w:r w:rsidRPr="00693E24">
              <w:t>0.11</w:t>
            </w:r>
          </w:p>
        </w:tc>
      </w:tr>
      <w:tr w:rsidR="00693E24" w:rsidRPr="00693E24" w14:paraId="4C083EE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80747A3" w14:textId="77777777" w:rsidR="00693E24" w:rsidRPr="00693E24" w:rsidRDefault="00693E24" w:rsidP="00693E24">
            <w:r w:rsidRPr="00693E24">
              <w:t>30–44 Female,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A541041" w14:textId="77777777" w:rsidR="00693E24" w:rsidRPr="00693E24" w:rsidRDefault="00693E24" w:rsidP="00693E24">
            <w:r w:rsidRPr="00693E24">
              <w:t>1.4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60077DC" w14:textId="77777777" w:rsidR="00693E24" w:rsidRPr="00693E24" w:rsidRDefault="00693E24" w:rsidP="00693E24">
            <w:r w:rsidRPr="00693E24">
              <w:t>1.5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B03227E"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24F0103" w14:textId="77777777" w:rsidR="00693E24" w:rsidRPr="00693E24" w:rsidRDefault="00693E24" w:rsidP="00693E24">
            <w:r w:rsidRPr="00693E24">
              <w:t>205</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BE67D46" w14:textId="77777777" w:rsidR="00693E24" w:rsidRPr="00693E24" w:rsidRDefault="00693E24" w:rsidP="00693E24">
            <w:r w:rsidRPr="00693E24">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460AE37" w14:textId="77777777" w:rsidR="00693E24" w:rsidRPr="00693E24" w:rsidRDefault="00693E24" w:rsidP="00693E24">
            <w:r w:rsidRPr="00693E24">
              <w:t>0.13</w:t>
            </w:r>
          </w:p>
        </w:tc>
      </w:tr>
      <w:tr w:rsidR="00693E24" w:rsidRPr="00693E24" w14:paraId="5D84C99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3623CB2" w14:textId="77777777" w:rsidR="00693E24" w:rsidRPr="00693E24" w:rsidRDefault="00693E24" w:rsidP="00693E24">
            <w:r w:rsidRPr="00693E24">
              <w:t>45–59 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ABF6084" w14:textId="77777777" w:rsidR="00693E24" w:rsidRPr="00693E24" w:rsidRDefault="00693E24" w:rsidP="00693E24">
            <w:r w:rsidRPr="00693E24">
              <w:t>0.9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AE67880" w14:textId="77777777" w:rsidR="00693E24" w:rsidRPr="00693E24" w:rsidRDefault="00693E24" w:rsidP="00693E24">
            <w:r w:rsidRPr="00693E24">
              <w:t>1.2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6A9AA75"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5FD09D2" w14:textId="77777777" w:rsidR="00693E24" w:rsidRPr="00693E24" w:rsidRDefault="00693E24" w:rsidP="00693E24">
            <w:r w:rsidRPr="00693E24">
              <w:t>189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76E836B" w14:textId="77777777" w:rsidR="00693E24" w:rsidRPr="00693E24" w:rsidRDefault="00693E24" w:rsidP="00693E24">
            <w:r w:rsidRPr="00693E24">
              <w:t>0.9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5B4A0AC" w14:textId="77777777" w:rsidR="00693E24" w:rsidRPr="00693E24" w:rsidRDefault="00693E24" w:rsidP="00693E24">
            <w:r w:rsidRPr="00693E24">
              <w:t>0.09</w:t>
            </w:r>
          </w:p>
        </w:tc>
      </w:tr>
      <w:tr w:rsidR="00693E24" w:rsidRPr="00693E24" w14:paraId="77A80F8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A3771CA" w14:textId="77777777" w:rsidR="00693E24" w:rsidRPr="00693E24" w:rsidRDefault="00693E24" w:rsidP="00693E24">
            <w:r w:rsidRPr="00693E24">
              <w:t>45–59 Female,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C151F7C" w14:textId="77777777" w:rsidR="00693E24" w:rsidRPr="00693E24" w:rsidRDefault="00693E24" w:rsidP="00693E24">
            <w:r w:rsidRPr="00693E24">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165AE5D" w14:textId="77777777" w:rsidR="00693E24" w:rsidRPr="00693E24" w:rsidRDefault="00693E24" w:rsidP="00693E24">
            <w:r w:rsidRPr="00693E24">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4DF0938"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B715E3E" w14:textId="77777777" w:rsidR="00693E24" w:rsidRPr="00693E24" w:rsidRDefault="00693E24" w:rsidP="00693E24">
            <w:r w:rsidRPr="00693E24">
              <w:t>173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7395381" w14:textId="77777777" w:rsidR="00693E24" w:rsidRPr="00693E24" w:rsidRDefault="00693E24" w:rsidP="00693E24">
            <w:r w:rsidRPr="00693E24">
              <w:t>1.1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D4553AE" w14:textId="77777777" w:rsidR="00693E24" w:rsidRPr="00693E24" w:rsidRDefault="00693E24" w:rsidP="00693E24">
            <w:r w:rsidRPr="00693E24">
              <w:t>0.11</w:t>
            </w:r>
          </w:p>
        </w:tc>
      </w:tr>
      <w:tr w:rsidR="00693E24" w:rsidRPr="00693E24" w14:paraId="4B92FD0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5699028" w14:textId="77777777" w:rsidR="00693E24" w:rsidRPr="00693E24" w:rsidRDefault="00693E24" w:rsidP="00693E24">
            <w:r w:rsidRPr="00693E24">
              <w:t>60+ 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DCC12CB" w14:textId="77777777" w:rsidR="00693E24" w:rsidRPr="00693E24" w:rsidRDefault="00693E24" w:rsidP="00693E24">
            <w:r w:rsidRPr="00693E24">
              <w:t>0.8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8F9BB6E" w14:textId="77777777" w:rsidR="00693E24" w:rsidRPr="00693E24" w:rsidRDefault="00693E24" w:rsidP="00693E24">
            <w:r w:rsidRPr="00693E24">
              <w:t>0.9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F9841F3" w14:textId="77777777" w:rsidR="00693E24" w:rsidRPr="00693E24" w:rsidRDefault="00693E24" w:rsidP="00693E24">
            <w:r w:rsidRPr="00693E24">
              <w:t>0.06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F270310" w14:textId="77777777" w:rsidR="00693E24" w:rsidRPr="00693E24" w:rsidRDefault="00693E24" w:rsidP="00693E24">
            <w:r w:rsidRPr="00693E24">
              <w:t>177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6AD32FC" w14:textId="77777777" w:rsidR="00693E24" w:rsidRPr="00693E24" w:rsidRDefault="00693E24" w:rsidP="00693E24">
            <w:r w:rsidRPr="00693E24">
              <w:t>0.8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D89D3E7" w14:textId="77777777" w:rsidR="00693E24" w:rsidRPr="00693E24" w:rsidRDefault="00693E24" w:rsidP="00693E24">
            <w:r w:rsidRPr="00693E24">
              <w:t>0.09</w:t>
            </w:r>
          </w:p>
        </w:tc>
      </w:tr>
      <w:tr w:rsidR="00693E24" w:rsidRPr="00693E24" w14:paraId="73AADB6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1024458" w14:textId="77777777" w:rsidR="00693E24" w:rsidRPr="00693E24" w:rsidRDefault="00693E24" w:rsidP="00693E24">
            <w:r w:rsidRPr="00693E24">
              <w:t>60+ Female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F04CA66" w14:textId="77777777" w:rsidR="00693E24" w:rsidRPr="00693E24" w:rsidRDefault="00693E24" w:rsidP="00693E24">
            <w:r w:rsidRPr="00693E24">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5D56A24" w14:textId="77777777" w:rsidR="00693E24" w:rsidRPr="00693E24" w:rsidRDefault="00693E24" w:rsidP="00693E24">
            <w:r w:rsidRPr="00693E24">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755E508"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5404AB5" w14:textId="77777777" w:rsidR="00693E24" w:rsidRPr="00693E24" w:rsidRDefault="00693E24" w:rsidP="00693E24">
            <w:r w:rsidRPr="00693E24">
              <w:t>186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E7EE3AF" w14:textId="77777777" w:rsidR="00693E24" w:rsidRPr="00693E24" w:rsidRDefault="00693E24" w:rsidP="00693E24">
            <w:r w:rsidRPr="00693E24">
              <w:t>1.1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4F199EC" w14:textId="77777777" w:rsidR="00693E24" w:rsidRPr="00693E24" w:rsidRDefault="00693E24" w:rsidP="00693E24">
            <w:r w:rsidRPr="00693E24">
              <w:t>0.12</w:t>
            </w:r>
          </w:p>
        </w:tc>
      </w:tr>
      <w:tr w:rsidR="00693E24" w:rsidRPr="00693E24" w14:paraId="09D74AB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CB01B8A" w14:textId="77777777" w:rsidR="00693E24" w:rsidRPr="00693E24" w:rsidRDefault="00693E24" w:rsidP="00693E24">
            <w:r w:rsidRPr="00693E24">
              <w:t>18–29 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B1D7998" w14:textId="77777777" w:rsidR="00693E24" w:rsidRPr="00693E24" w:rsidRDefault="00693E24" w:rsidP="00693E24">
            <w:r w:rsidRPr="00693E24">
              <w:t>2.4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4CE6476" w14:textId="77777777" w:rsidR="00693E24" w:rsidRPr="00693E24" w:rsidRDefault="00693E24" w:rsidP="00693E24">
            <w:r w:rsidRPr="00693E24">
              <w:t>1.8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CF0A4BB"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6EC9E08" w14:textId="77777777" w:rsidR="00693E24" w:rsidRPr="00693E24" w:rsidRDefault="00693E24" w:rsidP="00693E24">
            <w:r w:rsidRPr="00693E24">
              <w:t>162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E777BBD" w14:textId="77777777" w:rsidR="00693E24" w:rsidRPr="00693E24" w:rsidRDefault="00693E24" w:rsidP="00693E24">
            <w:r w:rsidRPr="00693E24">
              <w:t>2.3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8D2CB8A" w14:textId="77777777" w:rsidR="00693E24" w:rsidRPr="00693E24" w:rsidRDefault="00693E24" w:rsidP="00693E24">
            <w:r w:rsidRPr="00693E24">
              <w:t>0.21</w:t>
            </w:r>
          </w:p>
        </w:tc>
      </w:tr>
      <w:tr w:rsidR="00693E24" w:rsidRPr="00693E24" w14:paraId="580660E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35A49AA" w14:textId="77777777" w:rsidR="00693E24" w:rsidRPr="00693E24" w:rsidRDefault="00693E24" w:rsidP="00693E24">
            <w:r w:rsidRPr="00693E24">
              <w:t>18–29 Female,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9C8C9E9" w14:textId="77777777" w:rsidR="00693E24" w:rsidRPr="00693E24" w:rsidRDefault="00693E24" w:rsidP="00693E24">
            <w:r w:rsidRPr="00693E24">
              <w:t>2.3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6F6D09B" w14:textId="77777777" w:rsidR="00693E24" w:rsidRPr="00693E24" w:rsidRDefault="00693E24" w:rsidP="00693E24">
            <w:r w:rsidRPr="00693E24">
              <w:t>2.3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5AD7F6F" w14:textId="77777777" w:rsidR="00693E24" w:rsidRPr="00693E24" w:rsidRDefault="00693E24" w:rsidP="00693E24">
            <w:r w:rsidRPr="00693E24">
              <w:t>0.10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BFE96D9" w14:textId="77777777" w:rsidR="00693E24" w:rsidRPr="00693E24" w:rsidRDefault="00693E24" w:rsidP="00693E24">
            <w:r w:rsidRPr="00693E24">
              <w:t>232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0EDCE48" w14:textId="77777777" w:rsidR="00693E24" w:rsidRPr="00693E24" w:rsidRDefault="00693E24" w:rsidP="00693E24">
            <w:r w:rsidRPr="00693E24">
              <w:t>2.3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E0F9CFD" w14:textId="77777777" w:rsidR="00693E24" w:rsidRPr="00693E24" w:rsidRDefault="00693E24" w:rsidP="00693E24">
            <w:r w:rsidRPr="00693E24">
              <w:t>0.16</w:t>
            </w:r>
          </w:p>
        </w:tc>
      </w:tr>
      <w:tr w:rsidR="00693E24" w:rsidRPr="00693E24" w14:paraId="7A475033"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7C0C408" w14:textId="77777777" w:rsidR="00693E24" w:rsidRPr="00693E24" w:rsidRDefault="00693E24" w:rsidP="00693E24">
            <w:r w:rsidRPr="00693E24">
              <w:t>30–44 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92D2447" w14:textId="77777777" w:rsidR="00693E24" w:rsidRPr="00693E24" w:rsidRDefault="00693E24" w:rsidP="00693E24">
            <w:r w:rsidRPr="00693E24">
              <w:t>2.7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3D56234" w14:textId="77777777" w:rsidR="00693E24" w:rsidRPr="00693E24" w:rsidRDefault="00693E24" w:rsidP="00693E24">
            <w:r w:rsidRPr="00693E24">
              <w:t>2.6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C253763" w14:textId="77777777" w:rsidR="00693E24" w:rsidRPr="00693E24" w:rsidRDefault="00693E24" w:rsidP="00693E24">
            <w:r w:rsidRPr="00693E24">
              <w:t>0.11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ACAAA47" w14:textId="77777777" w:rsidR="00693E24" w:rsidRPr="00693E24" w:rsidRDefault="00693E24" w:rsidP="00693E24">
            <w:r w:rsidRPr="00693E24">
              <w:t>363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BF35369" w14:textId="77777777" w:rsidR="00693E24" w:rsidRPr="00693E24" w:rsidRDefault="00693E24" w:rsidP="00693E24">
            <w:r w:rsidRPr="00693E24">
              <w:t>2.7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0D3D962" w14:textId="77777777" w:rsidR="00693E24" w:rsidRPr="00693E24" w:rsidRDefault="00693E24" w:rsidP="00693E24">
            <w:r w:rsidRPr="00693E24">
              <w:t>0.16</w:t>
            </w:r>
          </w:p>
        </w:tc>
      </w:tr>
      <w:tr w:rsidR="00693E24" w:rsidRPr="00693E24" w14:paraId="7BF2F3E6"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CDCBF4C" w14:textId="77777777" w:rsidR="00693E24" w:rsidRPr="00693E24" w:rsidRDefault="00693E24" w:rsidP="00693E24">
            <w:r w:rsidRPr="00693E24">
              <w:t>30–44 Female,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BA3895E" w14:textId="77777777" w:rsidR="00693E24" w:rsidRPr="00693E24" w:rsidRDefault="00693E24" w:rsidP="00693E24">
            <w:r w:rsidRPr="00693E24">
              <w:t>2.6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BD9D548" w14:textId="77777777" w:rsidR="00693E24" w:rsidRPr="00693E24" w:rsidRDefault="00693E24" w:rsidP="00693E24">
            <w:r w:rsidRPr="00693E24">
              <w:t>2.8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ED807D7" w14:textId="77777777" w:rsidR="00693E24" w:rsidRPr="00693E24" w:rsidRDefault="00693E24" w:rsidP="00693E24">
            <w:r w:rsidRPr="00693E24">
              <w:t>0.11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0B1B765" w14:textId="77777777" w:rsidR="00693E24" w:rsidRPr="00693E24" w:rsidRDefault="00693E24" w:rsidP="00693E24">
            <w:r w:rsidRPr="00693E24">
              <w:t>332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CD573EF" w14:textId="77777777" w:rsidR="00693E24" w:rsidRPr="00693E24" w:rsidRDefault="00693E24" w:rsidP="00693E24">
            <w:r w:rsidRPr="00693E24">
              <w:t>2.6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3CD744A" w14:textId="77777777" w:rsidR="00693E24" w:rsidRPr="00693E24" w:rsidRDefault="00693E24" w:rsidP="00693E24">
            <w:r w:rsidRPr="00693E24">
              <w:t>0.16</w:t>
            </w:r>
          </w:p>
        </w:tc>
      </w:tr>
      <w:tr w:rsidR="00693E24" w:rsidRPr="00693E24" w14:paraId="67C6B952"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283C786" w14:textId="77777777" w:rsidR="00693E24" w:rsidRPr="00693E24" w:rsidRDefault="00693E24" w:rsidP="00693E24">
            <w:r w:rsidRPr="00693E24">
              <w:lastRenderedPageBreak/>
              <w:t>45–59 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48A3B05" w14:textId="77777777" w:rsidR="00693E24" w:rsidRPr="00693E24" w:rsidRDefault="00693E24" w:rsidP="00693E24">
            <w:r w:rsidRPr="00693E24">
              <w:t>2.0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606F267" w14:textId="77777777" w:rsidR="00693E24" w:rsidRPr="00693E24" w:rsidRDefault="00693E24" w:rsidP="00693E24">
            <w:r w:rsidRPr="00693E24">
              <w:t>2.2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38E2D1E" w14:textId="77777777" w:rsidR="00693E24" w:rsidRPr="00693E24" w:rsidRDefault="00693E24" w:rsidP="00693E24">
            <w:r w:rsidRPr="00693E24">
              <w:t>0.10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0658741" w14:textId="77777777" w:rsidR="00693E24" w:rsidRPr="00693E24" w:rsidRDefault="00693E24" w:rsidP="00693E24">
            <w:r w:rsidRPr="00693E24">
              <w:t>371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2029AA8" w14:textId="77777777" w:rsidR="00693E24" w:rsidRPr="00693E24" w:rsidRDefault="00693E24" w:rsidP="00693E24">
            <w:r w:rsidRPr="00693E24">
              <w:t>2.0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8F41B44" w14:textId="77777777" w:rsidR="00693E24" w:rsidRPr="00693E24" w:rsidRDefault="00693E24" w:rsidP="00693E24">
            <w:r w:rsidRPr="00693E24">
              <w:t>0.12</w:t>
            </w:r>
          </w:p>
        </w:tc>
      </w:tr>
      <w:tr w:rsidR="00693E24" w:rsidRPr="00693E24" w14:paraId="147DDEB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DC072C7" w14:textId="77777777" w:rsidR="00693E24" w:rsidRPr="00693E24" w:rsidRDefault="00693E24" w:rsidP="00693E24">
            <w:r w:rsidRPr="00693E24">
              <w:t>45–59 Female,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B001D06" w14:textId="77777777" w:rsidR="00693E24" w:rsidRPr="00693E24" w:rsidRDefault="00693E24" w:rsidP="00693E24">
            <w:r w:rsidRPr="00693E24">
              <w:t>2.0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E665C1F" w14:textId="77777777" w:rsidR="00693E24" w:rsidRPr="00693E24" w:rsidRDefault="00693E24" w:rsidP="00693E24">
            <w:r w:rsidRPr="00693E24">
              <w:t>2.2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7E915A9" w14:textId="77777777" w:rsidR="00693E24" w:rsidRPr="00693E24" w:rsidRDefault="00693E24" w:rsidP="00693E24">
            <w:r w:rsidRPr="00693E24">
              <w:t>0.10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3F0CCBD" w14:textId="77777777" w:rsidR="00693E24" w:rsidRPr="00693E24" w:rsidRDefault="00693E24" w:rsidP="00693E24">
            <w:r w:rsidRPr="00693E24">
              <w:t>360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7EB280E" w14:textId="77777777" w:rsidR="00693E24" w:rsidRPr="00693E24" w:rsidRDefault="00693E24" w:rsidP="00693E24">
            <w:r w:rsidRPr="00693E24">
              <w:t>2.0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36C802C" w14:textId="77777777" w:rsidR="00693E24" w:rsidRPr="00693E24" w:rsidRDefault="00693E24" w:rsidP="00693E24">
            <w:r w:rsidRPr="00693E24">
              <w:t>0.12</w:t>
            </w:r>
          </w:p>
        </w:tc>
      </w:tr>
      <w:tr w:rsidR="00693E24" w:rsidRPr="00693E24" w14:paraId="701BFBA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BD5FE4E" w14:textId="77777777" w:rsidR="00693E24" w:rsidRPr="00693E24" w:rsidRDefault="00693E24" w:rsidP="00693E24">
            <w:r w:rsidRPr="00693E24">
              <w:t>60+ 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B89B86D" w14:textId="77777777" w:rsidR="00693E24" w:rsidRPr="00693E24" w:rsidRDefault="00693E24" w:rsidP="00693E24">
            <w:r w:rsidRPr="00693E24">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D74E905" w14:textId="77777777" w:rsidR="00693E24" w:rsidRPr="00693E24" w:rsidRDefault="00693E24" w:rsidP="00693E24">
            <w:r w:rsidRPr="00693E24">
              <w:t>1.6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91C19DD"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6192434" w14:textId="77777777" w:rsidR="00693E24" w:rsidRPr="00693E24" w:rsidRDefault="00693E24" w:rsidP="00693E24">
            <w:r w:rsidRPr="00693E24">
              <w:t>327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D8EAE77" w14:textId="77777777" w:rsidR="00693E24" w:rsidRPr="00693E24" w:rsidRDefault="00693E24" w:rsidP="00693E24">
            <w:r w:rsidRPr="00693E24">
              <w:t>1.3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5C7E152" w14:textId="77777777" w:rsidR="00693E24" w:rsidRPr="00693E24" w:rsidRDefault="00693E24" w:rsidP="00693E24">
            <w:r w:rsidRPr="00693E24">
              <w:t>0.08</w:t>
            </w:r>
          </w:p>
        </w:tc>
      </w:tr>
      <w:tr w:rsidR="00693E24" w:rsidRPr="00693E24" w14:paraId="2A8EF1C2"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C930378" w14:textId="77777777" w:rsidR="00693E24" w:rsidRPr="00693E24" w:rsidRDefault="00693E24" w:rsidP="00693E24">
            <w:r w:rsidRPr="00693E24">
              <w:t>60+ Female,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EF91AE4" w14:textId="77777777" w:rsidR="00693E24" w:rsidRPr="00693E24" w:rsidRDefault="00693E24" w:rsidP="00693E24">
            <w:r w:rsidRPr="00693E24">
              <w:t>1.6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5895FE4" w14:textId="77777777" w:rsidR="00693E24" w:rsidRPr="00693E24" w:rsidRDefault="00693E24" w:rsidP="00693E24">
            <w:r w:rsidRPr="00693E24">
              <w:t>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230771C"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8563960" w14:textId="77777777" w:rsidR="00693E24" w:rsidRPr="00693E24" w:rsidRDefault="00693E24" w:rsidP="00693E24">
            <w:r w:rsidRPr="00693E24">
              <w:t>256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EE3E74C" w14:textId="77777777" w:rsidR="00693E24" w:rsidRPr="00693E24" w:rsidRDefault="00693E24" w:rsidP="00693E24">
            <w:r w:rsidRPr="00693E24">
              <w:t>1.6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82D3D20" w14:textId="77777777" w:rsidR="00693E24" w:rsidRPr="00693E24" w:rsidRDefault="00693E24" w:rsidP="00693E24">
            <w:r w:rsidRPr="00693E24">
              <w:t>0.11</w:t>
            </w:r>
          </w:p>
        </w:tc>
      </w:tr>
      <w:tr w:rsidR="00693E24" w:rsidRPr="00693E24" w14:paraId="39F9A76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8DD5FFD" w14:textId="77777777" w:rsidR="00693E24" w:rsidRPr="00693E24" w:rsidRDefault="00693E24" w:rsidP="00693E24">
            <w:r w:rsidRPr="00693E24">
              <w:t>Education, Race/Ethnicity</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FB855CF"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DC0CB6E"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848FDB9"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33A75FA"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4CCD481"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1014D27" w14:textId="77777777" w:rsidR="00693E24" w:rsidRPr="00693E24" w:rsidRDefault="00693E24" w:rsidP="00693E24"/>
        </w:tc>
      </w:tr>
      <w:tr w:rsidR="00693E24" w:rsidRPr="00693E24" w14:paraId="2FEC3A9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998439B" w14:textId="77777777" w:rsidR="00693E24" w:rsidRPr="00693E24" w:rsidRDefault="00693E24" w:rsidP="00693E24">
            <w:r w:rsidRPr="00693E24">
              <w:t>Less than High School,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16670B2" w14:textId="77777777" w:rsidR="00693E24" w:rsidRPr="00693E24" w:rsidRDefault="00693E24" w:rsidP="00693E24">
            <w:r w:rsidRPr="00693E24">
              <w:t>3.6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1FE18E7" w14:textId="77777777" w:rsidR="00693E24" w:rsidRPr="00693E24" w:rsidRDefault="00693E24" w:rsidP="00693E24">
            <w:r w:rsidRPr="00693E24">
              <w:t>4.3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C0E579F" w14:textId="77777777" w:rsidR="00693E24" w:rsidRPr="00693E24" w:rsidRDefault="00693E24" w:rsidP="00693E24">
            <w:r w:rsidRPr="00693E24">
              <w:t>0.16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D44326D" w14:textId="77777777" w:rsidR="00693E24" w:rsidRPr="00693E24" w:rsidRDefault="00693E24" w:rsidP="00693E24">
            <w:r w:rsidRPr="00693E24">
              <w:t>469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C4F33E7" w14:textId="77777777" w:rsidR="00693E24" w:rsidRPr="00693E24" w:rsidRDefault="00693E24" w:rsidP="00693E24">
            <w:r w:rsidRPr="00693E24">
              <w:t>3.6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586D027" w14:textId="77777777" w:rsidR="00693E24" w:rsidRPr="00693E24" w:rsidRDefault="00693E24" w:rsidP="00693E24">
            <w:r w:rsidRPr="00693E24">
              <w:t>0.17</w:t>
            </w:r>
          </w:p>
        </w:tc>
      </w:tr>
      <w:tr w:rsidR="00693E24" w:rsidRPr="00693E24" w14:paraId="2E1719B3"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4908534" w14:textId="77777777" w:rsidR="00693E24" w:rsidRPr="00693E24" w:rsidRDefault="00693E24" w:rsidP="00693E24">
            <w:r w:rsidRPr="00693E24">
              <w:t>High School,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752E746" w14:textId="77777777" w:rsidR="00693E24" w:rsidRPr="00693E24" w:rsidRDefault="00693E24" w:rsidP="00693E24">
            <w:r w:rsidRPr="00693E24">
              <w:t>16.9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27F1192" w14:textId="77777777" w:rsidR="00693E24" w:rsidRPr="00693E24" w:rsidRDefault="00693E24" w:rsidP="00693E24">
            <w:r w:rsidRPr="00693E24">
              <w:t>17.7</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FD1B6CD" w14:textId="77777777" w:rsidR="00693E24" w:rsidRPr="00693E24" w:rsidRDefault="00693E24" w:rsidP="00693E24">
            <w:r w:rsidRPr="00693E24">
              <w:t>0.28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B5EA91F" w14:textId="77777777" w:rsidR="00693E24" w:rsidRPr="00693E24" w:rsidRDefault="00693E24" w:rsidP="00693E24">
            <w:r w:rsidRPr="00693E24">
              <w:t>2434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98ACB27" w14:textId="77777777" w:rsidR="00693E24" w:rsidRPr="00693E24" w:rsidRDefault="00693E24" w:rsidP="00693E24">
            <w:r w:rsidRPr="00693E24">
              <w:t>17.0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CA0562E" w14:textId="77777777" w:rsidR="00693E24" w:rsidRPr="00693E24" w:rsidRDefault="00693E24" w:rsidP="00693E24">
            <w:r w:rsidRPr="00693E24">
              <w:t>0.33</w:t>
            </w:r>
          </w:p>
        </w:tc>
      </w:tr>
      <w:tr w:rsidR="00693E24" w:rsidRPr="00693E24" w14:paraId="34C4C08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4741AC96" w14:textId="77777777" w:rsidR="00693E24" w:rsidRPr="00693E24" w:rsidRDefault="00693E24" w:rsidP="00693E24">
            <w:r w:rsidRPr="00693E24">
              <w:t>Education, Race/Ethnicity (continued)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86D80D"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91B313A"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3C7B5A"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tcPr>
          <w:p w14:paraId="6254FA25"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tcPr>
          <w:p w14:paraId="710D3E19"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142B10" w14:textId="77777777" w:rsidR="00693E24" w:rsidRPr="00693E24" w:rsidRDefault="00693E24" w:rsidP="00693E24"/>
        </w:tc>
      </w:tr>
      <w:tr w:rsidR="00693E24" w:rsidRPr="00693E24" w14:paraId="614C1BA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B1AF253" w14:textId="77777777" w:rsidR="00693E24" w:rsidRPr="00693E24" w:rsidRDefault="00693E24" w:rsidP="00693E24">
            <w:r w:rsidRPr="00693E24">
              <w:t>Some College,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3CF60F3" w14:textId="77777777" w:rsidR="00693E24" w:rsidRPr="00693E24" w:rsidRDefault="00693E24" w:rsidP="00693E24">
            <w:r w:rsidRPr="00693E24">
              <w:t>17.4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5C71B6C" w14:textId="77777777" w:rsidR="00693E24" w:rsidRPr="00693E24" w:rsidRDefault="00693E24" w:rsidP="00693E24">
            <w:r w:rsidRPr="00693E24">
              <w:t>16.8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273F392" w14:textId="77777777" w:rsidR="00693E24" w:rsidRPr="00693E24" w:rsidRDefault="00693E24" w:rsidP="00693E24">
            <w:r w:rsidRPr="00693E24">
              <w:t>0.25</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554131D" w14:textId="77777777" w:rsidR="00693E24" w:rsidRPr="00693E24" w:rsidRDefault="00693E24" w:rsidP="00693E24">
            <w:r w:rsidRPr="00693E24">
              <w:t>2971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56E08AA" w14:textId="77777777" w:rsidR="00693E24" w:rsidRPr="00693E24" w:rsidRDefault="00693E24" w:rsidP="00693E24">
            <w:r w:rsidRPr="00693E24">
              <w:t>17.4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94F4663" w14:textId="77777777" w:rsidR="00693E24" w:rsidRPr="00693E24" w:rsidRDefault="00693E24" w:rsidP="00693E24">
            <w:r w:rsidRPr="00693E24">
              <w:t>0.31</w:t>
            </w:r>
          </w:p>
        </w:tc>
      </w:tr>
      <w:tr w:rsidR="00693E24" w:rsidRPr="00693E24" w14:paraId="64274AD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FCCDD42" w14:textId="77777777" w:rsidR="00693E24" w:rsidRPr="00693E24" w:rsidRDefault="00693E24" w:rsidP="00693E24">
            <w:r w:rsidRPr="00693E24">
              <w:t>Bachelor or Higher,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1510ACA" w14:textId="77777777" w:rsidR="00693E24" w:rsidRPr="00693E24" w:rsidRDefault="00693E24" w:rsidP="00693E24">
            <w:r w:rsidRPr="00693E24">
              <w:t>24.6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D17AABF" w14:textId="77777777" w:rsidR="00693E24" w:rsidRPr="00693E24" w:rsidRDefault="00693E24" w:rsidP="00693E24">
            <w:r w:rsidRPr="00693E24">
              <w:t>23.8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FFE202D" w14:textId="77777777" w:rsidR="00693E24" w:rsidRPr="00693E24" w:rsidRDefault="00693E24" w:rsidP="00693E24">
            <w:r w:rsidRPr="00693E24">
              <w:t>0.28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325406E" w14:textId="77777777" w:rsidR="00693E24" w:rsidRPr="00693E24" w:rsidRDefault="00693E24" w:rsidP="00693E24">
            <w:r w:rsidRPr="00693E24">
              <w:t>4691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7258CE2" w14:textId="77777777" w:rsidR="00693E24" w:rsidRPr="00693E24" w:rsidRDefault="00693E24" w:rsidP="00693E24">
            <w:r w:rsidRPr="00693E24">
              <w:t>24.7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69A9A89" w14:textId="77777777" w:rsidR="00693E24" w:rsidRPr="00693E24" w:rsidRDefault="00693E24" w:rsidP="00693E24">
            <w:r w:rsidRPr="00693E24">
              <w:t>0.34</w:t>
            </w:r>
          </w:p>
        </w:tc>
      </w:tr>
      <w:tr w:rsidR="00693E24" w:rsidRPr="00693E24" w14:paraId="6C18F32F"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26F0879" w14:textId="77777777" w:rsidR="00693E24" w:rsidRPr="00693E24" w:rsidRDefault="00693E24" w:rsidP="00693E24">
            <w:r w:rsidRPr="00693E24">
              <w:t>Less than High School,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8A4F928" w14:textId="77777777" w:rsidR="00693E24" w:rsidRPr="00693E24" w:rsidRDefault="00693E24" w:rsidP="00693E24">
            <w:r w:rsidRPr="00693E24">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BF715ED" w14:textId="77777777" w:rsidR="00693E24" w:rsidRPr="00693E24" w:rsidRDefault="00693E24" w:rsidP="00693E24">
            <w:r w:rsidRPr="00693E24">
              <w:t>1.1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110E6E3"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076585F" w14:textId="77777777" w:rsidR="00693E24" w:rsidRPr="00693E24" w:rsidRDefault="00693E24" w:rsidP="00693E24">
            <w:r w:rsidRPr="00693E24">
              <w:t>123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7292068" w14:textId="77777777" w:rsidR="00693E24" w:rsidRPr="00693E24" w:rsidRDefault="00693E24" w:rsidP="00693E24">
            <w:r w:rsidRPr="00693E24">
              <w:t>1.2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FCD2533" w14:textId="77777777" w:rsidR="00693E24" w:rsidRPr="00693E24" w:rsidRDefault="00693E24" w:rsidP="00693E24">
            <w:r w:rsidRPr="00693E24">
              <w:t>0.12</w:t>
            </w:r>
          </w:p>
        </w:tc>
      </w:tr>
      <w:tr w:rsidR="00693E24" w:rsidRPr="00693E24" w14:paraId="577954A2"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436543A" w14:textId="77777777" w:rsidR="00693E24" w:rsidRPr="00693E24" w:rsidRDefault="00693E24" w:rsidP="00693E24">
            <w:r w:rsidRPr="00693E24">
              <w:t>High School,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349FC2E" w14:textId="77777777" w:rsidR="00693E24" w:rsidRPr="00693E24" w:rsidRDefault="00693E24" w:rsidP="00693E24">
            <w:r w:rsidRPr="00693E24">
              <w:t>4.1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85C32A6" w14:textId="77777777" w:rsidR="00693E24" w:rsidRPr="00693E24" w:rsidRDefault="00693E24" w:rsidP="00693E24">
            <w:r w:rsidRPr="00693E24">
              <w:t>3.6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40FDE28" w14:textId="77777777" w:rsidR="00693E24" w:rsidRPr="00693E24" w:rsidRDefault="00693E24" w:rsidP="00693E24">
            <w:r w:rsidRPr="00693E24">
              <w:t>0.13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FCA5276" w14:textId="77777777" w:rsidR="00693E24" w:rsidRPr="00693E24" w:rsidRDefault="00693E24" w:rsidP="00693E24">
            <w:r w:rsidRPr="00693E24">
              <w:t>460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FCA5FF8" w14:textId="77777777" w:rsidR="00693E24" w:rsidRPr="00693E24" w:rsidRDefault="00693E24" w:rsidP="00693E24">
            <w:r w:rsidRPr="00693E24">
              <w:t>4.1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D0848A" w14:textId="77777777" w:rsidR="00693E24" w:rsidRPr="00693E24" w:rsidRDefault="00693E24" w:rsidP="00693E24">
            <w:r w:rsidRPr="00693E24">
              <w:t>0.22</w:t>
            </w:r>
          </w:p>
        </w:tc>
      </w:tr>
      <w:tr w:rsidR="00693E24" w:rsidRPr="00693E24" w14:paraId="3C19902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4B0B506" w14:textId="77777777" w:rsidR="00693E24" w:rsidRPr="00693E24" w:rsidRDefault="00693E24" w:rsidP="00693E24">
            <w:r w:rsidRPr="00693E24">
              <w:t>Some College,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A1D8FC7" w14:textId="77777777" w:rsidR="00693E24" w:rsidRPr="00693E24" w:rsidRDefault="00693E24" w:rsidP="00693E24">
            <w:r w:rsidRPr="00693E24">
              <w:t>3.6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B21B504" w14:textId="77777777" w:rsidR="00693E24" w:rsidRPr="00693E24" w:rsidRDefault="00693E24" w:rsidP="00693E24">
            <w:r w:rsidRPr="00693E24">
              <w:t>3.9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72A0743" w14:textId="77777777" w:rsidR="00693E24" w:rsidRPr="00693E24" w:rsidRDefault="00693E24" w:rsidP="00693E24">
            <w:r w:rsidRPr="00693E24">
              <w:t>0.12</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26560A5" w14:textId="77777777" w:rsidR="00693E24" w:rsidRPr="00693E24" w:rsidRDefault="00693E24" w:rsidP="00693E24">
            <w:r w:rsidRPr="00693E24">
              <w:t>667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6396279" w14:textId="77777777" w:rsidR="00693E24" w:rsidRPr="00693E24" w:rsidRDefault="00693E24" w:rsidP="00693E24">
            <w:r w:rsidRPr="00693E24">
              <w:t>3.6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2838F33" w14:textId="77777777" w:rsidR="00693E24" w:rsidRPr="00693E24" w:rsidRDefault="00693E24" w:rsidP="00693E24">
            <w:r w:rsidRPr="00693E24">
              <w:t>0.16</w:t>
            </w:r>
          </w:p>
        </w:tc>
      </w:tr>
      <w:tr w:rsidR="00693E24" w:rsidRPr="00693E24" w14:paraId="30A4A94C"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BBC5FD1" w14:textId="77777777" w:rsidR="00693E24" w:rsidRPr="00693E24" w:rsidRDefault="00693E24" w:rsidP="00693E24">
            <w:r w:rsidRPr="00693E24">
              <w:t>Bachelor or Higher,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4B4B67C" w14:textId="77777777" w:rsidR="00693E24" w:rsidRPr="00693E24" w:rsidRDefault="00693E24" w:rsidP="00693E24">
            <w:r w:rsidRPr="00693E24">
              <w:t>3.1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3C9798D" w14:textId="77777777" w:rsidR="00693E24" w:rsidRPr="00693E24" w:rsidRDefault="00693E24" w:rsidP="00693E24">
            <w:r w:rsidRPr="00693E24">
              <w:t>3.4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3491381" w14:textId="77777777" w:rsidR="00693E24" w:rsidRPr="00693E24" w:rsidRDefault="00693E24" w:rsidP="00693E24">
            <w:r w:rsidRPr="00693E24">
              <w:t>0.11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57E0A50" w14:textId="77777777" w:rsidR="00693E24" w:rsidRPr="00693E24" w:rsidRDefault="00693E24" w:rsidP="00693E24">
            <w:r w:rsidRPr="00693E24">
              <w:t>669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F5E7FB9" w14:textId="77777777" w:rsidR="00693E24" w:rsidRPr="00693E24" w:rsidRDefault="00693E24" w:rsidP="00693E24">
            <w:r w:rsidRPr="00693E24">
              <w:t>3.1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7569BD2" w14:textId="77777777" w:rsidR="00693E24" w:rsidRPr="00693E24" w:rsidRDefault="00693E24" w:rsidP="00693E24">
            <w:r w:rsidRPr="00693E24">
              <w:t>0.13</w:t>
            </w:r>
          </w:p>
        </w:tc>
      </w:tr>
      <w:tr w:rsidR="00693E24" w:rsidRPr="00693E24" w14:paraId="508ECA2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7FF9290" w14:textId="77777777" w:rsidR="00693E24" w:rsidRPr="00693E24" w:rsidRDefault="00693E24" w:rsidP="00693E24">
            <w:r w:rsidRPr="00693E24">
              <w:t>Less than High School,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2A682DD" w14:textId="77777777" w:rsidR="00693E24" w:rsidRPr="00693E24" w:rsidRDefault="00693E24" w:rsidP="00693E24">
            <w:r w:rsidRPr="00693E24">
              <w:t>0.7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8F74F59" w14:textId="77777777" w:rsidR="00693E24" w:rsidRPr="00693E24" w:rsidRDefault="00693E24" w:rsidP="00693E24">
            <w:r w:rsidRPr="00693E24">
              <w:t>0.5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2ABD4DC" w14:textId="77777777" w:rsidR="00693E24" w:rsidRPr="00693E24" w:rsidRDefault="00693E24" w:rsidP="00693E24">
            <w:r w:rsidRPr="00693E24">
              <w:t>0.05</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511D95D" w14:textId="77777777" w:rsidR="00693E24" w:rsidRPr="00693E24" w:rsidRDefault="00693E24" w:rsidP="00693E24">
            <w:r w:rsidRPr="00693E24">
              <w:t>41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8CC654F" w14:textId="77777777" w:rsidR="00693E24" w:rsidRPr="00693E24" w:rsidRDefault="00693E24" w:rsidP="00693E24">
            <w:r w:rsidRPr="00693E24">
              <w:t>0.6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45734BA" w14:textId="77777777" w:rsidR="00693E24" w:rsidRPr="00693E24" w:rsidRDefault="00693E24" w:rsidP="00693E24">
            <w:r w:rsidRPr="00693E24">
              <w:t>0.12</w:t>
            </w:r>
          </w:p>
        </w:tc>
      </w:tr>
      <w:tr w:rsidR="00693E24" w:rsidRPr="00693E24" w14:paraId="1BF7AAA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0EDA99D" w14:textId="77777777" w:rsidR="00693E24" w:rsidRPr="00693E24" w:rsidRDefault="00693E24" w:rsidP="00693E24">
            <w:r w:rsidRPr="00693E24">
              <w:t>High School,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8909A0B" w14:textId="77777777" w:rsidR="00693E24" w:rsidRPr="00693E24" w:rsidRDefault="00693E24" w:rsidP="00693E24">
            <w:r w:rsidRPr="00693E24">
              <w:t>1.8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E725FB4" w14:textId="77777777" w:rsidR="00693E24" w:rsidRPr="00693E24" w:rsidRDefault="00693E24" w:rsidP="00693E24">
            <w:r w:rsidRPr="00693E24">
              <w:t>1.6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4CE4FB5" w14:textId="77777777" w:rsidR="00693E24" w:rsidRPr="00693E24" w:rsidRDefault="00693E24" w:rsidP="00693E24">
            <w:r w:rsidRPr="00693E24">
              <w:t>0.10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9D4D25C" w14:textId="77777777" w:rsidR="00693E24" w:rsidRPr="00693E24" w:rsidRDefault="00693E24" w:rsidP="00693E24">
            <w:r w:rsidRPr="00693E24">
              <w:t>172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496D3C9" w14:textId="77777777" w:rsidR="00693E24" w:rsidRPr="00693E24" w:rsidRDefault="00693E24" w:rsidP="00693E24">
            <w:r w:rsidRPr="00693E24">
              <w:t>1.7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947A0FC" w14:textId="77777777" w:rsidR="00693E24" w:rsidRPr="00693E24" w:rsidRDefault="00693E24" w:rsidP="00693E24">
            <w:r w:rsidRPr="00693E24">
              <w:t>0.16</w:t>
            </w:r>
          </w:p>
        </w:tc>
      </w:tr>
      <w:tr w:rsidR="00693E24" w:rsidRPr="00693E24" w14:paraId="19A34E6F"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75AB0F9" w14:textId="77777777" w:rsidR="00693E24" w:rsidRPr="00693E24" w:rsidRDefault="00693E24" w:rsidP="00693E24">
            <w:r w:rsidRPr="00693E24">
              <w:t>Some College,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D43EDF0" w14:textId="77777777" w:rsidR="00693E24" w:rsidRPr="00693E24" w:rsidRDefault="00693E24" w:rsidP="00693E24">
            <w:r w:rsidRPr="00693E24">
              <w:t>1.9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20BF3D7" w14:textId="77777777" w:rsidR="00693E24" w:rsidRPr="00693E24" w:rsidRDefault="00693E24" w:rsidP="00693E24">
            <w:r w:rsidRPr="00693E24">
              <w:t>2.1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F966F46" w14:textId="77777777" w:rsidR="00693E24" w:rsidRPr="00693E24" w:rsidRDefault="00693E24" w:rsidP="00693E24">
            <w:r w:rsidRPr="00693E24">
              <w:t>0.10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937A71F" w14:textId="77777777" w:rsidR="00693E24" w:rsidRPr="00693E24" w:rsidRDefault="00693E24" w:rsidP="00693E24">
            <w:r w:rsidRPr="00693E24">
              <w:t>299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713302B" w14:textId="77777777" w:rsidR="00693E24" w:rsidRPr="00693E24" w:rsidRDefault="00693E24" w:rsidP="00693E24">
            <w:r w:rsidRPr="00693E24">
              <w:t>1.9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62BCEA4" w14:textId="77777777" w:rsidR="00693E24" w:rsidRPr="00693E24" w:rsidRDefault="00693E24" w:rsidP="00693E24">
            <w:r w:rsidRPr="00693E24">
              <w:t>0.16</w:t>
            </w:r>
          </w:p>
        </w:tc>
      </w:tr>
      <w:tr w:rsidR="00693E24" w:rsidRPr="00693E24" w14:paraId="3125670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904BE89" w14:textId="77777777" w:rsidR="00693E24" w:rsidRPr="00693E24" w:rsidRDefault="00693E24" w:rsidP="00693E24">
            <w:r w:rsidRPr="00693E24">
              <w:t>Bachelor or Higher,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60E48D0" w14:textId="77777777" w:rsidR="00693E24" w:rsidRPr="00693E24" w:rsidRDefault="00693E24" w:rsidP="00693E24">
            <w:r w:rsidRPr="00693E24">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D0C327F" w14:textId="77777777" w:rsidR="00693E24" w:rsidRPr="00693E24" w:rsidRDefault="00693E24" w:rsidP="00693E24">
            <w:r w:rsidRPr="00693E24">
              <w:t>4.5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7FA114C" w14:textId="77777777" w:rsidR="00693E24" w:rsidRPr="00693E24" w:rsidRDefault="00693E24" w:rsidP="00693E24">
            <w:r w:rsidRPr="00693E24">
              <w:t>0.14</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F765E50" w14:textId="77777777" w:rsidR="00693E24" w:rsidRPr="00693E24" w:rsidRDefault="00693E24" w:rsidP="00693E24">
            <w:r w:rsidRPr="00693E24">
              <w:t>768</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B0CE466" w14:textId="77777777" w:rsidR="00693E24" w:rsidRPr="00693E24" w:rsidRDefault="00693E24" w:rsidP="00693E24">
            <w:r w:rsidRPr="00693E24">
              <w:t>4.3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8A305E1" w14:textId="77777777" w:rsidR="00693E24" w:rsidRPr="00693E24" w:rsidRDefault="00693E24" w:rsidP="00693E24">
            <w:r w:rsidRPr="00693E24">
              <w:t>0.19</w:t>
            </w:r>
          </w:p>
        </w:tc>
      </w:tr>
      <w:tr w:rsidR="00693E24" w:rsidRPr="00693E24" w14:paraId="26C6301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2ED31D0" w14:textId="77777777" w:rsidR="00693E24" w:rsidRPr="00693E24" w:rsidRDefault="00693E24" w:rsidP="00693E24">
            <w:r w:rsidRPr="00693E24">
              <w:t>Less than High School,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09C9EA0" w14:textId="77777777" w:rsidR="00693E24" w:rsidRPr="00693E24" w:rsidRDefault="00693E24" w:rsidP="00693E24">
            <w:r w:rsidRPr="00693E24">
              <w:t>4.1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37E4474" w14:textId="77777777" w:rsidR="00693E24" w:rsidRPr="00693E24" w:rsidRDefault="00693E24" w:rsidP="00693E24">
            <w:r w:rsidRPr="00693E24">
              <w:t>3.7</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E150F4D" w14:textId="77777777" w:rsidR="00693E24" w:rsidRPr="00693E24" w:rsidRDefault="00693E24" w:rsidP="00693E24">
            <w:r w:rsidRPr="00693E24">
              <w:t>0.14</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8F8CBE0" w14:textId="77777777" w:rsidR="00693E24" w:rsidRPr="00693E24" w:rsidRDefault="00693E24" w:rsidP="00693E24">
            <w:r w:rsidRPr="00693E24">
              <w:t>406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BB20E1E" w14:textId="77777777" w:rsidR="00693E24" w:rsidRPr="00693E24" w:rsidRDefault="00693E24" w:rsidP="00693E24">
            <w:r w:rsidRPr="00693E24">
              <w:t>4.1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8D46227" w14:textId="77777777" w:rsidR="00693E24" w:rsidRPr="00693E24" w:rsidRDefault="00693E24" w:rsidP="00693E24">
            <w:r w:rsidRPr="00693E24">
              <w:t>0.23</w:t>
            </w:r>
          </w:p>
        </w:tc>
      </w:tr>
      <w:tr w:rsidR="00693E24" w:rsidRPr="00693E24" w14:paraId="52D20F7F"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C2E8AA4" w14:textId="77777777" w:rsidR="00693E24" w:rsidRPr="00693E24" w:rsidRDefault="00693E24" w:rsidP="00693E24">
            <w:r w:rsidRPr="00693E24">
              <w:t>High School,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0896B3A" w14:textId="77777777" w:rsidR="00693E24" w:rsidRPr="00693E24" w:rsidRDefault="00693E24" w:rsidP="00693E24">
            <w:r w:rsidRPr="00693E24">
              <w:t>5.5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2E36C01" w14:textId="77777777" w:rsidR="00693E24" w:rsidRPr="00693E24" w:rsidRDefault="00693E24" w:rsidP="00693E24">
            <w:r w:rsidRPr="00693E24">
              <w:t>5.4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9B35DB3" w14:textId="77777777" w:rsidR="00693E24" w:rsidRPr="00693E24" w:rsidRDefault="00693E24" w:rsidP="00693E24">
            <w:r w:rsidRPr="00693E24">
              <w:t>0.16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11E4EE8" w14:textId="77777777" w:rsidR="00693E24" w:rsidRPr="00693E24" w:rsidRDefault="00693E24" w:rsidP="00693E24">
            <w:r w:rsidRPr="00693E24">
              <w:t>645</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2C5DA92" w14:textId="77777777" w:rsidR="00693E24" w:rsidRPr="00693E24" w:rsidRDefault="00693E24" w:rsidP="00693E24">
            <w:r w:rsidRPr="00693E24">
              <w:t>5.5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B5EE70A" w14:textId="77777777" w:rsidR="00693E24" w:rsidRPr="00693E24" w:rsidRDefault="00693E24" w:rsidP="00693E24">
            <w:r w:rsidRPr="00693E24">
              <w:t>0.24</w:t>
            </w:r>
          </w:p>
        </w:tc>
      </w:tr>
      <w:tr w:rsidR="00693E24" w:rsidRPr="00693E24" w14:paraId="13CC706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FA96310" w14:textId="77777777" w:rsidR="00693E24" w:rsidRPr="00693E24" w:rsidRDefault="00693E24" w:rsidP="00693E24">
            <w:r w:rsidRPr="00693E24">
              <w:t>Some College,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04A342F" w14:textId="77777777" w:rsidR="00693E24" w:rsidRPr="00693E24" w:rsidRDefault="00693E24" w:rsidP="00693E24">
            <w:r w:rsidRPr="00693E24">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9C09A9C" w14:textId="77777777" w:rsidR="00693E24" w:rsidRPr="00693E24" w:rsidRDefault="00693E24" w:rsidP="00693E24">
            <w:r w:rsidRPr="00693E24">
              <w:t>4.3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CF81A9B" w14:textId="77777777" w:rsidR="00693E24" w:rsidRPr="00693E24" w:rsidRDefault="00693E24" w:rsidP="00693E24">
            <w:r w:rsidRPr="00693E24">
              <w:t>0.13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5217C8F" w14:textId="77777777" w:rsidR="00693E24" w:rsidRPr="00693E24" w:rsidRDefault="00693E24" w:rsidP="00693E24">
            <w:r w:rsidRPr="00693E24">
              <w:t>716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0B44208" w14:textId="77777777" w:rsidR="00693E24" w:rsidRPr="00693E24" w:rsidRDefault="00693E24" w:rsidP="00693E24">
            <w:r w:rsidRPr="00693E24">
              <w:t>4.2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E55FCB5" w14:textId="77777777" w:rsidR="00693E24" w:rsidRPr="00693E24" w:rsidRDefault="00693E24" w:rsidP="00693E24">
            <w:r w:rsidRPr="00693E24">
              <w:t>0.18</w:t>
            </w:r>
          </w:p>
        </w:tc>
      </w:tr>
      <w:tr w:rsidR="00693E24" w:rsidRPr="00693E24" w14:paraId="4BCF6A1F"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5006E7E" w14:textId="77777777" w:rsidR="00693E24" w:rsidRPr="00693E24" w:rsidRDefault="00693E24" w:rsidP="00693E24">
            <w:r w:rsidRPr="00693E24">
              <w:t>Bachelor or Higher,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C9B9A2A" w14:textId="77777777" w:rsidR="00693E24" w:rsidRPr="00693E24" w:rsidRDefault="00693E24" w:rsidP="00693E24">
            <w:r w:rsidRPr="00693E24">
              <w:t>3.1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875EE30" w14:textId="77777777" w:rsidR="00693E24" w:rsidRPr="00693E24" w:rsidRDefault="00693E24" w:rsidP="00693E24">
            <w:r w:rsidRPr="00693E24">
              <w:t>3.4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F3F725D" w14:textId="77777777" w:rsidR="00693E24" w:rsidRPr="00693E24" w:rsidRDefault="00693E24" w:rsidP="00693E24">
            <w:r w:rsidRPr="00693E24">
              <w:t>0.11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0134C33" w14:textId="77777777" w:rsidR="00693E24" w:rsidRPr="00693E24" w:rsidRDefault="00693E24" w:rsidP="00693E24">
            <w:r w:rsidRPr="00693E24">
              <w:t>636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F5F2874" w14:textId="77777777" w:rsidR="00693E24" w:rsidRPr="00693E24" w:rsidRDefault="00693E24" w:rsidP="00693E24">
            <w:r w:rsidRPr="00693E24">
              <w:t>3.1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09FC182" w14:textId="77777777" w:rsidR="00693E24" w:rsidRPr="00693E24" w:rsidRDefault="00693E24" w:rsidP="00693E24">
            <w:r w:rsidRPr="00693E24">
              <w:t>0.14</w:t>
            </w:r>
          </w:p>
        </w:tc>
      </w:tr>
      <w:tr w:rsidR="00693E24" w:rsidRPr="00693E24" w14:paraId="0C97F58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6F27158E" w14:textId="77777777" w:rsidR="00693E24" w:rsidRPr="00693E24" w:rsidRDefault="00693E24" w:rsidP="00693E24">
            <w:r w:rsidRPr="00693E24">
              <w:t>Income, Race/Ethnicity</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972D0D0"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4C18883"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F9EF856"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0A9C08D"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B4CBBBC"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9CB0552" w14:textId="77777777" w:rsidR="00693E24" w:rsidRPr="00693E24" w:rsidRDefault="00693E24" w:rsidP="00693E24"/>
        </w:tc>
      </w:tr>
      <w:tr w:rsidR="00693E24" w:rsidRPr="00693E24" w14:paraId="3F573B4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CB3149C" w14:textId="77777777" w:rsidR="00693E24" w:rsidRPr="00693E24" w:rsidRDefault="00693E24" w:rsidP="00693E24">
            <w:r w:rsidRPr="00693E24">
              <w:t>Under $24,999,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D2A72F9" w14:textId="77777777" w:rsidR="00693E24" w:rsidRPr="00693E24" w:rsidRDefault="00693E24" w:rsidP="00693E24">
            <w:r w:rsidRPr="00693E24">
              <w:t>6.9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0898D2E" w14:textId="77777777" w:rsidR="00693E24" w:rsidRPr="00693E24" w:rsidRDefault="00693E24" w:rsidP="00693E24">
            <w:r w:rsidRPr="00693E24">
              <w:t>8.4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7F9E591" w14:textId="77777777" w:rsidR="00693E24" w:rsidRPr="00693E24" w:rsidRDefault="00693E24" w:rsidP="00693E24">
            <w:r w:rsidRPr="00693E24">
              <w:t>0.20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8E8CCEF" w14:textId="77777777" w:rsidR="00693E24" w:rsidRPr="00693E24" w:rsidRDefault="00693E24" w:rsidP="00693E24">
            <w:r w:rsidRPr="00693E24">
              <w:t>1135</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60ABDD3" w14:textId="77777777" w:rsidR="00693E24" w:rsidRPr="00693E24" w:rsidRDefault="00693E24" w:rsidP="00693E24">
            <w:r w:rsidRPr="00693E24">
              <w:t>6.9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52108B0" w14:textId="77777777" w:rsidR="00693E24" w:rsidRPr="00693E24" w:rsidRDefault="00693E24" w:rsidP="00693E24">
            <w:r w:rsidRPr="00693E24">
              <w:t>0.21</w:t>
            </w:r>
          </w:p>
        </w:tc>
      </w:tr>
      <w:tr w:rsidR="00693E24" w:rsidRPr="00693E24" w14:paraId="5773F19E"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088F4FF" w14:textId="77777777" w:rsidR="00693E24" w:rsidRPr="00693E24" w:rsidRDefault="00693E24" w:rsidP="00693E24">
            <w:r w:rsidRPr="00693E24">
              <w:t>$25,000–$49,999,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12B9FF1" w14:textId="77777777" w:rsidR="00693E24" w:rsidRPr="00693E24" w:rsidRDefault="00693E24" w:rsidP="00693E24">
            <w:r w:rsidRPr="00693E24">
              <w:t>9.7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1A3E16E" w14:textId="77777777" w:rsidR="00693E24" w:rsidRPr="00693E24" w:rsidRDefault="00693E24" w:rsidP="00693E24">
            <w:r w:rsidRPr="00693E24">
              <w:t>10.6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70BFC9E" w14:textId="77777777" w:rsidR="00693E24" w:rsidRPr="00693E24" w:rsidRDefault="00693E24" w:rsidP="00693E24">
            <w:r w:rsidRPr="00693E24">
              <w:t>0.21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1E73A6D" w14:textId="77777777" w:rsidR="00693E24" w:rsidRPr="00693E24" w:rsidRDefault="00693E24" w:rsidP="00693E24">
            <w:r w:rsidRPr="00693E24">
              <w:t>1674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EB93958" w14:textId="77777777" w:rsidR="00693E24" w:rsidRPr="00693E24" w:rsidRDefault="00693E24" w:rsidP="00693E24">
            <w:r w:rsidRPr="00693E24">
              <w:t>9.8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2D9C553" w14:textId="77777777" w:rsidR="00693E24" w:rsidRPr="00693E24" w:rsidRDefault="00693E24" w:rsidP="00693E24">
            <w:r w:rsidRPr="00693E24">
              <w:t>0.24</w:t>
            </w:r>
          </w:p>
        </w:tc>
      </w:tr>
      <w:tr w:rsidR="00693E24" w:rsidRPr="00693E24" w14:paraId="5DD493D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6092CE4" w14:textId="77777777" w:rsidR="00693E24" w:rsidRPr="00693E24" w:rsidRDefault="00693E24" w:rsidP="00693E24">
            <w:r w:rsidRPr="00693E24">
              <w:t>$50,000–$74,999,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90BEF48" w14:textId="77777777" w:rsidR="00693E24" w:rsidRPr="00693E24" w:rsidRDefault="00693E24" w:rsidP="00693E24">
            <w:r w:rsidRPr="00693E24">
              <w:t>9.7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9E78FCC" w14:textId="77777777" w:rsidR="00693E24" w:rsidRPr="00693E24" w:rsidRDefault="00693E24" w:rsidP="00693E24">
            <w:r w:rsidRPr="00693E24">
              <w:t>10.1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3845BA7" w14:textId="77777777" w:rsidR="00693E24" w:rsidRPr="00693E24" w:rsidRDefault="00693E24" w:rsidP="00693E24">
            <w:r w:rsidRPr="00693E24">
              <w:t>0.21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7BCE7A4" w14:textId="77777777" w:rsidR="00693E24" w:rsidRPr="00693E24" w:rsidRDefault="00693E24" w:rsidP="00693E24">
            <w:r w:rsidRPr="00693E24">
              <w:t>1643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50F4D7B" w14:textId="77777777" w:rsidR="00693E24" w:rsidRPr="00693E24" w:rsidRDefault="00693E24" w:rsidP="00693E24">
            <w:r w:rsidRPr="00693E24">
              <w:t>9.7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71C256E" w14:textId="77777777" w:rsidR="00693E24" w:rsidRPr="00693E24" w:rsidRDefault="00693E24" w:rsidP="00693E24">
            <w:r w:rsidRPr="00693E24">
              <w:t>0.24</w:t>
            </w:r>
          </w:p>
        </w:tc>
      </w:tr>
      <w:tr w:rsidR="00693E24" w:rsidRPr="00693E24" w14:paraId="6C5EE40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F38D016" w14:textId="77777777" w:rsidR="00693E24" w:rsidRPr="00693E24" w:rsidRDefault="00693E24" w:rsidP="00693E24">
            <w:r w:rsidRPr="00693E24">
              <w:t>$75,000–$99,999,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193B72F" w14:textId="77777777" w:rsidR="00693E24" w:rsidRPr="00693E24" w:rsidRDefault="00693E24" w:rsidP="00693E24">
            <w:r w:rsidRPr="00693E24">
              <w:t>8.4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AE73BBA" w14:textId="77777777" w:rsidR="00693E24" w:rsidRPr="00693E24" w:rsidRDefault="00693E24" w:rsidP="00693E24">
            <w:r w:rsidRPr="00693E24">
              <w:t>8.8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3EB0425" w14:textId="77777777" w:rsidR="00693E24" w:rsidRPr="00693E24" w:rsidRDefault="00693E24" w:rsidP="00693E24">
            <w:r w:rsidRPr="00693E24">
              <w:t>0.19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A0ADFE9" w14:textId="77777777" w:rsidR="00693E24" w:rsidRPr="00693E24" w:rsidRDefault="00693E24" w:rsidP="00693E24">
            <w:r w:rsidRPr="00693E24">
              <w:t>1518</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E3CD561" w14:textId="77777777" w:rsidR="00693E24" w:rsidRPr="00693E24" w:rsidRDefault="00693E24" w:rsidP="00693E24">
            <w:r w:rsidRPr="00693E24">
              <w:t>8.4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ED2E9C5" w14:textId="77777777" w:rsidR="00693E24" w:rsidRPr="00693E24" w:rsidRDefault="00693E24" w:rsidP="00693E24">
            <w:r w:rsidRPr="00693E24">
              <w:t>0.22</w:t>
            </w:r>
          </w:p>
        </w:tc>
      </w:tr>
      <w:tr w:rsidR="00693E24" w:rsidRPr="00693E24" w14:paraId="3E8479D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F5F1353" w14:textId="77777777" w:rsidR="00693E24" w:rsidRPr="00693E24" w:rsidRDefault="00693E24" w:rsidP="00693E24">
            <w:r w:rsidRPr="00693E24">
              <w:lastRenderedPageBreak/>
              <w:t>$100,000–$149,999,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D7519EA" w14:textId="77777777" w:rsidR="00693E24" w:rsidRPr="00693E24" w:rsidRDefault="00693E24" w:rsidP="00693E24">
            <w:r w:rsidRPr="00693E24">
              <w:t>11.9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06FF9C8" w14:textId="77777777" w:rsidR="00693E24" w:rsidRPr="00693E24" w:rsidRDefault="00693E24" w:rsidP="00693E24">
            <w:r w:rsidRPr="00693E24">
              <w:t>11.4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2CE23FC" w14:textId="77777777" w:rsidR="00693E24" w:rsidRPr="00693E24" w:rsidRDefault="00693E24" w:rsidP="00693E24">
            <w:r w:rsidRPr="00693E24">
              <w:t>0.21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947221C" w14:textId="77777777" w:rsidR="00693E24" w:rsidRPr="00693E24" w:rsidRDefault="00693E24" w:rsidP="00693E24">
            <w:r w:rsidRPr="00693E24">
              <w:t>2033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8F4626A" w14:textId="77777777" w:rsidR="00693E24" w:rsidRPr="00693E24" w:rsidRDefault="00693E24" w:rsidP="00693E24">
            <w:r w:rsidRPr="00693E24">
              <w:t>11.9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2706FF9" w14:textId="77777777" w:rsidR="00693E24" w:rsidRPr="00693E24" w:rsidRDefault="00693E24" w:rsidP="00693E24">
            <w:r w:rsidRPr="00693E24">
              <w:t>0.26</w:t>
            </w:r>
          </w:p>
        </w:tc>
      </w:tr>
      <w:tr w:rsidR="00693E24" w:rsidRPr="00693E24" w14:paraId="3436A98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B43643A" w14:textId="77777777" w:rsidR="00693E24" w:rsidRPr="00693E24" w:rsidRDefault="00693E24" w:rsidP="00693E24">
            <w:r w:rsidRPr="00693E24">
              <w:t>$150,000 or more,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3690293" w14:textId="77777777" w:rsidR="00693E24" w:rsidRPr="00693E24" w:rsidRDefault="00693E24" w:rsidP="00693E24">
            <w:r w:rsidRPr="00693E24">
              <w:t>16.0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E94A4D5" w14:textId="77777777" w:rsidR="00693E24" w:rsidRPr="00693E24" w:rsidRDefault="00693E24" w:rsidP="00693E24">
            <w:r w:rsidRPr="00693E24">
              <w:t>13.2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7845AA4" w14:textId="77777777" w:rsidR="00693E24" w:rsidRPr="00693E24" w:rsidRDefault="00693E24" w:rsidP="00693E24">
            <w:r w:rsidRPr="00693E24">
              <w:t>0.22</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B96288E" w14:textId="77777777" w:rsidR="00693E24" w:rsidRPr="00693E24" w:rsidRDefault="00693E24" w:rsidP="00693E24">
            <w:r w:rsidRPr="00693E24">
              <w:t>2562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A9ECDC3" w14:textId="77777777" w:rsidR="00693E24" w:rsidRPr="00693E24" w:rsidRDefault="00693E24" w:rsidP="00693E24">
            <w:r w:rsidRPr="00693E24">
              <w:t>16.1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948AD8C" w14:textId="77777777" w:rsidR="00693E24" w:rsidRPr="00693E24" w:rsidRDefault="00693E24" w:rsidP="00693E24">
            <w:r w:rsidRPr="00693E24">
              <w:t>0.31</w:t>
            </w:r>
          </w:p>
        </w:tc>
      </w:tr>
      <w:tr w:rsidR="00693E24" w:rsidRPr="00693E24" w14:paraId="22E5C552"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01184F1" w14:textId="77777777" w:rsidR="00693E24" w:rsidRPr="00693E24" w:rsidRDefault="00693E24" w:rsidP="00693E24">
            <w:r w:rsidRPr="00693E24">
              <w:t>Under $24,999,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B25EB8B" w14:textId="77777777" w:rsidR="00693E24" w:rsidRPr="00693E24" w:rsidRDefault="00693E24" w:rsidP="00693E24">
            <w:r w:rsidRPr="00693E24">
              <w:t>2.6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8C9ECBD" w14:textId="77777777" w:rsidR="00693E24" w:rsidRPr="00693E24" w:rsidRDefault="00693E24" w:rsidP="00693E24">
            <w:r w:rsidRPr="00693E24">
              <w:t>3.4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58C062C" w14:textId="77777777" w:rsidR="00693E24" w:rsidRPr="00693E24" w:rsidRDefault="00693E24" w:rsidP="00693E24">
            <w:r w:rsidRPr="00693E24">
              <w:t>0.12</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7D594F6" w14:textId="77777777" w:rsidR="00693E24" w:rsidRPr="00693E24" w:rsidRDefault="00693E24" w:rsidP="00693E24">
            <w:r w:rsidRPr="00693E24">
              <w:t>429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7C06614" w14:textId="77777777" w:rsidR="00693E24" w:rsidRPr="00693E24" w:rsidRDefault="00693E24" w:rsidP="00693E24">
            <w:r w:rsidRPr="00693E24">
              <w:t>2.6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B18D666" w14:textId="77777777" w:rsidR="00693E24" w:rsidRPr="00693E24" w:rsidRDefault="00693E24" w:rsidP="00693E24">
            <w:r w:rsidRPr="00693E24">
              <w:t>0.15</w:t>
            </w:r>
          </w:p>
        </w:tc>
      </w:tr>
      <w:tr w:rsidR="00693E24" w:rsidRPr="00693E24" w14:paraId="3EC326C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3CFB274" w14:textId="77777777" w:rsidR="00693E24" w:rsidRPr="00693E24" w:rsidRDefault="00693E24" w:rsidP="00693E24">
            <w:r w:rsidRPr="00693E24">
              <w:t>$25,000–$49,999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1FDF9E9" w14:textId="77777777" w:rsidR="00693E24" w:rsidRPr="00693E24" w:rsidRDefault="00693E24" w:rsidP="00693E24">
            <w:r w:rsidRPr="00693E24">
              <w:t>2.5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7693D74" w14:textId="77777777" w:rsidR="00693E24" w:rsidRPr="00693E24" w:rsidRDefault="00693E24" w:rsidP="00693E24">
            <w:r w:rsidRPr="00693E24">
              <w:t>2.5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B6774DE" w14:textId="77777777" w:rsidR="00693E24" w:rsidRPr="00693E24" w:rsidRDefault="00693E24" w:rsidP="00693E24">
            <w:r w:rsidRPr="00693E24">
              <w:t>0.10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AFB2783" w14:textId="77777777" w:rsidR="00693E24" w:rsidRPr="00693E24" w:rsidRDefault="00693E24" w:rsidP="00693E24">
            <w:r w:rsidRPr="00693E24">
              <w:t>396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027B5A4" w14:textId="77777777" w:rsidR="00693E24" w:rsidRPr="00693E24" w:rsidRDefault="00693E24" w:rsidP="00693E24">
            <w:r w:rsidRPr="00693E24">
              <w:t>2.5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E702187" w14:textId="77777777" w:rsidR="00693E24" w:rsidRPr="00693E24" w:rsidRDefault="00693E24" w:rsidP="00693E24">
            <w:r w:rsidRPr="00693E24">
              <w:t>0.15</w:t>
            </w:r>
          </w:p>
        </w:tc>
      </w:tr>
      <w:tr w:rsidR="00693E24" w:rsidRPr="00693E24" w14:paraId="0EE68F0C"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FB3D8B1" w14:textId="77777777" w:rsidR="00693E24" w:rsidRPr="00693E24" w:rsidRDefault="00693E24" w:rsidP="00693E24">
            <w:r w:rsidRPr="00693E24">
              <w:t>$50,000–$74,999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18CD8D1" w14:textId="77777777" w:rsidR="00693E24" w:rsidRPr="00693E24" w:rsidRDefault="00693E24" w:rsidP="00693E24">
            <w:r w:rsidRPr="00693E24">
              <w:t>2.2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3668D96" w14:textId="77777777" w:rsidR="00693E24" w:rsidRPr="00693E24" w:rsidRDefault="00693E24" w:rsidP="00693E24">
            <w:r w:rsidRPr="00693E24">
              <w:t>2.1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0528E27"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A246621" w14:textId="77777777" w:rsidR="00693E24" w:rsidRPr="00693E24" w:rsidRDefault="00693E24" w:rsidP="00693E24">
            <w:r w:rsidRPr="00693E24">
              <w:t>351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16ED27C" w14:textId="77777777" w:rsidR="00693E24" w:rsidRPr="00693E24" w:rsidRDefault="00693E24" w:rsidP="00693E24">
            <w:r w:rsidRPr="00693E24">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38DB85D" w14:textId="77777777" w:rsidR="00693E24" w:rsidRPr="00693E24" w:rsidRDefault="00693E24" w:rsidP="00693E24">
            <w:r w:rsidRPr="00693E24">
              <w:t>0.15</w:t>
            </w:r>
          </w:p>
        </w:tc>
      </w:tr>
      <w:tr w:rsidR="00693E24" w:rsidRPr="00693E24" w14:paraId="5C16CC3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E0A68DF" w14:textId="77777777" w:rsidR="00693E24" w:rsidRPr="00693E24" w:rsidRDefault="00693E24" w:rsidP="00693E24">
            <w:r w:rsidRPr="00693E24">
              <w:t>$75,000–$99,999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065FE9E" w14:textId="77777777" w:rsidR="00693E24" w:rsidRPr="00693E24" w:rsidRDefault="00693E24" w:rsidP="00693E24">
            <w:r w:rsidRPr="00693E24">
              <w:t>1.4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3E5B170" w14:textId="77777777" w:rsidR="00693E24" w:rsidRPr="00693E24" w:rsidRDefault="00693E24" w:rsidP="00693E24">
            <w:r w:rsidRPr="00693E24">
              <w:t>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DD4FED0"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F404555" w14:textId="77777777" w:rsidR="00693E24" w:rsidRPr="00693E24" w:rsidRDefault="00693E24" w:rsidP="00693E24">
            <w:r w:rsidRPr="00693E24">
              <w:t>264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FB0AA91" w14:textId="77777777" w:rsidR="00693E24" w:rsidRPr="00693E24" w:rsidRDefault="00693E24" w:rsidP="00693E24">
            <w:r w:rsidRPr="00693E24">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78C4A99" w14:textId="77777777" w:rsidR="00693E24" w:rsidRPr="00693E24" w:rsidRDefault="00693E24" w:rsidP="00693E24">
            <w:r w:rsidRPr="00693E24">
              <w:t>0.10</w:t>
            </w:r>
          </w:p>
        </w:tc>
      </w:tr>
      <w:tr w:rsidR="00693E24" w:rsidRPr="00693E24" w14:paraId="6AE9107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1A429F9" w14:textId="77777777" w:rsidR="00693E24" w:rsidRPr="00693E24" w:rsidRDefault="00693E24" w:rsidP="00693E24">
            <w:r w:rsidRPr="00693E24">
              <w:t>$100,000–$149,999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1EB1BCF" w14:textId="77777777" w:rsidR="00693E24" w:rsidRPr="00693E24" w:rsidRDefault="00693E24" w:rsidP="00693E24">
            <w:r w:rsidRPr="00693E24">
              <w:t>1.7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396B2D5" w14:textId="77777777" w:rsidR="00693E24" w:rsidRPr="00693E24" w:rsidRDefault="00693E24" w:rsidP="00693E24">
            <w:r w:rsidRPr="00693E24">
              <w:t>1.5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7577F06"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2B10DE0" w14:textId="77777777" w:rsidR="00693E24" w:rsidRPr="00693E24" w:rsidRDefault="00693E24" w:rsidP="00693E24">
            <w:r w:rsidRPr="00693E24">
              <w:t>274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D6E3E98" w14:textId="77777777" w:rsidR="00693E24" w:rsidRPr="00693E24" w:rsidRDefault="00693E24" w:rsidP="00693E24">
            <w:r w:rsidRPr="00693E24">
              <w:t>1.7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963F634" w14:textId="77777777" w:rsidR="00693E24" w:rsidRPr="00693E24" w:rsidRDefault="00693E24" w:rsidP="00693E24">
            <w:r w:rsidRPr="00693E24">
              <w:t>0.12</w:t>
            </w:r>
          </w:p>
        </w:tc>
      </w:tr>
      <w:tr w:rsidR="00693E24" w:rsidRPr="00693E24" w14:paraId="4263493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A2899F1" w14:textId="77777777" w:rsidR="00693E24" w:rsidRPr="00693E24" w:rsidRDefault="00693E24" w:rsidP="00693E24">
            <w:r w:rsidRPr="00693E24">
              <w:t>$150,000 or more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2A672C3" w14:textId="77777777" w:rsidR="00693E24" w:rsidRPr="00693E24" w:rsidRDefault="00693E24" w:rsidP="00693E24">
            <w:r w:rsidRPr="00693E24">
              <w:t>1.6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68D963A" w14:textId="77777777" w:rsidR="00693E24" w:rsidRPr="00693E24" w:rsidRDefault="00693E24" w:rsidP="00693E24">
            <w:r w:rsidRPr="00693E24">
              <w:t>1.1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0C924C9"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F94F436" w14:textId="77777777" w:rsidR="00693E24" w:rsidRPr="00693E24" w:rsidRDefault="00693E24" w:rsidP="00693E24">
            <w:r w:rsidRPr="00693E24">
              <w:t>205</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0697024" w14:textId="77777777" w:rsidR="00693E24" w:rsidRPr="00693E24" w:rsidRDefault="00693E24" w:rsidP="00693E24">
            <w:r w:rsidRPr="00693E24">
              <w:t>1.6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7FFFB94" w14:textId="77777777" w:rsidR="00693E24" w:rsidRPr="00693E24" w:rsidRDefault="00693E24" w:rsidP="00693E24">
            <w:r w:rsidRPr="00693E24">
              <w:t>0.13</w:t>
            </w:r>
          </w:p>
        </w:tc>
      </w:tr>
      <w:tr w:rsidR="00693E24" w:rsidRPr="00693E24" w14:paraId="07CAC4A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5FB89E8" w14:textId="77777777" w:rsidR="00693E24" w:rsidRPr="00693E24" w:rsidRDefault="00693E24" w:rsidP="00693E24">
            <w:r w:rsidRPr="00693E24">
              <w:t>Under $24,999,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DE67075" w14:textId="77777777" w:rsidR="00693E24" w:rsidRPr="00693E24" w:rsidRDefault="00693E24" w:rsidP="00693E24">
            <w:r w:rsidRPr="00693E24">
              <w:t>0.9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C7516FE" w14:textId="77777777" w:rsidR="00693E24" w:rsidRPr="00693E24" w:rsidRDefault="00693E24" w:rsidP="00693E24">
            <w:r w:rsidRPr="00693E24">
              <w:t>1.2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2FFC39F"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9009130" w14:textId="77777777" w:rsidR="00693E24" w:rsidRPr="00693E24" w:rsidRDefault="00693E24" w:rsidP="00693E24">
            <w:r w:rsidRPr="00693E24">
              <w:t>132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5CEC3E3" w14:textId="77777777" w:rsidR="00693E24" w:rsidRPr="00693E24" w:rsidRDefault="00693E24" w:rsidP="00693E24">
            <w:r w:rsidRPr="00693E24">
              <w:t>0.9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83DD96B" w14:textId="77777777" w:rsidR="00693E24" w:rsidRPr="00693E24" w:rsidRDefault="00693E24" w:rsidP="00693E24">
            <w:r w:rsidRPr="00693E24">
              <w:t>0.11</w:t>
            </w:r>
          </w:p>
        </w:tc>
      </w:tr>
      <w:tr w:rsidR="00693E24" w:rsidRPr="00693E24" w14:paraId="3E9CE8A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8E7DC6B" w14:textId="77777777" w:rsidR="00693E24" w:rsidRPr="00693E24" w:rsidRDefault="00693E24" w:rsidP="00693E24">
            <w:r w:rsidRPr="00693E24">
              <w:t>$25,000–$49,999,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1FFB7DB" w14:textId="77777777" w:rsidR="00693E24" w:rsidRPr="00693E24" w:rsidRDefault="00693E24" w:rsidP="00693E24">
            <w:r w:rsidRPr="00693E24">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A3D353D" w14:textId="77777777" w:rsidR="00693E24" w:rsidRPr="00693E24" w:rsidRDefault="00693E24" w:rsidP="00693E24">
            <w:r w:rsidRPr="00693E24">
              <w:t>1.3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9300F1E"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3C0E74F" w14:textId="77777777" w:rsidR="00693E24" w:rsidRPr="00693E24" w:rsidRDefault="00693E24" w:rsidP="00693E24">
            <w:r w:rsidRPr="00693E24">
              <w:t>174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A76B3BD" w14:textId="77777777" w:rsidR="00693E24" w:rsidRPr="00693E24" w:rsidRDefault="00693E24" w:rsidP="00693E24">
            <w:r w:rsidRPr="00693E24">
              <w:t>1.1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6DA452F" w14:textId="77777777" w:rsidR="00693E24" w:rsidRPr="00693E24" w:rsidRDefault="00693E24" w:rsidP="00693E24">
            <w:r w:rsidRPr="00693E24">
              <w:t>0.12</w:t>
            </w:r>
          </w:p>
        </w:tc>
      </w:tr>
      <w:tr w:rsidR="00693E24" w:rsidRPr="00693E24" w14:paraId="28A4644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4961A93" w14:textId="77777777" w:rsidR="00693E24" w:rsidRPr="00693E24" w:rsidRDefault="00693E24" w:rsidP="00693E24">
            <w:r w:rsidRPr="00693E24">
              <w:t>$50,000–$74,999,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D862CF4" w14:textId="77777777" w:rsidR="00693E24" w:rsidRPr="00693E24" w:rsidRDefault="00693E24" w:rsidP="00693E24">
            <w:r w:rsidRPr="00693E24">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F776549" w14:textId="77777777" w:rsidR="00693E24" w:rsidRPr="00693E24" w:rsidRDefault="00693E24" w:rsidP="00693E24">
            <w:r w:rsidRPr="00693E24">
              <w:t>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275506C"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99B3433" w14:textId="77777777" w:rsidR="00693E24" w:rsidRPr="00693E24" w:rsidRDefault="00693E24" w:rsidP="00693E24">
            <w:r w:rsidRPr="00693E24">
              <w:t>202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22E50D5" w14:textId="77777777" w:rsidR="00693E24" w:rsidRPr="00693E24" w:rsidRDefault="00693E24" w:rsidP="00693E24">
            <w:r w:rsidRPr="00693E24">
              <w:t>1.2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5DFE014" w14:textId="77777777" w:rsidR="00693E24" w:rsidRPr="00693E24" w:rsidRDefault="00693E24" w:rsidP="00693E24">
            <w:r w:rsidRPr="00693E24">
              <w:t>0.12</w:t>
            </w:r>
          </w:p>
        </w:tc>
      </w:tr>
      <w:tr w:rsidR="00693E24" w:rsidRPr="00693E24" w14:paraId="48F92EF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5A74810" w14:textId="77777777" w:rsidR="00693E24" w:rsidRPr="00693E24" w:rsidRDefault="00693E24" w:rsidP="00693E24">
            <w:r w:rsidRPr="00693E24">
              <w:t>$75,000–$99,999,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D8472F7" w14:textId="77777777" w:rsidR="00693E24" w:rsidRPr="00693E24" w:rsidRDefault="00693E24" w:rsidP="00693E24">
            <w:r w:rsidRPr="00693E24">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D3B4FD0" w14:textId="77777777" w:rsidR="00693E24" w:rsidRPr="00693E24" w:rsidRDefault="00693E24" w:rsidP="00693E24">
            <w:r w:rsidRPr="00693E24">
              <w:t>1.2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771AF7D"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F66087B" w14:textId="77777777" w:rsidR="00693E24" w:rsidRPr="00693E24" w:rsidRDefault="00693E24" w:rsidP="00693E24">
            <w:r w:rsidRPr="00693E24">
              <w:t>200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86027C1" w14:textId="77777777" w:rsidR="00693E24" w:rsidRPr="00693E24" w:rsidRDefault="00693E24" w:rsidP="00693E24">
            <w:r w:rsidRPr="00693E24">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BE2057C" w14:textId="77777777" w:rsidR="00693E24" w:rsidRPr="00693E24" w:rsidRDefault="00693E24" w:rsidP="00693E24">
            <w:r w:rsidRPr="00693E24">
              <w:t>0.11</w:t>
            </w:r>
          </w:p>
        </w:tc>
      </w:tr>
      <w:tr w:rsidR="00693E24" w:rsidRPr="00693E24" w14:paraId="519B9BE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A8B165E" w14:textId="77777777" w:rsidR="00693E24" w:rsidRPr="00693E24" w:rsidRDefault="00693E24" w:rsidP="00693E24">
            <w:r w:rsidRPr="00693E24">
              <w:t>$100,000–$149,999,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4E5D1D0" w14:textId="77777777" w:rsidR="00693E24" w:rsidRPr="00693E24" w:rsidRDefault="00693E24" w:rsidP="00693E24">
            <w:r w:rsidRPr="00693E24">
              <w:t>1.6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FAF0535" w14:textId="77777777" w:rsidR="00693E24" w:rsidRPr="00693E24" w:rsidRDefault="00693E24" w:rsidP="00693E24">
            <w:r w:rsidRPr="00693E24">
              <w:t>1.5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867AAA1"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C09BD4E" w14:textId="77777777" w:rsidR="00693E24" w:rsidRPr="00693E24" w:rsidRDefault="00693E24" w:rsidP="00693E24">
            <w:r w:rsidRPr="00693E24">
              <w:t>256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CB01282" w14:textId="77777777" w:rsidR="00693E24" w:rsidRPr="00693E24" w:rsidRDefault="00693E24" w:rsidP="00693E24">
            <w:r w:rsidRPr="00693E24">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9C2CF68" w14:textId="77777777" w:rsidR="00693E24" w:rsidRPr="00693E24" w:rsidRDefault="00693E24" w:rsidP="00693E24">
            <w:r w:rsidRPr="00693E24">
              <w:t>0.12</w:t>
            </w:r>
          </w:p>
        </w:tc>
      </w:tr>
      <w:tr w:rsidR="00693E24" w:rsidRPr="00693E24" w14:paraId="5902175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9B7CB12" w14:textId="77777777" w:rsidR="00693E24" w:rsidRPr="00693E24" w:rsidRDefault="00693E24" w:rsidP="00693E24">
            <w:r w:rsidRPr="00693E24">
              <w:t>$150,000 and more,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AF6648D" w14:textId="77777777" w:rsidR="00693E24" w:rsidRPr="00693E24" w:rsidRDefault="00693E24" w:rsidP="00693E24">
            <w:r w:rsidRPr="00693E24">
              <w:t>2.8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97C6E75" w14:textId="77777777" w:rsidR="00693E24" w:rsidRPr="00693E24" w:rsidRDefault="00693E24" w:rsidP="00693E24">
            <w:r w:rsidRPr="00693E24">
              <w:t>1.9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5A65473"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902805E" w14:textId="77777777" w:rsidR="00693E24" w:rsidRPr="00693E24" w:rsidRDefault="00693E24" w:rsidP="00693E24">
            <w:r w:rsidRPr="00693E24">
              <w:t>316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0035FA7" w14:textId="77777777" w:rsidR="00693E24" w:rsidRPr="00693E24" w:rsidRDefault="00693E24" w:rsidP="00693E24">
            <w:r w:rsidRPr="00693E24">
              <w:t>2.7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C796AC6" w14:textId="77777777" w:rsidR="00693E24" w:rsidRPr="00693E24" w:rsidRDefault="00693E24" w:rsidP="00693E24">
            <w:r w:rsidRPr="00693E24">
              <w:t>0.18</w:t>
            </w:r>
          </w:p>
        </w:tc>
      </w:tr>
      <w:tr w:rsidR="00693E24" w:rsidRPr="00693E24" w14:paraId="4A88198F"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046C76A" w14:textId="77777777" w:rsidR="00693E24" w:rsidRPr="00693E24" w:rsidRDefault="00693E24" w:rsidP="00693E24">
            <w:r w:rsidRPr="00693E24">
              <w:t>Under $24,999,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65D00AD" w14:textId="77777777" w:rsidR="00693E24" w:rsidRPr="00693E24" w:rsidRDefault="00693E24" w:rsidP="00693E24">
            <w:r w:rsidRPr="00693E24">
              <w:t>2.4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8EFDE83" w14:textId="77777777" w:rsidR="00693E24" w:rsidRPr="00693E24" w:rsidRDefault="00693E24" w:rsidP="00693E24">
            <w:r w:rsidRPr="00693E24">
              <w:t>3.7</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538368F" w14:textId="77777777" w:rsidR="00693E24" w:rsidRPr="00693E24" w:rsidRDefault="00693E24" w:rsidP="00693E24">
            <w:r w:rsidRPr="00693E24">
              <w:t>0.13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891E629" w14:textId="77777777" w:rsidR="00693E24" w:rsidRPr="00693E24" w:rsidRDefault="00693E24" w:rsidP="00693E24">
            <w:r w:rsidRPr="00693E24">
              <w:t>401</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037A769" w14:textId="77777777" w:rsidR="00693E24" w:rsidRPr="00693E24" w:rsidRDefault="00693E24" w:rsidP="00693E24">
            <w:r w:rsidRPr="00693E24">
              <w:t>2.4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21E2BEE" w14:textId="77777777" w:rsidR="00693E24" w:rsidRPr="00693E24" w:rsidRDefault="00693E24" w:rsidP="00693E24">
            <w:r w:rsidRPr="00693E24">
              <w:t>0.14</w:t>
            </w:r>
          </w:p>
        </w:tc>
      </w:tr>
      <w:tr w:rsidR="00693E24" w:rsidRPr="00693E24" w14:paraId="650A3E2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2496375" w14:textId="77777777" w:rsidR="00693E24" w:rsidRPr="00693E24" w:rsidRDefault="00693E24" w:rsidP="00693E24">
            <w:r w:rsidRPr="00693E24">
              <w:t>$25,000–$49,999,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479578C" w14:textId="77777777" w:rsidR="00693E24" w:rsidRPr="00693E24" w:rsidRDefault="00693E24" w:rsidP="00693E24">
            <w:r w:rsidRPr="00693E24">
              <w:t>3.7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E2059BF" w14:textId="77777777" w:rsidR="00693E24" w:rsidRPr="00693E24" w:rsidRDefault="00693E24" w:rsidP="00693E24">
            <w:r w:rsidRPr="00693E24">
              <w:t>4.4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A1FBD98" w14:textId="77777777" w:rsidR="00693E24" w:rsidRPr="00693E24" w:rsidRDefault="00693E24" w:rsidP="00693E24">
            <w:r w:rsidRPr="00693E24">
              <w:t>0.14</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EB93574" w14:textId="77777777" w:rsidR="00693E24" w:rsidRPr="00693E24" w:rsidRDefault="00693E24" w:rsidP="00693E24">
            <w:r w:rsidRPr="00693E24">
              <w:t>560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24476B0" w14:textId="77777777" w:rsidR="00693E24" w:rsidRPr="00693E24" w:rsidRDefault="00693E24" w:rsidP="00693E24">
            <w:r w:rsidRPr="00693E24">
              <w:t>3.7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78A05B8" w14:textId="77777777" w:rsidR="00693E24" w:rsidRPr="00693E24" w:rsidRDefault="00693E24" w:rsidP="00693E24">
            <w:r w:rsidRPr="00693E24">
              <w:t>0.18</w:t>
            </w:r>
          </w:p>
        </w:tc>
      </w:tr>
      <w:tr w:rsidR="00693E24" w:rsidRPr="00693E24" w14:paraId="55D7EA7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4FE7378" w14:textId="77777777" w:rsidR="00693E24" w:rsidRPr="00693E24" w:rsidRDefault="00693E24" w:rsidP="00693E24">
            <w:r w:rsidRPr="00693E24">
              <w:t>$50,000–$74,999,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0A0A99F" w14:textId="77777777" w:rsidR="00693E24" w:rsidRPr="00693E24" w:rsidRDefault="00693E24" w:rsidP="00693E24">
            <w:r w:rsidRPr="00693E24">
              <w:t>3.2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E98093B" w14:textId="77777777" w:rsidR="00693E24" w:rsidRPr="00693E24" w:rsidRDefault="00693E24" w:rsidP="00693E24">
            <w:r w:rsidRPr="00693E24">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9A71FC8" w14:textId="77777777" w:rsidR="00693E24" w:rsidRPr="00693E24" w:rsidRDefault="00693E24" w:rsidP="00693E24">
            <w:r w:rsidRPr="00693E24">
              <w:t>0.12</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B7B2587" w14:textId="77777777" w:rsidR="00693E24" w:rsidRPr="00693E24" w:rsidRDefault="00693E24" w:rsidP="00693E24">
            <w:r w:rsidRPr="00693E24">
              <w:t>456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E5B9F22" w14:textId="77777777" w:rsidR="00693E24" w:rsidRPr="00693E24" w:rsidRDefault="00693E24" w:rsidP="00693E24">
            <w:r w:rsidRPr="00693E24">
              <w:t>3.2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BF4B530" w14:textId="77777777" w:rsidR="00693E24" w:rsidRPr="00693E24" w:rsidRDefault="00693E24" w:rsidP="00693E24">
            <w:r w:rsidRPr="00693E24">
              <w:t>0.18</w:t>
            </w:r>
          </w:p>
        </w:tc>
      </w:tr>
      <w:tr w:rsidR="00693E24" w:rsidRPr="00693E24" w14:paraId="00F80D2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74AFD58" w14:textId="77777777" w:rsidR="00693E24" w:rsidRPr="00693E24" w:rsidRDefault="00693E24" w:rsidP="00693E24">
            <w:r w:rsidRPr="00693E24">
              <w:t>$75,000–$99,999,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2E60D8E" w14:textId="77777777" w:rsidR="00693E24" w:rsidRPr="00693E24" w:rsidRDefault="00693E24" w:rsidP="00693E24">
            <w:r w:rsidRPr="00693E24">
              <w:t>2.4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EA2F2B3" w14:textId="77777777" w:rsidR="00693E24" w:rsidRPr="00693E24" w:rsidRDefault="00693E24" w:rsidP="00693E24">
            <w:r w:rsidRPr="00693E24">
              <w:t>2.0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C45AF71"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86869FA" w14:textId="77777777" w:rsidR="00693E24" w:rsidRPr="00693E24" w:rsidRDefault="00693E24" w:rsidP="00693E24">
            <w:r w:rsidRPr="00693E24">
              <w:t>314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8B67330" w14:textId="77777777" w:rsidR="00693E24" w:rsidRPr="00693E24" w:rsidRDefault="00693E24" w:rsidP="00693E24">
            <w:r w:rsidRPr="00693E24">
              <w:t>2.4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A6DCA56" w14:textId="77777777" w:rsidR="00693E24" w:rsidRPr="00693E24" w:rsidRDefault="00693E24" w:rsidP="00693E24">
            <w:r w:rsidRPr="00693E24">
              <w:t>0.16</w:t>
            </w:r>
          </w:p>
        </w:tc>
      </w:tr>
      <w:tr w:rsidR="00693E24" w:rsidRPr="00693E24" w14:paraId="2DCEFE2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71E3936" w14:textId="77777777" w:rsidR="00693E24" w:rsidRPr="00693E24" w:rsidRDefault="00693E24" w:rsidP="00693E24">
            <w:r w:rsidRPr="00693E24">
              <w:t>$100,000–$149,999,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D85997E" w14:textId="77777777" w:rsidR="00693E24" w:rsidRPr="00693E24" w:rsidRDefault="00693E24" w:rsidP="00693E24">
            <w:r w:rsidRPr="00693E24">
              <w:t>2.8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95E6A04" w14:textId="77777777" w:rsidR="00693E24" w:rsidRPr="00693E24" w:rsidRDefault="00693E24" w:rsidP="00693E24">
            <w:r w:rsidRPr="00693E24">
              <w:t>2.1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615DD03"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FCCB9D2" w14:textId="77777777" w:rsidR="00693E24" w:rsidRPr="00693E24" w:rsidRDefault="00693E24" w:rsidP="00693E24">
            <w:r w:rsidRPr="00693E24">
              <w:t>387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C017F56" w14:textId="77777777" w:rsidR="00693E24" w:rsidRPr="00693E24" w:rsidRDefault="00693E24" w:rsidP="00693E24">
            <w:r w:rsidRPr="00693E24">
              <w:t>2.8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07EDC1C" w14:textId="77777777" w:rsidR="00693E24" w:rsidRPr="00693E24" w:rsidRDefault="00693E24" w:rsidP="00693E24">
            <w:r w:rsidRPr="00693E24">
              <w:t>0.16</w:t>
            </w:r>
          </w:p>
        </w:tc>
      </w:tr>
      <w:tr w:rsidR="00693E24" w:rsidRPr="00693E24" w14:paraId="0AAA24B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8F91227" w14:textId="77777777" w:rsidR="00693E24" w:rsidRPr="00693E24" w:rsidRDefault="00693E24" w:rsidP="00693E24">
            <w:r w:rsidRPr="00693E24">
              <w:t>$150,000–Over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63A6944" w14:textId="77777777" w:rsidR="00693E24" w:rsidRPr="00693E24" w:rsidRDefault="00693E24" w:rsidP="00693E24">
            <w:r w:rsidRPr="00693E24">
              <w:t>2.4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9E51C5D" w14:textId="77777777" w:rsidR="00693E24" w:rsidRPr="00693E24" w:rsidRDefault="00693E24" w:rsidP="00693E24">
            <w:r w:rsidRPr="00693E24">
              <w:t>1.6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57DDA47"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82B9C00" w14:textId="77777777" w:rsidR="00693E24" w:rsidRPr="00693E24" w:rsidRDefault="00693E24" w:rsidP="00693E24">
            <w:r w:rsidRPr="00693E24">
              <w:t>285</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C0C8D67" w14:textId="77777777" w:rsidR="00693E24" w:rsidRPr="00693E24" w:rsidRDefault="00693E24" w:rsidP="00693E24">
            <w:r w:rsidRPr="00693E24">
              <w:t>2.4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899ADB8" w14:textId="77777777" w:rsidR="00693E24" w:rsidRPr="00693E24" w:rsidRDefault="00693E24" w:rsidP="00693E24">
            <w:r w:rsidRPr="00693E24">
              <w:t>0.17</w:t>
            </w:r>
          </w:p>
        </w:tc>
      </w:tr>
      <w:tr w:rsidR="00693E24" w:rsidRPr="00693E24" w14:paraId="5918487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3C4F5526" w14:textId="77777777" w:rsidR="00693E24" w:rsidRPr="00693E24" w:rsidRDefault="00693E24" w:rsidP="00693E24">
            <w:r w:rsidRPr="00693E24">
              <w:t>Geographic Region, Race/Ethnicity</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A827662"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A0476CE"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84E7135"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459FD2F"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B52C260"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0F7AF99" w14:textId="77777777" w:rsidR="00693E24" w:rsidRPr="00693E24" w:rsidRDefault="00693E24" w:rsidP="00693E24"/>
        </w:tc>
      </w:tr>
      <w:tr w:rsidR="00693E24" w:rsidRPr="00693E24" w14:paraId="2F1B52DE"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39FD1F3" w14:textId="77777777" w:rsidR="00693E24" w:rsidRPr="00693E24" w:rsidRDefault="00693E24" w:rsidP="00693E24">
            <w:r w:rsidRPr="00693E24">
              <w:t>Northeast,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54601E9" w14:textId="77777777" w:rsidR="00693E24" w:rsidRPr="00693E24" w:rsidRDefault="00693E24" w:rsidP="00693E24">
            <w:r w:rsidRPr="00693E24">
              <w:t>11.6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9C42F0C" w14:textId="77777777" w:rsidR="00693E24" w:rsidRPr="00693E24" w:rsidRDefault="00693E24" w:rsidP="00693E24">
            <w:r w:rsidRPr="00693E24">
              <w:t>12.0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64DAC50" w14:textId="77777777" w:rsidR="00693E24" w:rsidRPr="00693E24" w:rsidRDefault="00693E24" w:rsidP="00693E24">
            <w:r w:rsidRPr="00693E24">
              <w:t>0.23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CD84172" w14:textId="77777777" w:rsidR="00693E24" w:rsidRPr="00693E24" w:rsidRDefault="00693E24" w:rsidP="00693E24">
            <w:r w:rsidRPr="00693E24">
              <w:t>1959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F5377B9" w14:textId="77777777" w:rsidR="00693E24" w:rsidRPr="00693E24" w:rsidRDefault="00693E24" w:rsidP="00693E24">
            <w:r w:rsidRPr="00693E24">
              <w:t>11.7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024CEB8" w14:textId="77777777" w:rsidR="00693E24" w:rsidRPr="00693E24" w:rsidRDefault="00693E24" w:rsidP="00693E24">
            <w:r w:rsidRPr="00693E24">
              <w:t>0.26</w:t>
            </w:r>
          </w:p>
        </w:tc>
      </w:tr>
      <w:tr w:rsidR="00693E24" w:rsidRPr="00693E24" w14:paraId="64C18A15"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646E950" w14:textId="77777777" w:rsidR="00693E24" w:rsidRPr="00693E24" w:rsidRDefault="00693E24" w:rsidP="00693E24">
            <w:r w:rsidRPr="00693E24">
              <w:t>Midwest,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97173A9" w14:textId="77777777" w:rsidR="00693E24" w:rsidRPr="00693E24" w:rsidRDefault="00693E24" w:rsidP="00693E24">
            <w:r w:rsidRPr="00693E24">
              <w:t>16.1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06EECD2" w14:textId="77777777" w:rsidR="00693E24" w:rsidRPr="00693E24" w:rsidRDefault="00693E24" w:rsidP="00693E24">
            <w:r w:rsidRPr="00693E24">
              <w:t>16.0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A7FE046" w14:textId="77777777" w:rsidR="00693E24" w:rsidRPr="00693E24" w:rsidRDefault="00693E24" w:rsidP="00693E24">
            <w:r w:rsidRPr="00693E24">
              <w:t>0.25</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6CBA8CF" w14:textId="77777777" w:rsidR="00693E24" w:rsidRPr="00693E24" w:rsidRDefault="00693E24" w:rsidP="00693E24">
            <w:r w:rsidRPr="00693E24">
              <w:t>2794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E17E829" w14:textId="77777777" w:rsidR="00693E24" w:rsidRPr="00693E24" w:rsidRDefault="00693E24" w:rsidP="00693E24">
            <w:r w:rsidRPr="00693E24">
              <w:t>16.1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6325A5D" w14:textId="77777777" w:rsidR="00693E24" w:rsidRPr="00693E24" w:rsidRDefault="00693E24" w:rsidP="00693E24">
            <w:r w:rsidRPr="00693E24">
              <w:t>0.30</w:t>
            </w:r>
          </w:p>
        </w:tc>
      </w:tr>
      <w:tr w:rsidR="00693E24" w:rsidRPr="00693E24" w14:paraId="43C4B2BC"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FDB41D6" w14:textId="77777777" w:rsidR="00693E24" w:rsidRPr="00693E24" w:rsidRDefault="00693E24" w:rsidP="00693E24">
            <w:r w:rsidRPr="00693E24">
              <w:t>South,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9799266" w14:textId="77777777" w:rsidR="00693E24" w:rsidRPr="00693E24" w:rsidRDefault="00693E24" w:rsidP="00693E24">
            <w:r w:rsidRPr="00693E24">
              <w:t>22.3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7F21D02" w14:textId="77777777" w:rsidR="00693E24" w:rsidRPr="00693E24" w:rsidRDefault="00693E24" w:rsidP="00693E24">
            <w:r w:rsidRPr="00693E24">
              <w:t>22.0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E4FBA47" w14:textId="77777777" w:rsidR="00693E24" w:rsidRPr="00693E24" w:rsidRDefault="00693E24" w:rsidP="00693E24">
            <w:r w:rsidRPr="00693E24">
              <w:t>0.28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3AA2CDA" w14:textId="77777777" w:rsidR="00693E24" w:rsidRPr="00693E24" w:rsidRDefault="00693E24" w:rsidP="00693E24">
            <w:r w:rsidRPr="00693E24">
              <w:t>3617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2879929" w14:textId="77777777" w:rsidR="00693E24" w:rsidRPr="00693E24" w:rsidRDefault="00693E24" w:rsidP="00693E24">
            <w:r w:rsidRPr="00693E24">
              <w:t>22.3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70B9E4C" w14:textId="77777777" w:rsidR="00693E24" w:rsidRPr="00693E24" w:rsidRDefault="00693E24" w:rsidP="00693E24">
            <w:r w:rsidRPr="00693E24">
              <w:t>0.35</w:t>
            </w:r>
          </w:p>
        </w:tc>
      </w:tr>
      <w:tr w:rsidR="00693E24" w:rsidRPr="00693E24" w14:paraId="690CB92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C09AA10" w14:textId="77777777" w:rsidR="00693E24" w:rsidRPr="00693E24" w:rsidRDefault="00693E24" w:rsidP="00693E24">
            <w:r w:rsidRPr="00693E24">
              <w:t>West,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9CE2ADD" w14:textId="77777777" w:rsidR="00693E24" w:rsidRPr="00693E24" w:rsidRDefault="00693E24" w:rsidP="00693E24">
            <w:r w:rsidRPr="00693E24">
              <w:t>12.6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54F2E4A" w14:textId="77777777" w:rsidR="00693E24" w:rsidRPr="00693E24" w:rsidRDefault="00693E24" w:rsidP="00693E24">
            <w:r w:rsidRPr="00693E24">
              <w:t>12.6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9AF83BB" w14:textId="77777777" w:rsidR="00693E24" w:rsidRPr="00693E24" w:rsidRDefault="00693E24" w:rsidP="00693E24">
            <w:r w:rsidRPr="00693E24">
              <w:t>0.23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D5D7546" w14:textId="77777777" w:rsidR="00693E24" w:rsidRPr="00693E24" w:rsidRDefault="00693E24" w:rsidP="00693E24">
            <w:r w:rsidRPr="00693E24">
              <w:t>2195</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568DE30" w14:textId="77777777" w:rsidR="00693E24" w:rsidRPr="00693E24" w:rsidRDefault="00693E24" w:rsidP="00693E24">
            <w:r w:rsidRPr="00693E24">
              <w:t>12.6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320B6AD" w14:textId="77777777" w:rsidR="00693E24" w:rsidRPr="00693E24" w:rsidRDefault="00693E24" w:rsidP="00693E24">
            <w:r w:rsidRPr="00693E24">
              <w:t>0.27</w:t>
            </w:r>
          </w:p>
        </w:tc>
      </w:tr>
      <w:tr w:rsidR="00693E24" w:rsidRPr="00693E24" w14:paraId="54BBF87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827F0C0" w14:textId="77777777" w:rsidR="00693E24" w:rsidRPr="00693E24" w:rsidRDefault="00693E24" w:rsidP="00693E24">
            <w:r w:rsidRPr="00693E24">
              <w:t>Northeast,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F4BB897" w14:textId="77777777" w:rsidR="00693E24" w:rsidRPr="00693E24" w:rsidRDefault="00693E24" w:rsidP="00693E24">
            <w:r w:rsidRPr="00693E24">
              <w:t>1.8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6F52D3B" w14:textId="77777777" w:rsidR="00693E24" w:rsidRPr="00693E24" w:rsidRDefault="00693E24" w:rsidP="00693E24">
            <w:r w:rsidRPr="00693E24">
              <w:t>1.8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6D508FF"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5C7134C" w14:textId="77777777" w:rsidR="00693E24" w:rsidRPr="00693E24" w:rsidRDefault="00693E24" w:rsidP="00693E24">
            <w:r w:rsidRPr="00693E24">
              <w:t>280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13C43C5" w14:textId="77777777" w:rsidR="00693E24" w:rsidRPr="00693E24" w:rsidRDefault="00693E24" w:rsidP="00693E24">
            <w:r w:rsidRPr="00693E24">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000AB65" w14:textId="77777777" w:rsidR="00693E24" w:rsidRPr="00693E24" w:rsidRDefault="00693E24" w:rsidP="00693E24">
            <w:r w:rsidRPr="00693E24">
              <w:t>0.13</w:t>
            </w:r>
          </w:p>
        </w:tc>
      </w:tr>
      <w:tr w:rsidR="00693E24" w:rsidRPr="00693E24" w14:paraId="73530BD9"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A37BE9A" w14:textId="77777777" w:rsidR="00693E24" w:rsidRPr="00693E24" w:rsidRDefault="00693E24" w:rsidP="00693E24">
            <w:r w:rsidRPr="00693E24">
              <w:t>Midwest,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797FDD3" w14:textId="77777777" w:rsidR="00693E24" w:rsidRPr="00693E24" w:rsidRDefault="00693E24" w:rsidP="00693E24">
            <w:r w:rsidRPr="00693E24">
              <w:t>2.0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CF1665C" w14:textId="77777777" w:rsidR="00693E24" w:rsidRPr="00693E24" w:rsidRDefault="00693E24" w:rsidP="00693E24">
            <w:r w:rsidRPr="00693E24">
              <w:t>2.1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3F0C80A"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73701C5" w14:textId="77777777" w:rsidR="00693E24" w:rsidRPr="00693E24" w:rsidRDefault="00693E24" w:rsidP="00693E24">
            <w:r w:rsidRPr="00693E24">
              <w:t>336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44BD01C" w14:textId="77777777" w:rsidR="00693E24" w:rsidRPr="00693E24" w:rsidRDefault="00693E24" w:rsidP="00693E24">
            <w:r w:rsidRPr="00693E24">
              <w:t>2.0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B7BB171" w14:textId="77777777" w:rsidR="00693E24" w:rsidRPr="00693E24" w:rsidRDefault="00693E24" w:rsidP="00693E24">
            <w:r w:rsidRPr="00693E24">
              <w:t>0.13</w:t>
            </w:r>
          </w:p>
        </w:tc>
      </w:tr>
      <w:tr w:rsidR="00693E24" w:rsidRPr="00693E24" w14:paraId="6F7CE92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3FA6ED4" w14:textId="77777777" w:rsidR="00693E24" w:rsidRPr="00693E24" w:rsidRDefault="00693E24" w:rsidP="00693E24">
            <w:r w:rsidRPr="00693E24">
              <w:t>South,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97AA38A" w14:textId="77777777" w:rsidR="00693E24" w:rsidRPr="00693E24" w:rsidRDefault="00693E24" w:rsidP="00693E24">
            <w:r w:rsidRPr="00693E24">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0E0CDE3" w14:textId="77777777" w:rsidR="00693E24" w:rsidRPr="00693E24" w:rsidRDefault="00693E24" w:rsidP="00693E24">
            <w:r w:rsidRPr="00693E24">
              <w:t>6.9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B472E65" w14:textId="77777777" w:rsidR="00693E24" w:rsidRPr="00693E24" w:rsidRDefault="00693E24" w:rsidP="00693E24">
            <w:r w:rsidRPr="00693E24">
              <w:t>0.17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4CBA3A0" w14:textId="77777777" w:rsidR="00693E24" w:rsidRPr="00693E24" w:rsidRDefault="00693E24" w:rsidP="00693E24">
            <w:r w:rsidRPr="00693E24">
              <w:t>1117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350E248" w14:textId="77777777" w:rsidR="00693E24" w:rsidRPr="00693E24" w:rsidRDefault="00693E24" w:rsidP="00693E24">
            <w:r w:rsidRPr="00693E24">
              <w:t>7.0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059DA1" w14:textId="77777777" w:rsidR="00693E24" w:rsidRPr="00693E24" w:rsidRDefault="00693E24" w:rsidP="00693E24">
            <w:r w:rsidRPr="00693E24">
              <w:t>0.24</w:t>
            </w:r>
          </w:p>
        </w:tc>
      </w:tr>
      <w:tr w:rsidR="00693E24" w:rsidRPr="00693E24" w14:paraId="1F1C34F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60A4C53" w14:textId="77777777" w:rsidR="00693E24" w:rsidRPr="00693E24" w:rsidRDefault="00693E24" w:rsidP="00693E24">
            <w:r w:rsidRPr="00693E24">
              <w:t>West,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41ED20F" w14:textId="77777777" w:rsidR="00693E24" w:rsidRPr="00693E24" w:rsidRDefault="00693E24" w:rsidP="00693E24">
            <w:r w:rsidRPr="00693E24">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D6D7558" w14:textId="77777777" w:rsidR="00693E24" w:rsidRPr="00693E24" w:rsidRDefault="00693E24" w:rsidP="00693E24">
            <w:r w:rsidRPr="00693E24">
              <w:t>1.1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B3BA063"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984D3A0" w14:textId="77777777" w:rsidR="00693E24" w:rsidRPr="00693E24" w:rsidRDefault="00693E24" w:rsidP="00693E24">
            <w:r w:rsidRPr="00693E24">
              <w:t>186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7B77CEA" w14:textId="77777777" w:rsidR="00693E24" w:rsidRPr="00693E24" w:rsidRDefault="00693E24" w:rsidP="00693E24">
            <w:r w:rsidRPr="00693E24">
              <w:t>1.1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53FE40B" w14:textId="77777777" w:rsidR="00693E24" w:rsidRPr="00693E24" w:rsidRDefault="00693E24" w:rsidP="00693E24">
            <w:r w:rsidRPr="00693E24">
              <w:t>0.10</w:t>
            </w:r>
          </w:p>
        </w:tc>
      </w:tr>
      <w:tr w:rsidR="00693E24" w:rsidRPr="00693E24" w14:paraId="3F7C394E"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828BFB3" w14:textId="77777777" w:rsidR="00693E24" w:rsidRPr="00693E24" w:rsidRDefault="00693E24" w:rsidP="00693E24">
            <w:r w:rsidRPr="00693E24">
              <w:lastRenderedPageBreak/>
              <w:t>Northeast,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E4EF2F1" w14:textId="77777777" w:rsidR="00693E24" w:rsidRPr="00693E24" w:rsidRDefault="00693E24" w:rsidP="00693E24">
            <w:r w:rsidRPr="00693E24">
              <w:t>1.5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5CAFB3D" w14:textId="77777777" w:rsidR="00693E24" w:rsidRPr="00693E24" w:rsidRDefault="00693E24" w:rsidP="00693E24">
            <w:r w:rsidRPr="00693E24">
              <w:t>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7153E62"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5070CAB" w14:textId="77777777" w:rsidR="00693E24" w:rsidRPr="00693E24" w:rsidRDefault="00693E24" w:rsidP="00693E24">
            <w:r w:rsidRPr="00693E24">
              <w:t>196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A7DD882" w14:textId="77777777" w:rsidR="00693E24" w:rsidRPr="00693E24" w:rsidRDefault="00693E24" w:rsidP="00693E24">
            <w:r w:rsidRPr="00693E24">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8E7CBA5" w14:textId="77777777" w:rsidR="00693E24" w:rsidRPr="00693E24" w:rsidRDefault="00693E24" w:rsidP="00693E24">
            <w:r w:rsidRPr="00693E24">
              <w:t>0.14</w:t>
            </w:r>
          </w:p>
        </w:tc>
      </w:tr>
      <w:tr w:rsidR="00693E24" w:rsidRPr="00693E24" w14:paraId="6886B125"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BAF404D" w14:textId="77777777" w:rsidR="00693E24" w:rsidRPr="00693E24" w:rsidRDefault="00693E24" w:rsidP="00693E24">
            <w:r w:rsidRPr="00693E24">
              <w:t>Midwest,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D429115" w14:textId="77777777" w:rsidR="00693E24" w:rsidRPr="00693E24" w:rsidRDefault="00693E24" w:rsidP="00693E24">
            <w:r w:rsidRPr="00693E24">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DC49490" w14:textId="77777777" w:rsidR="00693E24" w:rsidRPr="00693E24" w:rsidRDefault="00693E24" w:rsidP="00693E24">
            <w:r w:rsidRPr="00693E24">
              <w:t>1.3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9845286"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45E9C0C" w14:textId="77777777" w:rsidR="00693E24" w:rsidRPr="00693E24" w:rsidRDefault="00693E24" w:rsidP="00693E24">
            <w:r w:rsidRPr="00693E24">
              <w:t>202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C954922" w14:textId="77777777" w:rsidR="00693E24" w:rsidRPr="00693E24" w:rsidRDefault="00693E24" w:rsidP="00693E24">
            <w:r w:rsidRPr="00693E24">
              <w:t>1.1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6236FDA" w14:textId="77777777" w:rsidR="00693E24" w:rsidRPr="00693E24" w:rsidRDefault="00693E24" w:rsidP="00693E24">
            <w:r w:rsidRPr="00693E24">
              <w:t>0.11</w:t>
            </w:r>
          </w:p>
        </w:tc>
      </w:tr>
      <w:tr w:rsidR="00693E24" w:rsidRPr="00693E24" w14:paraId="3EEB647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1246C611" w14:textId="77777777" w:rsidR="00693E24" w:rsidRPr="00693E24" w:rsidRDefault="00693E24" w:rsidP="00693E24">
            <w:r w:rsidRPr="00693E24">
              <w:t>South,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02923B0" w14:textId="77777777" w:rsidR="00693E24" w:rsidRPr="00693E24" w:rsidRDefault="00693E24" w:rsidP="00693E24">
            <w:r w:rsidRPr="00693E24">
              <w:t>2.4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54AE28B" w14:textId="77777777" w:rsidR="00693E24" w:rsidRPr="00693E24" w:rsidRDefault="00693E24" w:rsidP="00693E24">
            <w:r w:rsidRPr="00693E24">
              <w:t>2.6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4E1AC8A" w14:textId="77777777" w:rsidR="00693E24" w:rsidRPr="00693E24" w:rsidRDefault="00693E24" w:rsidP="00693E24">
            <w:r w:rsidRPr="00693E24">
              <w:t>0.11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0A4ECE6" w14:textId="77777777" w:rsidR="00693E24" w:rsidRPr="00693E24" w:rsidRDefault="00693E24" w:rsidP="00693E24">
            <w:r w:rsidRPr="00693E24">
              <w:t>379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220E0F6" w14:textId="77777777" w:rsidR="00693E24" w:rsidRPr="00693E24" w:rsidRDefault="00693E24" w:rsidP="00693E24">
            <w:r w:rsidRPr="00693E24">
              <w:t>2.3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2631A0E" w14:textId="77777777" w:rsidR="00693E24" w:rsidRPr="00693E24" w:rsidRDefault="00693E24" w:rsidP="00693E24">
            <w:r w:rsidRPr="00693E24">
              <w:t>0.16</w:t>
            </w:r>
          </w:p>
        </w:tc>
      </w:tr>
      <w:tr w:rsidR="00693E24" w:rsidRPr="00693E24" w14:paraId="5474D2D6"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77A6A8B" w14:textId="77777777" w:rsidR="00693E24" w:rsidRPr="00693E24" w:rsidRDefault="00693E24" w:rsidP="00693E24">
            <w:r w:rsidRPr="00693E24">
              <w:t>West,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E56489C" w14:textId="77777777" w:rsidR="00693E24" w:rsidRPr="00693E24" w:rsidRDefault="00693E24" w:rsidP="00693E24">
            <w:r w:rsidRPr="00693E24">
              <w:t>3.6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F2C7B04" w14:textId="77777777" w:rsidR="00693E24" w:rsidRPr="00693E24" w:rsidRDefault="00693E24" w:rsidP="00693E24">
            <w:r w:rsidRPr="00693E24">
              <w:t>3.3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87802F9" w14:textId="77777777" w:rsidR="00693E24" w:rsidRPr="00693E24" w:rsidRDefault="00693E24" w:rsidP="00693E24">
            <w:r w:rsidRPr="00693E24">
              <w:t>0.12</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F16DEFB" w14:textId="77777777" w:rsidR="00693E24" w:rsidRPr="00693E24" w:rsidRDefault="00693E24" w:rsidP="00693E24">
            <w:r w:rsidRPr="00693E24">
              <w:t>503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B74F276" w14:textId="77777777" w:rsidR="00693E24" w:rsidRPr="00693E24" w:rsidRDefault="00693E24" w:rsidP="00693E24">
            <w:r w:rsidRPr="00693E24">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0868A4F" w14:textId="77777777" w:rsidR="00693E24" w:rsidRPr="00693E24" w:rsidRDefault="00693E24" w:rsidP="00693E24">
            <w:r w:rsidRPr="00693E24">
              <w:t>0.20</w:t>
            </w:r>
          </w:p>
        </w:tc>
      </w:tr>
      <w:tr w:rsidR="00693E24" w:rsidRPr="00693E24" w14:paraId="6695346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0C9494A" w14:textId="77777777" w:rsidR="00693E24" w:rsidRPr="00693E24" w:rsidRDefault="00693E24" w:rsidP="00693E24">
            <w:r w:rsidRPr="00693E24">
              <w:t>Northeast,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50D64C9" w14:textId="77777777" w:rsidR="00693E24" w:rsidRPr="00693E24" w:rsidRDefault="00693E24" w:rsidP="00693E24">
            <w:r w:rsidRPr="00693E24">
              <w:t>2.2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DE0691B" w14:textId="77777777" w:rsidR="00693E24" w:rsidRPr="00693E24" w:rsidRDefault="00693E24" w:rsidP="00693E24">
            <w:r w:rsidRPr="00693E24">
              <w:t>2.0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52D14D7" w14:textId="77777777" w:rsidR="00693E24" w:rsidRPr="00693E24" w:rsidRDefault="00693E24" w:rsidP="00693E24">
            <w:r w:rsidRPr="00693E24">
              <w:t>0.09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D854264" w14:textId="77777777" w:rsidR="00693E24" w:rsidRPr="00693E24" w:rsidRDefault="00693E24" w:rsidP="00693E24">
            <w:r w:rsidRPr="00693E24">
              <w:t>287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C50B858" w14:textId="77777777" w:rsidR="00693E24" w:rsidRPr="00693E24" w:rsidRDefault="00693E24" w:rsidP="00693E24">
            <w:r w:rsidRPr="00693E24">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FBCBC6B" w14:textId="77777777" w:rsidR="00693E24" w:rsidRPr="00693E24" w:rsidRDefault="00693E24" w:rsidP="00693E24">
            <w:r w:rsidRPr="00693E24">
              <w:t>0.15</w:t>
            </w:r>
          </w:p>
        </w:tc>
      </w:tr>
      <w:tr w:rsidR="00693E24" w:rsidRPr="00693E24" w14:paraId="5420ED85"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50843F7" w14:textId="77777777" w:rsidR="00693E24" w:rsidRPr="00693E24" w:rsidRDefault="00693E24" w:rsidP="00693E24">
            <w:r w:rsidRPr="00693E24">
              <w:t>Midwest,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9240777" w14:textId="77777777" w:rsidR="00693E24" w:rsidRPr="00693E24" w:rsidRDefault="00693E24" w:rsidP="00693E24">
            <w:r w:rsidRPr="00693E24">
              <w:t>1.4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63F2490" w14:textId="77777777" w:rsidR="00693E24" w:rsidRPr="00693E24" w:rsidRDefault="00693E24" w:rsidP="00693E24">
            <w:r w:rsidRPr="00693E24">
              <w:t>1.3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F6A9B54"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7D5B863" w14:textId="77777777" w:rsidR="00693E24" w:rsidRPr="00693E24" w:rsidRDefault="00693E24" w:rsidP="00693E24">
            <w:r w:rsidRPr="00693E24">
              <w:t>192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D0F83C2" w14:textId="77777777" w:rsidR="00693E24" w:rsidRPr="00693E24" w:rsidRDefault="00693E24" w:rsidP="00693E24">
            <w:r w:rsidRPr="00693E24">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73E827F" w14:textId="77777777" w:rsidR="00693E24" w:rsidRPr="00693E24" w:rsidRDefault="00693E24" w:rsidP="00693E24">
            <w:r w:rsidRPr="00693E24">
              <w:t>0.12</w:t>
            </w:r>
          </w:p>
        </w:tc>
      </w:tr>
      <w:tr w:rsidR="00693E24" w:rsidRPr="00693E24" w14:paraId="478DA92B"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0E44E7AD" w14:textId="77777777" w:rsidR="00693E24" w:rsidRPr="00693E24" w:rsidRDefault="00693E24" w:rsidP="00693E24">
            <w:r w:rsidRPr="00693E24">
              <w:t>South,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478A1F5" w14:textId="77777777" w:rsidR="00693E24" w:rsidRPr="00693E24" w:rsidRDefault="00693E24" w:rsidP="00693E24">
            <w:r w:rsidRPr="00693E24">
              <w:t>6.6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2E9D9C5" w14:textId="77777777" w:rsidR="00693E24" w:rsidRPr="00693E24" w:rsidRDefault="00693E24" w:rsidP="00693E24">
            <w:r w:rsidRPr="00693E24">
              <w:t>6.7</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0542307" w14:textId="77777777" w:rsidR="00693E24" w:rsidRPr="00693E24" w:rsidRDefault="00693E24" w:rsidP="00693E24">
            <w:r w:rsidRPr="00693E24">
              <w:t>0.16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6D06975" w14:textId="77777777" w:rsidR="00693E24" w:rsidRPr="00693E24" w:rsidRDefault="00693E24" w:rsidP="00693E24">
            <w:r w:rsidRPr="00693E24">
              <w:t>956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46A83E5" w14:textId="77777777" w:rsidR="00693E24" w:rsidRPr="00693E24" w:rsidRDefault="00693E24" w:rsidP="00693E24">
            <w:r w:rsidRPr="00693E24">
              <w:t>6.6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552E0FA" w14:textId="77777777" w:rsidR="00693E24" w:rsidRPr="00693E24" w:rsidRDefault="00693E24" w:rsidP="00693E24">
            <w:r w:rsidRPr="00693E24">
              <w:t>0.25</w:t>
            </w:r>
          </w:p>
        </w:tc>
      </w:tr>
      <w:tr w:rsidR="00693E24" w:rsidRPr="00693E24" w14:paraId="58ACB2E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09FA200" w14:textId="77777777" w:rsidR="00693E24" w:rsidRPr="00693E24" w:rsidRDefault="00693E24" w:rsidP="00693E24">
            <w:r w:rsidRPr="00693E24">
              <w:t>West,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716A980" w14:textId="77777777" w:rsidR="00693E24" w:rsidRPr="00693E24" w:rsidRDefault="00693E24" w:rsidP="00693E24">
            <w:r w:rsidRPr="00693E24">
              <w:t>6.6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B7162A0" w14:textId="77777777" w:rsidR="00693E24" w:rsidRPr="00693E24" w:rsidRDefault="00693E24" w:rsidP="00693E24">
            <w:r w:rsidRPr="00693E24">
              <w:t>6.9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7E166C6" w14:textId="77777777" w:rsidR="00693E24" w:rsidRPr="00693E24" w:rsidRDefault="00693E24" w:rsidP="00693E24">
            <w:r w:rsidRPr="00693E24">
              <w:t>0.17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D307AD1" w14:textId="77777777" w:rsidR="00693E24" w:rsidRPr="00693E24" w:rsidRDefault="00693E24" w:rsidP="00693E24">
            <w:r w:rsidRPr="00693E24">
              <w:t>968</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7E4894E" w14:textId="77777777" w:rsidR="00693E24" w:rsidRPr="00693E24" w:rsidRDefault="00693E24" w:rsidP="00693E24">
            <w:r w:rsidRPr="00693E24">
              <w:t>6.6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57445F6" w14:textId="77777777" w:rsidR="00693E24" w:rsidRPr="00693E24" w:rsidRDefault="00693E24" w:rsidP="00693E24">
            <w:r w:rsidRPr="00693E24">
              <w:t>0.24</w:t>
            </w:r>
          </w:p>
        </w:tc>
      </w:tr>
      <w:tr w:rsidR="00693E24" w:rsidRPr="00693E24" w14:paraId="426B79E5"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4590FA7" w14:textId="77777777" w:rsidR="00693E24" w:rsidRPr="00693E24" w:rsidRDefault="00693E24" w:rsidP="00693E24">
            <w:r w:rsidRPr="00693E24">
              <w:t>MSA Category, Race/Ethnicity</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7BA668B"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4FC931F"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8A5080B"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E326A87"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F2DC9C1"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AA1F61C" w14:textId="77777777" w:rsidR="00693E24" w:rsidRPr="00693E24" w:rsidRDefault="00693E24" w:rsidP="00693E24"/>
        </w:tc>
      </w:tr>
      <w:tr w:rsidR="00693E24" w:rsidRPr="00693E24" w14:paraId="3A045C7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30302B59" w14:textId="77777777" w:rsidR="00693E24" w:rsidRPr="00693E24" w:rsidRDefault="00693E24" w:rsidP="00693E24">
            <w:r w:rsidRPr="00693E24">
              <w:t>Non-Metro,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2FBB10D" w14:textId="77777777" w:rsidR="00693E24" w:rsidRPr="00693E24" w:rsidRDefault="00693E24" w:rsidP="00693E24">
            <w:r w:rsidRPr="00693E24">
              <w:t>10.8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CC410A5" w14:textId="77777777" w:rsidR="00693E24" w:rsidRPr="00693E24" w:rsidRDefault="00693E24" w:rsidP="00693E24">
            <w:r w:rsidRPr="00693E24">
              <w:t>11.2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8BF6A60" w14:textId="77777777" w:rsidR="00693E24" w:rsidRPr="00693E24" w:rsidRDefault="00693E24" w:rsidP="00693E24">
            <w:r w:rsidRPr="00693E24">
              <w:t>0.22</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0260B5F4" w14:textId="77777777" w:rsidR="00693E24" w:rsidRPr="00693E24" w:rsidRDefault="00693E24" w:rsidP="00693E24">
            <w:r w:rsidRPr="00693E24">
              <w:t>1732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330F348" w14:textId="77777777" w:rsidR="00693E24" w:rsidRPr="00693E24" w:rsidRDefault="00693E24" w:rsidP="00693E24">
            <w:r w:rsidRPr="00693E24">
              <w:t>10.8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7F2005B" w14:textId="77777777" w:rsidR="00693E24" w:rsidRPr="00693E24" w:rsidRDefault="00693E24" w:rsidP="00693E24">
            <w:r w:rsidRPr="00693E24">
              <w:t>0.26</w:t>
            </w:r>
          </w:p>
        </w:tc>
      </w:tr>
      <w:tr w:rsidR="00693E24" w:rsidRPr="00693E24" w14:paraId="4514B2B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545BAD39" w14:textId="77777777" w:rsidR="00693E24" w:rsidRPr="00693E24" w:rsidRDefault="00693E24" w:rsidP="00693E24">
            <w:r w:rsidRPr="00693E24">
              <w:t>Metro, 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C1150CD" w14:textId="77777777" w:rsidR="00693E24" w:rsidRPr="00693E24" w:rsidRDefault="00693E24" w:rsidP="00693E24">
            <w:r w:rsidRPr="00693E24">
              <w:t>51.8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F55B44C" w14:textId="77777777" w:rsidR="00693E24" w:rsidRPr="00693E24" w:rsidRDefault="00693E24" w:rsidP="00693E24">
            <w:r w:rsidRPr="00693E24">
              <w:t>51.4</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5F289B2" w14:textId="77777777" w:rsidR="00693E24" w:rsidRPr="00693E24" w:rsidRDefault="00693E24" w:rsidP="00693E24">
            <w:r w:rsidRPr="00693E24">
              <w:t>0.34</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4995372" w14:textId="77777777" w:rsidR="00693E24" w:rsidRPr="00693E24" w:rsidRDefault="00693E24" w:rsidP="00693E24">
            <w:r w:rsidRPr="00693E24">
              <w:t>8833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792317D3" w14:textId="77777777" w:rsidR="00693E24" w:rsidRPr="00693E24" w:rsidRDefault="00693E24" w:rsidP="00693E24">
            <w:r w:rsidRPr="00693E24">
              <w:t>51.9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255EA92" w14:textId="77777777" w:rsidR="00693E24" w:rsidRPr="00693E24" w:rsidRDefault="00693E24" w:rsidP="00693E24">
            <w:r w:rsidRPr="00693E24">
              <w:t>0.45</w:t>
            </w:r>
          </w:p>
        </w:tc>
      </w:tr>
      <w:tr w:rsidR="00693E24" w:rsidRPr="00693E24" w14:paraId="33DF2535"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4617E700" w14:textId="77777777" w:rsidR="00693E24" w:rsidRPr="00693E24" w:rsidRDefault="00693E24" w:rsidP="00693E24">
            <w:r w:rsidRPr="00693E24">
              <w:t>Non-Metro,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E05B568" w14:textId="77777777" w:rsidR="00693E24" w:rsidRPr="00693E24" w:rsidRDefault="00693E24" w:rsidP="00693E24">
            <w:r w:rsidRPr="00693E24">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C0D186B" w14:textId="77777777" w:rsidR="00693E24" w:rsidRPr="00693E24" w:rsidRDefault="00693E24" w:rsidP="00693E24">
            <w:r w:rsidRPr="00693E24">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D6E9F34"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7DE8208" w14:textId="77777777" w:rsidR="00693E24" w:rsidRPr="00693E24" w:rsidRDefault="00693E24" w:rsidP="00693E24">
            <w:r w:rsidRPr="00693E24">
              <w:t>143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E2F355D" w14:textId="77777777" w:rsidR="00693E24" w:rsidRPr="00693E24" w:rsidRDefault="00693E24" w:rsidP="00693E24">
            <w:r w:rsidRPr="00693E24">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41EFD11" w14:textId="77777777" w:rsidR="00693E24" w:rsidRPr="00693E24" w:rsidRDefault="00693E24" w:rsidP="00693E24">
            <w:r w:rsidRPr="00693E24">
              <w:t>0.10</w:t>
            </w:r>
          </w:p>
        </w:tc>
      </w:tr>
      <w:tr w:rsidR="00693E24" w:rsidRPr="00693E24" w14:paraId="555A42F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12A3264B" w14:textId="77777777" w:rsidR="00693E24" w:rsidRPr="00693E24" w:rsidRDefault="00693E24" w:rsidP="00693E24">
            <w:r w:rsidRPr="00693E24">
              <w:t>Metro, 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800BC07" w14:textId="77777777" w:rsidR="00693E24" w:rsidRPr="00693E24" w:rsidRDefault="00693E24" w:rsidP="00693E24">
            <w:r w:rsidRPr="00693E24">
              <w:t>11.0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F3A1588" w14:textId="77777777" w:rsidR="00693E24" w:rsidRPr="00693E24" w:rsidRDefault="00693E24" w:rsidP="00693E24">
            <w:r w:rsidRPr="00693E24">
              <w:t>11.0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258FD11" w14:textId="77777777" w:rsidR="00693E24" w:rsidRPr="00693E24" w:rsidRDefault="00693E24" w:rsidP="00693E24">
            <w:r w:rsidRPr="00693E24">
              <w:t>0.20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AF135FD" w14:textId="77777777" w:rsidR="00693E24" w:rsidRPr="00693E24" w:rsidRDefault="00693E24" w:rsidP="00693E24">
            <w:r w:rsidRPr="00693E24">
              <w:t>1776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2B10952" w14:textId="77777777" w:rsidR="00693E24" w:rsidRPr="00693E24" w:rsidRDefault="00693E24" w:rsidP="00693E24">
            <w:r w:rsidRPr="00693E24">
              <w:t>11.0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CBF6388" w14:textId="77777777" w:rsidR="00693E24" w:rsidRPr="00693E24" w:rsidRDefault="00693E24" w:rsidP="00693E24">
            <w:r w:rsidRPr="00693E24">
              <w:t>0.29</w:t>
            </w:r>
          </w:p>
        </w:tc>
      </w:tr>
      <w:tr w:rsidR="00693E24" w:rsidRPr="00693E24" w14:paraId="10FE5318"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02C76FDF" w14:textId="77777777" w:rsidR="00693E24" w:rsidRPr="00693E24" w:rsidRDefault="00693E24" w:rsidP="00693E24">
            <w:r w:rsidRPr="00693E24">
              <w:t>Non-Metro,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81B80B3" w14:textId="77777777" w:rsidR="00693E24" w:rsidRPr="00693E24" w:rsidRDefault="00693E24" w:rsidP="00693E24">
            <w:r w:rsidRPr="00693E24">
              <w:t>0.7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2251FD6" w14:textId="77777777" w:rsidR="00693E24" w:rsidRPr="00693E24" w:rsidRDefault="00693E24" w:rsidP="00693E24">
            <w:r w:rsidRPr="00693E24">
              <w:t>0.8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542FFD4" w14:textId="77777777" w:rsidR="00693E24" w:rsidRPr="00693E24" w:rsidRDefault="00693E24" w:rsidP="00693E24">
            <w:r w:rsidRPr="00693E24">
              <w:t>0.06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65D2C80" w14:textId="77777777" w:rsidR="00693E24" w:rsidRPr="00693E24" w:rsidRDefault="00693E24" w:rsidP="00693E24">
            <w:r w:rsidRPr="00693E24">
              <w:t>118</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F810517" w14:textId="77777777" w:rsidR="00693E24" w:rsidRPr="00693E24" w:rsidRDefault="00693E24" w:rsidP="00693E24">
            <w:r w:rsidRPr="00693E24">
              <w:t>0.7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3AD0DFC" w14:textId="77777777" w:rsidR="00693E24" w:rsidRPr="00693E24" w:rsidRDefault="00693E24" w:rsidP="00693E24">
            <w:r w:rsidRPr="00693E24">
              <w:t>0.09</w:t>
            </w:r>
          </w:p>
        </w:tc>
      </w:tr>
      <w:tr w:rsidR="00693E24" w:rsidRPr="00693E24" w14:paraId="68E2F55C"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07C66B55" w14:textId="77777777" w:rsidR="00693E24" w:rsidRPr="00693E24" w:rsidRDefault="00693E24" w:rsidP="00693E24">
            <w:r w:rsidRPr="00693E24">
              <w:t>Metro, Non-Hispanic Other/2+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210446A" w14:textId="77777777" w:rsidR="00693E24" w:rsidRPr="00693E24" w:rsidRDefault="00693E24" w:rsidP="00693E24">
            <w:r w:rsidRPr="00693E24">
              <w:t>8.0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51D7A9D" w14:textId="77777777" w:rsidR="00693E24" w:rsidRPr="00693E24" w:rsidRDefault="00693E24" w:rsidP="00693E24">
            <w:r w:rsidRPr="00693E24">
              <w:t>7.8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6F5A648" w14:textId="77777777" w:rsidR="00693E24" w:rsidRPr="00693E24" w:rsidRDefault="00693E24" w:rsidP="00693E24">
            <w:r w:rsidRPr="00693E24">
              <w:t>0.19</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8F922C6" w14:textId="77777777" w:rsidR="00693E24" w:rsidRPr="00693E24" w:rsidRDefault="00693E24" w:rsidP="00693E24">
            <w:r w:rsidRPr="00693E24">
              <w:t>1162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18B7E145" w14:textId="77777777" w:rsidR="00693E24" w:rsidRPr="00693E24" w:rsidRDefault="00693E24" w:rsidP="00693E24">
            <w:r w:rsidRPr="00693E24">
              <w:t>7.8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149D7A6" w14:textId="77777777" w:rsidR="00693E24" w:rsidRPr="00693E24" w:rsidRDefault="00693E24" w:rsidP="00693E24">
            <w:r w:rsidRPr="00693E24">
              <w:t>0.29</w:t>
            </w:r>
          </w:p>
        </w:tc>
      </w:tr>
      <w:tr w:rsidR="00693E24" w:rsidRPr="00693E24" w14:paraId="4973E5A1"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65EBC680" w14:textId="77777777" w:rsidR="00693E24" w:rsidRPr="00693E24" w:rsidRDefault="00693E24" w:rsidP="00693E24">
            <w:r w:rsidRPr="00693E24">
              <w:t>Non-Metro,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12B14E9" w14:textId="77777777" w:rsidR="00693E24" w:rsidRPr="00693E24" w:rsidRDefault="00693E24" w:rsidP="00693E24">
            <w:r w:rsidRPr="00693E24">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CCE0484" w14:textId="77777777" w:rsidR="00693E24" w:rsidRPr="00693E24" w:rsidRDefault="00693E24" w:rsidP="00693E24">
            <w:r w:rsidRPr="00693E24">
              <w:t>0.9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68FF592" w14:textId="77777777" w:rsidR="00693E24" w:rsidRPr="00693E24" w:rsidRDefault="00693E24" w:rsidP="00693E24">
            <w:r w:rsidRPr="00693E24">
              <w:t>0.07</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6BCCD607" w14:textId="77777777" w:rsidR="00693E24" w:rsidRPr="00693E24" w:rsidRDefault="00693E24" w:rsidP="00693E24">
            <w:r w:rsidRPr="00693E24">
              <w:t>130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C3BAB47" w14:textId="77777777" w:rsidR="00693E24" w:rsidRPr="00693E24" w:rsidRDefault="00693E24" w:rsidP="00693E24">
            <w:r w:rsidRPr="00693E24">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8268974" w14:textId="77777777" w:rsidR="00693E24" w:rsidRPr="00693E24" w:rsidRDefault="00693E24" w:rsidP="00693E24">
            <w:r w:rsidRPr="00693E24">
              <w:t>0.10</w:t>
            </w:r>
          </w:p>
        </w:tc>
      </w:tr>
      <w:tr w:rsidR="00693E24" w:rsidRPr="00693E24" w14:paraId="6EE8EFF6"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E3D3E0E" w14:textId="77777777" w:rsidR="00693E24" w:rsidRPr="00693E24" w:rsidRDefault="00693E24" w:rsidP="00693E24">
            <w:r w:rsidRPr="00693E24">
              <w:t>Metro,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E82A6DC" w14:textId="77777777" w:rsidR="00693E24" w:rsidRPr="00693E24" w:rsidRDefault="00693E24" w:rsidP="00693E24">
            <w:r w:rsidRPr="00693E24">
              <w:t>15.9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547FE7E" w14:textId="77777777" w:rsidR="00693E24" w:rsidRPr="00693E24" w:rsidRDefault="00693E24" w:rsidP="00693E24">
            <w:r w:rsidRPr="00693E24">
              <w:t>15.9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5FB06EE" w14:textId="77777777" w:rsidR="00693E24" w:rsidRPr="00693E24" w:rsidRDefault="00693E24" w:rsidP="00693E24">
            <w:r w:rsidRPr="00693E24">
              <w:t>0.24</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A45CC87" w14:textId="77777777" w:rsidR="00693E24" w:rsidRPr="00693E24" w:rsidRDefault="00693E24" w:rsidP="00693E24">
            <w:r w:rsidRPr="00693E24">
              <w:t>2273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2C41875" w14:textId="77777777" w:rsidR="00693E24" w:rsidRPr="00693E24" w:rsidRDefault="00693E24" w:rsidP="00693E24">
            <w:r w:rsidRPr="00693E24">
              <w:t>15.9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57EB09EF" w14:textId="77777777" w:rsidR="00693E24" w:rsidRPr="00693E24" w:rsidRDefault="00693E24" w:rsidP="00693E24">
            <w:r w:rsidRPr="00693E24">
              <w:t>0.36</w:t>
            </w:r>
          </w:p>
        </w:tc>
      </w:tr>
      <w:tr w:rsidR="00693E24" w:rsidRPr="00693E24" w14:paraId="40DE48BF"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94A9DE9" w14:textId="77777777" w:rsidR="00693E24" w:rsidRPr="00693E24" w:rsidRDefault="00693E24" w:rsidP="00693E24">
            <w:r w:rsidRPr="00693E24">
              <w:t>Race/Ethnicity</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E98E310"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A4BBA8D"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6406F9E"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106C34F"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B7F8F68"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7AD5D3A" w14:textId="77777777" w:rsidR="00693E24" w:rsidRPr="00693E24" w:rsidRDefault="00693E24" w:rsidP="00693E24"/>
        </w:tc>
      </w:tr>
      <w:tr w:rsidR="00693E24" w:rsidRPr="00693E24" w14:paraId="7A786C60"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2A999696" w14:textId="77777777" w:rsidR="00693E24" w:rsidRPr="00693E24" w:rsidRDefault="00693E24" w:rsidP="00693E24">
            <w:r w:rsidRPr="00693E24">
              <w:t>Non-Hispanic White</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132D21B" w14:textId="77777777" w:rsidR="00693E24" w:rsidRPr="00693E24" w:rsidRDefault="00693E24" w:rsidP="00693E24">
            <w:r w:rsidRPr="00693E24">
              <w:t>62.5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5B338F0" w14:textId="77777777" w:rsidR="00693E24" w:rsidRPr="00693E24" w:rsidRDefault="00693E24" w:rsidP="00693E24">
            <w:r w:rsidRPr="00693E24">
              <w:t>62.5</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79C34F0" w14:textId="77777777" w:rsidR="00693E24" w:rsidRPr="00693E24" w:rsidRDefault="00693E24" w:rsidP="00693E24">
            <w:r w:rsidRPr="00693E24">
              <w:t>0.33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3EA7CECD" w14:textId="77777777" w:rsidR="00693E24" w:rsidRPr="00693E24" w:rsidRDefault="00693E24" w:rsidP="00693E24">
            <w:r w:rsidRPr="00693E24">
              <w:t>10565</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6B572CD" w14:textId="77777777" w:rsidR="00693E24" w:rsidRPr="00693E24" w:rsidRDefault="00693E24" w:rsidP="00693E24">
            <w:r w:rsidRPr="00693E24">
              <w:t>62.7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A0204A1" w14:textId="77777777" w:rsidR="00693E24" w:rsidRPr="00693E24" w:rsidRDefault="00693E24" w:rsidP="00693E24">
            <w:r w:rsidRPr="00693E24">
              <w:t>0.45</w:t>
            </w:r>
          </w:p>
        </w:tc>
      </w:tr>
      <w:tr w:rsidR="00693E24" w:rsidRPr="00693E24" w14:paraId="6709F36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8E2A18C" w14:textId="77777777" w:rsidR="00693E24" w:rsidRPr="00693E24" w:rsidRDefault="00693E24" w:rsidP="00693E24">
            <w:r w:rsidRPr="00693E24">
              <w:t>Non-Hispanic Black</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95C6FAC" w14:textId="77777777" w:rsidR="00693E24" w:rsidRPr="00693E24" w:rsidRDefault="00693E24" w:rsidP="00693E24">
            <w:r w:rsidRPr="00693E24">
              <w:t>12.0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A34DE0B" w14:textId="77777777" w:rsidR="00693E24" w:rsidRPr="00693E24" w:rsidRDefault="00693E24" w:rsidP="00693E24">
            <w:r w:rsidRPr="00693E24">
              <w:t>12.0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9372D8E" w14:textId="77777777" w:rsidR="00693E24" w:rsidRPr="00693E24" w:rsidRDefault="00693E24" w:rsidP="00693E24">
            <w:r w:rsidRPr="00693E24">
              <w:t>0.21</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14DB6719" w14:textId="77777777" w:rsidR="00693E24" w:rsidRPr="00693E24" w:rsidRDefault="00693E24" w:rsidP="00693E24">
            <w:r w:rsidRPr="00693E24">
              <w:t>1919</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00EDAA3" w14:textId="77777777" w:rsidR="00693E24" w:rsidRPr="00693E24" w:rsidRDefault="00693E24" w:rsidP="00693E24">
            <w:r w:rsidRPr="00693E24">
              <w:t>12.0</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4E66DAB" w14:textId="77777777" w:rsidR="00693E24" w:rsidRPr="00693E24" w:rsidRDefault="00693E24" w:rsidP="00693E24">
            <w:r w:rsidRPr="00693E24">
              <w:t>0.31</w:t>
            </w:r>
          </w:p>
        </w:tc>
      </w:tr>
      <w:tr w:rsidR="00693E24" w:rsidRPr="00693E24" w14:paraId="12BEB866"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03CC0F7D" w14:textId="77777777" w:rsidR="00693E24" w:rsidRPr="00693E24" w:rsidRDefault="00693E24" w:rsidP="00693E24">
            <w:r w:rsidRPr="00693E24">
              <w:t>Non-Hispanic Asian, Native Hawaiian, Pacific Islander</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67AEA0E" w14:textId="77777777" w:rsidR="00693E24" w:rsidRPr="00693E24" w:rsidRDefault="00693E24" w:rsidP="00693E24">
            <w:r w:rsidRPr="00693E24">
              <w:t>6.4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471E50A" w14:textId="77777777" w:rsidR="00693E24" w:rsidRPr="00693E24" w:rsidRDefault="00693E24" w:rsidP="00693E24">
            <w:r w:rsidRPr="00693E24">
              <w:t>4.0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06C9530" w14:textId="77777777" w:rsidR="00693E24" w:rsidRPr="00693E24" w:rsidRDefault="00693E24" w:rsidP="00693E24">
            <w:r w:rsidRPr="00693E24">
              <w:t>0.13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0A42348" w14:textId="77777777" w:rsidR="00693E24" w:rsidRPr="00693E24" w:rsidRDefault="00693E24" w:rsidP="00693E24">
            <w:r w:rsidRPr="00693E24">
              <w:t>628</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63EA80FB" w14:textId="77777777" w:rsidR="00693E24" w:rsidRPr="00693E24" w:rsidRDefault="00693E24" w:rsidP="00693E24">
            <w:r w:rsidRPr="00693E24">
              <w:t>6.3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366318E4" w14:textId="77777777" w:rsidR="00693E24" w:rsidRPr="00693E24" w:rsidRDefault="00693E24" w:rsidP="00693E24">
            <w:r w:rsidRPr="00693E24">
              <w:t>0.28</w:t>
            </w:r>
          </w:p>
        </w:tc>
      </w:tr>
      <w:tr w:rsidR="00693E24" w:rsidRPr="00693E24" w14:paraId="4263CBDE"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39B4E52A" w14:textId="77777777" w:rsidR="00693E24" w:rsidRPr="00693E24" w:rsidRDefault="00693E24" w:rsidP="00693E24">
            <w:r w:rsidRPr="00693E24">
              <w:t>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BC85A5E" w14:textId="77777777" w:rsidR="00693E24" w:rsidRPr="00693E24" w:rsidRDefault="00693E24" w:rsidP="00693E24">
            <w:r w:rsidRPr="00693E24">
              <w:t>16.9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03FA763" w14:textId="77777777" w:rsidR="00693E24" w:rsidRPr="00693E24" w:rsidRDefault="00693E24" w:rsidP="00693E24">
            <w:r w:rsidRPr="00693E24">
              <w:t>16.9</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5052F59" w14:textId="77777777" w:rsidR="00693E24" w:rsidRPr="00693E24" w:rsidRDefault="00693E24" w:rsidP="00693E24">
            <w:r w:rsidRPr="00693E24">
              <w:t>0.25</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2F62D84" w14:textId="77777777" w:rsidR="00693E24" w:rsidRPr="00693E24" w:rsidRDefault="00693E24" w:rsidP="00693E24">
            <w:r w:rsidRPr="00693E24">
              <w:t>2403</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93D146B" w14:textId="77777777" w:rsidR="00693E24" w:rsidRPr="00693E24" w:rsidRDefault="00693E24" w:rsidP="00693E24">
            <w:r w:rsidRPr="00693E24">
              <w:t>16.9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7452330" w14:textId="77777777" w:rsidR="00693E24" w:rsidRPr="00693E24" w:rsidRDefault="00693E24" w:rsidP="00693E24">
            <w:r w:rsidRPr="00693E24">
              <w:t>0.37</w:t>
            </w:r>
          </w:p>
        </w:tc>
      </w:tr>
      <w:tr w:rsidR="00693E24" w:rsidRPr="00693E24" w14:paraId="2CD5C133"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0990DEEA" w14:textId="77777777" w:rsidR="00693E24" w:rsidRPr="00693E24" w:rsidRDefault="00693E24" w:rsidP="00693E24">
            <w:r w:rsidRPr="00693E24">
              <w:t>Non-Hispanic Other Race/2+ Races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5C473A1" w14:textId="77777777" w:rsidR="00693E24" w:rsidRPr="00693E24" w:rsidRDefault="00693E24" w:rsidP="00693E24">
            <w:r w:rsidRPr="00693E24">
              <w:t>2.2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C9498F1" w14:textId="77777777" w:rsidR="00693E24" w:rsidRPr="00693E24" w:rsidRDefault="00693E24" w:rsidP="00693E24">
            <w:r w:rsidRPr="00693E24">
              <w:t>4.6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BBC2AE5" w14:textId="77777777" w:rsidR="00693E24" w:rsidRPr="00693E24" w:rsidRDefault="00693E24" w:rsidP="00693E24">
            <w:r w:rsidRPr="00693E24">
              <w:t>0.15</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CC668C2" w14:textId="77777777" w:rsidR="00693E24" w:rsidRPr="00693E24" w:rsidRDefault="00693E24" w:rsidP="00693E24">
            <w:r w:rsidRPr="00693E24">
              <w:t>652</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2ADC4F3" w14:textId="77777777" w:rsidR="00693E24" w:rsidRPr="00693E24" w:rsidRDefault="00693E24" w:rsidP="00693E24">
            <w:r w:rsidRPr="00693E24">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F697C64" w14:textId="77777777" w:rsidR="00693E24" w:rsidRPr="00693E24" w:rsidRDefault="00693E24" w:rsidP="00693E24">
            <w:r w:rsidRPr="00693E24">
              <w:t>0.13</w:t>
            </w:r>
          </w:p>
        </w:tc>
      </w:tr>
      <w:tr w:rsidR="00693E24" w:rsidRPr="00693E24" w14:paraId="0DAA526D"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1F619633" w14:textId="77777777" w:rsidR="00693E24" w:rsidRPr="00693E24" w:rsidRDefault="00693E24" w:rsidP="00693E24">
            <w:r w:rsidRPr="00693E24">
              <w:t>Hispanic/Latino Origin</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DCBDFBE" w14:textId="77777777" w:rsidR="00693E24" w:rsidRPr="00693E24" w:rsidRDefault="00693E24" w:rsidP="00693E24"/>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153653A" w14:textId="77777777" w:rsidR="00693E24" w:rsidRPr="00693E24" w:rsidRDefault="00693E24" w:rsidP="00693E24"/>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75F1672" w14:textId="77777777" w:rsidR="00693E24" w:rsidRPr="00693E24" w:rsidRDefault="00693E24" w:rsidP="00693E24"/>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5ECEBFB" w14:textId="77777777" w:rsidR="00693E24" w:rsidRPr="00693E24" w:rsidRDefault="00693E24" w:rsidP="00693E24"/>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0D25CA7D" w14:textId="77777777" w:rsidR="00693E24" w:rsidRPr="00693E24" w:rsidRDefault="00693E24" w:rsidP="00693E24"/>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DD5C9C4" w14:textId="77777777" w:rsidR="00693E24" w:rsidRPr="00693E24" w:rsidRDefault="00693E24" w:rsidP="00693E24"/>
        </w:tc>
      </w:tr>
      <w:tr w:rsidR="00693E24" w:rsidRPr="00693E24" w14:paraId="45AF9E8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5A28DA91" w14:textId="77777777" w:rsidR="00693E24" w:rsidRPr="00693E24" w:rsidRDefault="00693E24" w:rsidP="00693E24">
            <w:r w:rsidRPr="00693E24">
              <w:t>Non-Hispanic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C55C4A4" w14:textId="77777777" w:rsidR="00693E24" w:rsidRPr="00693E24" w:rsidRDefault="00693E24" w:rsidP="00693E24">
            <w:r w:rsidRPr="00693E24">
              <w:t>83.1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165AADC" w14:textId="77777777" w:rsidR="00693E24" w:rsidRPr="00693E24" w:rsidRDefault="00693E24" w:rsidP="00693E24">
            <w:r w:rsidRPr="00693E24">
              <w:t>83.1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4588753" w14:textId="77777777" w:rsidR="00693E24" w:rsidRPr="00693E24" w:rsidRDefault="00693E24" w:rsidP="00693E24">
            <w:r w:rsidRPr="00693E24">
              <w:t>0.25</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34C46FA" w14:textId="77777777" w:rsidR="00693E24" w:rsidRPr="00693E24" w:rsidRDefault="00693E24" w:rsidP="00693E24">
            <w:r w:rsidRPr="00693E24">
              <w:t>13764</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04BDE21" w14:textId="77777777" w:rsidR="00693E24" w:rsidRPr="00693E24" w:rsidRDefault="00693E24" w:rsidP="00693E24">
            <w:r w:rsidRPr="00693E24">
              <w:t>83.1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99574D4" w14:textId="77777777" w:rsidR="00693E24" w:rsidRPr="00693E24" w:rsidRDefault="00693E24" w:rsidP="00693E24">
            <w:r w:rsidRPr="00693E24">
              <w:t>0.37</w:t>
            </w:r>
          </w:p>
        </w:tc>
      </w:tr>
      <w:tr w:rsidR="00693E24" w:rsidRPr="00693E24" w14:paraId="1767261A"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D60FBF3" w14:textId="77777777" w:rsidR="00693E24" w:rsidRPr="00693E24" w:rsidRDefault="00693E24" w:rsidP="00693E24">
            <w:r w:rsidRPr="00693E24">
              <w:t>Mexican,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CAE9CDB" w14:textId="77777777" w:rsidR="00693E24" w:rsidRPr="00693E24" w:rsidRDefault="00693E24" w:rsidP="00693E24">
            <w:r w:rsidRPr="00693E24">
              <w:t>10.2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1C42F8A" w14:textId="77777777" w:rsidR="00693E24" w:rsidRPr="00693E24" w:rsidRDefault="00693E24" w:rsidP="00693E24">
            <w:r w:rsidRPr="00693E24">
              <w:t>10.2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E607A86" w14:textId="77777777" w:rsidR="00693E24" w:rsidRPr="00693E24" w:rsidRDefault="00693E24" w:rsidP="00693E24">
            <w:r w:rsidRPr="00693E24">
              <w:t>0.20</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56496C20" w14:textId="77777777" w:rsidR="00693E24" w:rsidRPr="00693E24" w:rsidRDefault="00693E24" w:rsidP="00693E24">
            <w:r w:rsidRPr="00693E24">
              <w:t>1397</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59C5F4CB" w14:textId="77777777" w:rsidR="00693E24" w:rsidRPr="00693E24" w:rsidRDefault="00693E24" w:rsidP="00693E24">
            <w:r w:rsidRPr="00693E24">
              <w:t>10.2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A4D028A" w14:textId="77777777" w:rsidR="00693E24" w:rsidRPr="00693E24" w:rsidRDefault="00693E24" w:rsidP="00693E24">
            <w:r w:rsidRPr="00693E24">
              <w:t>0.30</w:t>
            </w:r>
          </w:p>
        </w:tc>
      </w:tr>
      <w:tr w:rsidR="00693E24" w:rsidRPr="00693E24" w14:paraId="3D9EB023"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6B2D6F3C" w14:textId="77777777" w:rsidR="00693E24" w:rsidRPr="00693E24" w:rsidRDefault="00693E24" w:rsidP="00693E24">
            <w:r w:rsidRPr="00693E24">
              <w:t>Puerto Rican,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9114F0D" w14:textId="77777777" w:rsidR="00693E24" w:rsidRPr="00693E24" w:rsidRDefault="00693E24" w:rsidP="00693E24">
            <w:r w:rsidRPr="00693E24">
              <w:t>1.5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812821C" w14:textId="77777777" w:rsidR="00693E24" w:rsidRPr="00693E24" w:rsidRDefault="00693E24" w:rsidP="00693E24">
            <w:r w:rsidRPr="00693E24">
              <w:t>1.6</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9164497" w14:textId="77777777" w:rsidR="00693E24" w:rsidRPr="00693E24" w:rsidRDefault="00693E24" w:rsidP="00693E24">
            <w:r w:rsidRPr="00693E24">
              <w:t>0.08</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26521539" w14:textId="77777777" w:rsidR="00693E24" w:rsidRPr="00693E24" w:rsidRDefault="00693E24" w:rsidP="00693E24">
            <w:r w:rsidRPr="00693E24">
              <w:t>246</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3604E04F" w14:textId="77777777" w:rsidR="00693E24" w:rsidRPr="00693E24" w:rsidRDefault="00693E24" w:rsidP="00693E24">
            <w:r w:rsidRPr="00693E24">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741DFDCE" w14:textId="77777777" w:rsidR="00693E24" w:rsidRPr="00693E24" w:rsidRDefault="00693E24" w:rsidP="00693E24">
            <w:r w:rsidRPr="00693E24">
              <w:t>0.11</w:t>
            </w:r>
          </w:p>
        </w:tc>
      </w:tr>
      <w:tr w:rsidR="00693E24" w:rsidRPr="00693E24" w14:paraId="14078094"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0BD80290" w14:textId="77777777" w:rsidR="00693E24" w:rsidRPr="00693E24" w:rsidRDefault="00693E24" w:rsidP="00693E24">
            <w:r w:rsidRPr="00693E24">
              <w:t>Cuban, Hispanic</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8E70B9A" w14:textId="77777777" w:rsidR="00693E24" w:rsidRPr="00693E24" w:rsidRDefault="00693E24" w:rsidP="00693E24">
            <w:r w:rsidRPr="00693E24">
              <w:t>0.8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2B5031D" w14:textId="77777777" w:rsidR="00693E24" w:rsidRPr="00693E24" w:rsidRDefault="00693E24" w:rsidP="00693E24">
            <w:r w:rsidRPr="00693E24">
              <w:t>0.8</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545463B" w14:textId="77777777" w:rsidR="00693E24" w:rsidRPr="00693E24" w:rsidRDefault="00693E24" w:rsidP="00693E24">
            <w:r w:rsidRPr="00693E24">
              <w:t>0.06</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4DA3FEFA" w14:textId="77777777" w:rsidR="00693E24" w:rsidRPr="00693E24" w:rsidRDefault="00693E24" w:rsidP="00693E24">
            <w:r w:rsidRPr="00693E24">
              <w:t>140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2779A9D8" w14:textId="77777777" w:rsidR="00693E24" w:rsidRPr="00693E24" w:rsidRDefault="00693E24" w:rsidP="00693E24">
            <w:r w:rsidRPr="00693E24">
              <w:t>0.8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17581F7" w14:textId="77777777" w:rsidR="00693E24" w:rsidRPr="00693E24" w:rsidRDefault="00693E24" w:rsidP="00693E24">
            <w:r w:rsidRPr="00693E24">
              <w:t>0.09</w:t>
            </w:r>
          </w:p>
        </w:tc>
      </w:tr>
      <w:tr w:rsidR="00693E24" w:rsidRPr="00693E24" w14:paraId="1CA208F7" w14:textId="77777777" w:rsidTr="00E41CE5">
        <w:trPr>
          <w:trHeight w:val="120"/>
        </w:trPr>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EDC68CF" w14:textId="77777777" w:rsidR="00693E24" w:rsidRPr="00693E24" w:rsidRDefault="00693E24" w:rsidP="00693E24">
            <w:r w:rsidRPr="00693E24">
              <w:t>Other, Hispanic Origin</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8ADB7A2" w14:textId="77777777" w:rsidR="00693E24" w:rsidRPr="00693E24" w:rsidRDefault="00693E24" w:rsidP="00693E24">
            <w:r w:rsidRPr="00693E24">
              <w:t>4.3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B6AAFC5" w14:textId="77777777" w:rsidR="00693E24" w:rsidRPr="00693E24" w:rsidRDefault="00693E24" w:rsidP="00693E24">
            <w:r w:rsidRPr="00693E24">
              <w:t>4.3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6E6044F" w14:textId="77777777" w:rsidR="00693E24" w:rsidRPr="00693E24" w:rsidRDefault="00693E24" w:rsidP="00693E24">
            <w:r w:rsidRPr="00693E24">
              <w:t>0.13</w:t>
            </w:r>
          </w:p>
        </w:tc>
        <w:tc>
          <w:tcPr>
            <w:tcW w:w="1171" w:type="dxa"/>
            <w:tcBorders>
              <w:top w:val="single" w:sz="4" w:space="0" w:color="auto"/>
              <w:left w:val="single" w:sz="4" w:space="0" w:color="auto"/>
              <w:bottom w:val="single" w:sz="4" w:space="0" w:color="auto"/>
              <w:right w:val="single" w:sz="4" w:space="0" w:color="auto"/>
            </w:tcBorders>
            <w:shd w:val="clear" w:color="auto" w:fill="auto"/>
            <w:noWrap/>
            <w:hideMark/>
          </w:tcPr>
          <w:p w14:paraId="714052B1" w14:textId="77777777" w:rsidR="00693E24" w:rsidRPr="00693E24" w:rsidRDefault="00693E24" w:rsidP="00693E24">
            <w:r w:rsidRPr="00693E24">
              <w:t>620</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14:paraId="4BB14437" w14:textId="77777777" w:rsidR="00693E24" w:rsidRPr="00693E24" w:rsidRDefault="00693E24" w:rsidP="00693E24">
            <w:r w:rsidRPr="00693E24">
              <w:t>4.3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A92CBD1" w14:textId="77777777" w:rsidR="00693E24" w:rsidRPr="00693E24" w:rsidRDefault="00693E24" w:rsidP="00693E24">
            <w:r w:rsidRPr="00693E24">
              <w:t>0.21</w:t>
            </w:r>
          </w:p>
        </w:tc>
      </w:tr>
    </w:tbl>
    <w:p w14:paraId="0F3E9EC3" w14:textId="77777777" w:rsidR="00693E24" w:rsidRPr="00693E24" w:rsidRDefault="00693E24" w:rsidP="00693E24"/>
    <w:p w14:paraId="53179815" w14:textId="77777777" w:rsidR="00744BE2" w:rsidRPr="00693E24" w:rsidRDefault="00744BE2" w:rsidP="00693E24"/>
    <w:sectPr w:rsidR="00744BE2" w:rsidRPr="00693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66B8" w14:textId="77777777" w:rsidR="00930CD3" w:rsidRDefault="00930CD3" w:rsidP="00744BE2">
      <w:r>
        <w:separator/>
      </w:r>
    </w:p>
  </w:endnote>
  <w:endnote w:type="continuationSeparator" w:id="0">
    <w:p w14:paraId="0157E2F1" w14:textId="77777777" w:rsidR="00930CD3" w:rsidRDefault="00930CD3" w:rsidP="0074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97D1" w14:textId="77777777" w:rsidR="00930CD3" w:rsidRDefault="00930CD3" w:rsidP="00744BE2">
      <w:r>
        <w:separator/>
      </w:r>
    </w:p>
  </w:footnote>
  <w:footnote w:type="continuationSeparator" w:id="0">
    <w:p w14:paraId="34E16D5C" w14:textId="77777777" w:rsidR="00930CD3" w:rsidRDefault="00930CD3" w:rsidP="00744BE2">
      <w:r>
        <w:continuationSeparator/>
      </w:r>
    </w:p>
  </w:footnote>
  <w:footnote w:id="1">
    <w:p w14:paraId="705D46B3" w14:textId="77777777" w:rsidR="00693E24" w:rsidRPr="00693E24" w:rsidRDefault="00693E24" w:rsidP="00693E24">
      <w:r w:rsidRPr="00693E24">
        <w:footnoteRef/>
      </w:r>
      <w:r w:rsidRPr="00693E24">
        <w:t xml:space="preserve"> A random sample of 22,514 panel members was drawn from Ipsos’ KnowledgePanel®. 15,923 responded to the invitation and 9,269 qualified for the survey, yielding a final study completion rate of 70.7% and a qualification rate of 58.2% percent.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3E68"/>
    <w:multiLevelType w:val="hybridMultilevel"/>
    <w:tmpl w:val="7902E5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540475F"/>
    <w:multiLevelType w:val="hybridMultilevel"/>
    <w:tmpl w:val="9404D938"/>
    <w:lvl w:ilvl="0" w:tplc="04090019">
      <w:start w:val="1"/>
      <w:numFmt w:val="lowerLetter"/>
      <w:pStyle w:val="Heading1"/>
      <w:lvlText w:val="%1."/>
      <w:lvlJc w:val="left"/>
      <w:pPr>
        <w:ind w:left="1440" w:hanging="360"/>
      </w:pPr>
      <w:rPr>
        <w:rFonts w:cs="Times New Roman"/>
      </w:rPr>
    </w:lvl>
    <w:lvl w:ilvl="1" w:tplc="04090019">
      <w:start w:val="1"/>
      <w:numFmt w:val="lowerLetter"/>
      <w:pStyle w:val="Heading2"/>
      <w:lvlText w:val="%2."/>
      <w:lvlJc w:val="left"/>
      <w:pPr>
        <w:ind w:left="2160" w:hanging="360"/>
      </w:pPr>
      <w:rPr>
        <w:rFonts w:cs="Times New Roman"/>
      </w:rPr>
    </w:lvl>
    <w:lvl w:ilvl="2" w:tplc="0409001B">
      <w:start w:val="1"/>
      <w:numFmt w:val="lowerRoman"/>
      <w:pStyle w:val="Heading3"/>
      <w:lvlText w:val="%3."/>
      <w:lvlJc w:val="right"/>
      <w:pPr>
        <w:ind w:left="2880" w:hanging="180"/>
      </w:pPr>
      <w:rPr>
        <w:rFonts w:cs="Times New Roman"/>
      </w:rPr>
    </w:lvl>
    <w:lvl w:ilvl="3" w:tplc="0409000F">
      <w:start w:val="1"/>
      <w:numFmt w:val="decimal"/>
      <w:pStyle w:val="Heading4"/>
      <w:lvlText w:val="%4."/>
      <w:lvlJc w:val="left"/>
      <w:pPr>
        <w:ind w:left="3600" w:hanging="360"/>
      </w:pPr>
      <w:rPr>
        <w:rFonts w:cs="Times New Roman"/>
      </w:rPr>
    </w:lvl>
    <w:lvl w:ilvl="4" w:tplc="04090019">
      <w:start w:val="1"/>
      <w:numFmt w:val="lowerLetter"/>
      <w:pStyle w:val="Heading5"/>
      <w:lvlText w:val="%5."/>
      <w:lvlJc w:val="left"/>
      <w:pPr>
        <w:ind w:left="4320" w:hanging="360"/>
      </w:pPr>
      <w:rPr>
        <w:rFonts w:cs="Times New Roman"/>
      </w:rPr>
    </w:lvl>
    <w:lvl w:ilvl="5" w:tplc="0409001B">
      <w:start w:val="1"/>
      <w:numFmt w:val="lowerRoman"/>
      <w:pStyle w:val="Heading6"/>
      <w:lvlText w:val="%6."/>
      <w:lvlJc w:val="right"/>
      <w:pPr>
        <w:ind w:left="5040" w:hanging="180"/>
      </w:pPr>
      <w:rPr>
        <w:rFonts w:cs="Times New Roman"/>
      </w:rPr>
    </w:lvl>
    <w:lvl w:ilvl="6" w:tplc="0409000F">
      <w:start w:val="1"/>
      <w:numFmt w:val="decimal"/>
      <w:pStyle w:val="Heading7"/>
      <w:lvlText w:val="%7."/>
      <w:lvlJc w:val="left"/>
      <w:pPr>
        <w:ind w:left="5760" w:hanging="360"/>
      </w:pPr>
      <w:rPr>
        <w:rFonts w:cs="Times New Roman"/>
      </w:rPr>
    </w:lvl>
    <w:lvl w:ilvl="7" w:tplc="04090019">
      <w:start w:val="1"/>
      <w:numFmt w:val="lowerLetter"/>
      <w:pStyle w:val="Heading8"/>
      <w:lvlText w:val="%8."/>
      <w:lvlJc w:val="left"/>
      <w:pPr>
        <w:ind w:left="6480" w:hanging="360"/>
      </w:pPr>
      <w:rPr>
        <w:rFonts w:cs="Times New Roman"/>
      </w:rPr>
    </w:lvl>
    <w:lvl w:ilvl="8" w:tplc="0409001B">
      <w:start w:val="1"/>
      <w:numFmt w:val="lowerRoman"/>
      <w:pStyle w:val="Heading9"/>
      <w:lvlText w:val="%9."/>
      <w:lvlJc w:val="right"/>
      <w:pPr>
        <w:ind w:left="7200" w:hanging="180"/>
      </w:pPr>
      <w:rPr>
        <w:rFonts w:cs="Times New Roman"/>
      </w:rPr>
    </w:lvl>
  </w:abstractNum>
  <w:num w:numId="1" w16cid:durableId="160043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063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E2"/>
    <w:rsid w:val="00693E24"/>
    <w:rsid w:val="00744BE2"/>
    <w:rsid w:val="00930CD3"/>
    <w:rsid w:val="0094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FA0A"/>
  <w15:chartTrackingRefBased/>
  <w15:docId w15:val="{B9D033C1-254D-4BB7-94C3-BCD84B2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4BE2"/>
    <w:pPr>
      <w:keepNext/>
      <w:keepLines/>
      <w:numPr>
        <w:numId w:val="2"/>
      </w:numPr>
      <w:spacing w:before="24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rsid w:val="00744BE2"/>
    <w:pPr>
      <w:keepNext/>
      <w:keepLines/>
      <w:numPr>
        <w:ilvl w:val="1"/>
        <w:numId w:val="2"/>
      </w:numPr>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744BE2"/>
    <w:pPr>
      <w:keepNext/>
      <w:keepLines/>
      <w:numPr>
        <w:ilvl w:val="2"/>
        <w:numId w:val="2"/>
      </w:numPr>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rsid w:val="00744BE2"/>
    <w:pPr>
      <w:keepNext/>
      <w:keepLines/>
      <w:numPr>
        <w:ilvl w:val="3"/>
        <w:numId w:val="2"/>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744BE2"/>
    <w:pPr>
      <w:keepNext/>
      <w:keepLines/>
      <w:numPr>
        <w:ilvl w:val="4"/>
        <w:numId w:val="2"/>
      </w:numPr>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744BE2"/>
    <w:pPr>
      <w:keepNext/>
      <w:keepLines/>
      <w:numPr>
        <w:ilvl w:val="5"/>
        <w:numId w:val="2"/>
      </w:numPr>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744BE2"/>
    <w:pPr>
      <w:keepNext/>
      <w:keepLines/>
      <w:numPr>
        <w:ilvl w:val="6"/>
        <w:numId w:val="2"/>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744BE2"/>
    <w:pPr>
      <w:keepNext/>
      <w:keepLines/>
      <w:numPr>
        <w:ilvl w:val="7"/>
        <w:numId w:val="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744BE2"/>
    <w:pPr>
      <w:keepNext/>
      <w:keepLines/>
      <w:numPr>
        <w:ilvl w:val="8"/>
        <w:numId w:val="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B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44B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44BE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744BE2"/>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744BE2"/>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744BE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744BE2"/>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744B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44BE2"/>
    <w:rPr>
      <w:rFonts w:asciiTheme="majorHAnsi" w:eastAsiaTheme="majorEastAsia" w:hAnsiTheme="majorHAnsi" w:cstheme="majorBidi"/>
      <w:i/>
      <w:iCs/>
      <w:color w:val="272727" w:themeColor="text1" w:themeTint="D8"/>
      <w:sz w:val="21"/>
      <w:szCs w:val="21"/>
    </w:rPr>
  </w:style>
  <w:style w:type="paragraph" w:customStyle="1" w:styleId="H1">
    <w:name w:val="H1"/>
    <w:basedOn w:val="Heading1"/>
    <w:next w:val="Normal"/>
    <w:link w:val="H1Char"/>
    <w:qFormat/>
    <w:rsid w:val="00744BE2"/>
    <w:pPr>
      <w:numPr>
        <w:numId w:val="0"/>
      </w:numPr>
      <w:spacing w:after="160" w:line="259" w:lineRule="auto"/>
      <w:ind w:left="432" w:hanging="432"/>
      <w:outlineLvl w:val="1"/>
    </w:pPr>
    <w:rPr>
      <w:b/>
      <w:color w:val="000000" w:themeColor="text1"/>
      <w:sz w:val="28"/>
    </w:rPr>
  </w:style>
  <w:style w:type="paragraph" w:customStyle="1" w:styleId="H2">
    <w:name w:val="H2"/>
    <w:basedOn w:val="H1"/>
    <w:next w:val="Normal"/>
    <w:qFormat/>
    <w:rsid w:val="00744BE2"/>
    <w:pPr>
      <w:outlineLvl w:val="2"/>
    </w:pPr>
    <w:rPr>
      <w:bCs/>
      <w:sz w:val="24"/>
    </w:rPr>
  </w:style>
  <w:style w:type="character" w:customStyle="1" w:styleId="H1Char">
    <w:name w:val="H1 Char"/>
    <w:basedOn w:val="DefaultParagraphFont"/>
    <w:link w:val="H1"/>
    <w:rsid w:val="00744BE2"/>
    <w:rPr>
      <w:rFonts w:asciiTheme="majorHAnsi" w:eastAsiaTheme="majorEastAsia" w:hAnsiTheme="majorHAnsi" w:cstheme="majorBidi"/>
      <w:b/>
      <w:color w:val="000000" w:themeColor="text1"/>
      <w:sz w:val="28"/>
      <w:szCs w:val="32"/>
    </w:rPr>
  </w:style>
  <w:style w:type="paragraph" w:styleId="FootnoteText">
    <w:name w:val="footnote text"/>
    <w:basedOn w:val="Normal"/>
    <w:link w:val="FootnoteTextChar"/>
    <w:semiHidden/>
    <w:rsid w:val="00744BE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744BE2"/>
    <w:rPr>
      <w:sz w:val="20"/>
      <w:szCs w:val="20"/>
    </w:rPr>
  </w:style>
  <w:style w:type="character" w:styleId="FootnoteReference">
    <w:name w:val="footnote reference"/>
    <w:basedOn w:val="DefaultParagraphFont"/>
    <w:semiHidden/>
    <w:rsid w:val="00744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Oeltmann, John (CDC/DDPHSIS/CGH/DGHT)</dc:creator>
  <cp:keywords/>
  <dc:description/>
  <cp:lastModifiedBy>Oeltmann, John (CDC/DDPHSIS/CGH/DGHT)</cp:lastModifiedBy>
  <cp:revision>3</cp:revision>
  <dcterms:created xsi:type="dcterms:W3CDTF">2022-11-10T22:23:00Z</dcterms:created>
  <dcterms:modified xsi:type="dcterms:W3CDTF">2023-02-15T23:09:00Z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2022-11-10T22:21:04Z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b62b9504-5b91-421c-a6ab-9f3d6bd76269</vt:lpwstr>
  </property>
  <property fmtid="{D5CDD505-2E9C-101B-9397-08002B2CF9AE}" pid="8" name="MSIP_Label_8af03ff0-41c5-4c41-b55e-fabb8fae94be_ContentBits">
    <vt:lpwstr>0</vt:lpwstr>
  </property>
</Properties>
</file>