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8FFC" w14:textId="284C3D4C" w:rsidR="00BA0CCF" w:rsidRPr="00663787" w:rsidRDefault="00BA0CCF" w:rsidP="00663787">
      <w:pPr>
        <w:pStyle w:val="Heading1"/>
      </w:pPr>
      <w:r w:rsidRPr="00663787">
        <w:t>Supplement</w:t>
      </w:r>
    </w:p>
    <w:p w14:paraId="17F3367B" w14:textId="32032161" w:rsidR="00BA0CCF" w:rsidRDefault="00BA0CCF" w:rsidP="00720CEB"/>
    <w:p w14:paraId="3D24525E" w14:textId="76FAD86E" w:rsidR="00305497" w:rsidRDefault="00305497" w:rsidP="00305497">
      <w:pPr>
        <w:pStyle w:val="Heading2"/>
      </w:pPr>
      <w:r>
        <w:t>Supplementary Methods</w:t>
      </w:r>
    </w:p>
    <w:p w14:paraId="104DDBD1" w14:textId="15F68B1D" w:rsidR="00305497" w:rsidRDefault="00305497" w:rsidP="00305497"/>
    <w:p w14:paraId="71BCD24D" w14:textId="77777777" w:rsidR="00305497" w:rsidRDefault="00305497" w:rsidP="00305497">
      <w:pPr>
        <w:pStyle w:val="Heading3"/>
      </w:pPr>
      <w:r>
        <w:t>Persistent Organic Pollutant Measurement</w:t>
      </w:r>
    </w:p>
    <w:p w14:paraId="323224BF" w14:textId="4EBA9331" w:rsidR="00305497" w:rsidRDefault="00305497" w:rsidP="00305497">
      <w:r>
        <w:t>Plasma samples were analyzed using methods</w:t>
      </w:r>
      <w:r w:rsidR="00F64AB4">
        <w:t xml:space="preserve"> </w:t>
      </w:r>
      <w:r>
        <w:t xml:space="preserve">representing </w:t>
      </w:r>
      <w:r w:rsidRPr="00234E54">
        <w:t xml:space="preserve">a modification of methods presented by </w:t>
      </w:r>
      <w:r>
        <w:t>CDC</w:t>
      </w:r>
      <w:r w:rsidRPr="00234E54">
        <w:t>, 2007</w:t>
      </w:r>
      <w:r>
        <w:t>.</w:t>
      </w:r>
      <w:r>
        <w:fldChar w:fldCharType="begin"/>
      </w:r>
      <w:r w:rsidR="004B5014">
        <w:instrText xml:space="preserve"> ADDIN EN.CITE &lt;EndNote&gt;&lt;Cite&gt;&lt;Author&gt;CDC&lt;/Author&gt;&lt;Year&gt;2007&lt;/Year&gt;&lt;RecNum&gt;3951&lt;/RecNum&gt;&lt;DisplayText&gt;&lt;style face="superscript"&gt;9&lt;/style&gt;&lt;/DisplayText&gt;&lt;record&gt;&lt;rec-number&gt;3951&lt;/rec-number&gt;&lt;foreign-keys&gt;&lt;key app="EN" db-id="d5e9r2rvhfv2sjeffvzppzsgeverer5fs5v9" timestamp="1666700255"&gt;3951&lt;/key&gt;&lt;/foreign-keys&gt;&lt;ref-type name="Government Document"&gt;46&lt;/ref-type&gt;&lt;contributors&gt;&lt;authors&gt;&lt;author&gt;CDC&lt;/author&gt;&lt;/authors&gt;&lt;secondary-authors&gt;&lt;author&gt;Organic Analytical Toxicology Branch&lt;/author&gt;&lt;author&gt;Division of Laboratory Sciences&lt;/author&gt;&lt;author&gt;National Center for Environmental Health&lt;/author&gt;&lt;/secondary-authors&gt;&lt;/contributors&gt;&lt;titles&gt;&lt;title&gt;Laboratory Procedure Manual: Polybrominated diphenyl ethers (PBDEs), Polybrominated Biphenyls (PBBs), Polychlorinated biphenyls and Persistent Pesticides (PPs)&lt;/title&gt;&lt;/titles&gt;&lt;dates&gt;&lt;year&gt;2007&lt;/year&gt;&lt;/dates&gt;&lt;urls&gt;&lt;related-urls&gt;&lt;url&gt;https://www.cdc.gov/nchs/data/nhanes/nhanes_03_04/l28pbe_c_met.pdf&lt;/url&gt;&lt;/related-urls&gt;&lt;/urls&gt;&lt;/record&gt;&lt;/Cite&gt;&lt;/EndNote&gt;</w:instrText>
      </w:r>
      <w:r>
        <w:fldChar w:fldCharType="separate"/>
      </w:r>
      <w:r w:rsidR="004B5014" w:rsidRPr="004B5014">
        <w:rPr>
          <w:noProof/>
          <w:vertAlign w:val="superscript"/>
        </w:rPr>
        <w:t>9</w:t>
      </w:r>
      <w:r>
        <w:fldChar w:fldCharType="end"/>
      </w:r>
      <w:r>
        <w:t xml:space="preserve"> </w:t>
      </w:r>
      <w:r w:rsidR="009058D4">
        <w:t>For t</w:t>
      </w:r>
      <w:r w:rsidR="004F60CF">
        <w:t>his method</w:t>
      </w:r>
      <w:r>
        <w:t xml:space="preserve"> e</w:t>
      </w:r>
      <w:r w:rsidRPr="00F0563C">
        <w:t xml:space="preserve">ach </w:t>
      </w:r>
      <w:r>
        <w:t xml:space="preserve">2 </w:t>
      </w:r>
      <w:r w:rsidRPr="00F0563C">
        <w:t xml:space="preserve">mL </w:t>
      </w:r>
      <w:r>
        <w:t xml:space="preserve">plasma </w:t>
      </w:r>
      <w:r w:rsidRPr="00F0563C">
        <w:t xml:space="preserve">sample </w:t>
      </w:r>
      <w:r w:rsidRPr="00FB1285">
        <w:t xml:space="preserve">was spiked with internal standards using mixtures of labeled PCBs (EC-5325, CIL, </w:t>
      </w:r>
      <w:r w:rsidRPr="00FB1285">
        <w:rPr>
          <w:rFonts w:cs="Arial"/>
        </w:rPr>
        <w:t xml:space="preserve">Andover, MA, USA), </w:t>
      </w:r>
      <w:proofErr w:type="spellStart"/>
      <w:r w:rsidRPr="00FB1285">
        <w:rPr>
          <w:rFonts w:cs="Arial"/>
        </w:rPr>
        <w:t>OCPs</w:t>
      </w:r>
      <w:proofErr w:type="spellEnd"/>
      <w:r w:rsidRPr="00FB1285">
        <w:rPr>
          <w:rFonts w:cs="Arial"/>
        </w:rPr>
        <w:t xml:space="preserve"> </w:t>
      </w:r>
      <w:r w:rsidRPr="00FB1285">
        <w:rPr>
          <w:rFonts w:cs="Arial"/>
          <w:color w:val="000000"/>
        </w:rPr>
        <w:t xml:space="preserve">(ES-5465, CIL, </w:t>
      </w:r>
      <w:r w:rsidRPr="00FB1285">
        <w:rPr>
          <w:rFonts w:cs="Arial"/>
        </w:rPr>
        <w:t>Andover, MA, USA</w:t>
      </w:r>
      <w:r w:rsidRPr="00FB1285">
        <w:rPr>
          <w:rFonts w:cs="Arial"/>
          <w:color w:val="000000"/>
        </w:rPr>
        <w:t>)</w:t>
      </w:r>
      <w:r w:rsidRPr="00FB1285">
        <w:rPr>
          <w:rFonts w:cs="Arial"/>
        </w:rPr>
        <w:t xml:space="preserve">, and </w:t>
      </w:r>
      <w:proofErr w:type="spellStart"/>
      <w:r w:rsidRPr="00FB1285">
        <w:rPr>
          <w:rFonts w:cs="Arial"/>
        </w:rPr>
        <w:t>PBDEs</w:t>
      </w:r>
      <w:proofErr w:type="spellEnd"/>
      <w:r w:rsidRPr="00FB1285">
        <w:rPr>
          <w:rFonts w:cs="Arial"/>
        </w:rPr>
        <w:t xml:space="preserve"> (EO-5277, CIL, Andover, MA, USA)</w:t>
      </w:r>
      <w:r>
        <w:rPr>
          <w:rFonts w:cs="Arial"/>
        </w:rPr>
        <w:t>. R</w:t>
      </w:r>
      <w:r w:rsidRPr="00FB1285">
        <w:rPr>
          <w:rFonts w:cs="Arial"/>
          <w:color w:val="000000" w:themeColor="text1"/>
        </w:rPr>
        <w:t>ecovery standards</w:t>
      </w:r>
      <w:r>
        <w:rPr>
          <w:rFonts w:cs="Arial"/>
          <w:color w:val="000000" w:themeColor="text1"/>
        </w:rPr>
        <w:t xml:space="preserve"> used </w:t>
      </w:r>
      <w:r w:rsidRPr="00FB1285">
        <w:rPr>
          <w:rFonts w:cs="Arial"/>
          <w:vertAlign w:val="superscript"/>
        </w:rPr>
        <w:t>13</w:t>
      </w:r>
      <w:r w:rsidRPr="00FB1285">
        <w:rPr>
          <w:rFonts w:cs="Arial"/>
        </w:rPr>
        <w:t>C</w:t>
      </w:r>
      <w:r w:rsidRPr="00FB1285">
        <w:rPr>
          <w:rFonts w:cs="Arial"/>
          <w:vertAlign w:val="subscript"/>
        </w:rPr>
        <w:t>6</w:t>
      </w:r>
      <w:r w:rsidRPr="00FB1285">
        <w:rPr>
          <w:rFonts w:cs="Arial"/>
        </w:rPr>
        <w:t xml:space="preserve">-TCDD, </w:t>
      </w:r>
      <w:r w:rsidRPr="00FB1285">
        <w:rPr>
          <w:rFonts w:cs="Arial"/>
          <w:vertAlign w:val="superscript"/>
        </w:rPr>
        <w:t>13</w:t>
      </w:r>
      <w:r w:rsidRPr="00FB1285">
        <w:rPr>
          <w:rFonts w:cs="Arial"/>
        </w:rPr>
        <w:t>C</w:t>
      </w:r>
      <w:r w:rsidRPr="00FB1285">
        <w:rPr>
          <w:rFonts w:cs="Arial"/>
          <w:vertAlign w:val="subscript"/>
        </w:rPr>
        <w:t>12</w:t>
      </w:r>
      <w:r w:rsidRPr="00FB1285">
        <w:rPr>
          <w:rFonts w:cs="Arial"/>
        </w:rPr>
        <w:t xml:space="preserve">-CB-208, and </w:t>
      </w:r>
      <w:r w:rsidRPr="00FB1285">
        <w:rPr>
          <w:rFonts w:cs="Arial"/>
          <w:vertAlign w:val="superscript"/>
        </w:rPr>
        <w:t>13</w:t>
      </w:r>
      <w:r w:rsidRPr="00FB1285">
        <w:rPr>
          <w:rFonts w:cs="Arial"/>
        </w:rPr>
        <w:t>C</w:t>
      </w:r>
      <w:r w:rsidRPr="00FB1285">
        <w:rPr>
          <w:rFonts w:cs="Arial"/>
          <w:vertAlign w:val="subscript"/>
        </w:rPr>
        <w:t>12</w:t>
      </w:r>
      <w:r w:rsidRPr="00FB1285">
        <w:rPr>
          <w:rFonts w:cs="Arial"/>
        </w:rPr>
        <w:t>-BDE-139 (CIL, Andover, MA, USA)</w:t>
      </w:r>
      <w:r w:rsidRPr="00FB1285">
        <w:rPr>
          <w:rFonts w:cs="Arial"/>
          <w:color w:val="000000" w:themeColor="text1"/>
        </w:rPr>
        <w:t xml:space="preserve">. </w:t>
      </w:r>
      <w:r w:rsidRPr="00FB1285">
        <w:rPr>
          <w:rFonts w:cs="Arial"/>
          <w:color w:val="000000"/>
        </w:rPr>
        <w:t xml:space="preserve">Native standards </w:t>
      </w:r>
      <w:r w:rsidRPr="00FB1285">
        <w:rPr>
          <w:rFonts w:cs="Arial"/>
          <w:color w:val="000000" w:themeColor="text1"/>
        </w:rPr>
        <w:t xml:space="preserve">(PCBs, EC-5433; </w:t>
      </w:r>
      <w:proofErr w:type="spellStart"/>
      <w:r w:rsidRPr="00FB1285">
        <w:rPr>
          <w:rFonts w:cs="Arial"/>
          <w:color w:val="000000" w:themeColor="text1"/>
        </w:rPr>
        <w:t>OCPs</w:t>
      </w:r>
      <w:proofErr w:type="spellEnd"/>
      <w:r w:rsidRPr="00FB1285">
        <w:rPr>
          <w:rFonts w:cs="Arial"/>
          <w:color w:val="000000" w:themeColor="text1"/>
        </w:rPr>
        <w:t xml:space="preserve">, ES-5467; </w:t>
      </w:r>
      <w:proofErr w:type="spellStart"/>
      <w:r w:rsidRPr="00FB1285">
        <w:rPr>
          <w:rFonts w:cs="Arial"/>
          <w:color w:val="000000" w:themeColor="text1"/>
        </w:rPr>
        <w:t>PBDEs</w:t>
      </w:r>
      <w:proofErr w:type="spellEnd"/>
      <w:r w:rsidRPr="00FB1285">
        <w:rPr>
          <w:rFonts w:cs="Arial"/>
          <w:color w:val="000000" w:themeColor="text1"/>
        </w:rPr>
        <w:t xml:space="preserve">, EO-5103; CIL, </w:t>
      </w:r>
      <w:r w:rsidRPr="00FB1285">
        <w:rPr>
          <w:rFonts w:cs="Arial"/>
        </w:rPr>
        <w:t>Andover, MA, USA</w:t>
      </w:r>
      <w:r w:rsidRPr="00FB1285">
        <w:rPr>
          <w:rFonts w:cs="Arial"/>
          <w:color w:val="000000" w:themeColor="text1"/>
        </w:rPr>
        <w:t xml:space="preserve">) </w:t>
      </w:r>
      <w:r w:rsidRPr="00FB1285">
        <w:rPr>
          <w:rFonts w:cs="Arial"/>
          <w:color w:val="000000"/>
        </w:rPr>
        <w:t xml:space="preserve">were used for calibration and method validation. </w:t>
      </w:r>
      <w:r w:rsidRPr="00FB1285">
        <w:rPr>
          <w:rFonts w:cs="Arial"/>
        </w:rPr>
        <w:t>Liquid-liquid extraction</w:t>
      </w:r>
      <w:r>
        <w:rPr>
          <w:rFonts w:cs="Arial"/>
        </w:rPr>
        <w:t>s</w:t>
      </w:r>
      <w:r w:rsidRPr="00FB1285">
        <w:rPr>
          <w:rFonts w:cs="Arial"/>
        </w:rPr>
        <w:t xml:space="preserve"> used a hexane/</w:t>
      </w:r>
      <w:r w:rsidR="002B54D0" w:rsidRPr="002B54D0">
        <w:rPr>
          <w:rFonts w:cs="Arial"/>
        </w:rPr>
        <w:t>methyl tert-butyl ether</w:t>
      </w:r>
      <w:r w:rsidR="0042645C" w:rsidRPr="0042645C">
        <w:rPr>
          <w:rFonts w:cs="Arial"/>
        </w:rPr>
        <w:t xml:space="preserve"> </w:t>
      </w:r>
      <w:r w:rsidRPr="00FB1285">
        <w:rPr>
          <w:rFonts w:cs="Arial"/>
        </w:rPr>
        <w:t>mixture (</w:t>
      </w:r>
      <w:r w:rsidRPr="002D345B">
        <w:rPr>
          <w:rFonts w:cs="Arial"/>
        </w:rPr>
        <w:t>1:1</w:t>
      </w:r>
      <w:r w:rsidRPr="00FB1285">
        <w:rPr>
          <w:rFonts w:cs="Arial"/>
        </w:rPr>
        <w:t xml:space="preserve"> v/v, Fisher Scientific, Fair Lawn, NJ, USA), and the extract was concentrated and prepared for cleanup using solid-phase extraction silica (</w:t>
      </w:r>
      <w:r w:rsidRPr="00FB1285">
        <w:rPr>
          <w:rFonts w:eastAsia="Malgun Gothic" w:cs="Arial"/>
          <w:lang w:eastAsia="ko-KR"/>
        </w:rPr>
        <w:t xml:space="preserve">Sep-Pak® Vac </w:t>
      </w:r>
      <w:r w:rsidRPr="00FB1285">
        <w:rPr>
          <w:rFonts w:cs="Arial"/>
        </w:rPr>
        <w:t xml:space="preserve">1 cc/50 mg, Waters Corporation, Milford, MA, USA) and </w:t>
      </w:r>
      <w:proofErr w:type="spellStart"/>
      <w:r w:rsidRPr="00FB1285">
        <w:rPr>
          <w:rFonts w:cs="Arial"/>
        </w:rPr>
        <w:t>Florisil</w:t>
      </w:r>
      <w:proofErr w:type="spellEnd"/>
      <w:r w:rsidRPr="00FB1285">
        <w:rPr>
          <w:rFonts w:cs="Arial"/>
        </w:rPr>
        <w:t xml:space="preserve"> (</w:t>
      </w:r>
      <w:r w:rsidRPr="00FB1285">
        <w:rPr>
          <w:rFonts w:eastAsia="Malgun Gothic" w:cs="Arial"/>
          <w:lang w:eastAsia="ko-KR"/>
        </w:rPr>
        <w:t xml:space="preserve">Sep-Pak® Plus, </w:t>
      </w:r>
      <w:r w:rsidRPr="00FB1285">
        <w:rPr>
          <w:rFonts w:cs="Arial"/>
        </w:rPr>
        <w:t>Waters Corporation, Milford, MA, USA) cartridges, both under vacuum, with a hexane/dichloromethane mixture (</w:t>
      </w:r>
      <w:r w:rsidRPr="002D345B">
        <w:rPr>
          <w:rFonts w:cs="Arial"/>
        </w:rPr>
        <w:t>1:1</w:t>
      </w:r>
      <w:r w:rsidRPr="00FB1285">
        <w:rPr>
          <w:rFonts w:cs="Arial"/>
        </w:rPr>
        <w:t xml:space="preserve"> v/v, Fisher Scientific, Fair Lawn, NJ, USA) mixture </w:t>
      </w:r>
      <w:r>
        <w:rPr>
          <w:rFonts w:cs="Arial"/>
        </w:rPr>
        <w:t xml:space="preserve">added </w:t>
      </w:r>
      <w:r w:rsidRPr="00FB1285">
        <w:rPr>
          <w:rFonts w:cs="Arial"/>
        </w:rPr>
        <w:t>to elute the desired compounds. These cartridges, selected to improve consistency between samples and to minimize background levels, were pre-cleaned with a hexane/dichloromethane mixture, and then conditioned with hexane. The eluate was concentrated to 100 µL under nitrogen gas blowdown. After transfer to an insert and a GC vial, 2 µL sample</w:t>
      </w:r>
      <w:r>
        <w:rPr>
          <w:rFonts w:cs="Arial"/>
        </w:rPr>
        <w:t>s</w:t>
      </w:r>
      <w:r w:rsidRPr="00FB1285">
        <w:rPr>
          <w:rFonts w:cs="Arial"/>
        </w:rPr>
        <w:t xml:space="preserve"> w</w:t>
      </w:r>
      <w:r>
        <w:rPr>
          <w:rFonts w:cs="Arial"/>
        </w:rPr>
        <w:t>ere</w:t>
      </w:r>
      <w:r w:rsidRPr="00FB1285">
        <w:rPr>
          <w:rFonts w:cs="Arial"/>
        </w:rPr>
        <w:t xml:space="preserve"> injected into the </w:t>
      </w:r>
      <w:r w:rsidRPr="00FB1285">
        <w:rPr>
          <w:rFonts w:cs="Arial"/>
          <w:color w:val="000000" w:themeColor="text1"/>
          <w:lang w:val="fr-FR"/>
        </w:rPr>
        <w:t xml:space="preserve">GC-MS/MS (Agilent 7890B/7010B, </w:t>
      </w:r>
      <w:r w:rsidRPr="00FB1285">
        <w:rPr>
          <w:rFonts w:cs="Arial"/>
        </w:rPr>
        <w:t>Agilent Technologies, Santa Clara, CA, USA</w:t>
      </w:r>
      <w:r w:rsidRPr="00FB1285">
        <w:rPr>
          <w:rFonts w:cs="Arial"/>
          <w:color w:val="000000" w:themeColor="text1"/>
          <w:lang w:val="fr-FR"/>
        </w:rPr>
        <w:t xml:space="preserve">) </w:t>
      </w:r>
      <w:proofErr w:type="spellStart"/>
      <w:r w:rsidRPr="00FB1285">
        <w:rPr>
          <w:rFonts w:cs="Arial"/>
          <w:color w:val="000000" w:themeColor="text1"/>
          <w:lang w:val="fr-FR"/>
        </w:rPr>
        <w:t>equipped</w:t>
      </w:r>
      <w:proofErr w:type="spellEnd"/>
      <w:r w:rsidRPr="00FB1285">
        <w:rPr>
          <w:rFonts w:cs="Arial"/>
          <w:color w:val="000000" w:themeColor="text1"/>
          <w:lang w:val="fr-FR"/>
        </w:rPr>
        <w:t xml:space="preserve"> </w:t>
      </w:r>
      <w:proofErr w:type="spellStart"/>
      <w:r w:rsidRPr="00FB1285">
        <w:rPr>
          <w:rFonts w:cs="Arial"/>
          <w:color w:val="000000" w:themeColor="text1"/>
          <w:lang w:val="fr-FR"/>
        </w:rPr>
        <w:t>with</w:t>
      </w:r>
      <w:proofErr w:type="spellEnd"/>
      <w:r w:rsidRPr="00FB1285">
        <w:rPr>
          <w:rFonts w:cs="Arial"/>
          <w:color w:val="000000" w:themeColor="text1"/>
          <w:lang w:val="fr-FR"/>
        </w:rPr>
        <w:t xml:space="preserve"> </w:t>
      </w:r>
      <w:r w:rsidRPr="00FB1285">
        <w:rPr>
          <w:rFonts w:cs="Arial"/>
          <w:lang w:val="fr-FR"/>
        </w:rPr>
        <w:t xml:space="preserve">a DB-5MS </w:t>
      </w:r>
      <w:proofErr w:type="spellStart"/>
      <w:r w:rsidRPr="00FB1285">
        <w:rPr>
          <w:rFonts w:cs="Arial"/>
          <w:lang w:val="fr-FR"/>
        </w:rPr>
        <w:t>column</w:t>
      </w:r>
      <w:proofErr w:type="spellEnd"/>
      <w:r w:rsidRPr="00FB1285">
        <w:rPr>
          <w:rFonts w:cs="Arial"/>
          <w:lang w:val="fr-FR"/>
        </w:rPr>
        <w:t xml:space="preserve"> (30 m </w:t>
      </w:r>
      <w:proofErr w:type="spellStart"/>
      <w:r w:rsidRPr="00FB1285">
        <w:rPr>
          <w:rFonts w:cs="Arial"/>
          <w:lang w:val="fr-FR"/>
        </w:rPr>
        <w:t>length</w:t>
      </w:r>
      <w:proofErr w:type="spellEnd"/>
      <w:r w:rsidRPr="00FB1285">
        <w:rPr>
          <w:rFonts w:cs="Arial"/>
          <w:lang w:val="fr-FR"/>
        </w:rPr>
        <w:t xml:space="preserve">, 0.25 mm </w:t>
      </w:r>
      <w:proofErr w:type="spellStart"/>
      <w:r w:rsidRPr="00FB1285">
        <w:rPr>
          <w:rFonts w:cs="Arial"/>
          <w:lang w:val="fr-FR"/>
        </w:rPr>
        <w:t>inner</w:t>
      </w:r>
      <w:proofErr w:type="spellEnd"/>
      <w:r w:rsidRPr="00FB1285">
        <w:rPr>
          <w:rFonts w:cs="Arial"/>
          <w:lang w:val="fr-FR"/>
        </w:rPr>
        <w:t xml:space="preserve"> </w:t>
      </w:r>
      <w:proofErr w:type="spellStart"/>
      <w:r w:rsidRPr="00FB1285">
        <w:rPr>
          <w:rFonts w:cs="Arial"/>
          <w:lang w:val="fr-FR"/>
        </w:rPr>
        <w:t>diameter</w:t>
      </w:r>
      <w:proofErr w:type="spellEnd"/>
      <w:r w:rsidRPr="00FB1285">
        <w:rPr>
          <w:lang w:val="fr-FR"/>
        </w:rPr>
        <w:t xml:space="preserve">, 0.25 </w:t>
      </w:r>
      <w:r w:rsidRPr="00FB1285">
        <w:t>μ</w:t>
      </w:r>
      <w:r w:rsidRPr="00FB1285">
        <w:rPr>
          <w:lang w:val="fr-FR"/>
        </w:rPr>
        <w:t xml:space="preserve">m film </w:t>
      </w:r>
      <w:proofErr w:type="spellStart"/>
      <w:r w:rsidRPr="00FB1285">
        <w:rPr>
          <w:lang w:val="fr-FR"/>
        </w:rPr>
        <w:t>thickness</w:t>
      </w:r>
      <w:proofErr w:type="spellEnd"/>
      <w:r w:rsidRPr="00FB1285">
        <w:rPr>
          <w:lang w:val="fr-FR"/>
        </w:rPr>
        <w:t xml:space="preserve">, </w:t>
      </w:r>
      <w:proofErr w:type="spellStart"/>
      <w:r w:rsidRPr="00FB1285">
        <w:rPr>
          <w:lang w:val="fr-FR"/>
        </w:rPr>
        <w:t>J&amp;W</w:t>
      </w:r>
      <w:proofErr w:type="spellEnd"/>
      <w:r w:rsidRPr="00FB1285">
        <w:rPr>
          <w:lang w:val="fr-FR"/>
        </w:rPr>
        <w:t xml:space="preserve"> Scientific, </w:t>
      </w:r>
      <w:r w:rsidRPr="00FB1285">
        <w:rPr>
          <w:rFonts w:cs="Arial"/>
        </w:rPr>
        <w:t xml:space="preserve">Folsom, CA, </w:t>
      </w:r>
      <w:r w:rsidRPr="00FB1285">
        <w:rPr>
          <w:rFonts w:eastAsia="Malgun Gothic" w:cs="Arial"/>
          <w:lang w:eastAsia="ko-KR"/>
        </w:rPr>
        <w:t>USA</w:t>
      </w:r>
      <w:r w:rsidRPr="00FB1285">
        <w:rPr>
          <w:lang w:val="fr-FR"/>
        </w:rPr>
        <w:t>)</w:t>
      </w:r>
      <w:r w:rsidRPr="00FB1285">
        <w:t xml:space="preserve"> for separation. </w:t>
      </w:r>
      <w:r w:rsidRPr="00FB1285">
        <w:rPr>
          <w:color w:val="000000" w:themeColor="text1"/>
        </w:rPr>
        <w:t>Helium was used as the carrier gas (</w:t>
      </w:r>
      <w:r w:rsidRPr="00FB1285">
        <w:t xml:space="preserve">0.7 mL/min) and methane as the MS reagent gas. </w:t>
      </w:r>
      <w:r w:rsidRPr="00FB1285">
        <w:rPr>
          <w:color w:val="000000" w:themeColor="text1"/>
        </w:rPr>
        <w:t xml:space="preserve">The mass-selective detector operated in </w:t>
      </w:r>
      <w:proofErr w:type="spellStart"/>
      <w:r w:rsidRPr="00FB1285">
        <w:rPr>
          <w:rFonts w:cs="Times New Roman"/>
          <w:color w:val="000000" w:themeColor="text1"/>
          <w:lang w:val="fr-FR"/>
        </w:rPr>
        <w:t>electron</w:t>
      </w:r>
      <w:proofErr w:type="spellEnd"/>
      <w:r w:rsidRPr="00FB1285">
        <w:rPr>
          <w:rFonts w:cs="Times New Roman"/>
          <w:color w:val="000000" w:themeColor="text1"/>
          <w:lang w:val="fr-FR"/>
        </w:rPr>
        <w:t xml:space="preserve"> impact</w:t>
      </w:r>
      <w:r w:rsidRPr="00FB1285">
        <w:rPr>
          <w:color w:val="000000" w:themeColor="text1"/>
        </w:rPr>
        <w:t xml:space="preserve"> mode set for selected ion using an</w:t>
      </w:r>
      <w:r w:rsidRPr="00FB1285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Pr="00FB1285">
        <w:rPr>
          <w:rFonts w:cs="Times New Roman"/>
          <w:color w:val="000000" w:themeColor="text1"/>
          <w:lang w:val="fr-FR"/>
        </w:rPr>
        <w:t>ionization</w:t>
      </w:r>
      <w:proofErr w:type="spellEnd"/>
      <w:r w:rsidRPr="00FB1285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Pr="00FB1285">
        <w:rPr>
          <w:rFonts w:cs="Times New Roman"/>
          <w:color w:val="000000" w:themeColor="text1"/>
          <w:lang w:val="fr-FR"/>
        </w:rPr>
        <w:t>energy</w:t>
      </w:r>
      <w:proofErr w:type="spellEnd"/>
      <w:r w:rsidRPr="00FB1285">
        <w:rPr>
          <w:rFonts w:cs="Times New Roman"/>
          <w:color w:val="000000" w:themeColor="text1"/>
          <w:lang w:val="fr-FR"/>
        </w:rPr>
        <w:t xml:space="preserve"> of 38 eV and the </w:t>
      </w:r>
      <w:proofErr w:type="spellStart"/>
      <w:r w:rsidRPr="00FB1285">
        <w:rPr>
          <w:rFonts w:cs="Times New Roman"/>
          <w:color w:val="000000" w:themeColor="text1"/>
          <w:lang w:val="fr-FR"/>
        </w:rPr>
        <w:t>d</w:t>
      </w:r>
      <w:r w:rsidRPr="00FB1285">
        <w:rPr>
          <w:color w:val="000000" w:themeColor="text1"/>
          <w:lang w:val="fr-FR"/>
        </w:rPr>
        <w:t>ynamic</w:t>
      </w:r>
      <w:proofErr w:type="spellEnd"/>
      <w:r w:rsidRPr="00FB1285">
        <w:rPr>
          <w:color w:val="000000" w:themeColor="text1"/>
          <w:lang w:val="fr-FR"/>
        </w:rPr>
        <w:t xml:space="preserve"> multiple </w:t>
      </w:r>
      <w:proofErr w:type="spellStart"/>
      <w:r w:rsidRPr="00FB1285">
        <w:rPr>
          <w:color w:val="000000" w:themeColor="text1"/>
          <w:lang w:val="fr-FR"/>
        </w:rPr>
        <w:t>reaction</w:t>
      </w:r>
      <w:proofErr w:type="spellEnd"/>
      <w:r w:rsidRPr="00FB1285">
        <w:rPr>
          <w:color w:val="000000" w:themeColor="text1"/>
          <w:lang w:val="fr-FR"/>
        </w:rPr>
        <w:t xml:space="preserve"> monitoring (</w:t>
      </w:r>
      <w:proofErr w:type="spellStart"/>
      <w:r w:rsidRPr="00FB1285">
        <w:rPr>
          <w:color w:val="000000" w:themeColor="text1"/>
          <w:lang w:val="fr-FR"/>
        </w:rPr>
        <w:t>MRM</w:t>
      </w:r>
      <w:proofErr w:type="spellEnd"/>
      <w:r w:rsidRPr="00FB1285">
        <w:rPr>
          <w:color w:val="000000" w:themeColor="text1"/>
          <w:lang w:val="fr-FR"/>
        </w:rPr>
        <w:t xml:space="preserve">) mode to </w:t>
      </w:r>
      <w:proofErr w:type="spellStart"/>
      <w:r w:rsidRPr="00FB1285">
        <w:rPr>
          <w:color w:val="000000" w:themeColor="text1"/>
          <w:lang w:val="fr-FR"/>
        </w:rPr>
        <w:t>enhance</w:t>
      </w:r>
      <w:proofErr w:type="spellEnd"/>
      <w:r w:rsidRPr="00FB1285">
        <w:rPr>
          <w:color w:val="000000" w:themeColor="text1"/>
          <w:lang w:val="fr-FR"/>
        </w:rPr>
        <w:t xml:space="preserve"> </w:t>
      </w:r>
      <w:proofErr w:type="spellStart"/>
      <w:r w:rsidRPr="00FB1285">
        <w:rPr>
          <w:color w:val="000000" w:themeColor="text1"/>
          <w:lang w:val="fr-FR"/>
        </w:rPr>
        <w:t>sensitivity</w:t>
      </w:r>
      <w:proofErr w:type="spellEnd"/>
      <w:r w:rsidRPr="00FB1285">
        <w:rPr>
          <w:color w:val="000000" w:themeColor="text1"/>
          <w:lang w:val="fr-FR"/>
        </w:rPr>
        <w:t xml:space="preserve">. </w:t>
      </w:r>
      <w:r w:rsidRPr="00FB1285">
        <w:t xml:space="preserve">Each run used multiple time windows to scan only a few m/z ions at a given retention time. The method was developed and verified for a suite of 60 PCBs, 20 </w:t>
      </w:r>
      <w:proofErr w:type="spellStart"/>
      <w:r w:rsidR="00310038">
        <w:t>OCPs</w:t>
      </w:r>
      <w:proofErr w:type="spellEnd"/>
      <w:r w:rsidRPr="00FB1285">
        <w:t xml:space="preserve"> and 12 </w:t>
      </w:r>
      <w:proofErr w:type="spellStart"/>
      <w:r w:rsidR="006F7584">
        <w:t>PBDEs</w:t>
      </w:r>
      <w:proofErr w:type="spellEnd"/>
      <w:r w:rsidRPr="00FB1285">
        <w:t>.</w:t>
      </w:r>
      <w:r>
        <w:t xml:space="preserve"> </w:t>
      </w:r>
    </w:p>
    <w:p w14:paraId="48B8926F" w14:textId="77777777" w:rsidR="00305497" w:rsidRDefault="00305497" w:rsidP="00305497"/>
    <w:p w14:paraId="6BD682C0" w14:textId="77777777" w:rsidR="00305497" w:rsidRPr="009274BA" w:rsidRDefault="00305497" w:rsidP="00305497">
      <w:pPr>
        <w:pStyle w:val="Heading3"/>
      </w:pPr>
      <w:r w:rsidRPr="009274BA">
        <w:t>Quality Assurance Procedures</w:t>
      </w:r>
    </w:p>
    <w:p w14:paraId="1F6300C7" w14:textId="147D8915" w:rsidR="00305497" w:rsidRPr="00162B3E" w:rsidRDefault="00305497" w:rsidP="00305497">
      <w:pPr>
        <w:rPr>
          <w:rFonts w:cs="Arial"/>
        </w:rPr>
      </w:pPr>
      <w:r>
        <w:t>Quality assurance</w:t>
      </w:r>
      <w:r w:rsidR="00CB7AE8">
        <w:t xml:space="preserve"> </w:t>
      </w:r>
      <w:r>
        <w:t>activities</w:t>
      </w:r>
      <w:r w:rsidR="0042645C">
        <w:t xml:space="preserve"> </w:t>
      </w:r>
      <w:r w:rsidRPr="006F7584">
        <w:t>i</w:t>
      </w:r>
      <w:r>
        <w:t>ncluded us</w:t>
      </w:r>
      <w:r w:rsidR="0042645C">
        <w:t>ing</w:t>
      </w:r>
      <w:r>
        <w:t xml:space="preserve"> authentic standards (certified surrogate and calibration standard solutions), blanks, matrix spikes, duplicates, and analyses of standard reference materials. To minimize blank contamination, a</w:t>
      </w:r>
      <w:r w:rsidRPr="009274BA">
        <w:t xml:space="preserve">ll glassware, consumables, and evaporator attachments </w:t>
      </w:r>
      <w:r>
        <w:t>were</w:t>
      </w:r>
      <w:r w:rsidRPr="009274BA">
        <w:t xml:space="preserve"> </w:t>
      </w:r>
      <w:r>
        <w:t xml:space="preserve">rinsed with hexane and </w:t>
      </w:r>
      <w:r w:rsidRPr="009274BA">
        <w:t xml:space="preserve">baked overnight </w:t>
      </w:r>
      <w:r w:rsidR="0042645C">
        <w:t>before</w:t>
      </w:r>
      <w:r w:rsidRPr="009274BA">
        <w:t xml:space="preserve"> use. </w:t>
      </w:r>
      <w:r>
        <w:t>Target compounds were detected at mostly trace levels, except</w:t>
      </w:r>
      <w:r w:rsidR="0042645C">
        <w:t xml:space="preserve"> for</w:t>
      </w:r>
      <w:r>
        <w:t xml:space="preserve"> the more volatile PCBs</w:t>
      </w:r>
      <w:r w:rsidR="0042645C">
        <w:t xml:space="preserve">, which </w:t>
      </w:r>
      <w:r>
        <w:t>were found at intermediate levels. I</w:t>
      </w:r>
      <w:r w:rsidRPr="009274BA">
        <w:t>nternal and calibration standard solution preparation and spiking</w:t>
      </w:r>
      <w:r>
        <w:t xml:space="preserve"> used </w:t>
      </w:r>
      <w:r w:rsidRPr="009274BA">
        <w:t xml:space="preserve">only designated micro-syringes. Solvent blends </w:t>
      </w:r>
      <w:r>
        <w:t>were</w:t>
      </w:r>
      <w:r w:rsidRPr="009274BA">
        <w:t xml:space="preserve"> made </w:t>
      </w:r>
      <w:r w:rsidR="0042645C">
        <w:t xml:space="preserve">on the </w:t>
      </w:r>
      <w:r w:rsidRPr="009274BA">
        <w:t xml:space="preserve">day of use from identified and tracked reagents. </w:t>
      </w:r>
      <w:r>
        <w:t xml:space="preserve">We utilized multiple blanks, </w:t>
      </w:r>
      <w:r w:rsidR="0042645C" w:rsidRPr="0042645C">
        <w:t xml:space="preserve">National Institute of Standards and Technology </w:t>
      </w:r>
      <w:r w:rsidR="0042645C">
        <w:t>(</w:t>
      </w:r>
      <w:r>
        <w:t>NIST</w:t>
      </w:r>
      <w:r w:rsidR="0042645C">
        <w:t>)</w:t>
      </w:r>
      <w:r>
        <w:t xml:space="preserve"> reference standard materials (</w:t>
      </w:r>
      <w:proofErr w:type="spellStart"/>
      <w:r>
        <w:t>RSMs</w:t>
      </w:r>
      <w:proofErr w:type="spellEnd"/>
      <w:r>
        <w:t>), and calibration check samples in each sequence (20-40 samples</w:t>
      </w:r>
      <w:r w:rsidR="0042645C">
        <w:t>) and</w:t>
      </w:r>
      <w:r>
        <w:t xml:space="preserve"> checked c</w:t>
      </w:r>
      <w:r w:rsidRPr="009274BA">
        <w:t xml:space="preserve">alibration within </w:t>
      </w:r>
      <w:r>
        <w:t xml:space="preserve">each </w:t>
      </w:r>
      <w:r w:rsidRPr="009274BA">
        <w:t>sequence</w:t>
      </w:r>
      <w:r w:rsidRPr="00203686">
        <w:t xml:space="preserve">. Background and matrix effects </w:t>
      </w:r>
      <w:r>
        <w:t xml:space="preserve">were </w:t>
      </w:r>
      <w:r w:rsidRPr="00203686">
        <w:t>determined using</w:t>
      </w:r>
      <w:r>
        <w:t xml:space="preserve"> fetal bovine serum blanks. </w:t>
      </w:r>
      <w:r w:rsidR="0042645C" w:rsidRPr="00162B3E">
        <w:rPr>
          <w:rFonts w:cs="Arial"/>
        </w:rPr>
        <w:t>Six- and seven-point</w:t>
      </w:r>
      <w:r w:rsidRPr="00162B3E">
        <w:rPr>
          <w:rFonts w:cs="Arial"/>
        </w:rPr>
        <w:t xml:space="preserve"> calibration curves were developed </w:t>
      </w:r>
      <w:r w:rsidR="006F7584">
        <w:rPr>
          <w:rFonts w:cs="Arial"/>
        </w:rPr>
        <w:t xml:space="preserve">using certified </w:t>
      </w:r>
      <w:r w:rsidRPr="00162B3E">
        <w:rPr>
          <w:rFonts w:cs="Arial"/>
        </w:rPr>
        <w:t xml:space="preserve">standards. </w:t>
      </w:r>
      <w:r>
        <w:rPr>
          <w:rFonts w:cs="Arial"/>
        </w:rPr>
        <w:t>L</w:t>
      </w:r>
      <w:r w:rsidRPr="00162B3E">
        <w:rPr>
          <w:rFonts w:cs="Arial"/>
          <w:szCs w:val="22"/>
        </w:rPr>
        <w:t>inear calibration curve</w:t>
      </w:r>
      <w:r>
        <w:rPr>
          <w:rFonts w:cs="Arial"/>
          <w:szCs w:val="22"/>
        </w:rPr>
        <w:t>s</w:t>
      </w:r>
      <w:r w:rsidRPr="00162B3E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based on </w:t>
      </w:r>
      <w:r w:rsidRPr="00162B3E">
        <w:rPr>
          <w:rFonts w:cs="Arial"/>
          <w:szCs w:val="22"/>
        </w:rPr>
        <w:t xml:space="preserve">standards with concentrations ranging from 0.5 to 1000 </w:t>
      </w:r>
      <w:proofErr w:type="spellStart"/>
      <w:r w:rsidRPr="00162B3E">
        <w:rPr>
          <w:rFonts w:cs="Arial"/>
          <w:szCs w:val="22"/>
        </w:rPr>
        <w:t>pg</w:t>
      </w:r>
      <w:proofErr w:type="spellEnd"/>
      <w:r w:rsidRPr="00162B3E">
        <w:rPr>
          <w:rFonts w:cs="Arial"/>
          <w:szCs w:val="22"/>
        </w:rPr>
        <w:t>/</w:t>
      </w:r>
      <w:r>
        <w:rPr>
          <w:rFonts w:cs="Arial"/>
          <w:szCs w:val="22"/>
        </w:rPr>
        <w:t>m</w:t>
      </w:r>
      <w:r w:rsidRPr="00162B3E">
        <w:rPr>
          <w:rFonts w:cs="Arial"/>
          <w:szCs w:val="22"/>
        </w:rPr>
        <w:t xml:space="preserve">L, </w:t>
      </w:r>
      <w:r w:rsidRPr="00B22A33">
        <w:rPr>
          <w:rFonts w:eastAsia="Malgun Gothic" w:cs="Arial"/>
          <w:szCs w:val="22"/>
          <w:lang w:eastAsia="ko-KR"/>
        </w:rPr>
        <w:t>w</w:t>
      </w:r>
      <w:r>
        <w:rPr>
          <w:rFonts w:eastAsia="Malgun Gothic" w:cs="Arial"/>
          <w:szCs w:val="22"/>
          <w:lang w:eastAsia="ko-KR"/>
        </w:rPr>
        <w:t>ere</w:t>
      </w:r>
      <w:r w:rsidRPr="00162B3E">
        <w:rPr>
          <w:rFonts w:cs="Arial"/>
          <w:szCs w:val="22"/>
        </w:rPr>
        <w:t xml:space="preserve"> generated using the ratio of the peak area of the analyte to the labeled internal standard. The R</w:t>
      </w:r>
      <w:r w:rsidRPr="001A0064">
        <w:rPr>
          <w:rFonts w:cs="Arial"/>
          <w:szCs w:val="22"/>
          <w:vertAlign w:val="superscript"/>
        </w:rPr>
        <w:t>2</w:t>
      </w:r>
      <w:r w:rsidRPr="00162B3E">
        <w:rPr>
          <w:rFonts w:cs="Arial"/>
          <w:szCs w:val="22"/>
        </w:rPr>
        <w:t xml:space="preserve"> value</w:t>
      </w:r>
      <w:r>
        <w:rPr>
          <w:rFonts w:cs="Arial"/>
          <w:szCs w:val="22"/>
        </w:rPr>
        <w:t>s</w:t>
      </w:r>
      <w:r w:rsidRPr="00162B3E">
        <w:rPr>
          <w:rFonts w:cs="Arial"/>
          <w:szCs w:val="22"/>
        </w:rPr>
        <w:t xml:space="preserve"> of the curve </w:t>
      </w:r>
      <w:r>
        <w:rPr>
          <w:rFonts w:cs="Arial"/>
          <w:szCs w:val="22"/>
        </w:rPr>
        <w:t>were</w:t>
      </w:r>
      <w:r w:rsidRPr="00162B3E">
        <w:rPr>
          <w:rFonts w:cs="Arial"/>
          <w:szCs w:val="22"/>
        </w:rPr>
        <w:t xml:space="preserve"> equal or greater than 0.99.</w:t>
      </w:r>
    </w:p>
    <w:p w14:paraId="3421A40A" w14:textId="77777777" w:rsidR="00305497" w:rsidRPr="00162B3E" w:rsidRDefault="00305497" w:rsidP="00305497">
      <w:pPr>
        <w:pBdr>
          <w:top w:val="nil"/>
          <w:left w:val="nil"/>
          <w:bottom w:val="nil"/>
          <w:right w:val="nil"/>
          <w:between w:val="nil"/>
        </w:pBdr>
        <w:rPr>
          <w:rFonts w:cs="Arial"/>
        </w:rPr>
      </w:pPr>
    </w:p>
    <w:p w14:paraId="359D35A3" w14:textId="3480ECB9" w:rsidR="00405F44" w:rsidRDefault="00CB7AE8" w:rsidP="00305497">
      <w:r>
        <w:t>Quality assurance</w:t>
      </w:r>
      <w:r w:rsidRPr="00162B3E" w:rsidDel="00CB7AE8">
        <w:rPr>
          <w:rFonts w:cs="Arial"/>
        </w:rPr>
        <w:t xml:space="preserve"> </w:t>
      </w:r>
      <w:r w:rsidR="00305497" w:rsidRPr="00162B3E">
        <w:rPr>
          <w:rFonts w:cs="Arial"/>
        </w:rPr>
        <w:t>metrics included accuracy measured</w:t>
      </w:r>
      <w:r w:rsidR="00305497">
        <w:t xml:space="preserve"> </w:t>
      </w:r>
      <w:r w:rsidR="00305497" w:rsidRPr="00203686">
        <w:t xml:space="preserve">as </w:t>
      </w:r>
      <w:r w:rsidR="00305497">
        <w:t xml:space="preserve">the percent deviation from </w:t>
      </w:r>
      <w:r w:rsidR="00305497" w:rsidRPr="00203686">
        <w:t xml:space="preserve">NIST </w:t>
      </w:r>
      <w:r w:rsidR="00305497">
        <w:t>reference standard materials (</w:t>
      </w:r>
      <w:proofErr w:type="spellStart"/>
      <w:r w:rsidR="00305497" w:rsidRPr="009274BA">
        <w:t>RSMs</w:t>
      </w:r>
      <w:proofErr w:type="spellEnd"/>
      <w:r w:rsidR="00305497" w:rsidRPr="009274BA">
        <w:t xml:space="preserve"> 1</w:t>
      </w:r>
      <w:r w:rsidR="00305497">
        <w:t>9</w:t>
      </w:r>
      <w:r w:rsidR="00305497" w:rsidRPr="009274BA">
        <w:t>5</w:t>
      </w:r>
      <w:r w:rsidR="00305497">
        <w:t>7</w:t>
      </w:r>
      <w:r w:rsidR="00305497" w:rsidRPr="009274BA">
        <w:t xml:space="preserve"> and 195</w:t>
      </w:r>
      <w:r w:rsidR="00305497">
        <w:t>8, NIST, USA</w:t>
      </w:r>
      <w:r w:rsidR="00305497" w:rsidRPr="009274BA">
        <w:t>)</w:t>
      </w:r>
      <w:r w:rsidR="00305497">
        <w:t xml:space="preserve">; recovery as </w:t>
      </w:r>
      <w:r w:rsidR="00305497" w:rsidRPr="00203686">
        <w:t xml:space="preserve">the percent of spike recovery; </w:t>
      </w:r>
      <w:r w:rsidR="00305497">
        <w:t xml:space="preserve">and </w:t>
      </w:r>
      <w:r w:rsidR="00305497" w:rsidRPr="00203686">
        <w:t xml:space="preserve">precision as the percentage coefficient of variation of multiple sample </w:t>
      </w:r>
      <w:r w:rsidR="00305497" w:rsidRPr="00203686">
        <w:lastRenderedPageBreak/>
        <w:t>analyses</w:t>
      </w:r>
      <w:r w:rsidR="00305497">
        <w:t xml:space="preserve">, </w:t>
      </w:r>
      <w:r w:rsidR="00305497" w:rsidRPr="00203686">
        <w:t xml:space="preserve">calculated for </w:t>
      </w:r>
      <w:r w:rsidR="00305497">
        <w:t xml:space="preserve">all </w:t>
      </w:r>
      <w:r w:rsidR="00305497" w:rsidRPr="00203686">
        <w:t xml:space="preserve">chemicals in the </w:t>
      </w:r>
      <w:proofErr w:type="spellStart"/>
      <w:r w:rsidR="00305497" w:rsidRPr="00203686">
        <w:t>RSM</w:t>
      </w:r>
      <w:proofErr w:type="spellEnd"/>
      <w:r w:rsidR="00305497" w:rsidRPr="00203686">
        <w:t xml:space="preserve">. </w:t>
      </w:r>
      <w:r w:rsidR="00305497">
        <w:t xml:space="preserve">Both methods achieved acceptance criteria of ±25% for most analytes, e.g., </w:t>
      </w:r>
      <w:r w:rsidR="0042645C">
        <w:t xml:space="preserve">Method </w:t>
      </w:r>
      <w:r w:rsidR="00305497">
        <w:t xml:space="preserve">B attained an </w:t>
      </w:r>
      <w:r w:rsidR="00305497" w:rsidRPr="00203686">
        <w:t xml:space="preserve">accuracy </w:t>
      </w:r>
      <w:r w:rsidR="00305497">
        <w:t xml:space="preserve">of </w:t>
      </w:r>
      <w:r w:rsidR="00305497" w:rsidRPr="00203686">
        <w:t xml:space="preserve">12 ± 8% for </w:t>
      </w:r>
      <w:proofErr w:type="spellStart"/>
      <w:r w:rsidR="00310038" w:rsidRPr="006F7584">
        <w:t>OCPs</w:t>
      </w:r>
      <w:proofErr w:type="spellEnd"/>
      <w:r w:rsidR="00305497" w:rsidRPr="007E14D4">
        <w:t xml:space="preserve"> </w:t>
      </w:r>
      <w:r w:rsidR="00305497" w:rsidRPr="006F7584">
        <w:t xml:space="preserve">and </w:t>
      </w:r>
      <w:proofErr w:type="spellStart"/>
      <w:r w:rsidR="00305497" w:rsidRPr="006F7584">
        <w:t>PBDEs</w:t>
      </w:r>
      <w:proofErr w:type="spellEnd"/>
      <w:r w:rsidR="00305497" w:rsidRPr="006F7584">
        <w:t xml:space="preserve"> and 16 ± 15% for PCBs; and spike recoveries averaged 92 ± 6% for the </w:t>
      </w:r>
      <w:proofErr w:type="spellStart"/>
      <w:r w:rsidR="00310038" w:rsidRPr="006F7584">
        <w:t>OCPs</w:t>
      </w:r>
      <w:proofErr w:type="spellEnd"/>
      <w:r w:rsidR="00305497" w:rsidRPr="006F7584">
        <w:t xml:space="preserve"> and </w:t>
      </w:r>
      <w:proofErr w:type="spellStart"/>
      <w:r w:rsidR="00305497" w:rsidRPr="006F7584">
        <w:t>PBDEs</w:t>
      </w:r>
      <w:proofErr w:type="spellEnd"/>
      <w:r w:rsidR="00305497" w:rsidRPr="006F7584">
        <w:t xml:space="preserve"> and 82 ± 5% for PCBs. Accuracy was slightly lower but still acceptable for the </w:t>
      </w:r>
      <w:proofErr w:type="spellStart"/>
      <w:r w:rsidR="00305497" w:rsidRPr="006F7584">
        <w:t>RSM</w:t>
      </w:r>
      <w:proofErr w:type="spellEnd"/>
      <w:r w:rsidR="00305497" w:rsidRPr="006F7584">
        <w:t xml:space="preserve"> 1957, which is a low concentration and </w:t>
      </w:r>
      <w:proofErr w:type="spellStart"/>
      <w:r w:rsidR="00305497" w:rsidRPr="006F7584">
        <w:t>unspiked</w:t>
      </w:r>
      <w:proofErr w:type="spellEnd"/>
      <w:r w:rsidR="00305497" w:rsidRPr="006F7584">
        <w:t xml:space="preserve"> material; this </w:t>
      </w:r>
      <w:proofErr w:type="spellStart"/>
      <w:r w:rsidR="00305497" w:rsidRPr="006F7584">
        <w:t>RSM</w:t>
      </w:r>
      <w:proofErr w:type="spellEnd"/>
      <w:r w:rsidR="00305497" w:rsidRPr="006F7584">
        <w:t xml:space="preserve"> </w:t>
      </w:r>
      <w:r w:rsidR="008F2084" w:rsidRPr="006F7584">
        <w:t xml:space="preserve">1957 </w:t>
      </w:r>
      <w:r w:rsidR="00305497" w:rsidRPr="006F7584">
        <w:t xml:space="preserve">is rarely used or reported for this purpose but served as an independent check. The </w:t>
      </w:r>
      <w:r w:rsidR="006F7584">
        <w:t xml:space="preserve">limit of detection (LOD) </w:t>
      </w:r>
      <w:r w:rsidR="00305497" w:rsidRPr="006F7584">
        <w:t>was</w:t>
      </w:r>
      <w:r w:rsidR="00305497" w:rsidRPr="00203686">
        <w:t xml:space="preserve"> estimated </w:t>
      </w:r>
      <w:r w:rsidR="00305497">
        <w:t xml:space="preserve">as the instrumental detection limit (amount of analyte detected with a signal-to-noise ratio of three) </w:t>
      </w:r>
      <w:r w:rsidR="00305497" w:rsidRPr="00203686">
        <w:t xml:space="preserve">and </w:t>
      </w:r>
      <w:r w:rsidR="00305497">
        <w:t xml:space="preserve">the </w:t>
      </w:r>
      <w:r w:rsidR="00305497" w:rsidRPr="00203686">
        <w:t xml:space="preserve">preconcentration factor. </w:t>
      </w:r>
      <w:proofErr w:type="spellStart"/>
      <w:r w:rsidR="006F7584">
        <w:t>LODs</w:t>
      </w:r>
      <w:proofErr w:type="spellEnd"/>
      <w:r w:rsidR="006F7584">
        <w:t xml:space="preserve"> </w:t>
      </w:r>
      <w:r w:rsidR="00305497">
        <w:t xml:space="preserve">for </w:t>
      </w:r>
      <w:proofErr w:type="spellStart"/>
      <w:r w:rsidR="00310038">
        <w:t>OCPs</w:t>
      </w:r>
      <w:proofErr w:type="spellEnd"/>
      <w:r w:rsidR="00305497">
        <w:t xml:space="preserve"> and </w:t>
      </w:r>
      <w:proofErr w:type="spellStart"/>
      <w:r w:rsidR="00305497">
        <w:t>PBDEs</w:t>
      </w:r>
      <w:proofErr w:type="spellEnd"/>
      <w:r w:rsidR="00305497">
        <w:t xml:space="preserve"> averaged 0.006 ± 0.007 ng/L and 0.003 ± 0.002 ng/mL for PCBs. </w:t>
      </w:r>
      <w:proofErr w:type="spellStart"/>
      <w:r w:rsidR="00305497">
        <w:t>Nondetections</w:t>
      </w:r>
      <w:proofErr w:type="spellEnd"/>
      <w:r w:rsidR="00305497">
        <w:t xml:space="preserve"> were set to</w:t>
      </w:r>
      <w:r w:rsidR="00205D65">
        <w:t xml:space="preserve"> LOD/</w:t>
      </w:r>
      <m:oMath>
        <m:r>
          <w:rPr>
            <w:rFonts w:ascii="Cambria Math" w:hAnsi="Cambria Math"/>
          </w:rPr>
          <m:t>√2</m:t>
        </m:r>
      </m:oMath>
      <w:r w:rsidR="00305497">
        <w:t xml:space="preserve"> (</w:t>
      </w:r>
      <w:r w:rsidR="00305497" w:rsidRPr="00AE71F5">
        <w:rPr>
          <w:rStyle w:val="Emphasis"/>
        </w:rPr>
        <w:t>Supplementary Table S1</w:t>
      </w:r>
      <w:r w:rsidR="00305497">
        <w:t xml:space="preserve"> provide</w:t>
      </w:r>
      <w:r w:rsidR="009058D4">
        <w:t>s</w:t>
      </w:r>
      <w:r w:rsidR="00305497">
        <w:t xml:space="preserve"> </w:t>
      </w:r>
      <w:proofErr w:type="spellStart"/>
      <w:r w:rsidR="006F7584">
        <w:t>LODs</w:t>
      </w:r>
      <w:proofErr w:type="spellEnd"/>
      <w:r w:rsidR="00305497">
        <w:t>)</w:t>
      </w:r>
      <w:r w:rsidR="005D4E16">
        <w:t>.</w:t>
      </w:r>
    </w:p>
    <w:p w14:paraId="00BA3778" w14:textId="3B189409" w:rsidR="00305497" w:rsidRDefault="00305497" w:rsidP="00720CEB"/>
    <w:p w14:paraId="0427AA28" w14:textId="77777777" w:rsidR="00305497" w:rsidRDefault="00305497" w:rsidP="00720CEB">
      <w:pPr>
        <w:sectPr w:rsidR="00305497" w:rsidSect="00D42DC4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3610FF" w14:textId="719A3697" w:rsidR="00BA0CCF" w:rsidRPr="00663787" w:rsidRDefault="00BA0CCF" w:rsidP="00663787">
      <w:pPr>
        <w:pStyle w:val="Heading1"/>
      </w:pPr>
      <w:r w:rsidRPr="00663787">
        <w:lastRenderedPageBreak/>
        <w:t>Supplementary Tables</w:t>
      </w:r>
    </w:p>
    <w:p w14:paraId="442D2A3A" w14:textId="6540C3E6" w:rsidR="00BA0CCF" w:rsidRDefault="00BA0CCF" w:rsidP="00720CEB"/>
    <w:p w14:paraId="6B5B726F" w14:textId="772166B9" w:rsidR="00AF520B" w:rsidRDefault="00AF520B" w:rsidP="00AF520B">
      <w:pPr>
        <w:pStyle w:val="Heading2"/>
      </w:pPr>
      <w:r>
        <w:t xml:space="preserve">Supplementary Table </w:t>
      </w:r>
      <w:r w:rsidR="00313F88">
        <w:t>S</w:t>
      </w:r>
      <w:r>
        <w:t xml:space="preserve">1. Persistent </w:t>
      </w:r>
      <w:r w:rsidR="005D4E16">
        <w:t>organic pollutants</w:t>
      </w:r>
      <w:r w:rsidR="009C1007">
        <w:t xml:space="preserve"> (</w:t>
      </w:r>
      <w:r w:rsidR="002B54D0">
        <w:t>ng/mL</w:t>
      </w:r>
      <w:r w:rsidR="009C1007">
        <w:t>)</w:t>
      </w:r>
    </w:p>
    <w:p w14:paraId="2E41EB2F" w14:textId="3390ED60" w:rsidR="00AF520B" w:rsidRDefault="000601DA" w:rsidP="00AF520B">
      <w:r>
        <w:t xml:space="preserve">Abbreviations: POP, persistent organic pollutant; </w:t>
      </w:r>
      <w:proofErr w:type="spellStart"/>
      <w:r>
        <w:t>PBDE</w:t>
      </w:r>
      <w:proofErr w:type="spellEnd"/>
      <w:r>
        <w:t>, p</w:t>
      </w:r>
      <w:r w:rsidRPr="000601DA">
        <w:t>olybrominated diphenyl ether</w:t>
      </w:r>
      <w:r>
        <w:t>; PCB, p</w:t>
      </w:r>
      <w:r w:rsidRPr="000601DA">
        <w:t>olychlorinated biphenyl</w:t>
      </w:r>
      <w:r>
        <w:t xml:space="preserve">; HCB, </w:t>
      </w:r>
      <w:r w:rsidRPr="000601DA">
        <w:t>hexachlorobenzene</w:t>
      </w:r>
      <w:r>
        <w:t xml:space="preserve">; </w:t>
      </w:r>
      <w:proofErr w:type="spellStart"/>
      <w:r>
        <w:t>PeCB</w:t>
      </w:r>
      <w:proofErr w:type="spellEnd"/>
      <w:r>
        <w:t xml:space="preserve">, </w:t>
      </w:r>
      <w:proofErr w:type="spellStart"/>
      <w:r w:rsidRPr="000601DA">
        <w:t>pentachlorobenzene</w:t>
      </w:r>
      <w:proofErr w:type="spellEnd"/>
      <w:r>
        <w:t xml:space="preserve">; DDE, </w:t>
      </w:r>
      <w:proofErr w:type="spellStart"/>
      <w:r>
        <w:t>d</w:t>
      </w:r>
      <w:r w:rsidRPr="000601DA">
        <w:t>ichlorodiphenyldichloroethylene</w:t>
      </w:r>
      <w:proofErr w:type="spellEnd"/>
      <w:r w:rsidR="00BE6210">
        <w:t>; LOD, limit of detection.</w:t>
      </w:r>
    </w:p>
    <w:p w14:paraId="15D2259D" w14:textId="3216874E" w:rsidR="0039142F" w:rsidRDefault="0039142F" w:rsidP="00AF520B"/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796"/>
        <w:gridCol w:w="450"/>
        <w:gridCol w:w="574"/>
        <w:gridCol w:w="567"/>
        <w:gridCol w:w="567"/>
        <w:gridCol w:w="567"/>
        <w:gridCol w:w="567"/>
        <w:gridCol w:w="567"/>
        <w:gridCol w:w="645"/>
        <w:gridCol w:w="450"/>
        <w:gridCol w:w="574"/>
        <w:gridCol w:w="567"/>
        <w:gridCol w:w="567"/>
        <w:gridCol w:w="567"/>
        <w:gridCol w:w="567"/>
        <w:gridCol w:w="567"/>
        <w:gridCol w:w="645"/>
        <w:gridCol w:w="730"/>
        <w:gridCol w:w="1080"/>
      </w:tblGrid>
      <w:tr w:rsidR="007F5C5A" w:rsidRPr="00814BE9" w14:paraId="78DE2882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1C72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2120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BC30F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Cases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6E8CB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Controls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DA57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27C1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 </w:t>
            </w:r>
          </w:p>
        </w:tc>
      </w:tr>
      <w:tr w:rsidR="00814BE9" w:rsidRPr="00814BE9" w14:paraId="77FDE5A6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4F3FD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13F5A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% &lt; LOD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81EB7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EFCBD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2C996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C464E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1C466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86162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Q50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CCEC1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Q75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4C084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A7247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EDDF8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63435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DA92D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FE79C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5115A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Q50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7A70D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Q75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07337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0E87D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3BF47" w14:textId="77777777" w:rsidR="007F5C5A" w:rsidRPr="007F5C5A" w:rsidRDefault="007F5C5A" w:rsidP="007F5C5A">
            <w:pPr>
              <w:rPr>
                <w:b/>
                <w:bCs/>
                <w:sz w:val="14"/>
                <w:szCs w:val="16"/>
              </w:rPr>
            </w:pPr>
            <w:r w:rsidRPr="007F5C5A">
              <w:rPr>
                <w:b/>
                <w:bCs/>
                <w:sz w:val="14"/>
                <w:szCs w:val="16"/>
              </w:rPr>
              <w:t>Q-Value (</w:t>
            </w:r>
            <w:proofErr w:type="spellStart"/>
            <w:r w:rsidRPr="007F5C5A">
              <w:rPr>
                <w:b/>
                <w:bCs/>
                <w:sz w:val="14"/>
                <w:szCs w:val="16"/>
              </w:rPr>
              <w:t>BH</w:t>
            </w:r>
            <w:proofErr w:type="spellEnd"/>
            <w:r w:rsidRPr="007F5C5A">
              <w:rPr>
                <w:b/>
                <w:bCs/>
                <w:sz w:val="14"/>
                <w:szCs w:val="16"/>
              </w:rPr>
              <w:t>)</w:t>
            </w:r>
          </w:p>
        </w:tc>
      </w:tr>
      <w:tr w:rsidR="00814BE9" w:rsidRPr="00814BE9" w14:paraId="49888A03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00FD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alpha-</w:t>
            </w:r>
            <w:proofErr w:type="spellStart"/>
            <w:r w:rsidRPr="007F5C5A">
              <w:rPr>
                <w:sz w:val="14"/>
                <w:szCs w:val="16"/>
              </w:rPr>
              <w:t>HCH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D3CD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34.9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0C3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A89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7B5E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AB9E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BDD3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172B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A04F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D133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78B5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83D7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B3AC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9B1E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A3F0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01EF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1EC5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580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0A59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D76E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</w:tr>
      <w:tr w:rsidR="00814BE9" w:rsidRPr="00814BE9" w14:paraId="65C02473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711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c/t-</w:t>
            </w:r>
            <w:proofErr w:type="spellStart"/>
            <w:r w:rsidRPr="007F5C5A">
              <w:rPr>
                <w:sz w:val="14"/>
                <w:szCs w:val="16"/>
              </w:rPr>
              <w:t>heptachlorepoxide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6CE6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85A9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76C2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C06B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A03A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A01F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4FB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0603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8F8A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C9A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C1B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919C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F0C1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E85B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BED3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8F30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06AB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105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C4D5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</w:tr>
      <w:tr w:rsidR="00814BE9" w:rsidRPr="00814BE9" w14:paraId="17095518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336C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cis-</w:t>
            </w:r>
            <w:proofErr w:type="spellStart"/>
            <w:r w:rsidRPr="007F5C5A">
              <w:rPr>
                <w:sz w:val="14"/>
                <w:szCs w:val="16"/>
              </w:rPr>
              <w:t>Nonachlor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A4D5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4ACB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19F6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EBA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B83C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93D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13BD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13D3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60A7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D87B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C990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6CB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1C99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0B44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FCCC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F936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5ED2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7766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69D3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</w:tr>
      <w:tr w:rsidR="00814BE9" w:rsidRPr="00814BE9" w14:paraId="5412CDD4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2299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gamma-</w:t>
            </w:r>
            <w:proofErr w:type="spellStart"/>
            <w:r w:rsidRPr="007F5C5A">
              <w:rPr>
                <w:sz w:val="14"/>
                <w:szCs w:val="16"/>
              </w:rPr>
              <w:t>HCH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2AF0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2186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E23D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F0C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FF8C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80AB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FE43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24A9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3BF4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D9A0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B25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5E11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80FD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4433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41B0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CD6D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B027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9B17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B262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0.021</w:t>
            </w:r>
          </w:p>
        </w:tc>
      </w:tr>
      <w:tr w:rsidR="00814BE9" w:rsidRPr="00814BE9" w14:paraId="3F74993D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F11E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HCB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FE87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498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2EAC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B91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7F33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B281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D54A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5EFF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3103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242E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E97B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E95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B890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3E3A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0390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9B65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E80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8A9D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83C0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0.015</w:t>
            </w:r>
          </w:p>
        </w:tc>
      </w:tr>
      <w:tr w:rsidR="00814BE9" w:rsidRPr="00814BE9" w14:paraId="0F835662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77CD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proofErr w:type="spellStart"/>
            <w:r w:rsidRPr="007F5C5A">
              <w:rPr>
                <w:sz w:val="14"/>
                <w:szCs w:val="16"/>
              </w:rPr>
              <w:t>Mirex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C75F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6009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23AE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9E49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4462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5495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ABD3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A769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4904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18.287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566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858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47D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3.669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091D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6B66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F443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996F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0CA5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37.615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FC6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37C4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</w:tr>
      <w:tr w:rsidR="00814BE9" w:rsidRPr="00814BE9" w14:paraId="4AC62012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B5F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Oxychlordane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349D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5311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8699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93F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7AF6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16E4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1059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063A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93F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4C2A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C06F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3EF1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862D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3E0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A786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9CEA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A92B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8EC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27F9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</w:tr>
      <w:tr w:rsidR="00814BE9" w:rsidRPr="00814BE9" w14:paraId="6EC7CCD3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9264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PBDE-100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F816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380E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4811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86C1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6FB5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AAF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FC3B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2F77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BDFA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0D51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B22F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8B77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24AD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EA77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BA6B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7D1E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CB52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E8D6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B7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0.112</w:t>
            </w:r>
          </w:p>
        </w:tc>
      </w:tr>
      <w:tr w:rsidR="00814BE9" w:rsidRPr="00814BE9" w14:paraId="7695A980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9BBE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PBDE-153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A8A6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D349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7702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663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BB12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8245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640F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83CF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8CB9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8431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A94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45C5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81A4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4DC0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8CD7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FCD9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CE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6057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D23D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</w:tr>
      <w:tr w:rsidR="00814BE9" w:rsidRPr="00814BE9" w14:paraId="3A0CC324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99F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PBDE-47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4A74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207E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5793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70BA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761C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00F0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C53C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7F9C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5149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3B68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E327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19A8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2DEF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0E8C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FBB2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B369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AD30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F14D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FD07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0.183</w:t>
            </w:r>
          </w:p>
        </w:tc>
      </w:tr>
      <w:tr w:rsidR="00814BE9" w:rsidRPr="00814BE9" w14:paraId="7F2CAFA7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FD1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PBDE-99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34D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D579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8E1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8496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5518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A91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3F4A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E623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AE23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5836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6A2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27B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A718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1A1F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FE9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EDF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BAAE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7D35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329E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0.140</w:t>
            </w:r>
          </w:p>
        </w:tc>
      </w:tr>
      <w:tr w:rsidR="00814BE9" w:rsidRPr="00814BE9" w14:paraId="2B1703C4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BA73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proofErr w:type="spellStart"/>
            <w:r w:rsidRPr="007F5C5A">
              <w:rPr>
                <w:sz w:val="14"/>
                <w:szCs w:val="16"/>
              </w:rPr>
              <w:t>PeCB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A7AB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3807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382D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20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2D95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9F4C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DD1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DE6C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A9DF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B898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8479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EC77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6096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3759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3963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5E2A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5802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3384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203C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0.550</w:t>
            </w:r>
          </w:p>
        </w:tc>
      </w:tr>
      <w:tr w:rsidR="00814BE9" w:rsidRPr="00814BE9" w14:paraId="45FD9F37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84B5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E6FD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756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8A70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D146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5AC1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77F9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6952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4D61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5A01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BA8F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C2F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CDF7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57D0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A09C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5CC9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5B62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91FE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A9E5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84D6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0.294</w:t>
            </w:r>
          </w:p>
        </w:tc>
      </w:tr>
      <w:tr w:rsidR="00814BE9" w:rsidRPr="00814BE9" w14:paraId="4D06D248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1C92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1A7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AC78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6A1D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BE70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C138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4E24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A84C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4BA3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85D0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5538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1F2D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D7CD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C1FE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1815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DF6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A8B7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4AAB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63D1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1A86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0.497</w:t>
            </w:r>
          </w:p>
        </w:tc>
      </w:tr>
      <w:tr w:rsidR="00814BE9" w:rsidRPr="00814BE9" w14:paraId="306491BC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03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A5B6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1DF0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6E4F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BB3F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521A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9636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74EC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69C8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0F97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FD43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D882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D9DF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18CA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DDBE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A02B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6D92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4BF1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4027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E732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0.123</w:t>
            </w:r>
          </w:p>
        </w:tc>
      </w:tr>
      <w:tr w:rsidR="00814BE9" w:rsidRPr="00814BE9" w14:paraId="2FBB6F2B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7A8B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895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28B8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0873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72B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B005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9015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54A7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76CC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4360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9856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0B38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822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2E3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4E81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7FBC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35AF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55C7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93DE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8F71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</w:tr>
      <w:tr w:rsidR="00814BE9" w:rsidRPr="00814BE9" w14:paraId="6F866BEB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4813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D8F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6C42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054E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5ECF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1CCA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3F5B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6FE7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2A7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5E2E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EC9A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AF0A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FCAA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D5BA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F55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E55D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ED76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AE8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7C4C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44AC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</w:tr>
      <w:tr w:rsidR="00814BE9" w:rsidRPr="00814BE9" w14:paraId="66A5AA42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7013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9C1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EAA3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40E7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BBD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3018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D466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261B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A845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3CA9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E985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6BA3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19D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55D4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92DA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897C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4D8F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50DE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2D59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8118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</w:tr>
      <w:tr w:rsidR="00814BE9" w:rsidRPr="00814BE9" w14:paraId="61ACC2C4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8FB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2AB2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DE5F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B2D6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9ED7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88DC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4F6E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1827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6FB0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A0A2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51BE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CC95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590B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E4CB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11EA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2E72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C8D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995A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EFA1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D16B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</w:tr>
      <w:tr w:rsidR="00814BE9" w:rsidRPr="00814BE9" w14:paraId="28835B46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8CF1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C8E4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F29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77EA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28BD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B48F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A01D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683F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10D7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E88A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DB3F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D7B7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59C2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478F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215D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CBF3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12A7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66CE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C755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E76E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0.021</w:t>
            </w:r>
          </w:p>
        </w:tc>
      </w:tr>
      <w:tr w:rsidR="00814BE9" w:rsidRPr="00814BE9" w14:paraId="0EB5615C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1557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953B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D228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F5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21D6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DC3D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EF26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58D4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A3B1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A51E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3DAE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02F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9CF1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BB3F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3DE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6EC8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DDB5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3F3E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4B8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DF10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</w:tr>
      <w:tr w:rsidR="00814BE9" w:rsidRPr="00814BE9" w14:paraId="23864EE1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4AD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2339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1108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2DBA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0CD9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D75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2363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709F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619B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5DBF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4AC6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7008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C005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6574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F562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8C65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E164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7D3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34AE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4D2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0.033</w:t>
            </w:r>
          </w:p>
        </w:tc>
      </w:tr>
      <w:tr w:rsidR="00814BE9" w:rsidRPr="00814BE9" w14:paraId="3DBE9A4F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CC28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0EA5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A4E1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29D5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A523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ED3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7196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628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DD86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B51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A018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89D0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C4C3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3AE0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D4D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88C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82A3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927E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B7B5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69C1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</w:tr>
      <w:tr w:rsidR="00814BE9" w:rsidRPr="00814BE9" w14:paraId="67973F16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2A9E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C0D2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968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AEC2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2F98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6F0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0631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5947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D546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CA01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702B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0680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3687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BCFE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4E5D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1E65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E2F6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862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E1F7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953F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0.158</w:t>
            </w:r>
          </w:p>
        </w:tc>
      </w:tr>
      <w:tr w:rsidR="00814BE9" w:rsidRPr="00814BE9" w14:paraId="0F06E9F8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21B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5FA1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910D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6D31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C861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532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F285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AE45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70F4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14A8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4876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ACE3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5C10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704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30D3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EEF9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B44C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8CD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6230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B0CC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</w:tr>
      <w:tr w:rsidR="00814BE9" w:rsidRPr="00814BE9" w14:paraId="39310E7A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A8C3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2BC0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4376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429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E2C9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0A4F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5A65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A64B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7956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B7C1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458D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226A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26F2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ED66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FFD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AAD7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D068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FEBD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6800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B455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</w:tr>
      <w:tr w:rsidR="00814BE9" w:rsidRPr="00814BE9" w14:paraId="4769DDB7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5244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E90D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74D0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56A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0B66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1CCC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EB5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86F2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CCDD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24E9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D85E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74F6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E03C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B4B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BB3C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C0D2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1EF7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D18C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5A2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DC92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</w:tr>
      <w:tr w:rsidR="00814BE9" w:rsidRPr="00814BE9" w14:paraId="7D98C522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B907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lastRenderedPageBreak/>
              <w:t>PCB-202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12C8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5D29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DCB3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AED2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9C78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7E99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85EF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8DF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2FAD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209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403F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8D16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7335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A5EC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3235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27D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5050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F820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D7E7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</w:tr>
      <w:tr w:rsidR="00814BE9" w:rsidRPr="00814BE9" w14:paraId="68200B94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FB4D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A8AE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B89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C9DC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D86C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75B1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DD45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747B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665D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C907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FE0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821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BD40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1717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141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1322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E222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0915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4EE1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F558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</w:tr>
      <w:tr w:rsidR="00814BE9" w:rsidRPr="00814BE9" w14:paraId="4D7B62E0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252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4053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8EEF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4475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24EC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5885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BDC6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325B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BF16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9786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CDBC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89C1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8F1A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531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C70A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A5B3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AD8D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E4B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ADDF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26F7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</w:tr>
      <w:tr w:rsidR="00814BE9" w:rsidRPr="00814BE9" w14:paraId="0093DF5E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D172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CE1B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D1BE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2E2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7C2C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8A39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79F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048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AFDB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36E2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5BBD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4E42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08D8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2F95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80F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6D30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A8AD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CFEB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5B86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0518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</w:tr>
      <w:tr w:rsidR="00814BE9" w:rsidRPr="00814BE9" w14:paraId="5A596AB7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CC54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PCB-28/31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9347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ED8A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B531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E946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1375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42C3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020C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5547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7519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21CA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2AE0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122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1051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CE93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AF29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9530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270D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0689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912F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0.774</w:t>
            </w:r>
          </w:p>
        </w:tc>
      </w:tr>
      <w:tr w:rsidR="00814BE9" w:rsidRPr="00814BE9" w14:paraId="139DF8FA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FD84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907E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179F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0F08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8C8F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31FC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6B98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9907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9210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572C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1C0D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F016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64A8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4E82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B810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1C75A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B16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83B1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0172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4402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0.058</w:t>
            </w:r>
          </w:p>
        </w:tc>
      </w:tr>
      <w:tr w:rsidR="00814BE9" w:rsidRPr="00814BE9" w14:paraId="2702F9EC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55C5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PCB-8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5824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3A87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3EDA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0D29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CE50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AC0B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120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46F1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599B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6163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DDEB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603E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14ED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BAE8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46CD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0DD4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F72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B2CC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0052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0.435</w:t>
            </w:r>
          </w:p>
        </w:tc>
      </w:tr>
      <w:tr w:rsidR="00814BE9" w:rsidRPr="00814BE9" w14:paraId="72FCDD4C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A882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proofErr w:type="spellStart"/>
            <w:r w:rsidRPr="007F5C5A">
              <w:rPr>
                <w:sz w:val="14"/>
                <w:szCs w:val="16"/>
              </w:rPr>
              <w:t>p,p</w:t>
            </w:r>
            <w:proofErr w:type="spellEnd"/>
            <w:r w:rsidRPr="007F5C5A">
              <w:rPr>
                <w:sz w:val="14"/>
                <w:szCs w:val="16"/>
              </w:rPr>
              <w:t>'-DDE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653E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8C6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E2FE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17A6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0A89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F878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F69D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C134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C7124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13.747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D76E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83DE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AF48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28D7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A0C8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0AD3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27DC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F66B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4.615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3B817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A4D1B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0.002</w:t>
            </w:r>
          </w:p>
        </w:tc>
      </w:tr>
      <w:tr w:rsidR="00814BE9" w:rsidRPr="00814BE9" w14:paraId="40913C47" w14:textId="77777777" w:rsidTr="007F5C5A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29A4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trans-</w:t>
            </w:r>
            <w:proofErr w:type="spellStart"/>
            <w:r w:rsidRPr="007F5C5A">
              <w:rPr>
                <w:sz w:val="14"/>
                <w:szCs w:val="16"/>
              </w:rPr>
              <w:t>Nonachlor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6792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3A13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BB993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B485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423AE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826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CB27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73B3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8CCA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12585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95841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B6FB0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5DA6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D884F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311B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BA392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F0F2D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603D8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E4EC9" w14:textId="77777777" w:rsidR="007F5C5A" w:rsidRPr="007F5C5A" w:rsidRDefault="007F5C5A" w:rsidP="007F5C5A">
            <w:pPr>
              <w:rPr>
                <w:sz w:val="14"/>
                <w:szCs w:val="16"/>
              </w:rPr>
            </w:pPr>
            <w:r w:rsidRPr="007F5C5A">
              <w:rPr>
                <w:sz w:val="14"/>
                <w:szCs w:val="16"/>
              </w:rPr>
              <w:t>0.000</w:t>
            </w:r>
          </w:p>
        </w:tc>
      </w:tr>
    </w:tbl>
    <w:p w14:paraId="132FD806" w14:textId="6BA18CC4" w:rsidR="00153F1C" w:rsidRDefault="00153F1C">
      <w:r>
        <w:br w:type="page"/>
      </w:r>
    </w:p>
    <w:p w14:paraId="30818536" w14:textId="4C2EBBDD" w:rsidR="001E636B" w:rsidRPr="001E636B" w:rsidRDefault="001E636B" w:rsidP="001E636B">
      <w:pPr>
        <w:sectPr w:rsidR="001E636B" w:rsidRPr="001E636B" w:rsidSect="0094423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B721270" w14:textId="6A6179B0" w:rsidR="00C14D04" w:rsidRDefault="00C14D04" w:rsidP="00C14D04">
      <w:pPr>
        <w:pStyle w:val="Heading2"/>
      </w:pPr>
      <w:r>
        <w:lastRenderedPageBreak/>
        <w:t xml:space="preserve">Supplementary Table </w:t>
      </w:r>
      <w:r w:rsidR="0043096D">
        <w:t>S</w:t>
      </w:r>
      <w:r w:rsidR="00FC7385">
        <w:t>2</w:t>
      </w:r>
      <w:r>
        <w:t>. Matched ALS and Control Participant Demographics</w:t>
      </w:r>
    </w:p>
    <w:p w14:paraId="6F51CB9D" w14:textId="61698388" w:rsidR="00C14D04" w:rsidRDefault="00C14D04" w:rsidP="00C14D0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2"/>
        <w:gridCol w:w="2469"/>
        <w:gridCol w:w="2469"/>
      </w:tblGrid>
      <w:tr w:rsidR="00410BCF" w:rsidRPr="00BB6318" w14:paraId="17AAC1DA" w14:textId="77777777" w:rsidTr="00410BCF">
        <w:tc>
          <w:tcPr>
            <w:tcW w:w="23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420DF3" w14:textId="77777777" w:rsidR="00410BCF" w:rsidRPr="003D73EA" w:rsidRDefault="00410BCF" w:rsidP="00845884">
            <w:pPr>
              <w:rPr>
                <w:b/>
                <w:bCs/>
              </w:rPr>
            </w:pPr>
            <w:r w:rsidRPr="003D73EA">
              <w:rPr>
                <w:b/>
                <w:bCs/>
              </w:rPr>
              <w:t>Covariate</w:t>
            </w:r>
          </w:p>
        </w:tc>
        <w:tc>
          <w:tcPr>
            <w:tcW w:w="131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979B98" w14:textId="77777777" w:rsidR="00410BCF" w:rsidRPr="003D73EA" w:rsidRDefault="00410BCF" w:rsidP="00845884">
            <w:pPr>
              <w:rPr>
                <w:b/>
                <w:bCs/>
              </w:rPr>
            </w:pPr>
            <w:r w:rsidRPr="003D73EA">
              <w:rPr>
                <w:b/>
                <w:bCs/>
              </w:rPr>
              <w:t>Cases</w:t>
            </w:r>
          </w:p>
          <w:p w14:paraId="1238E964" w14:textId="77777777" w:rsidR="00410BCF" w:rsidRPr="003D73EA" w:rsidRDefault="00410BCF" w:rsidP="00845884">
            <w:pPr>
              <w:rPr>
                <w:b/>
                <w:bCs/>
              </w:rPr>
            </w:pPr>
            <w:r w:rsidRPr="003D73EA">
              <w:rPr>
                <w:b/>
                <w:bCs/>
              </w:rPr>
              <w:t>(N = 76)</w:t>
            </w:r>
          </w:p>
        </w:tc>
        <w:tc>
          <w:tcPr>
            <w:tcW w:w="131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5E6CA2" w14:textId="77777777" w:rsidR="00410BCF" w:rsidRPr="003D73EA" w:rsidRDefault="00410BCF" w:rsidP="00845884">
            <w:pPr>
              <w:rPr>
                <w:b/>
                <w:bCs/>
              </w:rPr>
            </w:pPr>
            <w:r w:rsidRPr="003D73EA">
              <w:rPr>
                <w:b/>
                <w:bCs/>
              </w:rPr>
              <w:t>Controls</w:t>
            </w:r>
          </w:p>
          <w:p w14:paraId="3D7A4B62" w14:textId="77777777" w:rsidR="00410BCF" w:rsidRPr="003D73EA" w:rsidRDefault="00410BCF" w:rsidP="00845884">
            <w:pPr>
              <w:rPr>
                <w:b/>
                <w:bCs/>
              </w:rPr>
            </w:pPr>
            <w:r w:rsidRPr="003D73EA">
              <w:rPr>
                <w:b/>
                <w:bCs/>
              </w:rPr>
              <w:t>(N = 41)</w:t>
            </w:r>
          </w:p>
        </w:tc>
      </w:tr>
      <w:tr w:rsidR="00410BCF" w:rsidRPr="00BB6318" w14:paraId="3C5181DA" w14:textId="77777777" w:rsidTr="00410BCF">
        <w:tc>
          <w:tcPr>
            <w:tcW w:w="2362" w:type="pct"/>
            <w:tcBorders>
              <w:left w:val="nil"/>
              <w:bottom w:val="nil"/>
              <w:right w:val="nil"/>
            </w:tcBorders>
            <w:vAlign w:val="center"/>
          </w:tcPr>
          <w:p w14:paraId="0CDB741B" w14:textId="77777777" w:rsidR="00410BCF" w:rsidRPr="00BB6318" w:rsidRDefault="00410BCF" w:rsidP="00845884">
            <w:r w:rsidRPr="00BB6318">
              <w:t>Age at sample collection (years)</w:t>
            </w:r>
          </w:p>
        </w:tc>
        <w:tc>
          <w:tcPr>
            <w:tcW w:w="1319" w:type="pct"/>
            <w:tcBorders>
              <w:left w:val="nil"/>
              <w:bottom w:val="nil"/>
              <w:right w:val="nil"/>
            </w:tcBorders>
            <w:vAlign w:val="center"/>
          </w:tcPr>
          <w:p w14:paraId="1802DBF7" w14:textId="77777777" w:rsidR="00410BCF" w:rsidRPr="00BB6318" w:rsidRDefault="00410BCF" w:rsidP="00845884">
            <w:r w:rsidRPr="00BB6318">
              <w:t>63.1 (58.8-68.2)</w:t>
            </w:r>
          </w:p>
        </w:tc>
        <w:tc>
          <w:tcPr>
            <w:tcW w:w="1319" w:type="pct"/>
            <w:tcBorders>
              <w:left w:val="nil"/>
              <w:bottom w:val="nil"/>
              <w:right w:val="nil"/>
            </w:tcBorders>
            <w:vAlign w:val="center"/>
          </w:tcPr>
          <w:p w14:paraId="40BD617B" w14:textId="77777777" w:rsidR="00410BCF" w:rsidRPr="00BB6318" w:rsidRDefault="00410BCF" w:rsidP="00845884">
            <w:r w:rsidRPr="00BB6318">
              <w:t>63.3 (59.2-67.5)</w:t>
            </w:r>
          </w:p>
        </w:tc>
      </w:tr>
      <w:tr w:rsidR="00410BCF" w:rsidRPr="00BB6318" w14:paraId="7E6442A5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F5DB1" w14:textId="4AC8F4D6" w:rsidR="00410BCF" w:rsidRPr="00BB6318" w:rsidRDefault="00410BCF" w:rsidP="00845884">
            <w:r w:rsidRPr="00BB6318">
              <w:t>Body Mass Index (kg/m</w:t>
            </w:r>
            <w:r w:rsidRPr="00BB6318">
              <w:rPr>
                <w:vertAlign w:val="superscript"/>
              </w:rPr>
              <w:t>2</w:t>
            </w:r>
            <w:r w:rsidRPr="00BB6318">
              <w:t>)*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2D48" w14:textId="77777777" w:rsidR="00410BCF" w:rsidRPr="00BB6318" w:rsidRDefault="00410BCF" w:rsidP="00845884">
            <w:r w:rsidRPr="00BB6318">
              <w:t>26.0 (23.0-30.1)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6A920204" w14:textId="77777777" w:rsidR="00410BCF" w:rsidRPr="00BB6318" w:rsidRDefault="00410BCF" w:rsidP="00845884">
            <w:r w:rsidRPr="00BB6318">
              <w:t>26.2 (23.4-29.6)</w:t>
            </w:r>
          </w:p>
        </w:tc>
      </w:tr>
      <w:tr w:rsidR="00410BCF" w:rsidRPr="00BB6318" w14:paraId="627BC3FA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DA30F" w14:textId="77777777" w:rsidR="00410BCF" w:rsidRPr="00BB6318" w:rsidRDefault="00410BCF" w:rsidP="00845884">
            <w:r w:rsidRPr="00BB6318">
              <w:t>Sex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DDFBA" w14:textId="77777777" w:rsidR="00410BCF" w:rsidRPr="00BB6318" w:rsidRDefault="00410BCF" w:rsidP="00845884"/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448CA3FC" w14:textId="77777777" w:rsidR="00410BCF" w:rsidRPr="00BB6318" w:rsidRDefault="00410BCF" w:rsidP="00845884"/>
        </w:tc>
      </w:tr>
      <w:tr w:rsidR="00410BCF" w:rsidRPr="00BB6318" w14:paraId="08C70C26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A27F6" w14:textId="77777777" w:rsidR="00410BCF" w:rsidRPr="00BB6318" w:rsidRDefault="00410BCF" w:rsidP="00845884">
            <w:r w:rsidRPr="00BB6318">
              <w:t xml:space="preserve">   Female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61D20" w14:textId="77777777" w:rsidR="00410BCF" w:rsidRPr="00BB6318" w:rsidRDefault="00410BCF" w:rsidP="00845884">
            <w:r w:rsidRPr="00BB6318">
              <w:t>39 (51.3)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34284AB7" w14:textId="77777777" w:rsidR="00410BCF" w:rsidRPr="00BB6318" w:rsidRDefault="00410BCF" w:rsidP="00845884">
            <w:r w:rsidRPr="00BB6318">
              <w:t>26 (63.4)</w:t>
            </w:r>
          </w:p>
        </w:tc>
      </w:tr>
      <w:tr w:rsidR="00410BCF" w:rsidRPr="00BB6318" w14:paraId="22E23C19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D416" w14:textId="77777777" w:rsidR="00410BCF" w:rsidRPr="00BB6318" w:rsidRDefault="00410BCF" w:rsidP="00845884">
            <w:r w:rsidRPr="00BB6318">
              <w:t xml:space="preserve">   Male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48F6" w14:textId="77777777" w:rsidR="00410BCF" w:rsidRPr="00BB6318" w:rsidRDefault="00410BCF" w:rsidP="00845884">
            <w:r w:rsidRPr="00BB6318">
              <w:t>37 (48.7)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1328E4E7" w14:textId="77777777" w:rsidR="00410BCF" w:rsidRPr="00BB6318" w:rsidRDefault="00410BCF" w:rsidP="00845884">
            <w:r w:rsidRPr="00BB6318">
              <w:t>15 (36.6)</w:t>
            </w:r>
          </w:p>
        </w:tc>
      </w:tr>
      <w:tr w:rsidR="00410BCF" w:rsidRPr="00BB6318" w14:paraId="7CDDF028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85E2D" w14:textId="77777777" w:rsidR="00410BCF" w:rsidRPr="00BB6318" w:rsidRDefault="00410BCF" w:rsidP="00845884">
            <w:r w:rsidRPr="00BB6318">
              <w:t>Military Service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CC03" w14:textId="77777777" w:rsidR="00410BCF" w:rsidRPr="00BB6318" w:rsidRDefault="00410BCF" w:rsidP="00845884"/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477F61F6" w14:textId="77777777" w:rsidR="00410BCF" w:rsidRPr="00BB6318" w:rsidRDefault="00410BCF" w:rsidP="00845884"/>
        </w:tc>
      </w:tr>
      <w:tr w:rsidR="00410BCF" w:rsidRPr="00BB6318" w14:paraId="21A1D920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32DE8" w14:textId="3658896B" w:rsidR="00410BCF" w:rsidRPr="00BB6318" w:rsidRDefault="00410BCF" w:rsidP="00845884">
            <w:r w:rsidRPr="00BB6318">
              <w:t xml:space="preserve">   N</w:t>
            </w:r>
            <w:r>
              <w:t>o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7DB0" w14:textId="77777777" w:rsidR="00410BCF" w:rsidRPr="00BB6318" w:rsidRDefault="00410BCF" w:rsidP="00845884">
            <w:r w:rsidRPr="00BB6318">
              <w:t>70 (92.1)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11FC930B" w14:textId="77777777" w:rsidR="00410BCF" w:rsidRPr="00BB6318" w:rsidRDefault="00410BCF" w:rsidP="00845884">
            <w:r w:rsidRPr="00BB6318">
              <w:t>33 (80.5)</w:t>
            </w:r>
          </w:p>
        </w:tc>
      </w:tr>
      <w:tr w:rsidR="00410BCF" w:rsidRPr="00BB6318" w14:paraId="601DFD3E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6914" w14:textId="0DB59ABD" w:rsidR="00410BCF" w:rsidRPr="00BB6318" w:rsidRDefault="00410BCF" w:rsidP="00845884">
            <w:r w:rsidRPr="00BB6318">
              <w:t xml:space="preserve">   </w:t>
            </w:r>
            <w:r>
              <w:t>Yes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98AC" w14:textId="77777777" w:rsidR="00410BCF" w:rsidRPr="00BB6318" w:rsidRDefault="00410BCF" w:rsidP="00845884">
            <w:r w:rsidRPr="00BB6318">
              <w:t>4 (5.3)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5227E8E2" w14:textId="77777777" w:rsidR="00410BCF" w:rsidRPr="00BB6318" w:rsidRDefault="00410BCF" w:rsidP="00845884">
            <w:r w:rsidRPr="00BB6318">
              <w:t>4 (9.8)</w:t>
            </w:r>
          </w:p>
        </w:tc>
      </w:tr>
      <w:tr w:rsidR="00410BCF" w:rsidRPr="00BB6318" w14:paraId="47C9E460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916E0" w14:textId="77777777" w:rsidR="00410BCF" w:rsidRPr="00BB6318" w:rsidRDefault="00410BCF" w:rsidP="00845884">
            <w:r w:rsidRPr="00BB6318">
              <w:t xml:space="preserve">   Missing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F3C14" w14:textId="77777777" w:rsidR="00410BCF" w:rsidRPr="00BB6318" w:rsidRDefault="00410BCF" w:rsidP="00845884">
            <w:r w:rsidRPr="00BB6318">
              <w:t>2 (2.6)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4AD0D00A" w14:textId="77777777" w:rsidR="00410BCF" w:rsidRPr="00BB6318" w:rsidRDefault="00410BCF" w:rsidP="00845884">
            <w:r w:rsidRPr="00BB6318">
              <w:t>4 (9.8)</w:t>
            </w:r>
          </w:p>
        </w:tc>
      </w:tr>
      <w:tr w:rsidR="00410BCF" w:rsidRPr="00BB6318" w14:paraId="48D23063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216D" w14:textId="77777777" w:rsidR="00410BCF" w:rsidRPr="00BB6318" w:rsidRDefault="00410BCF" w:rsidP="00845884">
            <w:r w:rsidRPr="00BB6318">
              <w:t>Education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052D" w14:textId="77777777" w:rsidR="00410BCF" w:rsidRPr="00BB6318" w:rsidRDefault="00410BCF" w:rsidP="00845884"/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7A026463" w14:textId="77777777" w:rsidR="00410BCF" w:rsidRPr="00BB6318" w:rsidRDefault="00410BCF" w:rsidP="00845884"/>
        </w:tc>
      </w:tr>
      <w:tr w:rsidR="00410BCF" w:rsidRPr="00BB6318" w14:paraId="3987F2C9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71AB5" w14:textId="77777777" w:rsidR="00410BCF" w:rsidRPr="00BB6318" w:rsidRDefault="00410BCF" w:rsidP="00845884">
            <w:r w:rsidRPr="00BB6318">
              <w:t xml:space="preserve">   High School or Less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7B0E" w14:textId="77777777" w:rsidR="00410BCF" w:rsidRPr="00BB6318" w:rsidRDefault="00410BCF" w:rsidP="00845884">
            <w:r w:rsidRPr="00BB6318">
              <w:t>23 (30.3)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327E7CD6" w14:textId="77777777" w:rsidR="00410BCF" w:rsidRPr="00BB6318" w:rsidRDefault="00410BCF" w:rsidP="00845884">
            <w:r w:rsidRPr="00BB6318">
              <w:t>4 (9.8)</w:t>
            </w:r>
          </w:p>
        </w:tc>
      </w:tr>
      <w:tr w:rsidR="00410BCF" w:rsidRPr="00BB6318" w14:paraId="7CC2DBEE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9E914" w14:textId="77777777" w:rsidR="00410BCF" w:rsidRPr="00BB6318" w:rsidRDefault="00410BCF" w:rsidP="00845884">
            <w:r w:rsidRPr="00BB6318">
              <w:t xml:space="preserve">   Some Postsecondary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C6C88" w14:textId="77777777" w:rsidR="00410BCF" w:rsidRPr="00BB6318" w:rsidRDefault="00410BCF" w:rsidP="00845884">
            <w:r w:rsidRPr="00BB6318">
              <w:t>27 (35.5)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59DC8ABA" w14:textId="77777777" w:rsidR="00410BCF" w:rsidRPr="00BB6318" w:rsidRDefault="00410BCF" w:rsidP="00845884">
            <w:r w:rsidRPr="00BB6318">
              <w:t>9 (22.0)</w:t>
            </w:r>
          </w:p>
        </w:tc>
      </w:tr>
      <w:tr w:rsidR="00410BCF" w:rsidRPr="00BB6318" w14:paraId="3F5855C3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3BE9" w14:textId="77777777" w:rsidR="00410BCF" w:rsidRPr="00BB6318" w:rsidRDefault="00410BCF" w:rsidP="00845884">
            <w:r w:rsidRPr="00BB6318">
              <w:t xml:space="preserve">   Bachelor’s Degree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9DF1" w14:textId="77777777" w:rsidR="00410BCF" w:rsidRPr="00BB6318" w:rsidRDefault="00410BCF" w:rsidP="00845884">
            <w:r w:rsidRPr="00BB6318">
              <w:t>15 (19.7)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77FCFBE4" w14:textId="77777777" w:rsidR="00410BCF" w:rsidRPr="00BB6318" w:rsidRDefault="00410BCF" w:rsidP="00845884">
            <w:r w:rsidRPr="00BB6318">
              <w:t>11 (26.8)</w:t>
            </w:r>
          </w:p>
        </w:tc>
      </w:tr>
      <w:tr w:rsidR="00410BCF" w:rsidRPr="00BB6318" w14:paraId="0C31F77C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DE1A" w14:textId="77777777" w:rsidR="00410BCF" w:rsidRPr="00BB6318" w:rsidRDefault="00410BCF" w:rsidP="00845884">
            <w:r w:rsidRPr="00BB6318">
              <w:t xml:space="preserve">   Graduate Degree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35FB" w14:textId="77777777" w:rsidR="00410BCF" w:rsidRPr="00BB6318" w:rsidRDefault="00410BCF" w:rsidP="00845884">
            <w:r w:rsidRPr="00BB6318">
              <w:t>9 (11.8)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7577B399" w14:textId="77777777" w:rsidR="00410BCF" w:rsidRPr="00BB6318" w:rsidRDefault="00410BCF" w:rsidP="00845884">
            <w:r w:rsidRPr="00BB6318">
              <w:t>13 (31.7)</w:t>
            </w:r>
          </w:p>
        </w:tc>
      </w:tr>
      <w:tr w:rsidR="00410BCF" w:rsidRPr="00BB6318" w14:paraId="528C42DE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101C" w14:textId="77777777" w:rsidR="00410BCF" w:rsidRPr="00BB6318" w:rsidRDefault="00410BCF" w:rsidP="00845884">
            <w:r w:rsidRPr="00BB6318">
              <w:t xml:space="preserve">   Missing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0BCDE" w14:textId="77777777" w:rsidR="00410BCF" w:rsidRPr="00BB6318" w:rsidRDefault="00410BCF" w:rsidP="00845884">
            <w:r w:rsidRPr="00BB6318">
              <w:t>2 (2.6)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762A5F05" w14:textId="77777777" w:rsidR="00410BCF" w:rsidRPr="00BB6318" w:rsidRDefault="00410BCF" w:rsidP="00845884">
            <w:r w:rsidRPr="00BB6318">
              <w:t>4 (9.8)</w:t>
            </w:r>
          </w:p>
        </w:tc>
      </w:tr>
      <w:tr w:rsidR="00410BCF" w:rsidRPr="00BB6318" w14:paraId="12AADE10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E28D2" w14:textId="77777777" w:rsidR="00410BCF" w:rsidRPr="00BB6318" w:rsidRDefault="00410BCF" w:rsidP="00845884">
            <w:r w:rsidRPr="00BB6318">
              <w:t>Race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33C2E" w14:textId="77777777" w:rsidR="00410BCF" w:rsidRPr="00BB6318" w:rsidRDefault="00410BCF" w:rsidP="00845884"/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44F8AA52" w14:textId="77777777" w:rsidR="00410BCF" w:rsidRPr="00BB6318" w:rsidRDefault="00410BCF" w:rsidP="00845884"/>
        </w:tc>
      </w:tr>
      <w:tr w:rsidR="00410BCF" w:rsidRPr="00BB6318" w14:paraId="0A4A6182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5D039" w14:textId="77777777" w:rsidR="00410BCF" w:rsidRPr="00BB6318" w:rsidRDefault="00410BCF" w:rsidP="00845884">
            <w:r w:rsidRPr="00BB6318">
              <w:t xml:space="preserve">   American Indian / Alaska Native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DB44" w14:textId="77777777" w:rsidR="00410BCF" w:rsidRPr="00BB6318" w:rsidRDefault="00410BCF" w:rsidP="00845884">
            <w:r w:rsidRPr="00BB6318">
              <w:t>0 (0.0)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895DF" w14:textId="77777777" w:rsidR="00410BCF" w:rsidRPr="00BB6318" w:rsidRDefault="00410BCF" w:rsidP="00845884">
            <w:r w:rsidRPr="00BB6318">
              <w:t>0 (0.0)</w:t>
            </w:r>
          </w:p>
        </w:tc>
      </w:tr>
      <w:tr w:rsidR="00410BCF" w:rsidRPr="00BB6318" w14:paraId="34092F41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755E" w14:textId="77777777" w:rsidR="00410BCF" w:rsidRPr="00BB6318" w:rsidRDefault="00410BCF" w:rsidP="00845884">
            <w:r w:rsidRPr="00BB6318">
              <w:t xml:space="preserve">   Asian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5D1A" w14:textId="77777777" w:rsidR="00410BCF" w:rsidRPr="00BB6318" w:rsidRDefault="00410BCF" w:rsidP="00845884">
            <w:r w:rsidRPr="00BB6318">
              <w:t>1 (1.3)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0DDB6047" w14:textId="77777777" w:rsidR="00410BCF" w:rsidRPr="00BB6318" w:rsidRDefault="00410BCF" w:rsidP="00845884">
            <w:r w:rsidRPr="00BB6318">
              <w:t>0 (0.0)</w:t>
            </w:r>
          </w:p>
        </w:tc>
      </w:tr>
      <w:tr w:rsidR="00410BCF" w:rsidRPr="00BB6318" w14:paraId="21A5B4D8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9193" w14:textId="77777777" w:rsidR="00410BCF" w:rsidRPr="00BB6318" w:rsidRDefault="00410BCF" w:rsidP="00845884">
            <w:r w:rsidRPr="00BB6318">
              <w:t xml:space="preserve">   Black or African American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B240" w14:textId="77777777" w:rsidR="00410BCF" w:rsidRPr="00BB6318" w:rsidRDefault="00410BCF" w:rsidP="00845884">
            <w:r w:rsidRPr="00BB6318">
              <w:t>1 (1.3)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0EFD2CA0" w14:textId="77777777" w:rsidR="00410BCF" w:rsidRPr="00BB6318" w:rsidRDefault="00410BCF" w:rsidP="00845884">
            <w:r w:rsidRPr="00BB6318">
              <w:t>1 (2.4)</w:t>
            </w:r>
          </w:p>
        </w:tc>
      </w:tr>
      <w:tr w:rsidR="00410BCF" w:rsidRPr="00BB6318" w14:paraId="6724AE6E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77737" w14:textId="77777777" w:rsidR="00410BCF" w:rsidRPr="00BB6318" w:rsidRDefault="00410BCF" w:rsidP="00845884">
            <w:r w:rsidRPr="00BB6318">
              <w:t xml:space="preserve">   White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DA19" w14:textId="77777777" w:rsidR="00410BCF" w:rsidRPr="00BB6318" w:rsidRDefault="00410BCF" w:rsidP="00845884">
            <w:r w:rsidRPr="00BB6318">
              <w:t>74 (97.4)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1251CCA6" w14:textId="77777777" w:rsidR="00410BCF" w:rsidRPr="00BB6318" w:rsidRDefault="00410BCF" w:rsidP="00845884">
            <w:r w:rsidRPr="00BB6318">
              <w:t>40 (97.6)</w:t>
            </w:r>
          </w:p>
        </w:tc>
      </w:tr>
      <w:tr w:rsidR="00410BCF" w:rsidRPr="00BB6318" w14:paraId="7628DCD8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49FA9" w14:textId="77777777" w:rsidR="00410BCF" w:rsidRPr="00BB6318" w:rsidRDefault="00410BCF" w:rsidP="00845884">
            <w:r w:rsidRPr="00BB6318">
              <w:t xml:space="preserve">   Unreported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346DC" w14:textId="77777777" w:rsidR="00410BCF" w:rsidRPr="00BB6318" w:rsidRDefault="00410BCF" w:rsidP="00845884">
            <w:r w:rsidRPr="00BB6318">
              <w:t>0 (0.0)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3DB22456" w14:textId="77777777" w:rsidR="00410BCF" w:rsidRPr="00BB6318" w:rsidRDefault="00410BCF" w:rsidP="00845884">
            <w:r w:rsidRPr="00BB6318">
              <w:t>0 (0.0)</w:t>
            </w:r>
          </w:p>
        </w:tc>
      </w:tr>
      <w:tr w:rsidR="00410BCF" w:rsidRPr="00BB6318" w14:paraId="15FA49F7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3000" w14:textId="2B2443FD" w:rsidR="00410BCF" w:rsidRPr="00BB6318" w:rsidRDefault="00410BCF" w:rsidP="00845884">
            <w:r>
              <w:t>ALS</w:t>
            </w:r>
            <w:r w:rsidRPr="00BB6318">
              <w:t>FRS</w:t>
            </w:r>
            <w:r>
              <w:t>-R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C8B7" w14:textId="77777777" w:rsidR="00410BCF" w:rsidRPr="00BB6318" w:rsidRDefault="00410BCF" w:rsidP="00845884">
            <w:r w:rsidRPr="00BB6318">
              <w:t>36 (30-40)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27D0F2AB" w14:textId="77777777" w:rsidR="00410BCF" w:rsidRPr="00BB6318" w:rsidRDefault="00410BCF" w:rsidP="00845884"/>
        </w:tc>
      </w:tr>
      <w:tr w:rsidR="00410BCF" w:rsidRPr="00BB6318" w14:paraId="5C2A7736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432EA" w14:textId="77777777" w:rsidR="00410BCF" w:rsidRPr="00BB6318" w:rsidRDefault="00410BCF" w:rsidP="00845884">
            <w:r w:rsidRPr="00BB6318">
              <w:t>Time Between Symptom Onset and Diagnosis (Years)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AA90B" w14:textId="77777777" w:rsidR="00410BCF" w:rsidRPr="00BB6318" w:rsidRDefault="00410BCF" w:rsidP="00845884">
            <w:r w:rsidRPr="00BB6318">
              <w:t>1.04 (0.71-1.70)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5DB3F77E" w14:textId="77777777" w:rsidR="00410BCF" w:rsidRPr="00BB6318" w:rsidRDefault="00410BCF" w:rsidP="00845884"/>
        </w:tc>
      </w:tr>
      <w:tr w:rsidR="00410BCF" w:rsidRPr="00BB6318" w14:paraId="1EAF279B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35AC" w14:textId="77777777" w:rsidR="00410BCF" w:rsidRPr="00BB6318" w:rsidRDefault="00410BCF" w:rsidP="00845884">
            <w:r w:rsidRPr="00BB6318">
              <w:t>Time Between Diagnosis and Sample Acquisition (Years)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5B64B" w14:textId="77777777" w:rsidR="00410BCF" w:rsidRPr="00BB6318" w:rsidRDefault="00410BCF" w:rsidP="00845884">
            <w:r w:rsidRPr="00BB6318">
              <w:t>0.48 (0.31-0.95)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03DF0AD4" w14:textId="77777777" w:rsidR="00410BCF" w:rsidRPr="00BB6318" w:rsidRDefault="00410BCF" w:rsidP="00845884"/>
        </w:tc>
      </w:tr>
      <w:tr w:rsidR="00410BCF" w:rsidRPr="00BB6318" w14:paraId="5A77C047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F2ED0" w14:textId="77777777" w:rsidR="00410BCF" w:rsidRPr="00BB6318" w:rsidRDefault="00410BCF" w:rsidP="00845884">
            <w:r w:rsidRPr="00BB6318">
              <w:t>Observed Death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038C" w14:textId="77777777" w:rsidR="00410BCF" w:rsidRPr="00BB6318" w:rsidRDefault="00410BCF" w:rsidP="00845884"/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07A4DB25" w14:textId="77777777" w:rsidR="00410BCF" w:rsidRPr="00BB6318" w:rsidRDefault="00410BCF" w:rsidP="00845884"/>
        </w:tc>
      </w:tr>
      <w:tr w:rsidR="00410BCF" w:rsidRPr="00BB6318" w14:paraId="41849A97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5995" w14:textId="77777777" w:rsidR="00410BCF" w:rsidRPr="00BB6318" w:rsidRDefault="00410BCF" w:rsidP="00845884">
            <w:r w:rsidRPr="00BB6318">
              <w:t xml:space="preserve">   Yes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D44A" w14:textId="77777777" w:rsidR="00410BCF" w:rsidRPr="00BB6318" w:rsidRDefault="00410BCF" w:rsidP="00845884">
            <w:r w:rsidRPr="00BB6318">
              <w:t>67 (88.2)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3483DB66" w14:textId="77777777" w:rsidR="00410BCF" w:rsidRPr="00BB6318" w:rsidRDefault="00410BCF" w:rsidP="00845884"/>
        </w:tc>
      </w:tr>
      <w:tr w:rsidR="00410BCF" w:rsidRPr="00BB6318" w14:paraId="124669FB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B7816" w14:textId="77777777" w:rsidR="00410BCF" w:rsidRPr="00BB6318" w:rsidRDefault="00410BCF" w:rsidP="00845884">
            <w:r w:rsidRPr="00BB6318">
              <w:t xml:space="preserve">   No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92E04" w14:textId="77777777" w:rsidR="00410BCF" w:rsidRPr="00BB6318" w:rsidRDefault="00410BCF" w:rsidP="00845884">
            <w:r w:rsidRPr="00BB6318">
              <w:t>9 (11.8)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1AF709FA" w14:textId="77777777" w:rsidR="00410BCF" w:rsidRPr="00BB6318" w:rsidRDefault="00410BCF" w:rsidP="00845884"/>
        </w:tc>
      </w:tr>
      <w:tr w:rsidR="00410BCF" w:rsidRPr="00BB6318" w14:paraId="5F984001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C7177" w14:textId="77777777" w:rsidR="00410BCF" w:rsidRPr="00BB6318" w:rsidRDefault="00410BCF" w:rsidP="00845884">
            <w:r w:rsidRPr="00BB6318">
              <w:t>El Escorial Criteria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89B1" w14:textId="77777777" w:rsidR="00410BCF" w:rsidRPr="00BB6318" w:rsidRDefault="00410BCF" w:rsidP="00845884"/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3B81048C" w14:textId="77777777" w:rsidR="00410BCF" w:rsidRPr="00BB6318" w:rsidRDefault="00410BCF" w:rsidP="00845884"/>
        </w:tc>
      </w:tr>
      <w:tr w:rsidR="00410BCF" w:rsidRPr="00BB6318" w14:paraId="2F54CF77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5BB3" w14:textId="77777777" w:rsidR="00410BCF" w:rsidRPr="00BB6318" w:rsidRDefault="00410BCF" w:rsidP="00845884">
            <w:r w:rsidRPr="00BB6318">
              <w:t xml:space="preserve">   Possible / Suspected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27A6" w14:textId="77777777" w:rsidR="00410BCF" w:rsidRPr="00BB6318" w:rsidRDefault="00410BCF" w:rsidP="00845884">
            <w:r w:rsidRPr="00BB6318">
              <w:t>12 (15.8)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27E8F6E7" w14:textId="77777777" w:rsidR="00410BCF" w:rsidRPr="00BB6318" w:rsidRDefault="00410BCF" w:rsidP="00845884"/>
        </w:tc>
      </w:tr>
      <w:tr w:rsidR="00410BCF" w:rsidRPr="00BB6318" w14:paraId="6C778107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7B37" w14:textId="77777777" w:rsidR="00410BCF" w:rsidRPr="00BB6318" w:rsidRDefault="00410BCF" w:rsidP="00845884">
            <w:r w:rsidRPr="00BB6318">
              <w:t xml:space="preserve">   Probable, Lab Supported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F4CA" w14:textId="77777777" w:rsidR="00410BCF" w:rsidRPr="00BB6318" w:rsidRDefault="00410BCF" w:rsidP="00845884">
            <w:r w:rsidRPr="00BB6318">
              <w:t>15 (19.7)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56A0A8C5" w14:textId="77777777" w:rsidR="00410BCF" w:rsidRPr="00BB6318" w:rsidRDefault="00410BCF" w:rsidP="00845884"/>
        </w:tc>
      </w:tr>
      <w:tr w:rsidR="00410BCF" w:rsidRPr="00BB6318" w14:paraId="6D2C41B9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F025" w14:textId="763EB08B" w:rsidR="00410BCF" w:rsidRPr="00BB6318" w:rsidRDefault="00410BCF" w:rsidP="00410BCF">
            <w:r w:rsidRPr="00BB6318">
              <w:t xml:space="preserve">   Probable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86AB" w14:textId="5E07B7CF" w:rsidR="00410BCF" w:rsidRPr="00BB6318" w:rsidRDefault="00410BCF" w:rsidP="00410BCF">
            <w:r w:rsidRPr="00BB6318">
              <w:t>23 (30.3)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05BE360D" w14:textId="77777777" w:rsidR="00410BCF" w:rsidRPr="00BB6318" w:rsidRDefault="00410BCF" w:rsidP="00410BCF"/>
        </w:tc>
      </w:tr>
      <w:tr w:rsidR="00410BCF" w:rsidRPr="00BB6318" w14:paraId="61247249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DE639" w14:textId="77777777" w:rsidR="00410BCF" w:rsidRPr="00BB6318" w:rsidRDefault="00410BCF" w:rsidP="00410BCF">
            <w:r w:rsidRPr="00BB6318">
              <w:t xml:space="preserve">   Definite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6A5FA" w14:textId="77777777" w:rsidR="00410BCF" w:rsidRPr="00BB6318" w:rsidRDefault="00410BCF" w:rsidP="00410BCF">
            <w:r w:rsidRPr="00BB6318">
              <w:t>26 (34.2)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744A4ACC" w14:textId="77777777" w:rsidR="00410BCF" w:rsidRPr="00BB6318" w:rsidRDefault="00410BCF" w:rsidP="00410BCF"/>
        </w:tc>
      </w:tr>
      <w:tr w:rsidR="00410BCF" w:rsidRPr="00BB6318" w14:paraId="4D1D5498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1563A" w14:textId="77777777" w:rsidR="00410BCF" w:rsidRPr="00BB6318" w:rsidRDefault="00410BCF" w:rsidP="00410BCF">
            <w:r w:rsidRPr="00BB6318">
              <w:t>Onset Segment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8BAF" w14:textId="77777777" w:rsidR="00410BCF" w:rsidRPr="00BB6318" w:rsidRDefault="00410BCF" w:rsidP="00410BCF"/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18ECBD0D" w14:textId="77777777" w:rsidR="00410BCF" w:rsidRPr="00BB6318" w:rsidRDefault="00410BCF" w:rsidP="00410BCF"/>
        </w:tc>
      </w:tr>
      <w:tr w:rsidR="00410BCF" w:rsidRPr="00BB6318" w14:paraId="5A5AF65F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31FE2" w14:textId="77777777" w:rsidR="00410BCF" w:rsidRPr="00BB6318" w:rsidRDefault="00410BCF" w:rsidP="00410BCF">
            <w:r w:rsidRPr="00BB6318">
              <w:t xml:space="preserve">   Bulbar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2E45" w14:textId="77777777" w:rsidR="00410BCF" w:rsidRPr="00BB6318" w:rsidRDefault="00410BCF" w:rsidP="00410BCF">
            <w:r w:rsidRPr="00BB6318">
              <w:t>29 (38.2)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053EEEC7" w14:textId="77777777" w:rsidR="00410BCF" w:rsidRPr="00BB6318" w:rsidRDefault="00410BCF" w:rsidP="00410BCF"/>
        </w:tc>
      </w:tr>
      <w:tr w:rsidR="00410BCF" w:rsidRPr="00BB6318" w14:paraId="0AE54F04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8F8C" w14:textId="77777777" w:rsidR="00410BCF" w:rsidRPr="00BB6318" w:rsidRDefault="00410BCF" w:rsidP="00410BCF">
            <w:r w:rsidRPr="00BB6318">
              <w:t xml:space="preserve">   Cervical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7FEE" w14:textId="77777777" w:rsidR="00410BCF" w:rsidRPr="00BB6318" w:rsidRDefault="00410BCF" w:rsidP="00410BCF">
            <w:r w:rsidRPr="00BB6318">
              <w:t>24 (31.6)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75CE6AD4" w14:textId="77777777" w:rsidR="00410BCF" w:rsidRPr="00BB6318" w:rsidRDefault="00410BCF" w:rsidP="00410BCF"/>
        </w:tc>
      </w:tr>
      <w:tr w:rsidR="00410BCF" w:rsidRPr="00BB6318" w14:paraId="60E99850" w14:textId="77777777" w:rsidTr="00410BCF"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FF2F" w14:textId="77777777" w:rsidR="00410BCF" w:rsidRPr="00BB6318" w:rsidRDefault="00410BCF" w:rsidP="00410BCF">
            <w:r w:rsidRPr="00BB6318">
              <w:t xml:space="preserve">   Lumbar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11D6" w14:textId="77777777" w:rsidR="00410BCF" w:rsidRPr="00BB6318" w:rsidRDefault="00410BCF" w:rsidP="00410BCF">
            <w:r w:rsidRPr="00BB6318">
              <w:t>23 (30.3)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14:paraId="38B70939" w14:textId="77777777" w:rsidR="00410BCF" w:rsidRPr="00BB6318" w:rsidRDefault="00410BCF" w:rsidP="00410BCF"/>
        </w:tc>
      </w:tr>
      <w:tr w:rsidR="00410BCF" w:rsidRPr="00BB6318" w14:paraId="59BF0906" w14:textId="77777777" w:rsidTr="00410BCF"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50F46" w14:textId="77777777" w:rsidR="00410BCF" w:rsidRPr="00BB6318" w:rsidRDefault="00410BCF" w:rsidP="00410BCF">
            <w:r w:rsidRPr="00BB6318">
              <w:t xml:space="preserve">   Cannot be Determined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6DCC7" w14:textId="77777777" w:rsidR="00410BCF" w:rsidRPr="00BB6318" w:rsidRDefault="00410BCF" w:rsidP="00410BCF">
            <w:r w:rsidRPr="00BB6318">
              <w:t>0 (0.0)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06EFF" w14:textId="77777777" w:rsidR="00410BCF" w:rsidRPr="00BB6318" w:rsidRDefault="00410BCF" w:rsidP="00410BCF"/>
        </w:tc>
      </w:tr>
    </w:tbl>
    <w:p w14:paraId="2E4139C2" w14:textId="77777777" w:rsidR="00544D6E" w:rsidRDefault="00544D6E" w:rsidP="00C14D04"/>
    <w:p w14:paraId="27E7DBD6" w14:textId="4F0FDA94" w:rsidR="00BF7C3A" w:rsidRDefault="00BF7C3A" w:rsidP="00C14D04">
      <w:r w:rsidRPr="00BF7C3A">
        <w:t xml:space="preserve">Table of descriptive statistics for the study population. For continuous variables, </w:t>
      </w:r>
      <w:r w:rsidR="00410BCF">
        <w:t>m</w:t>
      </w:r>
      <w:r w:rsidRPr="00BF7C3A">
        <w:t>edian (25</w:t>
      </w:r>
      <w:r w:rsidRPr="00410BCF">
        <w:rPr>
          <w:vertAlign w:val="superscript"/>
        </w:rPr>
        <w:t>th</w:t>
      </w:r>
      <w:r w:rsidR="00410BCF">
        <w:t xml:space="preserve"> </w:t>
      </w:r>
      <w:r w:rsidRPr="00BF7C3A">
        <w:t>– 75</w:t>
      </w:r>
      <w:r w:rsidRPr="00410BCF">
        <w:rPr>
          <w:vertAlign w:val="superscript"/>
        </w:rPr>
        <w:t>th</w:t>
      </w:r>
      <w:r w:rsidR="00410BCF">
        <w:t xml:space="preserve"> </w:t>
      </w:r>
      <w:r w:rsidRPr="00BF7C3A">
        <w:t>percentile), and for categorical variables, N (%). *Body Mass Index is observed for 73 cases and 36 controls.</w:t>
      </w:r>
      <w:r w:rsidR="00410BCF">
        <w:t xml:space="preserve"> </w:t>
      </w:r>
      <w:r w:rsidR="00410BCF" w:rsidRPr="00691353">
        <w:t xml:space="preserve">ALSFRS-R, </w:t>
      </w:r>
      <w:r w:rsidR="00410BCF">
        <w:t>r</w:t>
      </w:r>
      <w:r w:rsidR="00410BCF" w:rsidRPr="00691353">
        <w:t>evised amyotrophic lateral sclerosis functional rating scale.</w:t>
      </w:r>
    </w:p>
    <w:p w14:paraId="4250ADC9" w14:textId="573DE07F" w:rsidR="00BF7C3A" w:rsidRDefault="00BF7C3A" w:rsidP="00C14D04"/>
    <w:p w14:paraId="38FBAD33" w14:textId="39313460" w:rsidR="00C14D04" w:rsidRDefault="00C14D04" w:rsidP="00C14D04">
      <w:pPr>
        <w:pStyle w:val="Heading2"/>
        <w:rPr>
          <w:szCs w:val="32"/>
        </w:rPr>
      </w:pPr>
      <w:r>
        <w:br w:type="page"/>
      </w:r>
    </w:p>
    <w:p w14:paraId="7054F3A5" w14:textId="7C252B51" w:rsidR="00BA0CCF" w:rsidRPr="00663787" w:rsidRDefault="00BA0CCF" w:rsidP="00663787">
      <w:pPr>
        <w:pStyle w:val="Heading1"/>
      </w:pPr>
      <w:r w:rsidRPr="00663787">
        <w:lastRenderedPageBreak/>
        <w:t>Supplementary Figures</w:t>
      </w:r>
    </w:p>
    <w:p w14:paraId="3A60686E" w14:textId="2476AB3C" w:rsidR="00BA0CCF" w:rsidRDefault="00BA0CCF" w:rsidP="00720CEB">
      <w:pPr>
        <w:rPr>
          <w:rFonts w:cs="Arial"/>
        </w:rPr>
      </w:pPr>
    </w:p>
    <w:p w14:paraId="310C9002" w14:textId="1AEEB5AA" w:rsidR="00FD52A8" w:rsidRPr="008B74B0" w:rsidRDefault="00FD52A8" w:rsidP="00FD52A8">
      <w:pPr>
        <w:pStyle w:val="Heading2"/>
        <w:rPr>
          <w:rFonts w:cs="Arial"/>
        </w:rPr>
      </w:pPr>
      <w:r w:rsidRPr="008B74B0">
        <w:rPr>
          <w:rFonts w:cs="Arial"/>
        </w:rPr>
        <w:t xml:space="preserve">Supplementary Figure S1. </w:t>
      </w:r>
      <w:r>
        <w:rPr>
          <w:rFonts w:cs="Arial"/>
        </w:rPr>
        <w:t xml:space="preserve">Distribution of </w:t>
      </w:r>
      <w:proofErr w:type="spellStart"/>
      <w:r>
        <w:rPr>
          <w:rFonts w:cs="Arial"/>
        </w:rPr>
        <w:t>ERS</w:t>
      </w:r>
      <w:r w:rsidRPr="00FC7385">
        <w:rPr>
          <w:rFonts w:cs="Arial"/>
          <w:vertAlign w:val="superscript"/>
        </w:rPr>
        <w:t>risk</w:t>
      </w:r>
      <w:proofErr w:type="spellEnd"/>
      <w:r>
        <w:rPr>
          <w:rFonts w:cs="Arial"/>
        </w:rPr>
        <w:t xml:space="preserve"> by ALS and control</w:t>
      </w:r>
    </w:p>
    <w:p w14:paraId="7793D763" w14:textId="652C84F3" w:rsidR="00FD52A8" w:rsidRDefault="00FD52A8" w:rsidP="00FD52A8">
      <w:pPr>
        <w:rPr>
          <w:szCs w:val="22"/>
        </w:rPr>
      </w:pPr>
      <w:r>
        <w:rPr>
          <w:rFonts w:cs="Arial"/>
          <w:color w:val="333333"/>
          <w:szCs w:val="22"/>
          <w:shd w:val="clear" w:color="auto" w:fill="FFFFFF"/>
        </w:rPr>
        <w:t xml:space="preserve">Distribution of the </w:t>
      </w:r>
      <w:proofErr w:type="spellStart"/>
      <w:r>
        <w:rPr>
          <w:rFonts w:cs="Arial"/>
          <w:color w:val="333333"/>
          <w:szCs w:val="22"/>
          <w:shd w:val="clear" w:color="auto" w:fill="FFFFFF"/>
        </w:rPr>
        <w:t>ERS</w:t>
      </w:r>
      <w:r w:rsidRPr="00FC7385">
        <w:rPr>
          <w:rFonts w:cs="Arial"/>
          <w:color w:val="333333"/>
          <w:szCs w:val="22"/>
          <w:shd w:val="clear" w:color="auto" w:fill="FFFFFF"/>
          <w:vertAlign w:val="superscript"/>
        </w:rPr>
        <w:t>risk</w:t>
      </w:r>
      <w:proofErr w:type="spellEnd"/>
      <w:r>
        <w:rPr>
          <w:rFonts w:cs="Arial"/>
          <w:color w:val="333333"/>
          <w:szCs w:val="22"/>
          <w:shd w:val="clear" w:color="auto" w:fill="FFFFFF"/>
        </w:rPr>
        <w:t xml:space="preserve"> by ALS and control group. ERS, environmental risk score.</w:t>
      </w:r>
    </w:p>
    <w:p w14:paraId="790D10FA" w14:textId="33F941CF" w:rsidR="00FD52A8" w:rsidRDefault="00FD52A8" w:rsidP="00FD52A8">
      <w:pPr>
        <w:rPr>
          <w:szCs w:val="22"/>
        </w:rPr>
      </w:pPr>
    </w:p>
    <w:p w14:paraId="7C5E63FC" w14:textId="4698031A" w:rsidR="00FD52A8" w:rsidRDefault="00FD52A8" w:rsidP="00FD52A8">
      <w:pPr>
        <w:rPr>
          <w:szCs w:val="22"/>
        </w:rPr>
      </w:pPr>
      <w:r>
        <w:rPr>
          <w:noProof/>
        </w:rPr>
        <w:drawing>
          <wp:inline distT="0" distB="0" distL="0" distR="0" wp14:anchorId="5DCCCB17" wp14:editId="2FCF91BE">
            <wp:extent cx="5943600" cy="3669030"/>
            <wp:effectExtent l="0" t="0" r="0" b="7620"/>
            <wp:docPr id="1" name="Picture 1" descr="A picture containing text, screenshot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iagram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290F" w14:textId="0D205611" w:rsidR="00FD52A8" w:rsidRDefault="00FD52A8" w:rsidP="00FD52A8">
      <w:pPr>
        <w:rPr>
          <w:szCs w:val="22"/>
        </w:rPr>
      </w:pPr>
    </w:p>
    <w:p w14:paraId="2C927796" w14:textId="77777777" w:rsidR="00FD52A8" w:rsidRPr="008B74B0" w:rsidRDefault="00FD52A8" w:rsidP="00FD52A8">
      <w:pPr>
        <w:rPr>
          <w:rFonts w:cs="Arial"/>
        </w:rPr>
      </w:pPr>
    </w:p>
    <w:p w14:paraId="3ED98E2C" w14:textId="77777777" w:rsidR="00F25A67" w:rsidRDefault="00F25A67">
      <w:pPr>
        <w:rPr>
          <w:rFonts w:cs="Arial"/>
        </w:rPr>
      </w:pPr>
      <w:r>
        <w:rPr>
          <w:rFonts w:cs="Arial"/>
        </w:rPr>
        <w:br w:type="page"/>
      </w:r>
    </w:p>
    <w:p w14:paraId="3BDA04A3" w14:textId="28B8A6B1" w:rsidR="00F25A67" w:rsidRDefault="00F25A67" w:rsidP="00F25A67">
      <w:pPr>
        <w:pStyle w:val="Heading2"/>
      </w:pPr>
      <w:r>
        <w:lastRenderedPageBreak/>
        <w:t xml:space="preserve">Supplementary Figure S2. Matched </w:t>
      </w:r>
      <w:r w:rsidR="00313F88">
        <w:t xml:space="preserve">cohort adjusted single pollutant and mixture associations between </w:t>
      </w:r>
      <w:proofErr w:type="spellStart"/>
      <w:r w:rsidR="00313F88">
        <w:t>POPs</w:t>
      </w:r>
      <w:proofErr w:type="spellEnd"/>
      <w:r w:rsidR="00313F88">
        <w:t xml:space="preserve"> and case/control status</w:t>
      </w:r>
    </w:p>
    <w:p w14:paraId="7A6E057A" w14:textId="020B7CC2" w:rsidR="007A18B1" w:rsidRDefault="007A18B1">
      <w:pPr>
        <w:rPr>
          <w:rFonts w:cs="Arial"/>
        </w:rPr>
      </w:pPr>
    </w:p>
    <w:p w14:paraId="08259AFD" w14:textId="1595BF9B" w:rsidR="007A18B1" w:rsidRDefault="007A18B1">
      <w:pPr>
        <w:rPr>
          <w:rFonts w:cs="Arial"/>
        </w:rPr>
      </w:pPr>
      <w:r>
        <w:t xml:space="preserve">Single POP logistic regression models where the outcome is case/control status using </w:t>
      </w:r>
      <w:r w:rsidRPr="003E2D38">
        <w:rPr>
          <w:rFonts w:cs="Arial"/>
        </w:rPr>
        <w:t>matching on age</w:t>
      </w:r>
      <w:r w:rsidR="003F2FB7">
        <w:rPr>
          <w:rFonts w:cs="Arial"/>
        </w:rPr>
        <w:t xml:space="preserve"> and</w:t>
      </w:r>
      <w:r w:rsidRPr="003E2D38">
        <w:rPr>
          <w:rFonts w:cs="Arial"/>
        </w:rPr>
        <w:t xml:space="preserve"> sex.</w:t>
      </w:r>
      <w:r>
        <w:t xml:space="preserve"> The variables of interest are log-transformed standardized POP concentrations, and the covariates are </w:t>
      </w:r>
      <w:r w:rsidR="003F2FB7">
        <w:t>education</w:t>
      </w:r>
      <w:r w:rsidRPr="009C1007">
        <w:t>, continuous BMI, and continuous BMI slope.</w:t>
      </w:r>
      <w:r>
        <w:t xml:space="preserve"> </w:t>
      </w:r>
      <w:r w:rsidRPr="00705FA6">
        <w:rPr>
          <w:rFonts w:cs="Arial"/>
          <w:szCs w:val="22"/>
        </w:rPr>
        <w:t xml:space="preserve">Abbreviations: </w:t>
      </w:r>
      <w:proofErr w:type="spellStart"/>
      <w:r w:rsidRPr="00705FA6">
        <w:rPr>
          <w:rFonts w:cs="Arial"/>
          <w:szCs w:val="22"/>
        </w:rPr>
        <w:t>BH</w:t>
      </w:r>
      <w:proofErr w:type="spellEnd"/>
      <w:r w:rsidRPr="00705FA6"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B</w:t>
      </w:r>
      <w:r w:rsidRPr="00705FA6">
        <w:rPr>
          <w:rFonts w:cs="Arial"/>
          <w:szCs w:val="22"/>
        </w:rPr>
        <w:t>enjamini</w:t>
      </w:r>
      <w:proofErr w:type="spellEnd"/>
      <w:r>
        <w:rPr>
          <w:rFonts w:cs="Arial"/>
          <w:szCs w:val="22"/>
        </w:rPr>
        <w:t>-H</w:t>
      </w:r>
      <w:r w:rsidRPr="00705FA6">
        <w:rPr>
          <w:rFonts w:cs="Arial"/>
          <w:szCs w:val="22"/>
        </w:rPr>
        <w:t xml:space="preserve">ochberg; </w:t>
      </w:r>
      <w:r w:rsidR="00CB7AE8">
        <w:rPr>
          <w:rFonts w:cs="Arial"/>
          <w:szCs w:val="22"/>
        </w:rPr>
        <w:t xml:space="preserve">BMI, body mass index; </w:t>
      </w:r>
      <w:r w:rsidRPr="00705FA6">
        <w:rPr>
          <w:rFonts w:cs="Arial"/>
          <w:szCs w:val="22"/>
        </w:rPr>
        <w:t xml:space="preserve">CI, confidence interval; DDE, </w:t>
      </w:r>
      <w:proofErr w:type="spellStart"/>
      <w:r w:rsidRPr="00705FA6">
        <w:rPr>
          <w:rFonts w:cs="Arial"/>
          <w:szCs w:val="22"/>
        </w:rPr>
        <w:t>dichlorodiphenyldichloroethylene</w:t>
      </w:r>
      <w:proofErr w:type="spellEnd"/>
      <w:r>
        <w:t xml:space="preserve">; ERS, environmental risk score; HCB, </w:t>
      </w:r>
      <w:r w:rsidRPr="000601DA">
        <w:t>hexachlorobenzene</w:t>
      </w:r>
      <w:r>
        <w:t xml:space="preserve">; HR, hazard ratio; </w:t>
      </w:r>
      <w:proofErr w:type="spellStart"/>
      <w:r>
        <w:t>OCP</w:t>
      </w:r>
      <w:proofErr w:type="spellEnd"/>
      <w:r>
        <w:t xml:space="preserve">, organochlorine pesticide; </w:t>
      </w:r>
      <w:proofErr w:type="spellStart"/>
      <w:r>
        <w:t>PBDE</w:t>
      </w:r>
      <w:proofErr w:type="spellEnd"/>
      <w:r>
        <w:t>, p</w:t>
      </w:r>
      <w:r w:rsidRPr="000601DA">
        <w:t>olybrominated diphenyl ether</w:t>
      </w:r>
      <w:r>
        <w:t>; PCB, p</w:t>
      </w:r>
      <w:r w:rsidRPr="000601DA">
        <w:t>olychlorinated biphenyl</w:t>
      </w:r>
      <w:r>
        <w:t xml:space="preserve">; </w:t>
      </w:r>
      <w:proofErr w:type="spellStart"/>
      <w:r>
        <w:t>PeCB</w:t>
      </w:r>
      <w:proofErr w:type="spellEnd"/>
      <w:r>
        <w:t xml:space="preserve">, </w:t>
      </w:r>
      <w:proofErr w:type="spellStart"/>
      <w:r w:rsidRPr="000601DA">
        <w:t>pentachlorobenzene</w:t>
      </w:r>
      <w:proofErr w:type="spellEnd"/>
      <w:r>
        <w:t>; POP, persistent organic pollutant.</w:t>
      </w:r>
    </w:p>
    <w:p w14:paraId="5203CC29" w14:textId="77777777" w:rsidR="003E7C07" w:rsidRDefault="003E7C07">
      <w:pPr>
        <w:rPr>
          <w:rFonts w:cs="Arial"/>
        </w:rPr>
      </w:pPr>
    </w:p>
    <w:p w14:paraId="3EF224B5" w14:textId="2CC6CF38" w:rsidR="00AD0D73" w:rsidRDefault="00523BB7">
      <w:pPr>
        <w:rPr>
          <w:rFonts w:eastAsiaTheme="majorEastAsia" w:cs="Arial"/>
          <w:b/>
          <w:szCs w:val="26"/>
        </w:rPr>
      </w:pPr>
      <w:r w:rsidRPr="00523BB7">
        <w:rPr>
          <w:rFonts w:cs="Arial"/>
          <w:noProof/>
        </w:rPr>
        <w:drawing>
          <wp:inline distT="0" distB="0" distL="0" distR="0" wp14:anchorId="7AB8AB54" wp14:editId="0CECA27D">
            <wp:extent cx="5943600" cy="49383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D73">
        <w:rPr>
          <w:rFonts w:cs="Arial"/>
        </w:rPr>
        <w:br w:type="page"/>
      </w:r>
    </w:p>
    <w:p w14:paraId="40A383BC" w14:textId="5646093B" w:rsidR="00AD0D73" w:rsidRDefault="00AD0D73" w:rsidP="00AD0D73">
      <w:pPr>
        <w:pStyle w:val="Heading2"/>
      </w:pPr>
      <w:r w:rsidRPr="008B74B0">
        <w:lastRenderedPageBreak/>
        <w:t>Supplementary Figure S</w:t>
      </w:r>
      <w:r>
        <w:t>3</w:t>
      </w:r>
      <w:r w:rsidRPr="008B74B0">
        <w:t xml:space="preserve">. </w:t>
      </w:r>
      <w:r w:rsidR="00780592">
        <w:t>C</w:t>
      </w:r>
      <w:r w:rsidR="0017031B">
        <w:t xml:space="preserve">ohort </w:t>
      </w:r>
      <w:r w:rsidR="005A159F">
        <w:t xml:space="preserve">contour </w:t>
      </w:r>
      <w:r>
        <w:t xml:space="preserve">survival </w:t>
      </w:r>
      <w:r w:rsidR="005A159F">
        <w:t>plot</w:t>
      </w:r>
    </w:p>
    <w:p w14:paraId="267F4D3F" w14:textId="16389B2F" w:rsidR="00AD0D73" w:rsidRDefault="005A159F" w:rsidP="00AD0D73">
      <w:r>
        <w:t xml:space="preserve">Contour survival plot </w:t>
      </w:r>
      <w:r w:rsidR="00F53310">
        <w:t>indicating the survival time from diagnosis based on environmental risk score, visualized and grouped by survival probability (S(t)).</w:t>
      </w:r>
    </w:p>
    <w:p w14:paraId="2DDCA94B" w14:textId="038D34F1" w:rsidR="00AD0D73" w:rsidRDefault="005A159F" w:rsidP="00AD0D73">
      <w:r>
        <w:t xml:space="preserve">Abbreviations: ERS, environmental risk score; </w:t>
      </w:r>
      <w:proofErr w:type="spellStart"/>
      <w:r w:rsidR="00AD0D73">
        <w:t>IQR</w:t>
      </w:r>
      <w:proofErr w:type="spellEnd"/>
      <w:r w:rsidR="00AD0D73">
        <w:t>, interquartile range; S(t), survival probability</w:t>
      </w:r>
      <w:r w:rsidR="00A150A7">
        <w:t>.</w:t>
      </w:r>
    </w:p>
    <w:p w14:paraId="5B34B447" w14:textId="4055B777" w:rsidR="003816AC" w:rsidRDefault="003816AC" w:rsidP="00AD0D73"/>
    <w:p w14:paraId="336C1AB6" w14:textId="06C00288" w:rsidR="003816AC" w:rsidRDefault="00B3131E" w:rsidP="00AD0D73">
      <w:r w:rsidRPr="00B3131E">
        <w:rPr>
          <w:noProof/>
        </w:rPr>
        <w:drawing>
          <wp:inline distT="0" distB="0" distL="0" distR="0" wp14:anchorId="4F5868A4" wp14:editId="4D31B380">
            <wp:extent cx="5276850" cy="5276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DB4F3" w14:textId="645B2CC3" w:rsidR="00040A60" w:rsidRDefault="00040A60" w:rsidP="00AD0D73"/>
    <w:p w14:paraId="18D12576" w14:textId="51C3B2A4" w:rsidR="00040A60" w:rsidRDefault="00040A60">
      <w:r>
        <w:br w:type="page"/>
      </w:r>
    </w:p>
    <w:p w14:paraId="5BA90CED" w14:textId="6B05E31D" w:rsidR="00040A60" w:rsidRDefault="00040A60" w:rsidP="00FC5870">
      <w:pPr>
        <w:pStyle w:val="Heading2"/>
      </w:pPr>
      <w:r>
        <w:lastRenderedPageBreak/>
        <w:t>Supplementary Figure S4. Adjusted survival curves by ERS quartile</w:t>
      </w:r>
    </w:p>
    <w:p w14:paraId="7694657D" w14:textId="43C2FFA3" w:rsidR="00040A60" w:rsidRDefault="00040A60" w:rsidP="00AD0D73">
      <w:r w:rsidRPr="00040A60">
        <w:t xml:space="preserve">Dashed lines indicate the median survival in each environmental risk score (ERS) strata. The estimated adjusted median survival time is </w:t>
      </w:r>
      <w:r w:rsidR="00BD5C6E">
        <w:t>2.26</w:t>
      </w:r>
      <w:r w:rsidRPr="00040A60">
        <w:t xml:space="preserve"> years for Quartile 1, </w:t>
      </w:r>
      <w:r w:rsidR="00BD5C6E">
        <w:t>2.24</w:t>
      </w:r>
      <w:r w:rsidRPr="00040A60">
        <w:t xml:space="preserve"> years for Quartile 2, </w:t>
      </w:r>
      <w:r w:rsidR="00BD5C6E">
        <w:t>1.68</w:t>
      </w:r>
      <w:r w:rsidRPr="00040A60">
        <w:t xml:space="preserve"> years for Quartile 3, and 1.</w:t>
      </w:r>
      <w:r>
        <w:t>38</w:t>
      </w:r>
      <w:r w:rsidRPr="00040A60">
        <w:t xml:space="preserve"> years for Quartile 4.</w:t>
      </w:r>
      <w:r>
        <w:t xml:space="preserve"> With Quartile 1 as the reference, hazard ratios and 95% confidence intervals by quartile are as follows: Quartile 2 (HR = </w:t>
      </w:r>
      <w:r w:rsidR="00BD5C6E">
        <w:t>1.01</w:t>
      </w:r>
      <w:r>
        <w:t xml:space="preserve">, 95% CI </w:t>
      </w:r>
      <w:r w:rsidR="00BD5C6E">
        <w:t>0.59-1.75</w:t>
      </w:r>
      <w:r>
        <w:t xml:space="preserve">, p = </w:t>
      </w:r>
      <w:r w:rsidR="00BD5C6E">
        <w:t>0.960</w:t>
      </w:r>
      <w:r>
        <w:t xml:space="preserve">); Quartile 3 (HR = </w:t>
      </w:r>
      <w:r w:rsidR="00BD5C6E">
        <w:t>1.65</w:t>
      </w:r>
      <w:r>
        <w:t xml:space="preserve">, 95% CI </w:t>
      </w:r>
      <w:r w:rsidR="00BD5C6E">
        <w:t>0.95-2.86</w:t>
      </w:r>
      <w:r>
        <w:t xml:space="preserve">, p = </w:t>
      </w:r>
      <w:r w:rsidR="00BD5C6E">
        <w:t>0.075</w:t>
      </w:r>
      <w:r>
        <w:t>); Quartile 4 (</w:t>
      </w:r>
      <w:r w:rsidR="00DC6BC4">
        <w:t xml:space="preserve">HR = </w:t>
      </w:r>
      <w:r w:rsidR="00BD5C6E">
        <w:t>2.31</w:t>
      </w:r>
      <w:r w:rsidR="00DC6BC4">
        <w:t xml:space="preserve">, 95% CI </w:t>
      </w:r>
      <w:r w:rsidR="00BD5C6E">
        <w:t>1.30-4.13</w:t>
      </w:r>
      <w:r w:rsidR="00DC6BC4">
        <w:t xml:space="preserve">, p = </w:t>
      </w:r>
      <w:r w:rsidR="00BD5C6E">
        <w:t>0.005</w:t>
      </w:r>
      <w:r>
        <w:t>)</w:t>
      </w:r>
      <w:r w:rsidR="00F7477B">
        <w:t>.</w:t>
      </w:r>
    </w:p>
    <w:p w14:paraId="25B6EAB5" w14:textId="1A19577F" w:rsidR="00040A60" w:rsidRDefault="00040A60" w:rsidP="00AD0D73"/>
    <w:p w14:paraId="593E64B3" w14:textId="6777C377" w:rsidR="00040A60" w:rsidRDefault="00B3131E" w:rsidP="00AD0D73">
      <w:r w:rsidRPr="00B3131E">
        <w:rPr>
          <w:noProof/>
        </w:rPr>
        <w:drawing>
          <wp:inline distT="0" distB="0" distL="0" distR="0" wp14:anchorId="2CF40FE2" wp14:editId="0CA683D5">
            <wp:extent cx="5276850" cy="5276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A60" w:rsidSect="00BD0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367A" w14:textId="77777777" w:rsidR="000358ED" w:rsidRDefault="000358ED" w:rsidP="00DE2790">
      <w:r>
        <w:separator/>
      </w:r>
    </w:p>
  </w:endnote>
  <w:endnote w:type="continuationSeparator" w:id="0">
    <w:p w14:paraId="30D8AB60" w14:textId="77777777" w:rsidR="000358ED" w:rsidRDefault="000358ED" w:rsidP="00DE2790">
      <w:r>
        <w:continuationSeparator/>
      </w:r>
    </w:p>
  </w:endnote>
  <w:endnote w:type="continuationNotice" w:id="1">
    <w:p w14:paraId="624FC44D" w14:textId="77777777" w:rsidR="000358ED" w:rsidRDefault="00035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1004" w14:textId="4E090C2D" w:rsidR="00B80399" w:rsidRDefault="00B80399" w:rsidP="00110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A99BF91" w14:textId="77777777" w:rsidR="00B80399" w:rsidRDefault="00B80399" w:rsidP="00DE27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A37B" w14:textId="31057E77" w:rsidR="00B80399" w:rsidRDefault="00B80399" w:rsidP="00110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B53">
      <w:rPr>
        <w:rStyle w:val="PageNumber"/>
        <w:noProof/>
      </w:rPr>
      <w:t>27</w:t>
    </w:r>
    <w:r>
      <w:rPr>
        <w:rStyle w:val="PageNumber"/>
      </w:rPr>
      <w:fldChar w:fldCharType="end"/>
    </w:r>
  </w:p>
  <w:p w14:paraId="394699C3" w14:textId="77777777" w:rsidR="00B80399" w:rsidRDefault="00B80399" w:rsidP="00DE27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AABE" w14:textId="77777777" w:rsidR="000358ED" w:rsidRDefault="000358ED" w:rsidP="00DE2790">
      <w:r>
        <w:separator/>
      </w:r>
    </w:p>
  </w:footnote>
  <w:footnote w:type="continuationSeparator" w:id="0">
    <w:p w14:paraId="75CA4DD2" w14:textId="77777777" w:rsidR="000358ED" w:rsidRDefault="000358ED" w:rsidP="00DE2790">
      <w:r>
        <w:continuationSeparator/>
      </w:r>
    </w:p>
  </w:footnote>
  <w:footnote w:type="continuationNotice" w:id="1">
    <w:p w14:paraId="5AC4632E" w14:textId="77777777" w:rsidR="000358ED" w:rsidRDefault="00035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4F8E"/>
    <w:multiLevelType w:val="hybridMultilevel"/>
    <w:tmpl w:val="960E1EA8"/>
    <w:lvl w:ilvl="0" w:tplc="95EE71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5A21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7440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55E1B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976BB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F828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CEA8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FDC6C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0CA34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7BCF0C20"/>
    <w:multiLevelType w:val="hybridMultilevel"/>
    <w:tmpl w:val="1D7ED012"/>
    <w:lvl w:ilvl="0" w:tplc="ECE6EC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49822">
    <w:abstractNumId w:val="1"/>
  </w:num>
  <w:num w:numId="2" w16cid:durableId="56276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Reviews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5e9r2rvhfv2sjeffvzppzsgeverer5fs5v9&quot;&gt;OneDrive Main EndNote Library&lt;record-ids&gt;&lt;item&gt;2057&lt;/item&gt;&lt;item&gt;2253&lt;/item&gt;&lt;item&gt;2303&lt;/item&gt;&lt;item&gt;2324&lt;/item&gt;&lt;item&gt;2644&lt;/item&gt;&lt;item&gt;3284&lt;/item&gt;&lt;item&gt;3800&lt;/item&gt;&lt;item&gt;3878&lt;/item&gt;&lt;item&gt;3930&lt;/item&gt;&lt;item&gt;3948&lt;/item&gt;&lt;item&gt;3950&lt;/item&gt;&lt;item&gt;3951&lt;/item&gt;&lt;item&gt;3953&lt;/item&gt;&lt;item&gt;3955&lt;/item&gt;&lt;item&gt;3970&lt;/item&gt;&lt;item&gt;3987&lt;/item&gt;&lt;item&gt;3989&lt;/item&gt;&lt;item&gt;3993&lt;/item&gt;&lt;item&gt;3994&lt;/item&gt;&lt;item&gt;3995&lt;/item&gt;&lt;item&gt;3998&lt;/item&gt;&lt;item&gt;4001&lt;/item&gt;&lt;item&gt;4002&lt;/item&gt;&lt;item&gt;4004&lt;/item&gt;&lt;item&gt;4005&lt;/item&gt;&lt;item&gt;4006&lt;/item&gt;&lt;item&gt;4007&lt;/item&gt;&lt;item&gt;4008&lt;/item&gt;&lt;item&gt;4009&lt;/item&gt;&lt;item&gt;4010&lt;/item&gt;&lt;item&gt;4016&lt;/item&gt;&lt;item&gt;4017&lt;/item&gt;&lt;item&gt;4018&lt;/item&gt;&lt;item&gt;4019&lt;/item&gt;&lt;item&gt;4020&lt;/item&gt;&lt;item&gt;4025&lt;/item&gt;&lt;item&gt;4029&lt;/item&gt;&lt;item&gt;4030&lt;/item&gt;&lt;item&gt;4031&lt;/item&gt;&lt;/record-ids&gt;&lt;/item&gt;&lt;/Libraries&gt;"/>
  </w:docVars>
  <w:rsids>
    <w:rsidRoot w:val="00E77F72"/>
    <w:rsid w:val="00001268"/>
    <w:rsid w:val="00001C7C"/>
    <w:rsid w:val="000034F9"/>
    <w:rsid w:val="00005366"/>
    <w:rsid w:val="00005402"/>
    <w:rsid w:val="00005BD4"/>
    <w:rsid w:val="000068F0"/>
    <w:rsid w:val="00006B9B"/>
    <w:rsid w:val="000107E8"/>
    <w:rsid w:val="00012D85"/>
    <w:rsid w:val="00017F56"/>
    <w:rsid w:val="0002567B"/>
    <w:rsid w:val="00025FF7"/>
    <w:rsid w:val="000266F4"/>
    <w:rsid w:val="00027174"/>
    <w:rsid w:val="000272D3"/>
    <w:rsid w:val="00031268"/>
    <w:rsid w:val="00031311"/>
    <w:rsid w:val="000321F5"/>
    <w:rsid w:val="00035240"/>
    <w:rsid w:val="00035642"/>
    <w:rsid w:val="000358ED"/>
    <w:rsid w:val="00035927"/>
    <w:rsid w:val="000361B9"/>
    <w:rsid w:val="00037F3E"/>
    <w:rsid w:val="00040328"/>
    <w:rsid w:val="00040A60"/>
    <w:rsid w:val="00041FE8"/>
    <w:rsid w:val="00044551"/>
    <w:rsid w:val="0004547D"/>
    <w:rsid w:val="0004676E"/>
    <w:rsid w:val="00050665"/>
    <w:rsid w:val="000521B5"/>
    <w:rsid w:val="00052858"/>
    <w:rsid w:val="00056F50"/>
    <w:rsid w:val="00057864"/>
    <w:rsid w:val="000601DA"/>
    <w:rsid w:val="000627B0"/>
    <w:rsid w:val="0006524F"/>
    <w:rsid w:val="00065B20"/>
    <w:rsid w:val="00065EB7"/>
    <w:rsid w:val="00070172"/>
    <w:rsid w:val="00071931"/>
    <w:rsid w:val="00073703"/>
    <w:rsid w:val="0007396C"/>
    <w:rsid w:val="00073AB4"/>
    <w:rsid w:val="000756FF"/>
    <w:rsid w:val="0007605C"/>
    <w:rsid w:val="00077EAA"/>
    <w:rsid w:val="000800E9"/>
    <w:rsid w:val="00080C9A"/>
    <w:rsid w:val="00082851"/>
    <w:rsid w:val="000835AD"/>
    <w:rsid w:val="00083B69"/>
    <w:rsid w:val="000841F9"/>
    <w:rsid w:val="00084FA8"/>
    <w:rsid w:val="000851BE"/>
    <w:rsid w:val="00085371"/>
    <w:rsid w:val="00086A8C"/>
    <w:rsid w:val="00087472"/>
    <w:rsid w:val="00087593"/>
    <w:rsid w:val="00087B6B"/>
    <w:rsid w:val="00087DA4"/>
    <w:rsid w:val="00090003"/>
    <w:rsid w:val="000902E2"/>
    <w:rsid w:val="000903DF"/>
    <w:rsid w:val="000908BA"/>
    <w:rsid w:val="00091C96"/>
    <w:rsid w:val="00091DC9"/>
    <w:rsid w:val="000939BE"/>
    <w:rsid w:val="00095E4D"/>
    <w:rsid w:val="000A09A1"/>
    <w:rsid w:val="000A2180"/>
    <w:rsid w:val="000A609E"/>
    <w:rsid w:val="000A6D66"/>
    <w:rsid w:val="000A7520"/>
    <w:rsid w:val="000B11C3"/>
    <w:rsid w:val="000B11EA"/>
    <w:rsid w:val="000B48DB"/>
    <w:rsid w:val="000B4F68"/>
    <w:rsid w:val="000B699F"/>
    <w:rsid w:val="000C282D"/>
    <w:rsid w:val="000C33C0"/>
    <w:rsid w:val="000C4CAB"/>
    <w:rsid w:val="000C6944"/>
    <w:rsid w:val="000C7857"/>
    <w:rsid w:val="000D0E30"/>
    <w:rsid w:val="000D277B"/>
    <w:rsid w:val="000D4DC8"/>
    <w:rsid w:val="000D74A8"/>
    <w:rsid w:val="000E0196"/>
    <w:rsid w:val="000E070C"/>
    <w:rsid w:val="000E10DA"/>
    <w:rsid w:val="000E289B"/>
    <w:rsid w:val="000E2E5A"/>
    <w:rsid w:val="000E3A55"/>
    <w:rsid w:val="000E3B07"/>
    <w:rsid w:val="000E4D75"/>
    <w:rsid w:val="000E5245"/>
    <w:rsid w:val="000E6AE4"/>
    <w:rsid w:val="000E70A4"/>
    <w:rsid w:val="000E7998"/>
    <w:rsid w:val="000F2037"/>
    <w:rsid w:val="000F23A3"/>
    <w:rsid w:val="000F29B7"/>
    <w:rsid w:val="000F32CC"/>
    <w:rsid w:val="000F4D10"/>
    <w:rsid w:val="001009AA"/>
    <w:rsid w:val="00101DF5"/>
    <w:rsid w:val="00102B3E"/>
    <w:rsid w:val="001040DD"/>
    <w:rsid w:val="00105460"/>
    <w:rsid w:val="00106F87"/>
    <w:rsid w:val="001108A3"/>
    <w:rsid w:val="001108B7"/>
    <w:rsid w:val="00111926"/>
    <w:rsid w:val="00111DEE"/>
    <w:rsid w:val="001120B1"/>
    <w:rsid w:val="0011297A"/>
    <w:rsid w:val="001135C1"/>
    <w:rsid w:val="0011628F"/>
    <w:rsid w:val="00116383"/>
    <w:rsid w:val="0011763C"/>
    <w:rsid w:val="00117F1E"/>
    <w:rsid w:val="0012169E"/>
    <w:rsid w:val="001218F2"/>
    <w:rsid w:val="001236B0"/>
    <w:rsid w:val="001257FE"/>
    <w:rsid w:val="001268FE"/>
    <w:rsid w:val="001304BE"/>
    <w:rsid w:val="0013202A"/>
    <w:rsid w:val="00132800"/>
    <w:rsid w:val="00132BFB"/>
    <w:rsid w:val="0013427D"/>
    <w:rsid w:val="001356A4"/>
    <w:rsid w:val="00135B0F"/>
    <w:rsid w:val="00135BAE"/>
    <w:rsid w:val="001365B3"/>
    <w:rsid w:val="00137E42"/>
    <w:rsid w:val="001407D9"/>
    <w:rsid w:val="00140C69"/>
    <w:rsid w:val="00141473"/>
    <w:rsid w:val="00142A73"/>
    <w:rsid w:val="00142A84"/>
    <w:rsid w:val="00146BDC"/>
    <w:rsid w:val="0015106B"/>
    <w:rsid w:val="00151EB0"/>
    <w:rsid w:val="00151FB7"/>
    <w:rsid w:val="00152FE0"/>
    <w:rsid w:val="00153172"/>
    <w:rsid w:val="00153F1C"/>
    <w:rsid w:val="0015564B"/>
    <w:rsid w:val="001563FF"/>
    <w:rsid w:val="001572F1"/>
    <w:rsid w:val="0016153D"/>
    <w:rsid w:val="00161E25"/>
    <w:rsid w:val="00163465"/>
    <w:rsid w:val="00163A5B"/>
    <w:rsid w:val="00163DDD"/>
    <w:rsid w:val="00164807"/>
    <w:rsid w:val="00164FAF"/>
    <w:rsid w:val="00165F66"/>
    <w:rsid w:val="00166305"/>
    <w:rsid w:val="0016692F"/>
    <w:rsid w:val="00167BDF"/>
    <w:rsid w:val="0017031B"/>
    <w:rsid w:val="00170FC2"/>
    <w:rsid w:val="00172DB5"/>
    <w:rsid w:val="00174995"/>
    <w:rsid w:val="001754A2"/>
    <w:rsid w:val="00175A71"/>
    <w:rsid w:val="0018330A"/>
    <w:rsid w:val="00186AB4"/>
    <w:rsid w:val="00187E7A"/>
    <w:rsid w:val="00193613"/>
    <w:rsid w:val="00194971"/>
    <w:rsid w:val="00196686"/>
    <w:rsid w:val="001A21CE"/>
    <w:rsid w:val="001A2486"/>
    <w:rsid w:val="001A4F04"/>
    <w:rsid w:val="001A6056"/>
    <w:rsid w:val="001A61F9"/>
    <w:rsid w:val="001A67B6"/>
    <w:rsid w:val="001B071B"/>
    <w:rsid w:val="001B0B14"/>
    <w:rsid w:val="001B1A4B"/>
    <w:rsid w:val="001B2270"/>
    <w:rsid w:val="001B53B3"/>
    <w:rsid w:val="001B5F21"/>
    <w:rsid w:val="001B65D2"/>
    <w:rsid w:val="001C01D8"/>
    <w:rsid w:val="001C12DD"/>
    <w:rsid w:val="001C1327"/>
    <w:rsid w:val="001C1442"/>
    <w:rsid w:val="001C2288"/>
    <w:rsid w:val="001C35BD"/>
    <w:rsid w:val="001C41D4"/>
    <w:rsid w:val="001C4932"/>
    <w:rsid w:val="001C49A0"/>
    <w:rsid w:val="001C740B"/>
    <w:rsid w:val="001C7CDF"/>
    <w:rsid w:val="001D278F"/>
    <w:rsid w:val="001D3EF0"/>
    <w:rsid w:val="001D515F"/>
    <w:rsid w:val="001D62B9"/>
    <w:rsid w:val="001E0E4D"/>
    <w:rsid w:val="001E18AC"/>
    <w:rsid w:val="001E4B69"/>
    <w:rsid w:val="001E549D"/>
    <w:rsid w:val="001E636B"/>
    <w:rsid w:val="001E6449"/>
    <w:rsid w:val="001E7010"/>
    <w:rsid w:val="001E7524"/>
    <w:rsid w:val="001F0414"/>
    <w:rsid w:val="001F068E"/>
    <w:rsid w:val="001F0F43"/>
    <w:rsid w:val="001F2293"/>
    <w:rsid w:val="001F2414"/>
    <w:rsid w:val="001F33DA"/>
    <w:rsid w:val="001F52B2"/>
    <w:rsid w:val="001F6CD5"/>
    <w:rsid w:val="0020077E"/>
    <w:rsid w:val="00201D5D"/>
    <w:rsid w:val="002024DB"/>
    <w:rsid w:val="00202625"/>
    <w:rsid w:val="0020516B"/>
    <w:rsid w:val="00205D65"/>
    <w:rsid w:val="00210036"/>
    <w:rsid w:val="002118D4"/>
    <w:rsid w:val="00216CBF"/>
    <w:rsid w:val="00220A0E"/>
    <w:rsid w:val="002234C9"/>
    <w:rsid w:val="002247C5"/>
    <w:rsid w:val="0022583B"/>
    <w:rsid w:val="00226059"/>
    <w:rsid w:val="00226B73"/>
    <w:rsid w:val="00226EF2"/>
    <w:rsid w:val="00227157"/>
    <w:rsid w:val="00231EDE"/>
    <w:rsid w:val="0023368E"/>
    <w:rsid w:val="002339AB"/>
    <w:rsid w:val="00233A58"/>
    <w:rsid w:val="00233CEF"/>
    <w:rsid w:val="0023404B"/>
    <w:rsid w:val="002344D4"/>
    <w:rsid w:val="00242C3F"/>
    <w:rsid w:val="002437E3"/>
    <w:rsid w:val="002441C4"/>
    <w:rsid w:val="00244EE4"/>
    <w:rsid w:val="00246DE2"/>
    <w:rsid w:val="0025296F"/>
    <w:rsid w:val="00255AF4"/>
    <w:rsid w:val="00256442"/>
    <w:rsid w:val="00262DFE"/>
    <w:rsid w:val="00266DAC"/>
    <w:rsid w:val="00267F9C"/>
    <w:rsid w:val="00270105"/>
    <w:rsid w:val="00270543"/>
    <w:rsid w:val="0027123C"/>
    <w:rsid w:val="00271CB2"/>
    <w:rsid w:val="00271DC1"/>
    <w:rsid w:val="00272632"/>
    <w:rsid w:val="00273A46"/>
    <w:rsid w:val="002755DB"/>
    <w:rsid w:val="0027579A"/>
    <w:rsid w:val="0028057D"/>
    <w:rsid w:val="00282C85"/>
    <w:rsid w:val="002840DF"/>
    <w:rsid w:val="002851A7"/>
    <w:rsid w:val="00286523"/>
    <w:rsid w:val="0028740C"/>
    <w:rsid w:val="00291E86"/>
    <w:rsid w:val="00292717"/>
    <w:rsid w:val="00292D90"/>
    <w:rsid w:val="002944A9"/>
    <w:rsid w:val="00294C2C"/>
    <w:rsid w:val="00295394"/>
    <w:rsid w:val="0029635D"/>
    <w:rsid w:val="00296F30"/>
    <w:rsid w:val="002A0660"/>
    <w:rsid w:val="002A1D68"/>
    <w:rsid w:val="002A3495"/>
    <w:rsid w:val="002A3BA5"/>
    <w:rsid w:val="002A5748"/>
    <w:rsid w:val="002A5B8C"/>
    <w:rsid w:val="002A793C"/>
    <w:rsid w:val="002B08B3"/>
    <w:rsid w:val="002B1552"/>
    <w:rsid w:val="002B19FE"/>
    <w:rsid w:val="002B222A"/>
    <w:rsid w:val="002B2722"/>
    <w:rsid w:val="002B4C48"/>
    <w:rsid w:val="002B54D0"/>
    <w:rsid w:val="002B5F7E"/>
    <w:rsid w:val="002B7882"/>
    <w:rsid w:val="002B7EA2"/>
    <w:rsid w:val="002C0667"/>
    <w:rsid w:val="002D0862"/>
    <w:rsid w:val="002D0C4B"/>
    <w:rsid w:val="002D1C9D"/>
    <w:rsid w:val="002D1E52"/>
    <w:rsid w:val="002D249A"/>
    <w:rsid w:val="002D2681"/>
    <w:rsid w:val="002D345B"/>
    <w:rsid w:val="002D407E"/>
    <w:rsid w:val="002D6F6C"/>
    <w:rsid w:val="002E2336"/>
    <w:rsid w:val="002E34FF"/>
    <w:rsid w:val="002E7045"/>
    <w:rsid w:val="002F0184"/>
    <w:rsid w:val="002F03BD"/>
    <w:rsid w:val="002F1E8B"/>
    <w:rsid w:val="002F21C9"/>
    <w:rsid w:val="002F2A04"/>
    <w:rsid w:val="002F323C"/>
    <w:rsid w:val="002F418E"/>
    <w:rsid w:val="002F4747"/>
    <w:rsid w:val="002F6E2F"/>
    <w:rsid w:val="002F70B8"/>
    <w:rsid w:val="003014C4"/>
    <w:rsid w:val="003028F3"/>
    <w:rsid w:val="003030B5"/>
    <w:rsid w:val="003044F5"/>
    <w:rsid w:val="00305497"/>
    <w:rsid w:val="00310038"/>
    <w:rsid w:val="003120C4"/>
    <w:rsid w:val="0031212F"/>
    <w:rsid w:val="00313F7D"/>
    <w:rsid w:val="00313F88"/>
    <w:rsid w:val="00314D31"/>
    <w:rsid w:val="00315CA1"/>
    <w:rsid w:val="00316299"/>
    <w:rsid w:val="00316A42"/>
    <w:rsid w:val="00316D1C"/>
    <w:rsid w:val="00316E61"/>
    <w:rsid w:val="003174BF"/>
    <w:rsid w:val="00317D0D"/>
    <w:rsid w:val="003238E7"/>
    <w:rsid w:val="0032530F"/>
    <w:rsid w:val="00325F84"/>
    <w:rsid w:val="003262FB"/>
    <w:rsid w:val="00326A0D"/>
    <w:rsid w:val="003278DC"/>
    <w:rsid w:val="00331731"/>
    <w:rsid w:val="003323C2"/>
    <w:rsid w:val="0033245C"/>
    <w:rsid w:val="00332DFC"/>
    <w:rsid w:val="0033349A"/>
    <w:rsid w:val="00333EE7"/>
    <w:rsid w:val="00334637"/>
    <w:rsid w:val="003374C6"/>
    <w:rsid w:val="00337B66"/>
    <w:rsid w:val="00337D45"/>
    <w:rsid w:val="00341055"/>
    <w:rsid w:val="00341E21"/>
    <w:rsid w:val="003443F2"/>
    <w:rsid w:val="00346657"/>
    <w:rsid w:val="003469AC"/>
    <w:rsid w:val="00347F5D"/>
    <w:rsid w:val="0035156F"/>
    <w:rsid w:val="00351AF5"/>
    <w:rsid w:val="00352DF2"/>
    <w:rsid w:val="00354779"/>
    <w:rsid w:val="0035588B"/>
    <w:rsid w:val="00357146"/>
    <w:rsid w:val="0036324B"/>
    <w:rsid w:val="00363A70"/>
    <w:rsid w:val="003646FA"/>
    <w:rsid w:val="00365FDE"/>
    <w:rsid w:val="0036708F"/>
    <w:rsid w:val="00367F40"/>
    <w:rsid w:val="003708C3"/>
    <w:rsid w:val="00372537"/>
    <w:rsid w:val="00372648"/>
    <w:rsid w:val="00372A65"/>
    <w:rsid w:val="00373429"/>
    <w:rsid w:val="0037370B"/>
    <w:rsid w:val="003737E6"/>
    <w:rsid w:val="00374767"/>
    <w:rsid w:val="00375A46"/>
    <w:rsid w:val="00375AAB"/>
    <w:rsid w:val="003777EF"/>
    <w:rsid w:val="00377A4E"/>
    <w:rsid w:val="00380863"/>
    <w:rsid w:val="003816AC"/>
    <w:rsid w:val="0038298E"/>
    <w:rsid w:val="003833C7"/>
    <w:rsid w:val="003839A6"/>
    <w:rsid w:val="00384195"/>
    <w:rsid w:val="003854ED"/>
    <w:rsid w:val="00385952"/>
    <w:rsid w:val="00385D23"/>
    <w:rsid w:val="003875E8"/>
    <w:rsid w:val="003909F1"/>
    <w:rsid w:val="0039142F"/>
    <w:rsid w:val="0039319B"/>
    <w:rsid w:val="003941E4"/>
    <w:rsid w:val="00395169"/>
    <w:rsid w:val="00397B83"/>
    <w:rsid w:val="003A2FC3"/>
    <w:rsid w:val="003A4FAC"/>
    <w:rsid w:val="003A50FF"/>
    <w:rsid w:val="003A510D"/>
    <w:rsid w:val="003A5310"/>
    <w:rsid w:val="003B09ED"/>
    <w:rsid w:val="003B0EDE"/>
    <w:rsid w:val="003B132B"/>
    <w:rsid w:val="003B1F00"/>
    <w:rsid w:val="003B42C6"/>
    <w:rsid w:val="003B5262"/>
    <w:rsid w:val="003B5CF3"/>
    <w:rsid w:val="003B72FC"/>
    <w:rsid w:val="003B75B6"/>
    <w:rsid w:val="003C1252"/>
    <w:rsid w:val="003C1988"/>
    <w:rsid w:val="003C3FA1"/>
    <w:rsid w:val="003C60D0"/>
    <w:rsid w:val="003C79B3"/>
    <w:rsid w:val="003D0AAA"/>
    <w:rsid w:val="003D20C6"/>
    <w:rsid w:val="003D3C0C"/>
    <w:rsid w:val="003D5E4E"/>
    <w:rsid w:val="003D73EA"/>
    <w:rsid w:val="003E1773"/>
    <w:rsid w:val="003E1AC5"/>
    <w:rsid w:val="003E2D38"/>
    <w:rsid w:val="003E2F00"/>
    <w:rsid w:val="003E306C"/>
    <w:rsid w:val="003E3B38"/>
    <w:rsid w:val="003E47D0"/>
    <w:rsid w:val="003E604D"/>
    <w:rsid w:val="003E779A"/>
    <w:rsid w:val="003E7C07"/>
    <w:rsid w:val="003F2FB7"/>
    <w:rsid w:val="003F4141"/>
    <w:rsid w:val="003F41C8"/>
    <w:rsid w:val="003F5020"/>
    <w:rsid w:val="003F5118"/>
    <w:rsid w:val="003F5241"/>
    <w:rsid w:val="003F6376"/>
    <w:rsid w:val="00402570"/>
    <w:rsid w:val="004057F8"/>
    <w:rsid w:val="00405983"/>
    <w:rsid w:val="00405F44"/>
    <w:rsid w:val="00406CC9"/>
    <w:rsid w:val="00410BCF"/>
    <w:rsid w:val="00412DA8"/>
    <w:rsid w:val="00414D66"/>
    <w:rsid w:val="004157AE"/>
    <w:rsid w:val="0041583E"/>
    <w:rsid w:val="00415C8D"/>
    <w:rsid w:val="00416A89"/>
    <w:rsid w:val="00416BD1"/>
    <w:rsid w:val="004206D6"/>
    <w:rsid w:val="004208C7"/>
    <w:rsid w:val="00424A1A"/>
    <w:rsid w:val="0042645C"/>
    <w:rsid w:val="00427B9D"/>
    <w:rsid w:val="0043096D"/>
    <w:rsid w:val="00430F13"/>
    <w:rsid w:val="00436D87"/>
    <w:rsid w:val="00440284"/>
    <w:rsid w:val="0044186C"/>
    <w:rsid w:val="00441897"/>
    <w:rsid w:val="004421A3"/>
    <w:rsid w:val="004435BD"/>
    <w:rsid w:val="0044616F"/>
    <w:rsid w:val="00446F97"/>
    <w:rsid w:val="00447A32"/>
    <w:rsid w:val="004510A6"/>
    <w:rsid w:val="004540A1"/>
    <w:rsid w:val="00461AD6"/>
    <w:rsid w:val="00462EE3"/>
    <w:rsid w:val="004638AA"/>
    <w:rsid w:val="004708B4"/>
    <w:rsid w:val="00470A61"/>
    <w:rsid w:val="004718D4"/>
    <w:rsid w:val="0047287F"/>
    <w:rsid w:val="004751BF"/>
    <w:rsid w:val="0047567A"/>
    <w:rsid w:val="00475DC6"/>
    <w:rsid w:val="00476488"/>
    <w:rsid w:val="00481BCB"/>
    <w:rsid w:val="004826D9"/>
    <w:rsid w:val="0048470E"/>
    <w:rsid w:val="00485854"/>
    <w:rsid w:val="00485D2A"/>
    <w:rsid w:val="00486E97"/>
    <w:rsid w:val="004877B0"/>
    <w:rsid w:val="004904F8"/>
    <w:rsid w:val="00490535"/>
    <w:rsid w:val="00490EDE"/>
    <w:rsid w:val="004931E9"/>
    <w:rsid w:val="00493298"/>
    <w:rsid w:val="004934D2"/>
    <w:rsid w:val="004955A9"/>
    <w:rsid w:val="00496242"/>
    <w:rsid w:val="00497823"/>
    <w:rsid w:val="00497A2E"/>
    <w:rsid w:val="004A0354"/>
    <w:rsid w:val="004A20FD"/>
    <w:rsid w:val="004A2236"/>
    <w:rsid w:val="004A4C1B"/>
    <w:rsid w:val="004A6F0F"/>
    <w:rsid w:val="004B040B"/>
    <w:rsid w:val="004B1085"/>
    <w:rsid w:val="004B140C"/>
    <w:rsid w:val="004B25A3"/>
    <w:rsid w:val="004B2681"/>
    <w:rsid w:val="004B5014"/>
    <w:rsid w:val="004B6D3C"/>
    <w:rsid w:val="004B7676"/>
    <w:rsid w:val="004C4801"/>
    <w:rsid w:val="004C5AC0"/>
    <w:rsid w:val="004C5F3E"/>
    <w:rsid w:val="004C6D20"/>
    <w:rsid w:val="004D023A"/>
    <w:rsid w:val="004D0580"/>
    <w:rsid w:val="004D0CFE"/>
    <w:rsid w:val="004D1A3F"/>
    <w:rsid w:val="004D3BA9"/>
    <w:rsid w:val="004D427A"/>
    <w:rsid w:val="004D5D30"/>
    <w:rsid w:val="004D6486"/>
    <w:rsid w:val="004E00B6"/>
    <w:rsid w:val="004E050C"/>
    <w:rsid w:val="004E263A"/>
    <w:rsid w:val="004E2E88"/>
    <w:rsid w:val="004E49D7"/>
    <w:rsid w:val="004F07A9"/>
    <w:rsid w:val="004F2478"/>
    <w:rsid w:val="004F33AA"/>
    <w:rsid w:val="004F60CF"/>
    <w:rsid w:val="00501BCD"/>
    <w:rsid w:val="00501C6B"/>
    <w:rsid w:val="005037F6"/>
    <w:rsid w:val="005039D6"/>
    <w:rsid w:val="00504C21"/>
    <w:rsid w:val="00504D1A"/>
    <w:rsid w:val="00505BDC"/>
    <w:rsid w:val="00506BB5"/>
    <w:rsid w:val="00510D2D"/>
    <w:rsid w:val="005118DE"/>
    <w:rsid w:val="00511AAB"/>
    <w:rsid w:val="00511EAD"/>
    <w:rsid w:val="005128DD"/>
    <w:rsid w:val="00513E74"/>
    <w:rsid w:val="0051536E"/>
    <w:rsid w:val="0051683E"/>
    <w:rsid w:val="00516C31"/>
    <w:rsid w:val="00521985"/>
    <w:rsid w:val="00523BB7"/>
    <w:rsid w:val="00526FC2"/>
    <w:rsid w:val="005273D7"/>
    <w:rsid w:val="005273FA"/>
    <w:rsid w:val="00530301"/>
    <w:rsid w:val="0053176B"/>
    <w:rsid w:val="005318AC"/>
    <w:rsid w:val="00534DC8"/>
    <w:rsid w:val="00534E4A"/>
    <w:rsid w:val="005361C2"/>
    <w:rsid w:val="005370FA"/>
    <w:rsid w:val="0053715F"/>
    <w:rsid w:val="00537332"/>
    <w:rsid w:val="005378D2"/>
    <w:rsid w:val="00537AE1"/>
    <w:rsid w:val="0054006B"/>
    <w:rsid w:val="0054034E"/>
    <w:rsid w:val="00540C99"/>
    <w:rsid w:val="00543D86"/>
    <w:rsid w:val="00543F38"/>
    <w:rsid w:val="00544D6E"/>
    <w:rsid w:val="00546C61"/>
    <w:rsid w:val="00551678"/>
    <w:rsid w:val="00553273"/>
    <w:rsid w:val="0055382E"/>
    <w:rsid w:val="005540D1"/>
    <w:rsid w:val="00554476"/>
    <w:rsid w:val="00554EAC"/>
    <w:rsid w:val="00555950"/>
    <w:rsid w:val="00555E3C"/>
    <w:rsid w:val="005606A8"/>
    <w:rsid w:val="00561F03"/>
    <w:rsid w:val="005631AE"/>
    <w:rsid w:val="00563383"/>
    <w:rsid w:val="0056373D"/>
    <w:rsid w:val="005660A3"/>
    <w:rsid w:val="00566506"/>
    <w:rsid w:val="00566B3A"/>
    <w:rsid w:val="005718CD"/>
    <w:rsid w:val="005726C4"/>
    <w:rsid w:val="0057360B"/>
    <w:rsid w:val="00573647"/>
    <w:rsid w:val="00573C69"/>
    <w:rsid w:val="00575A21"/>
    <w:rsid w:val="00577BB0"/>
    <w:rsid w:val="005803A7"/>
    <w:rsid w:val="00580CA3"/>
    <w:rsid w:val="00580F57"/>
    <w:rsid w:val="005854A9"/>
    <w:rsid w:val="00585935"/>
    <w:rsid w:val="00587DDD"/>
    <w:rsid w:val="00591C3A"/>
    <w:rsid w:val="00592031"/>
    <w:rsid w:val="0059656B"/>
    <w:rsid w:val="00596D41"/>
    <w:rsid w:val="005A1427"/>
    <w:rsid w:val="005A159F"/>
    <w:rsid w:val="005A2D29"/>
    <w:rsid w:val="005A3595"/>
    <w:rsid w:val="005A54A6"/>
    <w:rsid w:val="005A600C"/>
    <w:rsid w:val="005A6B62"/>
    <w:rsid w:val="005A6DEE"/>
    <w:rsid w:val="005A70E1"/>
    <w:rsid w:val="005A7612"/>
    <w:rsid w:val="005A773D"/>
    <w:rsid w:val="005A785E"/>
    <w:rsid w:val="005A7F9C"/>
    <w:rsid w:val="005B04FF"/>
    <w:rsid w:val="005B0B69"/>
    <w:rsid w:val="005B0D72"/>
    <w:rsid w:val="005B1938"/>
    <w:rsid w:val="005B19DE"/>
    <w:rsid w:val="005B2470"/>
    <w:rsid w:val="005B3259"/>
    <w:rsid w:val="005B44A4"/>
    <w:rsid w:val="005B47E5"/>
    <w:rsid w:val="005B6724"/>
    <w:rsid w:val="005B6829"/>
    <w:rsid w:val="005B696C"/>
    <w:rsid w:val="005B7E73"/>
    <w:rsid w:val="005C026F"/>
    <w:rsid w:val="005C13C9"/>
    <w:rsid w:val="005C17B0"/>
    <w:rsid w:val="005C1E44"/>
    <w:rsid w:val="005C2D90"/>
    <w:rsid w:val="005C4188"/>
    <w:rsid w:val="005C563E"/>
    <w:rsid w:val="005D037A"/>
    <w:rsid w:val="005D0793"/>
    <w:rsid w:val="005D0BCF"/>
    <w:rsid w:val="005D22C6"/>
    <w:rsid w:val="005D36F3"/>
    <w:rsid w:val="005D3B8B"/>
    <w:rsid w:val="005D4E16"/>
    <w:rsid w:val="005D5F64"/>
    <w:rsid w:val="005D752C"/>
    <w:rsid w:val="005D77E6"/>
    <w:rsid w:val="005E0AED"/>
    <w:rsid w:val="005E1255"/>
    <w:rsid w:val="005E1C49"/>
    <w:rsid w:val="005E2DAC"/>
    <w:rsid w:val="005E3FDF"/>
    <w:rsid w:val="005E6B6E"/>
    <w:rsid w:val="005E7754"/>
    <w:rsid w:val="005F23AE"/>
    <w:rsid w:val="005F4B64"/>
    <w:rsid w:val="005F6024"/>
    <w:rsid w:val="005F70CD"/>
    <w:rsid w:val="00600325"/>
    <w:rsid w:val="00601E93"/>
    <w:rsid w:val="00602B67"/>
    <w:rsid w:val="0060375C"/>
    <w:rsid w:val="00605D23"/>
    <w:rsid w:val="006068A3"/>
    <w:rsid w:val="00607E9A"/>
    <w:rsid w:val="006109FF"/>
    <w:rsid w:val="00611AEC"/>
    <w:rsid w:val="00612FE6"/>
    <w:rsid w:val="0061304D"/>
    <w:rsid w:val="006133B2"/>
    <w:rsid w:val="0061487E"/>
    <w:rsid w:val="0061627C"/>
    <w:rsid w:val="0061750F"/>
    <w:rsid w:val="00617C21"/>
    <w:rsid w:val="00620EB7"/>
    <w:rsid w:val="00620EE9"/>
    <w:rsid w:val="00622251"/>
    <w:rsid w:val="00622BD3"/>
    <w:rsid w:val="00623497"/>
    <w:rsid w:val="006236C2"/>
    <w:rsid w:val="0062415F"/>
    <w:rsid w:val="0062504D"/>
    <w:rsid w:val="006266A0"/>
    <w:rsid w:val="00627B39"/>
    <w:rsid w:val="00634517"/>
    <w:rsid w:val="006348A8"/>
    <w:rsid w:val="00636796"/>
    <w:rsid w:val="00637BBB"/>
    <w:rsid w:val="006405DF"/>
    <w:rsid w:val="00641803"/>
    <w:rsid w:val="006445DE"/>
    <w:rsid w:val="0064594A"/>
    <w:rsid w:val="006459DC"/>
    <w:rsid w:val="00645A81"/>
    <w:rsid w:val="00646C97"/>
    <w:rsid w:val="00646EF7"/>
    <w:rsid w:val="00647512"/>
    <w:rsid w:val="006507F1"/>
    <w:rsid w:val="00650CAC"/>
    <w:rsid w:val="00651A10"/>
    <w:rsid w:val="0065494D"/>
    <w:rsid w:val="00656EC3"/>
    <w:rsid w:val="006602E5"/>
    <w:rsid w:val="0066273C"/>
    <w:rsid w:val="00663787"/>
    <w:rsid w:val="00664CEC"/>
    <w:rsid w:val="00664D1D"/>
    <w:rsid w:val="00667A00"/>
    <w:rsid w:val="006712E6"/>
    <w:rsid w:val="00673B53"/>
    <w:rsid w:val="00674020"/>
    <w:rsid w:val="00674F7E"/>
    <w:rsid w:val="00675ADF"/>
    <w:rsid w:val="00676714"/>
    <w:rsid w:val="00676D4E"/>
    <w:rsid w:val="0067760B"/>
    <w:rsid w:val="00677BD0"/>
    <w:rsid w:val="00680400"/>
    <w:rsid w:val="00683287"/>
    <w:rsid w:val="00684087"/>
    <w:rsid w:val="00684927"/>
    <w:rsid w:val="00685DDE"/>
    <w:rsid w:val="00685F1C"/>
    <w:rsid w:val="00687FBF"/>
    <w:rsid w:val="00690007"/>
    <w:rsid w:val="00691353"/>
    <w:rsid w:val="00692571"/>
    <w:rsid w:val="006A30F2"/>
    <w:rsid w:val="006A4177"/>
    <w:rsid w:val="006A6434"/>
    <w:rsid w:val="006A7E83"/>
    <w:rsid w:val="006B154D"/>
    <w:rsid w:val="006B1D9F"/>
    <w:rsid w:val="006B51C7"/>
    <w:rsid w:val="006B59D2"/>
    <w:rsid w:val="006B7990"/>
    <w:rsid w:val="006C257F"/>
    <w:rsid w:val="006C2B4C"/>
    <w:rsid w:val="006C3A95"/>
    <w:rsid w:val="006C418A"/>
    <w:rsid w:val="006C4A8E"/>
    <w:rsid w:val="006C59B2"/>
    <w:rsid w:val="006C6D39"/>
    <w:rsid w:val="006C6DF1"/>
    <w:rsid w:val="006C7549"/>
    <w:rsid w:val="006C75AD"/>
    <w:rsid w:val="006C7984"/>
    <w:rsid w:val="006D1AE4"/>
    <w:rsid w:val="006D1FF0"/>
    <w:rsid w:val="006D20B6"/>
    <w:rsid w:val="006D2220"/>
    <w:rsid w:val="006D5AA5"/>
    <w:rsid w:val="006E0AB7"/>
    <w:rsid w:val="006E3854"/>
    <w:rsid w:val="006E457B"/>
    <w:rsid w:val="006E473D"/>
    <w:rsid w:val="006E4A2F"/>
    <w:rsid w:val="006E539F"/>
    <w:rsid w:val="006E6922"/>
    <w:rsid w:val="006F0FCD"/>
    <w:rsid w:val="006F0FE1"/>
    <w:rsid w:val="006F4868"/>
    <w:rsid w:val="006F4F70"/>
    <w:rsid w:val="006F7584"/>
    <w:rsid w:val="006F7B6C"/>
    <w:rsid w:val="0070039D"/>
    <w:rsid w:val="007010A8"/>
    <w:rsid w:val="00704BA9"/>
    <w:rsid w:val="00705FA6"/>
    <w:rsid w:val="007073C2"/>
    <w:rsid w:val="00710D27"/>
    <w:rsid w:val="00711EFD"/>
    <w:rsid w:val="00712965"/>
    <w:rsid w:val="00712DAF"/>
    <w:rsid w:val="0071354C"/>
    <w:rsid w:val="00713A17"/>
    <w:rsid w:val="00713B50"/>
    <w:rsid w:val="00713C0D"/>
    <w:rsid w:val="007150CD"/>
    <w:rsid w:val="0071544B"/>
    <w:rsid w:val="00715D7E"/>
    <w:rsid w:val="0071744A"/>
    <w:rsid w:val="0071746C"/>
    <w:rsid w:val="00720664"/>
    <w:rsid w:val="00720CEB"/>
    <w:rsid w:val="007270F7"/>
    <w:rsid w:val="0073065A"/>
    <w:rsid w:val="00731DE2"/>
    <w:rsid w:val="007324EE"/>
    <w:rsid w:val="00735021"/>
    <w:rsid w:val="00736E18"/>
    <w:rsid w:val="00740445"/>
    <w:rsid w:val="0074083A"/>
    <w:rsid w:val="00741804"/>
    <w:rsid w:val="007425AF"/>
    <w:rsid w:val="00742FB3"/>
    <w:rsid w:val="00744A67"/>
    <w:rsid w:val="007506EA"/>
    <w:rsid w:val="0075199E"/>
    <w:rsid w:val="00751C96"/>
    <w:rsid w:val="00752A87"/>
    <w:rsid w:val="00752B6A"/>
    <w:rsid w:val="00753CD0"/>
    <w:rsid w:val="00755069"/>
    <w:rsid w:val="0075624F"/>
    <w:rsid w:val="007609DB"/>
    <w:rsid w:val="0076175F"/>
    <w:rsid w:val="007629BC"/>
    <w:rsid w:val="00763CFC"/>
    <w:rsid w:val="00764CEB"/>
    <w:rsid w:val="00766A9C"/>
    <w:rsid w:val="00770013"/>
    <w:rsid w:val="007728C6"/>
    <w:rsid w:val="007747EF"/>
    <w:rsid w:val="007747F3"/>
    <w:rsid w:val="00774B6F"/>
    <w:rsid w:val="00776F06"/>
    <w:rsid w:val="00777F4D"/>
    <w:rsid w:val="00780592"/>
    <w:rsid w:val="00781153"/>
    <w:rsid w:val="00781931"/>
    <w:rsid w:val="00781B65"/>
    <w:rsid w:val="00781FAB"/>
    <w:rsid w:val="0078221C"/>
    <w:rsid w:val="00783114"/>
    <w:rsid w:val="007851D2"/>
    <w:rsid w:val="0078522E"/>
    <w:rsid w:val="00786ADD"/>
    <w:rsid w:val="007901DE"/>
    <w:rsid w:val="00791E26"/>
    <w:rsid w:val="00791E9F"/>
    <w:rsid w:val="00792856"/>
    <w:rsid w:val="00794FC8"/>
    <w:rsid w:val="007958E5"/>
    <w:rsid w:val="007969BE"/>
    <w:rsid w:val="00797469"/>
    <w:rsid w:val="007A0CAB"/>
    <w:rsid w:val="007A11C8"/>
    <w:rsid w:val="007A18B1"/>
    <w:rsid w:val="007A1AA0"/>
    <w:rsid w:val="007A1B4F"/>
    <w:rsid w:val="007A20D2"/>
    <w:rsid w:val="007A42CA"/>
    <w:rsid w:val="007A5A46"/>
    <w:rsid w:val="007A6A4A"/>
    <w:rsid w:val="007A6E2D"/>
    <w:rsid w:val="007B0F5C"/>
    <w:rsid w:val="007B1BE4"/>
    <w:rsid w:val="007B2981"/>
    <w:rsid w:val="007B30ED"/>
    <w:rsid w:val="007B3800"/>
    <w:rsid w:val="007B4355"/>
    <w:rsid w:val="007B4C4A"/>
    <w:rsid w:val="007B5D4A"/>
    <w:rsid w:val="007B7A43"/>
    <w:rsid w:val="007C0730"/>
    <w:rsid w:val="007C167A"/>
    <w:rsid w:val="007C2872"/>
    <w:rsid w:val="007C3D99"/>
    <w:rsid w:val="007C5585"/>
    <w:rsid w:val="007D198B"/>
    <w:rsid w:val="007D1D75"/>
    <w:rsid w:val="007D3A13"/>
    <w:rsid w:val="007D4192"/>
    <w:rsid w:val="007D5F64"/>
    <w:rsid w:val="007D6186"/>
    <w:rsid w:val="007D746B"/>
    <w:rsid w:val="007D7C0A"/>
    <w:rsid w:val="007E117F"/>
    <w:rsid w:val="007E14D4"/>
    <w:rsid w:val="007E172B"/>
    <w:rsid w:val="007E1BB0"/>
    <w:rsid w:val="007E1C24"/>
    <w:rsid w:val="007E2BA2"/>
    <w:rsid w:val="007E501D"/>
    <w:rsid w:val="007E5226"/>
    <w:rsid w:val="007E6893"/>
    <w:rsid w:val="007E6DA9"/>
    <w:rsid w:val="007E7C92"/>
    <w:rsid w:val="007F271B"/>
    <w:rsid w:val="007F4BFC"/>
    <w:rsid w:val="007F5C5A"/>
    <w:rsid w:val="007F6112"/>
    <w:rsid w:val="007F6E42"/>
    <w:rsid w:val="007F6F53"/>
    <w:rsid w:val="007F6FB6"/>
    <w:rsid w:val="007F711B"/>
    <w:rsid w:val="00801347"/>
    <w:rsid w:val="00802FC8"/>
    <w:rsid w:val="00806850"/>
    <w:rsid w:val="00806994"/>
    <w:rsid w:val="0080759C"/>
    <w:rsid w:val="0081002A"/>
    <w:rsid w:val="008123B0"/>
    <w:rsid w:val="00814648"/>
    <w:rsid w:val="00814B3C"/>
    <w:rsid w:val="00814BE9"/>
    <w:rsid w:val="008157F0"/>
    <w:rsid w:val="00815F8B"/>
    <w:rsid w:val="00823276"/>
    <w:rsid w:val="00823D7E"/>
    <w:rsid w:val="008264F5"/>
    <w:rsid w:val="008308A7"/>
    <w:rsid w:val="00831A6B"/>
    <w:rsid w:val="008321BC"/>
    <w:rsid w:val="008340BD"/>
    <w:rsid w:val="0083458A"/>
    <w:rsid w:val="008355F9"/>
    <w:rsid w:val="00842941"/>
    <w:rsid w:val="00842F23"/>
    <w:rsid w:val="00850582"/>
    <w:rsid w:val="008511BC"/>
    <w:rsid w:val="008517D6"/>
    <w:rsid w:val="008523D0"/>
    <w:rsid w:val="00852474"/>
    <w:rsid w:val="00852C3C"/>
    <w:rsid w:val="00854C97"/>
    <w:rsid w:val="00855F2A"/>
    <w:rsid w:val="0086385B"/>
    <w:rsid w:val="008646E2"/>
    <w:rsid w:val="0086476B"/>
    <w:rsid w:val="00866667"/>
    <w:rsid w:val="00866DB6"/>
    <w:rsid w:val="00871357"/>
    <w:rsid w:val="008757E8"/>
    <w:rsid w:val="00876BCA"/>
    <w:rsid w:val="0087706F"/>
    <w:rsid w:val="008770E4"/>
    <w:rsid w:val="008818F6"/>
    <w:rsid w:val="00882B75"/>
    <w:rsid w:val="008901AE"/>
    <w:rsid w:val="008918D1"/>
    <w:rsid w:val="00891F7F"/>
    <w:rsid w:val="008922C7"/>
    <w:rsid w:val="008926E2"/>
    <w:rsid w:val="00892B3C"/>
    <w:rsid w:val="00892B43"/>
    <w:rsid w:val="00893D7C"/>
    <w:rsid w:val="008A11B9"/>
    <w:rsid w:val="008A22BD"/>
    <w:rsid w:val="008A2982"/>
    <w:rsid w:val="008A2FA9"/>
    <w:rsid w:val="008A347A"/>
    <w:rsid w:val="008A49B9"/>
    <w:rsid w:val="008A61FB"/>
    <w:rsid w:val="008A65CF"/>
    <w:rsid w:val="008A756D"/>
    <w:rsid w:val="008B1929"/>
    <w:rsid w:val="008B5F4C"/>
    <w:rsid w:val="008B74B0"/>
    <w:rsid w:val="008C06C9"/>
    <w:rsid w:val="008C1040"/>
    <w:rsid w:val="008C24B9"/>
    <w:rsid w:val="008C3BAA"/>
    <w:rsid w:val="008C65FB"/>
    <w:rsid w:val="008C69F6"/>
    <w:rsid w:val="008C7178"/>
    <w:rsid w:val="008C77FC"/>
    <w:rsid w:val="008C7DE0"/>
    <w:rsid w:val="008C7ED2"/>
    <w:rsid w:val="008D042E"/>
    <w:rsid w:val="008D0BCA"/>
    <w:rsid w:val="008D1F5F"/>
    <w:rsid w:val="008D24CE"/>
    <w:rsid w:val="008D2DA8"/>
    <w:rsid w:val="008D6F51"/>
    <w:rsid w:val="008E00A5"/>
    <w:rsid w:val="008E15A0"/>
    <w:rsid w:val="008E315F"/>
    <w:rsid w:val="008E3E28"/>
    <w:rsid w:val="008E4C96"/>
    <w:rsid w:val="008F2084"/>
    <w:rsid w:val="008F24E9"/>
    <w:rsid w:val="008F24FC"/>
    <w:rsid w:val="008F3177"/>
    <w:rsid w:val="008F4727"/>
    <w:rsid w:val="008F7290"/>
    <w:rsid w:val="008F73B7"/>
    <w:rsid w:val="0090043E"/>
    <w:rsid w:val="0090485E"/>
    <w:rsid w:val="009056A5"/>
    <w:rsid w:val="009058D4"/>
    <w:rsid w:val="00905B6C"/>
    <w:rsid w:val="00907577"/>
    <w:rsid w:val="009076CF"/>
    <w:rsid w:val="0091023E"/>
    <w:rsid w:val="0091122D"/>
    <w:rsid w:val="00911DB7"/>
    <w:rsid w:val="009143E2"/>
    <w:rsid w:val="00915826"/>
    <w:rsid w:val="00916F60"/>
    <w:rsid w:val="00920B58"/>
    <w:rsid w:val="009216C2"/>
    <w:rsid w:val="00921EBC"/>
    <w:rsid w:val="00922429"/>
    <w:rsid w:val="00922EC9"/>
    <w:rsid w:val="00922EF0"/>
    <w:rsid w:val="009234DC"/>
    <w:rsid w:val="00923D29"/>
    <w:rsid w:val="00924C8A"/>
    <w:rsid w:val="009253CF"/>
    <w:rsid w:val="00925AAE"/>
    <w:rsid w:val="009267A0"/>
    <w:rsid w:val="00927262"/>
    <w:rsid w:val="00930C98"/>
    <w:rsid w:val="009319CA"/>
    <w:rsid w:val="0093298D"/>
    <w:rsid w:val="00933D56"/>
    <w:rsid w:val="00936027"/>
    <w:rsid w:val="00937043"/>
    <w:rsid w:val="00940735"/>
    <w:rsid w:val="0094269C"/>
    <w:rsid w:val="009431A4"/>
    <w:rsid w:val="009434B9"/>
    <w:rsid w:val="00943543"/>
    <w:rsid w:val="0094362D"/>
    <w:rsid w:val="0094423F"/>
    <w:rsid w:val="00944C30"/>
    <w:rsid w:val="00944CAC"/>
    <w:rsid w:val="00946929"/>
    <w:rsid w:val="00950EBE"/>
    <w:rsid w:val="00950F35"/>
    <w:rsid w:val="0095191C"/>
    <w:rsid w:val="00952907"/>
    <w:rsid w:val="00956225"/>
    <w:rsid w:val="00960311"/>
    <w:rsid w:val="00960B23"/>
    <w:rsid w:val="00963064"/>
    <w:rsid w:val="009643AD"/>
    <w:rsid w:val="009651BF"/>
    <w:rsid w:val="00967EE2"/>
    <w:rsid w:val="0097014A"/>
    <w:rsid w:val="00971D17"/>
    <w:rsid w:val="009726D7"/>
    <w:rsid w:val="00973AD7"/>
    <w:rsid w:val="009754C5"/>
    <w:rsid w:val="00975A64"/>
    <w:rsid w:val="009767C9"/>
    <w:rsid w:val="00976967"/>
    <w:rsid w:val="00976BD1"/>
    <w:rsid w:val="00976CBA"/>
    <w:rsid w:val="009804ED"/>
    <w:rsid w:val="00981004"/>
    <w:rsid w:val="009849D2"/>
    <w:rsid w:val="00985419"/>
    <w:rsid w:val="00986003"/>
    <w:rsid w:val="00991325"/>
    <w:rsid w:val="009918BC"/>
    <w:rsid w:val="009920BD"/>
    <w:rsid w:val="0099420A"/>
    <w:rsid w:val="009944BD"/>
    <w:rsid w:val="00994A1D"/>
    <w:rsid w:val="00995196"/>
    <w:rsid w:val="009953FC"/>
    <w:rsid w:val="00996C5F"/>
    <w:rsid w:val="00996E6E"/>
    <w:rsid w:val="009A1159"/>
    <w:rsid w:val="009A15C4"/>
    <w:rsid w:val="009A4017"/>
    <w:rsid w:val="009A75B1"/>
    <w:rsid w:val="009B064F"/>
    <w:rsid w:val="009B1BBB"/>
    <w:rsid w:val="009B1FB7"/>
    <w:rsid w:val="009B253E"/>
    <w:rsid w:val="009B3BBC"/>
    <w:rsid w:val="009B4CDF"/>
    <w:rsid w:val="009B559D"/>
    <w:rsid w:val="009B6EDA"/>
    <w:rsid w:val="009C1007"/>
    <w:rsid w:val="009C226C"/>
    <w:rsid w:val="009C3423"/>
    <w:rsid w:val="009C4C98"/>
    <w:rsid w:val="009C54B2"/>
    <w:rsid w:val="009C62A7"/>
    <w:rsid w:val="009D193B"/>
    <w:rsid w:val="009D2A60"/>
    <w:rsid w:val="009D3B70"/>
    <w:rsid w:val="009D5665"/>
    <w:rsid w:val="009D5FD6"/>
    <w:rsid w:val="009E04C6"/>
    <w:rsid w:val="009E29B0"/>
    <w:rsid w:val="009E31AE"/>
    <w:rsid w:val="009E41F3"/>
    <w:rsid w:val="009E48EA"/>
    <w:rsid w:val="009E492F"/>
    <w:rsid w:val="009E5A8F"/>
    <w:rsid w:val="009E6C8B"/>
    <w:rsid w:val="009E6FDD"/>
    <w:rsid w:val="009F1186"/>
    <w:rsid w:val="009F2539"/>
    <w:rsid w:val="009F2C01"/>
    <w:rsid w:val="009F39D5"/>
    <w:rsid w:val="009F68E7"/>
    <w:rsid w:val="009F79DD"/>
    <w:rsid w:val="00A00202"/>
    <w:rsid w:val="00A0027E"/>
    <w:rsid w:val="00A00F1C"/>
    <w:rsid w:val="00A04610"/>
    <w:rsid w:val="00A07679"/>
    <w:rsid w:val="00A10B93"/>
    <w:rsid w:val="00A114AB"/>
    <w:rsid w:val="00A1177C"/>
    <w:rsid w:val="00A11A60"/>
    <w:rsid w:val="00A11BA1"/>
    <w:rsid w:val="00A150A7"/>
    <w:rsid w:val="00A20595"/>
    <w:rsid w:val="00A2128B"/>
    <w:rsid w:val="00A2184E"/>
    <w:rsid w:val="00A226DB"/>
    <w:rsid w:val="00A251AE"/>
    <w:rsid w:val="00A25910"/>
    <w:rsid w:val="00A25B15"/>
    <w:rsid w:val="00A26156"/>
    <w:rsid w:val="00A26183"/>
    <w:rsid w:val="00A26A4E"/>
    <w:rsid w:val="00A27179"/>
    <w:rsid w:val="00A3107F"/>
    <w:rsid w:val="00A35345"/>
    <w:rsid w:val="00A40985"/>
    <w:rsid w:val="00A40CBA"/>
    <w:rsid w:val="00A40FF8"/>
    <w:rsid w:val="00A4145E"/>
    <w:rsid w:val="00A42976"/>
    <w:rsid w:val="00A42C29"/>
    <w:rsid w:val="00A430D2"/>
    <w:rsid w:val="00A4360F"/>
    <w:rsid w:val="00A469D8"/>
    <w:rsid w:val="00A47B60"/>
    <w:rsid w:val="00A50BB1"/>
    <w:rsid w:val="00A51391"/>
    <w:rsid w:val="00A51C4A"/>
    <w:rsid w:val="00A51E9D"/>
    <w:rsid w:val="00A5319B"/>
    <w:rsid w:val="00A53A94"/>
    <w:rsid w:val="00A53BC2"/>
    <w:rsid w:val="00A5428C"/>
    <w:rsid w:val="00A55A1F"/>
    <w:rsid w:val="00A56495"/>
    <w:rsid w:val="00A56DAE"/>
    <w:rsid w:val="00A57E24"/>
    <w:rsid w:val="00A618E6"/>
    <w:rsid w:val="00A638CE"/>
    <w:rsid w:val="00A6409D"/>
    <w:rsid w:val="00A641C2"/>
    <w:rsid w:val="00A646E1"/>
    <w:rsid w:val="00A648EA"/>
    <w:rsid w:val="00A6522D"/>
    <w:rsid w:val="00A67784"/>
    <w:rsid w:val="00A70965"/>
    <w:rsid w:val="00A71B9B"/>
    <w:rsid w:val="00A71BF8"/>
    <w:rsid w:val="00A7318F"/>
    <w:rsid w:val="00A74E6B"/>
    <w:rsid w:val="00A75AA4"/>
    <w:rsid w:val="00A75E2A"/>
    <w:rsid w:val="00A80804"/>
    <w:rsid w:val="00A8081E"/>
    <w:rsid w:val="00A821D5"/>
    <w:rsid w:val="00A82390"/>
    <w:rsid w:val="00A828BF"/>
    <w:rsid w:val="00A835D8"/>
    <w:rsid w:val="00A842E2"/>
    <w:rsid w:val="00A84AD5"/>
    <w:rsid w:val="00A869DB"/>
    <w:rsid w:val="00A86C85"/>
    <w:rsid w:val="00A87A59"/>
    <w:rsid w:val="00A904A5"/>
    <w:rsid w:val="00A91632"/>
    <w:rsid w:val="00A92911"/>
    <w:rsid w:val="00A9302F"/>
    <w:rsid w:val="00A93190"/>
    <w:rsid w:val="00A93AD8"/>
    <w:rsid w:val="00A953F5"/>
    <w:rsid w:val="00A97B1D"/>
    <w:rsid w:val="00AA451C"/>
    <w:rsid w:val="00AA4F69"/>
    <w:rsid w:val="00AA5029"/>
    <w:rsid w:val="00AA5867"/>
    <w:rsid w:val="00AA6530"/>
    <w:rsid w:val="00AA76F6"/>
    <w:rsid w:val="00AA7731"/>
    <w:rsid w:val="00AB2656"/>
    <w:rsid w:val="00AB436A"/>
    <w:rsid w:val="00AB4380"/>
    <w:rsid w:val="00AB4504"/>
    <w:rsid w:val="00AB5499"/>
    <w:rsid w:val="00AC3D76"/>
    <w:rsid w:val="00AC49AD"/>
    <w:rsid w:val="00AC4C5F"/>
    <w:rsid w:val="00AC5726"/>
    <w:rsid w:val="00AD0125"/>
    <w:rsid w:val="00AD0D73"/>
    <w:rsid w:val="00AD170B"/>
    <w:rsid w:val="00AD2AE5"/>
    <w:rsid w:val="00AD3A1B"/>
    <w:rsid w:val="00AD5AEE"/>
    <w:rsid w:val="00AD635B"/>
    <w:rsid w:val="00AD6D7E"/>
    <w:rsid w:val="00AE001D"/>
    <w:rsid w:val="00AE0837"/>
    <w:rsid w:val="00AE27F0"/>
    <w:rsid w:val="00AE30B9"/>
    <w:rsid w:val="00AE31A3"/>
    <w:rsid w:val="00AE3559"/>
    <w:rsid w:val="00AE3866"/>
    <w:rsid w:val="00AE56E3"/>
    <w:rsid w:val="00AE6E26"/>
    <w:rsid w:val="00AE71F5"/>
    <w:rsid w:val="00AF2A33"/>
    <w:rsid w:val="00AF3D17"/>
    <w:rsid w:val="00AF520B"/>
    <w:rsid w:val="00AF5E9F"/>
    <w:rsid w:val="00AF621C"/>
    <w:rsid w:val="00AF71A5"/>
    <w:rsid w:val="00B014EF"/>
    <w:rsid w:val="00B02BC3"/>
    <w:rsid w:val="00B053CE"/>
    <w:rsid w:val="00B05746"/>
    <w:rsid w:val="00B10BE2"/>
    <w:rsid w:val="00B127C6"/>
    <w:rsid w:val="00B12EDC"/>
    <w:rsid w:val="00B14065"/>
    <w:rsid w:val="00B14FE3"/>
    <w:rsid w:val="00B15CAB"/>
    <w:rsid w:val="00B163EF"/>
    <w:rsid w:val="00B1686D"/>
    <w:rsid w:val="00B171EC"/>
    <w:rsid w:val="00B177C9"/>
    <w:rsid w:val="00B20B29"/>
    <w:rsid w:val="00B20D9B"/>
    <w:rsid w:val="00B229D8"/>
    <w:rsid w:val="00B24A77"/>
    <w:rsid w:val="00B25682"/>
    <w:rsid w:val="00B26E07"/>
    <w:rsid w:val="00B3131E"/>
    <w:rsid w:val="00B3200C"/>
    <w:rsid w:val="00B33FCA"/>
    <w:rsid w:val="00B3471E"/>
    <w:rsid w:val="00B3509A"/>
    <w:rsid w:val="00B35E98"/>
    <w:rsid w:val="00B36740"/>
    <w:rsid w:val="00B371F0"/>
    <w:rsid w:val="00B374C5"/>
    <w:rsid w:val="00B40B8C"/>
    <w:rsid w:val="00B411C2"/>
    <w:rsid w:val="00B41DFA"/>
    <w:rsid w:val="00B42268"/>
    <w:rsid w:val="00B42CE3"/>
    <w:rsid w:val="00B4587D"/>
    <w:rsid w:val="00B458B4"/>
    <w:rsid w:val="00B45C06"/>
    <w:rsid w:val="00B46FC9"/>
    <w:rsid w:val="00B47207"/>
    <w:rsid w:val="00B47D4F"/>
    <w:rsid w:val="00B51C92"/>
    <w:rsid w:val="00B53A79"/>
    <w:rsid w:val="00B54358"/>
    <w:rsid w:val="00B54CBB"/>
    <w:rsid w:val="00B54E37"/>
    <w:rsid w:val="00B54E5D"/>
    <w:rsid w:val="00B551A2"/>
    <w:rsid w:val="00B604CD"/>
    <w:rsid w:val="00B60F99"/>
    <w:rsid w:val="00B61D6D"/>
    <w:rsid w:val="00B629F8"/>
    <w:rsid w:val="00B63314"/>
    <w:rsid w:val="00B65253"/>
    <w:rsid w:val="00B678EB"/>
    <w:rsid w:val="00B70CB6"/>
    <w:rsid w:val="00B718F7"/>
    <w:rsid w:val="00B720D4"/>
    <w:rsid w:val="00B721AB"/>
    <w:rsid w:val="00B72C92"/>
    <w:rsid w:val="00B765B7"/>
    <w:rsid w:val="00B773FE"/>
    <w:rsid w:val="00B80399"/>
    <w:rsid w:val="00B803CA"/>
    <w:rsid w:val="00B8230D"/>
    <w:rsid w:val="00B82600"/>
    <w:rsid w:val="00B82C1A"/>
    <w:rsid w:val="00B839EB"/>
    <w:rsid w:val="00B8600D"/>
    <w:rsid w:val="00B863CF"/>
    <w:rsid w:val="00B8643D"/>
    <w:rsid w:val="00B8742D"/>
    <w:rsid w:val="00B900F8"/>
    <w:rsid w:val="00B913DD"/>
    <w:rsid w:val="00B92047"/>
    <w:rsid w:val="00B92338"/>
    <w:rsid w:val="00B958F3"/>
    <w:rsid w:val="00B95C28"/>
    <w:rsid w:val="00B95D95"/>
    <w:rsid w:val="00B95DCC"/>
    <w:rsid w:val="00B976AE"/>
    <w:rsid w:val="00BA0CCF"/>
    <w:rsid w:val="00BA17D2"/>
    <w:rsid w:val="00BA5692"/>
    <w:rsid w:val="00BB1D3A"/>
    <w:rsid w:val="00BB45AA"/>
    <w:rsid w:val="00BB5D93"/>
    <w:rsid w:val="00BB5E65"/>
    <w:rsid w:val="00BB5FD8"/>
    <w:rsid w:val="00BB64F7"/>
    <w:rsid w:val="00BB742D"/>
    <w:rsid w:val="00BB7BFA"/>
    <w:rsid w:val="00BC05C8"/>
    <w:rsid w:val="00BC11E9"/>
    <w:rsid w:val="00BC26F3"/>
    <w:rsid w:val="00BC29F4"/>
    <w:rsid w:val="00BC3502"/>
    <w:rsid w:val="00BC3F95"/>
    <w:rsid w:val="00BC4FCF"/>
    <w:rsid w:val="00BD0F65"/>
    <w:rsid w:val="00BD21DA"/>
    <w:rsid w:val="00BD24E0"/>
    <w:rsid w:val="00BD2762"/>
    <w:rsid w:val="00BD2FA1"/>
    <w:rsid w:val="00BD3D2F"/>
    <w:rsid w:val="00BD3D91"/>
    <w:rsid w:val="00BD599F"/>
    <w:rsid w:val="00BD5C6E"/>
    <w:rsid w:val="00BE3923"/>
    <w:rsid w:val="00BE4383"/>
    <w:rsid w:val="00BE6210"/>
    <w:rsid w:val="00BE62F9"/>
    <w:rsid w:val="00BE7046"/>
    <w:rsid w:val="00BF1D24"/>
    <w:rsid w:val="00BF7C3A"/>
    <w:rsid w:val="00BF7DCA"/>
    <w:rsid w:val="00C03BB3"/>
    <w:rsid w:val="00C06371"/>
    <w:rsid w:val="00C07283"/>
    <w:rsid w:val="00C10AB6"/>
    <w:rsid w:val="00C1281A"/>
    <w:rsid w:val="00C13801"/>
    <w:rsid w:val="00C145FF"/>
    <w:rsid w:val="00C14D04"/>
    <w:rsid w:val="00C15557"/>
    <w:rsid w:val="00C17412"/>
    <w:rsid w:val="00C17F04"/>
    <w:rsid w:val="00C203A3"/>
    <w:rsid w:val="00C2089D"/>
    <w:rsid w:val="00C20EC2"/>
    <w:rsid w:val="00C2210A"/>
    <w:rsid w:val="00C25484"/>
    <w:rsid w:val="00C25761"/>
    <w:rsid w:val="00C25817"/>
    <w:rsid w:val="00C25D3A"/>
    <w:rsid w:val="00C25F2C"/>
    <w:rsid w:val="00C30381"/>
    <w:rsid w:val="00C31B2F"/>
    <w:rsid w:val="00C357EF"/>
    <w:rsid w:val="00C368B8"/>
    <w:rsid w:val="00C36A2E"/>
    <w:rsid w:val="00C37E87"/>
    <w:rsid w:val="00C4052D"/>
    <w:rsid w:val="00C41C3D"/>
    <w:rsid w:val="00C42E57"/>
    <w:rsid w:val="00C42FFD"/>
    <w:rsid w:val="00C438FE"/>
    <w:rsid w:val="00C439C8"/>
    <w:rsid w:val="00C44081"/>
    <w:rsid w:val="00C50148"/>
    <w:rsid w:val="00C503EB"/>
    <w:rsid w:val="00C50D4A"/>
    <w:rsid w:val="00C5100F"/>
    <w:rsid w:val="00C5353A"/>
    <w:rsid w:val="00C55B7D"/>
    <w:rsid w:val="00C61E47"/>
    <w:rsid w:val="00C6264A"/>
    <w:rsid w:val="00C63DB1"/>
    <w:rsid w:val="00C670E8"/>
    <w:rsid w:val="00C706F9"/>
    <w:rsid w:val="00C726B3"/>
    <w:rsid w:val="00C74D8B"/>
    <w:rsid w:val="00C74DBF"/>
    <w:rsid w:val="00C77241"/>
    <w:rsid w:val="00C80C57"/>
    <w:rsid w:val="00C825E3"/>
    <w:rsid w:val="00C83640"/>
    <w:rsid w:val="00C83D83"/>
    <w:rsid w:val="00C84504"/>
    <w:rsid w:val="00C8631B"/>
    <w:rsid w:val="00C90FCD"/>
    <w:rsid w:val="00C91477"/>
    <w:rsid w:val="00C9323F"/>
    <w:rsid w:val="00C9364B"/>
    <w:rsid w:val="00C94695"/>
    <w:rsid w:val="00C94804"/>
    <w:rsid w:val="00C95ACE"/>
    <w:rsid w:val="00C95FC2"/>
    <w:rsid w:val="00C9721A"/>
    <w:rsid w:val="00CA140C"/>
    <w:rsid w:val="00CA33DF"/>
    <w:rsid w:val="00CA5A12"/>
    <w:rsid w:val="00CB2B45"/>
    <w:rsid w:val="00CB2C54"/>
    <w:rsid w:val="00CB3212"/>
    <w:rsid w:val="00CB4A0C"/>
    <w:rsid w:val="00CB6805"/>
    <w:rsid w:val="00CB7A16"/>
    <w:rsid w:val="00CB7AE8"/>
    <w:rsid w:val="00CC04F2"/>
    <w:rsid w:val="00CC2F81"/>
    <w:rsid w:val="00CC6D16"/>
    <w:rsid w:val="00CC74D1"/>
    <w:rsid w:val="00CC7788"/>
    <w:rsid w:val="00CD0F6B"/>
    <w:rsid w:val="00CD1113"/>
    <w:rsid w:val="00CD2303"/>
    <w:rsid w:val="00CD2C53"/>
    <w:rsid w:val="00CD2CB4"/>
    <w:rsid w:val="00CD2FA2"/>
    <w:rsid w:val="00CD37CF"/>
    <w:rsid w:val="00CD7A53"/>
    <w:rsid w:val="00CD7A74"/>
    <w:rsid w:val="00CE082D"/>
    <w:rsid w:val="00CE1F75"/>
    <w:rsid w:val="00CE2A58"/>
    <w:rsid w:val="00CE2FC6"/>
    <w:rsid w:val="00CE5CE2"/>
    <w:rsid w:val="00CE6C08"/>
    <w:rsid w:val="00CE7B3F"/>
    <w:rsid w:val="00CF0330"/>
    <w:rsid w:val="00CF2666"/>
    <w:rsid w:val="00CF275A"/>
    <w:rsid w:val="00CF27CA"/>
    <w:rsid w:val="00CF404A"/>
    <w:rsid w:val="00CF4167"/>
    <w:rsid w:val="00CF5318"/>
    <w:rsid w:val="00D021E1"/>
    <w:rsid w:val="00D0231B"/>
    <w:rsid w:val="00D03143"/>
    <w:rsid w:val="00D03CBC"/>
    <w:rsid w:val="00D04F4E"/>
    <w:rsid w:val="00D06273"/>
    <w:rsid w:val="00D06D60"/>
    <w:rsid w:val="00D07DBF"/>
    <w:rsid w:val="00D11301"/>
    <w:rsid w:val="00D11C01"/>
    <w:rsid w:val="00D1233C"/>
    <w:rsid w:val="00D13667"/>
    <w:rsid w:val="00D15963"/>
    <w:rsid w:val="00D16CC7"/>
    <w:rsid w:val="00D20F24"/>
    <w:rsid w:val="00D21013"/>
    <w:rsid w:val="00D2355D"/>
    <w:rsid w:val="00D25135"/>
    <w:rsid w:val="00D25D0A"/>
    <w:rsid w:val="00D30593"/>
    <w:rsid w:val="00D313C1"/>
    <w:rsid w:val="00D33297"/>
    <w:rsid w:val="00D33815"/>
    <w:rsid w:val="00D3543E"/>
    <w:rsid w:val="00D35BEE"/>
    <w:rsid w:val="00D35D62"/>
    <w:rsid w:val="00D418AA"/>
    <w:rsid w:val="00D425A9"/>
    <w:rsid w:val="00D42DC4"/>
    <w:rsid w:val="00D43306"/>
    <w:rsid w:val="00D4574E"/>
    <w:rsid w:val="00D5142F"/>
    <w:rsid w:val="00D5395E"/>
    <w:rsid w:val="00D545A7"/>
    <w:rsid w:val="00D555EB"/>
    <w:rsid w:val="00D56869"/>
    <w:rsid w:val="00D56A2B"/>
    <w:rsid w:val="00D6013D"/>
    <w:rsid w:val="00D61F1E"/>
    <w:rsid w:val="00D649F8"/>
    <w:rsid w:val="00D6513B"/>
    <w:rsid w:val="00D653D2"/>
    <w:rsid w:val="00D65C98"/>
    <w:rsid w:val="00D65F41"/>
    <w:rsid w:val="00D66D38"/>
    <w:rsid w:val="00D717FC"/>
    <w:rsid w:val="00D7272A"/>
    <w:rsid w:val="00D72A66"/>
    <w:rsid w:val="00D72EBA"/>
    <w:rsid w:val="00D73F7C"/>
    <w:rsid w:val="00D8123A"/>
    <w:rsid w:val="00D82760"/>
    <w:rsid w:val="00D83981"/>
    <w:rsid w:val="00D83DAB"/>
    <w:rsid w:val="00D8502D"/>
    <w:rsid w:val="00D855BF"/>
    <w:rsid w:val="00D8759D"/>
    <w:rsid w:val="00D90858"/>
    <w:rsid w:val="00D914F1"/>
    <w:rsid w:val="00D915E0"/>
    <w:rsid w:val="00D917DF"/>
    <w:rsid w:val="00D918E3"/>
    <w:rsid w:val="00D91D5C"/>
    <w:rsid w:val="00D92F8B"/>
    <w:rsid w:val="00D97BE3"/>
    <w:rsid w:val="00DA19F0"/>
    <w:rsid w:val="00DA2404"/>
    <w:rsid w:val="00DA4B4D"/>
    <w:rsid w:val="00DA4D9A"/>
    <w:rsid w:val="00DA605A"/>
    <w:rsid w:val="00DA7A22"/>
    <w:rsid w:val="00DB2FFD"/>
    <w:rsid w:val="00DB33DE"/>
    <w:rsid w:val="00DB4694"/>
    <w:rsid w:val="00DB49FE"/>
    <w:rsid w:val="00DB62F0"/>
    <w:rsid w:val="00DB6A2C"/>
    <w:rsid w:val="00DB73C2"/>
    <w:rsid w:val="00DB7DC4"/>
    <w:rsid w:val="00DC1BB3"/>
    <w:rsid w:val="00DC31E6"/>
    <w:rsid w:val="00DC3702"/>
    <w:rsid w:val="00DC3980"/>
    <w:rsid w:val="00DC5434"/>
    <w:rsid w:val="00DC6BC4"/>
    <w:rsid w:val="00DC6F22"/>
    <w:rsid w:val="00DD02ED"/>
    <w:rsid w:val="00DD13AE"/>
    <w:rsid w:val="00DD160B"/>
    <w:rsid w:val="00DD31DB"/>
    <w:rsid w:val="00DD4B04"/>
    <w:rsid w:val="00DD4EB8"/>
    <w:rsid w:val="00DD519D"/>
    <w:rsid w:val="00DD5C48"/>
    <w:rsid w:val="00DD64B5"/>
    <w:rsid w:val="00DE0036"/>
    <w:rsid w:val="00DE0768"/>
    <w:rsid w:val="00DE14D7"/>
    <w:rsid w:val="00DE1AA0"/>
    <w:rsid w:val="00DE2790"/>
    <w:rsid w:val="00DE49A8"/>
    <w:rsid w:val="00DE5552"/>
    <w:rsid w:val="00DE6EA1"/>
    <w:rsid w:val="00DE719E"/>
    <w:rsid w:val="00DE726E"/>
    <w:rsid w:val="00DE7F5E"/>
    <w:rsid w:val="00DF0CC3"/>
    <w:rsid w:val="00DF12EF"/>
    <w:rsid w:val="00DF24A1"/>
    <w:rsid w:val="00DF2964"/>
    <w:rsid w:val="00DF6D81"/>
    <w:rsid w:val="00DF6E0F"/>
    <w:rsid w:val="00E00D1F"/>
    <w:rsid w:val="00E01071"/>
    <w:rsid w:val="00E016E2"/>
    <w:rsid w:val="00E04813"/>
    <w:rsid w:val="00E0490C"/>
    <w:rsid w:val="00E07401"/>
    <w:rsid w:val="00E07A78"/>
    <w:rsid w:val="00E07B36"/>
    <w:rsid w:val="00E106F0"/>
    <w:rsid w:val="00E10916"/>
    <w:rsid w:val="00E12B97"/>
    <w:rsid w:val="00E1346A"/>
    <w:rsid w:val="00E163D0"/>
    <w:rsid w:val="00E20C39"/>
    <w:rsid w:val="00E212B0"/>
    <w:rsid w:val="00E2202F"/>
    <w:rsid w:val="00E2269E"/>
    <w:rsid w:val="00E22F68"/>
    <w:rsid w:val="00E232B0"/>
    <w:rsid w:val="00E2530A"/>
    <w:rsid w:val="00E25E60"/>
    <w:rsid w:val="00E26ED6"/>
    <w:rsid w:val="00E27298"/>
    <w:rsid w:val="00E2742B"/>
    <w:rsid w:val="00E2753E"/>
    <w:rsid w:val="00E277C8"/>
    <w:rsid w:val="00E30E5A"/>
    <w:rsid w:val="00E32511"/>
    <w:rsid w:val="00E32888"/>
    <w:rsid w:val="00E32D7F"/>
    <w:rsid w:val="00E3343A"/>
    <w:rsid w:val="00E3406E"/>
    <w:rsid w:val="00E34F35"/>
    <w:rsid w:val="00E36941"/>
    <w:rsid w:val="00E41D71"/>
    <w:rsid w:val="00E44772"/>
    <w:rsid w:val="00E45C40"/>
    <w:rsid w:val="00E46C51"/>
    <w:rsid w:val="00E4780A"/>
    <w:rsid w:val="00E50FAA"/>
    <w:rsid w:val="00E52ABA"/>
    <w:rsid w:val="00E52D8D"/>
    <w:rsid w:val="00E545DD"/>
    <w:rsid w:val="00E56638"/>
    <w:rsid w:val="00E62308"/>
    <w:rsid w:val="00E629B1"/>
    <w:rsid w:val="00E65162"/>
    <w:rsid w:val="00E6683C"/>
    <w:rsid w:val="00E668B3"/>
    <w:rsid w:val="00E6765C"/>
    <w:rsid w:val="00E71A5B"/>
    <w:rsid w:val="00E737E1"/>
    <w:rsid w:val="00E73914"/>
    <w:rsid w:val="00E7566D"/>
    <w:rsid w:val="00E756B0"/>
    <w:rsid w:val="00E758F7"/>
    <w:rsid w:val="00E75C4B"/>
    <w:rsid w:val="00E75D22"/>
    <w:rsid w:val="00E769AF"/>
    <w:rsid w:val="00E772AB"/>
    <w:rsid w:val="00E77F72"/>
    <w:rsid w:val="00E811DC"/>
    <w:rsid w:val="00E811FC"/>
    <w:rsid w:val="00E814B5"/>
    <w:rsid w:val="00E818C0"/>
    <w:rsid w:val="00E82D7B"/>
    <w:rsid w:val="00E852B0"/>
    <w:rsid w:val="00E855DB"/>
    <w:rsid w:val="00E855FF"/>
    <w:rsid w:val="00E871B4"/>
    <w:rsid w:val="00E87EFC"/>
    <w:rsid w:val="00E902A3"/>
    <w:rsid w:val="00E9231F"/>
    <w:rsid w:val="00E92626"/>
    <w:rsid w:val="00E937E9"/>
    <w:rsid w:val="00E944E9"/>
    <w:rsid w:val="00E94C24"/>
    <w:rsid w:val="00E94EEC"/>
    <w:rsid w:val="00E951DD"/>
    <w:rsid w:val="00E959AD"/>
    <w:rsid w:val="00EA29C8"/>
    <w:rsid w:val="00EA3564"/>
    <w:rsid w:val="00EA58FC"/>
    <w:rsid w:val="00EB032D"/>
    <w:rsid w:val="00EB2E28"/>
    <w:rsid w:val="00EB30E5"/>
    <w:rsid w:val="00EB44C4"/>
    <w:rsid w:val="00EB5169"/>
    <w:rsid w:val="00EB6E02"/>
    <w:rsid w:val="00EC0341"/>
    <w:rsid w:val="00EC0403"/>
    <w:rsid w:val="00EC1709"/>
    <w:rsid w:val="00EC216F"/>
    <w:rsid w:val="00EC2C5E"/>
    <w:rsid w:val="00EC3015"/>
    <w:rsid w:val="00EC3146"/>
    <w:rsid w:val="00EC5D76"/>
    <w:rsid w:val="00EC5E14"/>
    <w:rsid w:val="00EC666B"/>
    <w:rsid w:val="00ED05C5"/>
    <w:rsid w:val="00ED0DE8"/>
    <w:rsid w:val="00ED14D8"/>
    <w:rsid w:val="00ED3E46"/>
    <w:rsid w:val="00ED46F3"/>
    <w:rsid w:val="00ED67F9"/>
    <w:rsid w:val="00ED7CFE"/>
    <w:rsid w:val="00EE0626"/>
    <w:rsid w:val="00EE0893"/>
    <w:rsid w:val="00EE0B70"/>
    <w:rsid w:val="00EE2BED"/>
    <w:rsid w:val="00EE3076"/>
    <w:rsid w:val="00EE6541"/>
    <w:rsid w:val="00EE6763"/>
    <w:rsid w:val="00EE7531"/>
    <w:rsid w:val="00EE7D32"/>
    <w:rsid w:val="00EE7EE4"/>
    <w:rsid w:val="00EF27DE"/>
    <w:rsid w:val="00EF3164"/>
    <w:rsid w:val="00EF3435"/>
    <w:rsid w:val="00EF351C"/>
    <w:rsid w:val="00EF4AE9"/>
    <w:rsid w:val="00EF6207"/>
    <w:rsid w:val="00EF7D1D"/>
    <w:rsid w:val="00F03E3A"/>
    <w:rsid w:val="00F049A7"/>
    <w:rsid w:val="00F04DDA"/>
    <w:rsid w:val="00F06B4B"/>
    <w:rsid w:val="00F10CAC"/>
    <w:rsid w:val="00F1405B"/>
    <w:rsid w:val="00F1459B"/>
    <w:rsid w:val="00F146FE"/>
    <w:rsid w:val="00F14948"/>
    <w:rsid w:val="00F14AF7"/>
    <w:rsid w:val="00F1554B"/>
    <w:rsid w:val="00F158AE"/>
    <w:rsid w:val="00F161FF"/>
    <w:rsid w:val="00F16F32"/>
    <w:rsid w:val="00F17629"/>
    <w:rsid w:val="00F21370"/>
    <w:rsid w:val="00F215AA"/>
    <w:rsid w:val="00F22000"/>
    <w:rsid w:val="00F22284"/>
    <w:rsid w:val="00F23BCA"/>
    <w:rsid w:val="00F25317"/>
    <w:rsid w:val="00F25A67"/>
    <w:rsid w:val="00F25B37"/>
    <w:rsid w:val="00F26D78"/>
    <w:rsid w:val="00F300C8"/>
    <w:rsid w:val="00F3024E"/>
    <w:rsid w:val="00F313BD"/>
    <w:rsid w:val="00F3153E"/>
    <w:rsid w:val="00F32269"/>
    <w:rsid w:val="00F3263C"/>
    <w:rsid w:val="00F33AD5"/>
    <w:rsid w:val="00F34A70"/>
    <w:rsid w:val="00F34AA9"/>
    <w:rsid w:val="00F34E33"/>
    <w:rsid w:val="00F4110E"/>
    <w:rsid w:val="00F41FAA"/>
    <w:rsid w:val="00F42ABD"/>
    <w:rsid w:val="00F42B7C"/>
    <w:rsid w:val="00F42BE3"/>
    <w:rsid w:val="00F442BC"/>
    <w:rsid w:val="00F46C79"/>
    <w:rsid w:val="00F47006"/>
    <w:rsid w:val="00F51766"/>
    <w:rsid w:val="00F522BB"/>
    <w:rsid w:val="00F52AB8"/>
    <w:rsid w:val="00F52E70"/>
    <w:rsid w:val="00F53310"/>
    <w:rsid w:val="00F539E2"/>
    <w:rsid w:val="00F55BFE"/>
    <w:rsid w:val="00F607BE"/>
    <w:rsid w:val="00F61067"/>
    <w:rsid w:val="00F61272"/>
    <w:rsid w:val="00F61437"/>
    <w:rsid w:val="00F62AF9"/>
    <w:rsid w:val="00F62DCB"/>
    <w:rsid w:val="00F63A16"/>
    <w:rsid w:val="00F64AB4"/>
    <w:rsid w:val="00F64BBC"/>
    <w:rsid w:val="00F66265"/>
    <w:rsid w:val="00F7275E"/>
    <w:rsid w:val="00F73F17"/>
    <w:rsid w:val="00F7477B"/>
    <w:rsid w:val="00F75430"/>
    <w:rsid w:val="00F758EF"/>
    <w:rsid w:val="00F76D19"/>
    <w:rsid w:val="00F76D46"/>
    <w:rsid w:val="00F81616"/>
    <w:rsid w:val="00F82562"/>
    <w:rsid w:val="00F8694C"/>
    <w:rsid w:val="00F910AB"/>
    <w:rsid w:val="00F91628"/>
    <w:rsid w:val="00F9176B"/>
    <w:rsid w:val="00F92259"/>
    <w:rsid w:val="00F94E10"/>
    <w:rsid w:val="00F95FEC"/>
    <w:rsid w:val="00F962A0"/>
    <w:rsid w:val="00F976FB"/>
    <w:rsid w:val="00FA1C0B"/>
    <w:rsid w:val="00FA2CFA"/>
    <w:rsid w:val="00FA52F0"/>
    <w:rsid w:val="00FA541D"/>
    <w:rsid w:val="00FA5C24"/>
    <w:rsid w:val="00FA695A"/>
    <w:rsid w:val="00FB0AC4"/>
    <w:rsid w:val="00FB2180"/>
    <w:rsid w:val="00FB2895"/>
    <w:rsid w:val="00FB3EEC"/>
    <w:rsid w:val="00FB584A"/>
    <w:rsid w:val="00FB702D"/>
    <w:rsid w:val="00FC4675"/>
    <w:rsid w:val="00FC48FD"/>
    <w:rsid w:val="00FC5870"/>
    <w:rsid w:val="00FC68C2"/>
    <w:rsid w:val="00FC7385"/>
    <w:rsid w:val="00FD1ECC"/>
    <w:rsid w:val="00FD300F"/>
    <w:rsid w:val="00FD4C52"/>
    <w:rsid w:val="00FD52A8"/>
    <w:rsid w:val="00FD64E3"/>
    <w:rsid w:val="00FD66B4"/>
    <w:rsid w:val="00FD781C"/>
    <w:rsid w:val="00FE03C5"/>
    <w:rsid w:val="00FE0488"/>
    <w:rsid w:val="00FE183A"/>
    <w:rsid w:val="00FE2C50"/>
    <w:rsid w:val="00FE3982"/>
    <w:rsid w:val="00FE39C1"/>
    <w:rsid w:val="00FF0D7C"/>
    <w:rsid w:val="00FF1652"/>
    <w:rsid w:val="00FF2263"/>
    <w:rsid w:val="00FF2EAB"/>
    <w:rsid w:val="00FF3917"/>
    <w:rsid w:val="00FF3CBD"/>
    <w:rsid w:val="00FF3DDF"/>
    <w:rsid w:val="00FF5FA3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089785"/>
  <w14:defaultImageDpi w14:val="330"/>
  <w15:docId w15:val="{389EC14C-BDF6-424E-A05D-BA14936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E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D1C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CCF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CCF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aliases w:val="Table/Figure Heading"/>
    <w:basedOn w:val="Normal"/>
    <w:next w:val="Normal"/>
    <w:link w:val="Heading4Char"/>
    <w:uiPriority w:val="9"/>
    <w:unhideWhenUsed/>
    <w:qFormat/>
    <w:rsid w:val="009944BD"/>
    <w:pPr>
      <w:keepNext/>
      <w:keepLines/>
      <w:outlineLvl w:val="3"/>
    </w:pPr>
    <w:rPr>
      <w:rFonts w:eastAsiaTheme="majorEastAsia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7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790"/>
  </w:style>
  <w:style w:type="character" w:styleId="PageNumber">
    <w:name w:val="page number"/>
    <w:basedOn w:val="DefaultParagraphFont"/>
    <w:uiPriority w:val="99"/>
    <w:semiHidden/>
    <w:unhideWhenUsed/>
    <w:rsid w:val="00DE2790"/>
  </w:style>
  <w:style w:type="character" w:styleId="LineNumber">
    <w:name w:val="line number"/>
    <w:basedOn w:val="DefaultParagraphFont"/>
    <w:uiPriority w:val="99"/>
    <w:semiHidden/>
    <w:unhideWhenUsed/>
    <w:rsid w:val="00106F87"/>
  </w:style>
  <w:style w:type="paragraph" w:customStyle="1" w:styleId="EndNoteBibliographyTitle">
    <w:name w:val="EndNote Bibliography Title"/>
    <w:basedOn w:val="Normal"/>
    <w:rsid w:val="001108B7"/>
    <w:pPr>
      <w:jc w:val="center"/>
    </w:pPr>
    <w:rPr>
      <w:rFonts w:cs="Arial"/>
    </w:rPr>
  </w:style>
  <w:style w:type="paragraph" w:customStyle="1" w:styleId="EndNoteBibliography">
    <w:name w:val="EndNote Bibliography"/>
    <w:basedOn w:val="Normal"/>
    <w:rsid w:val="001108B7"/>
    <w:pPr>
      <w:jc w:val="both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B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B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6BB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6BB5"/>
  </w:style>
  <w:style w:type="table" w:styleId="TableGrid">
    <w:name w:val="Table Grid"/>
    <w:basedOn w:val="TableNormal"/>
    <w:uiPriority w:val="39"/>
    <w:rsid w:val="0050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6BB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06BB5"/>
    <w:pPr>
      <w:spacing w:before="100" w:beforeAutospacing="1" w:after="100" w:afterAutospacing="1"/>
    </w:pPr>
    <w:rPr>
      <w:rFonts w:ascii="Times New Roman" w:hAnsi="Times New Roman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981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0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2C92"/>
  </w:style>
  <w:style w:type="character" w:customStyle="1" w:styleId="UnresolvedMention1">
    <w:name w:val="Unresolved Mention1"/>
    <w:basedOn w:val="DefaultParagraphFont"/>
    <w:uiPriority w:val="99"/>
    <w:rsid w:val="002247C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16D1C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0CCF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CCF"/>
    <w:rPr>
      <w:rFonts w:ascii="Arial" w:eastAsiaTheme="majorEastAsia" w:hAnsi="Arial" w:cstheme="majorBidi"/>
      <w:i/>
    </w:rPr>
  </w:style>
  <w:style w:type="character" w:customStyle="1" w:styleId="Heading4Char">
    <w:name w:val="Heading 4 Char"/>
    <w:aliases w:val="Table/Figure Heading Char"/>
    <w:basedOn w:val="DefaultParagraphFont"/>
    <w:link w:val="Heading4"/>
    <w:uiPriority w:val="9"/>
    <w:rsid w:val="009944BD"/>
    <w:rPr>
      <w:rFonts w:ascii="Arial" w:eastAsiaTheme="majorEastAsia" w:hAnsi="Arial" w:cstheme="majorBidi"/>
      <w:b/>
      <w:iCs/>
    </w:rPr>
  </w:style>
  <w:style w:type="paragraph" w:customStyle="1" w:styleId="msonormal0">
    <w:name w:val="msonormal"/>
    <w:basedOn w:val="Normal"/>
    <w:rsid w:val="009442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xl65">
    <w:name w:val="xl65"/>
    <w:basedOn w:val="Normal"/>
    <w:rsid w:val="0094423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66">
    <w:name w:val="xl66"/>
    <w:basedOn w:val="Normal"/>
    <w:rsid w:val="0094423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67">
    <w:name w:val="xl67"/>
    <w:basedOn w:val="Normal"/>
    <w:rsid w:val="0094423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xl68">
    <w:name w:val="xl68"/>
    <w:basedOn w:val="Normal"/>
    <w:rsid w:val="0094423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xl69">
    <w:name w:val="xl69"/>
    <w:basedOn w:val="Normal"/>
    <w:rsid w:val="009442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xl70">
    <w:name w:val="xl70"/>
    <w:basedOn w:val="Normal"/>
    <w:rsid w:val="009442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1">
    <w:name w:val="xl71"/>
    <w:basedOn w:val="Normal"/>
    <w:rsid w:val="009442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2">
    <w:name w:val="xl72"/>
    <w:basedOn w:val="Normal"/>
    <w:rsid w:val="009442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3">
    <w:name w:val="xl73"/>
    <w:basedOn w:val="Normal"/>
    <w:rsid w:val="0094423F"/>
    <w:pP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4">
    <w:name w:val="xl74"/>
    <w:basedOn w:val="Normal"/>
    <w:rsid w:val="0094423F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5">
    <w:name w:val="xl75"/>
    <w:basedOn w:val="Normal"/>
    <w:rsid w:val="0094423F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6">
    <w:name w:val="xl76"/>
    <w:basedOn w:val="Normal"/>
    <w:rsid w:val="0094423F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7">
    <w:name w:val="xl77"/>
    <w:basedOn w:val="Normal"/>
    <w:rsid w:val="0094423F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8">
    <w:name w:val="xl78"/>
    <w:basedOn w:val="Normal"/>
    <w:rsid w:val="0094423F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79">
    <w:name w:val="xl79"/>
    <w:basedOn w:val="Normal"/>
    <w:rsid w:val="0094423F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80">
    <w:name w:val="xl80"/>
    <w:basedOn w:val="Normal"/>
    <w:rsid w:val="0094423F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Normal"/>
    <w:rsid w:val="009442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82">
    <w:name w:val="xl82"/>
    <w:basedOn w:val="Normal"/>
    <w:rsid w:val="0094423F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83">
    <w:name w:val="xl83"/>
    <w:basedOn w:val="Normal"/>
    <w:rsid w:val="0094423F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84">
    <w:name w:val="xl84"/>
    <w:basedOn w:val="Normal"/>
    <w:rsid w:val="0094423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</w:rPr>
  </w:style>
  <w:style w:type="paragraph" w:customStyle="1" w:styleId="xl85">
    <w:name w:val="xl85"/>
    <w:basedOn w:val="Normal"/>
    <w:rsid w:val="0094423F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xl86">
    <w:name w:val="xl86"/>
    <w:basedOn w:val="Normal"/>
    <w:rsid w:val="0094423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xl87">
    <w:name w:val="xl87"/>
    <w:basedOn w:val="Normal"/>
    <w:rsid w:val="0094423F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D68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AE71F5"/>
    <w:rPr>
      <w:rFonts w:cs="Arial"/>
      <w:b/>
      <w:color w:val="548DD4" w:themeColor="text2" w:themeTint="99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8B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918B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3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45B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8646E2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E3B0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3096D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E3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98DA4.E4E388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C1F90-05C4-43D2-9E3A-42F5DED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Umich</Company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Goutman, Stephen</dc:creator>
  <cp:keywords/>
  <dc:description/>
  <cp:lastModifiedBy>Goutman, Stephen</cp:lastModifiedBy>
  <cp:revision>2</cp:revision>
  <dcterms:created xsi:type="dcterms:W3CDTF">2023-08-14T11:45:00Z</dcterms:created>
  <dcterms:modified xsi:type="dcterms:W3CDTF">2023-08-14T11:45:00Z</dcterms:modified>
</cp:coreProperties>
</file>